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7E91BC0F">
      <w:pPr>
        <w:snapToGrid w:val="0"/>
        <w:spacing w:line="360" w:lineRule="auto"/>
        <w:rPr>
          <w:rFonts w:hint="eastAsia" w:ascii="宋体" w:hAnsi="宋体" w:cs="仿宋"/>
          <w:b/>
          <w:sz w:val="44"/>
          <w:szCs w:val="44"/>
          <w:lang w:val="en-US" w:eastAsia="zh-CN"/>
        </w:rPr>
      </w:pPr>
      <w:r>
        <w:rPr>
          <w:rFonts w:hint="eastAsia" w:ascii="宋体" w:hAnsi="宋体" w:cs="仿宋"/>
          <w:b/>
          <w:sz w:val="44"/>
          <w:szCs w:val="44"/>
          <w:lang w:val="en-US" w:eastAsia="zh-CN"/>
        </w:rPr>
        <w:t xml:space="preserve">  </w:t>
      </w:r>
    </w:p>
    <w:p w14:paraId="250F83D5">
      <w:pPr>
        <w:snapToGrid w:val="0"/>
        <w:spacing w:line="360" w:lineRule="auto"/>
        <w:rPr>
          <w:rFonts w:hint="eastAsia" w:ascii="宋体" w:hAnsi="宋体" w:eastAsia="宋体" w:cs="仿宋"/>
          <w:b/>
          <w:sz w:val="44"/>
          <w:szCs w:val="44"/>
          <w:lang w:val="en-US" w:eastAsia="zh-CN"/>
        </w:rPr>
      </w:pPr>
      <w:r>
        <w:rPr>
          <w:rFonts w:hint="eastAsia" w:ascii="宋体" w:hAnsi="宋体" w:cs="仿宋"/>
          <w:b/>
          <w:sz w:val="44"/>
          <w:szCs w:val="44"/>
          <w:lang w:val="en-US" w:eastAsia="zh-CN"/>
        </w:rPr>
        <w:t xml:space="preserve"> </w:t>
      </w:r>
    </w:p>
    <w:p w14:paraId="64D8776D">
      <w:pPr>
        <w:snapToGrid w:val="0"/>
        <w:spacing w:line="360" w:lineRule="auto"/>
        <w:jc w:val="center"/>
        <w:rPr>
          <w:rFonts w:hint="eastAsia" w:ascii="宋体" w:hAnsi="宋体" w:cs="仿宋"/>
          <w:b/>
          <w:sz w:val="44"/>
          <w:szCs w:val="44"/>
        </w:rPr>
      </w:pPr>
    </w:p>
    <w:p w14:paraId="5F6A77FF">
      <w:pPr>
        <w:jc w:val="center"/>
        <w:rPr>
          <w:rFonts w:hint="eastAsia" w:asciiTheme="minorEastAsia" w:hAnsiTheme="minorEastAsia" w:eastAsiaTheme="minorEastAsia"/>
          <w:b/>
          <w:sz w:val="28"/>
          <w:szCs w:val="32"/>
          <w:highlight w:val="none"/>
        </w:rPr>
      </w:pPr>
      <w:r>
        <w:rPr>
          <w:rFonts w:hint="eastAsia" w:ascii="宋体" w:hAnsi="宋体" w:cs="宋体" w:eastAsiaTheme="minorEastAsia"/>
          <w:b/>
          <w:sz w:val="44"/>
          <w:szCs w:val="48"/>
          <w:highlight w:val="none"/>
        </w:rPr>
        <w:t>2026年香河园街道重点楼防水改造项目工程</w:t>
      </w:r>
    </w:p>
    <w:p w14:paraId="128A64F4">
      <w:pPr>
        <w:snapToGrid w:val="0"/>
        <w:spacing w:line="360" w:lineRule="auto"/>
        <w:rPr>
          <w:rFonts w:hint="eastAsia" w:ascii="宋体" w:hAnsi="宋体" w:cs="仿宋"/>
          <w:sz w:val="24"/>
        </w:rPr>
      </w:pPr>
    </w:p>
    <w:p w14:paraId="624FAD05">
      <w:pPr>
        <w:snapToGrid w:val="0"/>
        <w:spacing w:line="360" w:lineRule="auto"/>
        <w:jc w:val="center"/>
        <w:rPr>
          <w:rFonts w:ascii="宋体" w:hAnsi="宋体" w:cs="仿宋"/>
          <w:b/>
          <w:sz w:val="24"/>
        </w:rPr>
      </w:pPr>
    </w:p>
    <w:p w14:paraId="49F8FC79">
      <w:pPr>
        <w:snapToGrid w:val="0"/>
        <w:spacing w:line="360" w:lineRule="auto"/>
        <w:jc w:val="center"/>
        <w:rPr>
          <w:rFonts w:ascii="宋体" w:hAnsi="宋体" w:cs="仿宋"/>
          <w:b/>
          <w:sz w:val="24"/>
        </w:rPr>
      </w:pPr>
    </w:p>
    <w:p w14:paraId="25AD847E">
      <w:pPr>
        <w:snapToGrid w:val="0"/>
        <w:spacing w:line="360" w:lineRule="auto"/>
        <w:jc w:val="center"/>
        <w:rPr>
          <w:rFonts w:hint="eastAsia" w:ascii="宋体" w:hAnsi="宋体" w:cs="仿宋"/>
          <w:b/>
          <w:sz w:val="24"/>
        </w:rPr>
      </w:pPr>
    </w:p>
    <w:p w14:paraId="0CC089ED">
      <w:pPr>
        <w:snapToGrid w:val="0"/>
        <w:spacing w:line="360" w:lineRule="auto"/>
        <w:jc w:val="center"/>
        <w:rPr>
          <w:rFonts w:hint="eastAsia" w:ascii="宋体" w:hAnsi="宋体" w:cs="仿宋"/>
          <w:b/>
          <w:sz w:val="72"/>
          <w:szCs w:val="52"/>
        </w:rPr>
      </w:pPr>
      <w:r>
        <w:rPr>
          <w:rFonts w:hint="eastAsia" w:ascii="宋体" w:hAnsi="宋体" w:cs="仿宋"/>
          <w:b/>
          <w:sz w:val="72"/>
          <w:szCs w:val="52"/>
        </w:rPr>
        <w:t>竞争性磋商文件</w:t>
      </w:r>
    </w:p>
    <w:p w14:paraId="51780CC2">
      <w:pPr>
        <w:spacing w:line="360" w:lineRule="auto"/>
        <w:jc w:val="center"/>
        <w:rPr>
          <w:rFonts w:hint="eastAsia" w:asciiTheme="minorEastAsia" w:hAnsiTheme="minorEastAsia" w:eastAsiaTheme="minorEastAsia"/>
          <w:b/>
          <w:sz w:val="36"/>
          <w:szCs w:val="36"/>
        </w:rPr>
      </w:pPr>
      <w:r>
        <w:rPr>
          <w:rFonts w:hint="eastAsia" w:asciiTheme="minorEastAsia" w:hAnsiTheme="minorEastAsia" w:eastAsiaTheme="minorEastAsia"/>
          <w:b/>
          <w:sz w:val="36"/>
          <w:szCs w:val="36"/>
        </w:rPr>
        <w:t>（项目编号：11010526210200028655-XM001）</w:t>
      </w:r>
    </w:p>
    <w:p w14:paraId="058E4925">
      <w:pPr>
        <w:snapToGrid w:val="0"/>
        <w:spacing w:line="360" w:lineRule="auto"/>
        <w:ind w:firstLine="98" w:firstLineChars="41"/>
        <w:jc w:val="center"/>
        <w:rPr>
          <w:rFonts w:hint="eastAsia" w:ascii="宋体" w:hAnsi="宋体" w:cs="仿宋"/>
          <w:sz w:val="24"/>
        </w:rPr>
      </w:pPr>
    </w:p>
    <w:p w14:paraId="3E98BBAD">
      <w:pPr>
        <w:snapToGrid w:val="0"/>
        <w:spacing w:line="360" w:lineRule="auto"/>
        <w:ind w:firstLine="1560" w:firstLineChars="650"/>
        <w:rPr>
          <w:rFonts w:hint="eastAsia" w:ascii="宋体" w:hAnsi="宋体" w:cs="仿宋"/>
          <w:b/>
          <w:sz w:val="24"/>
        </w:rPr>
      </w:pPr>
    </w:p>
    <w:p w14:paraId="0464AE46">
      <w:pPr>
        <w:snapToGrid w:val="0"/>
        <w:spacing w:line="360" w:lineRule="auto"/>
        <w:ind w:right="-21" w:rightChars="-10"/>
        <w:rPr>
          <w:rFonts w:hint="eastAsia" w:ascii="宋体" w:hAnsi="宋体" w:cs="仿宋"/>
          <w:sz w:val="24"/>
        </w:rPr>
      </w:pPr>
    </w:p>
    <w:p w14:paraId="257E5F6A">
      <w:pPr>
        <w:snapToGrid w:val="0"/>
        <w:spacing w:line="360" w:lineRule="auto"/>
        <w:ind w:right="-21" w:rightChars="-10"/>
        <w:rPr>
          <w:rFonts w:hint="eastAsia" w:ascii="宋体" w:hAnsi="宋体" w:cs="仿宋"/>
          <w:sz w:val="24"/>
        </w:rPr>
      </w:pPr>
    </w:p>
    <w:p w14:paraId="7C1F30E2">
      <w:pPr>
        <w:snapToGrid w:val="0"/>
        <w:spacing w:line="360" w:lineRule="auto"/>
        <w:ind w:right="-21" w:rightChars="-10"/>
        <w:rPr>
          <w:rFonts w:ascii="宋体" w:hAnsi="宋体" w:cs="仿宋"/>
          <w:sz w:val="24"/>
        </w:rPr>
      </w:pPr>
    </w:p>
    <w:p w14:paraId="30DD2AED">
      <w:pPr>
        <w:snapToGrid w:val="0"/>
        <w:spacing w:line="360" w:lineRule="auto"/>
        <w:ind w:right="-21" w:rightChars="-10"/>
        <w:rPr>
          <w:rFonts w:hint="eastAsia" w:ascii="宋体" w:hAnsi="宋体" w:cs="仿宋"/>
          <w:sz w:val="24"/>
        </w:rPr>
      </w:pPr>
    </w:p>
    <w:p w14:paraId="53A343F7">
      <w:pPr>
        <w:snapToGrid w:val="0"/>
        <w:spacing w:line="360" w:lineRule="auto"/>
        <w:ind w:right="-21" w:rightChars="-10"/>
        <w:rPr>
          <w:rFonts w:hint="eastAsia" w:ascii="宋体" w:hAnsi="宋体" w:cs="仿宋"/>
          <w:sz w:val="24"/>
        </w:rPr>
      </w:pPr>
    </w:p>
    <w:p w14:paraId="397329EE">
      <w:pPr>
        <w:pStyle w:val="103"/>
      </w:pPr>
    </w:p>
    <w:p w14:paraId="121C6914">
      <w:pPr>
        <w:pStyle w:val="103"/>
        <w:rPr>
          <w:rFonts w:hint="eastAsia" w:hAnsi="宋体" w:cs="仿宋"/>
          <w:sz w:val="24"/>
        </w:rPr>
      </w:pPr>
    </w:p>
    <w:p w14:paraId="66F7E108">
      <w:pPr>
        <w:snapToGrid w:val="0"/>
        <w:spacing w:line="360" w:lineRule="auto"/>
        <w:ind w:right="-21" w:rightChars="-10"/>
        <w:rPr>
          <w:rFonts w:hint="eastAsia" w:ascii="宋体" w:hAnsi="宋体" w:cs="仿宋"/>
          <w:sz w:val="24"/>
        </w:rPr>
      </w:pPr>
    </w:p>
    <w:p w14:paraId="4E80D5A9">
      <w:pPr>
        <w:spacing w:line="480" w:lineRule="auto"/>
        <w:ind w:left="596" w:leftChars="284"/>
        <w:rPr>
          <w:rFonts w:hint="eastAsia" w:ascii="宋体" w:hAnsi="宋体" w:cs="宋体"/>
          <w:b/>
          <w:sz w:val="32"/>
          <w:szCs w:val="32"/>
        </w:rPr>
      </w:pPr>
      <w:r>
        <w:rPr>
          <w:rFonts w:hint="eastAsia" w:ascii="宋体" w:hAnsi="宋体" w:cs="宋体"/>
          <w:b/>
          <w:sz w:val="32"/>
          <w:szCs w:val="32"/>
        </w:rPr>
        <w:t>采 购 人：北京市朝阳区人民政府香河园街道办事处</w:t>
      </w:r>
      <w:r>
        <w:rPr>
          <w:rFonts w:ascii="宋体" w:hAnsi="宋体" w:cs="宋体"/>
          <w:b/>
          <w:sz w:val="32"/>
          <w:szCs w:val="32"/>
        </w:rPr>
        <w:t xml:space="preserve"> </w:t>
      </w:r>
    </w:p>
    <w:p w14:paraId="3F91817F">
      <w:pPr>
        <w:spacing w:line="480" w:lineRule="auto"/>
        <w:ind w:firstLine="642"/>
        <w:rPr>
          <w:rFonts w:hint="eastAsia" w:ascii="宋体" w:hAnsi="宋体" w:cs="宋体"/>
          <w:b/>
          <w:sz w:val="32"/>
          <w:szCs w:val="32"/>
        </w:rPr>
      </w:pPr>
      <w:r>
        <w:rPr>
          <w:rFonts w:hint="eastAsia" w:ascii="宋体" w:hAnsi="宋体" w:cs="宋体"/>
          <w:b/>
          <w:sz w:val="32"/>
          <w:szCs w:val="32"/>
        </w:rPr>
        <w:t>采购代理机构：北京天一圣匠工程咨询有限公司</w:t>
      </w:r>
    </w:p>
    <w:p w14:paraId="4C21BB74">
      <w:pPr>
        <w:jc w:val="center"/>
        <w:rPr>
          <w:rFonts w:hint="eastAsia" w:ascii="宋体" w:hAnsi="宋体" w:cs="宋体"/>
          <w:b/>
          <w:sz w:val="32"/>
          <w:szCs w:val="32"/>
        </w:rPr>
        <w:sectPr>
          <w:headerReference r:id="rId4" w:type="first"/>
          <w:footerReference r:id="rId6" w:type="first"/>
          <w:headerReference r:id="rId3" w:type="default"/>
          <w:footerReference r:id="rId5" w:type="even"/>
          <w:type w:val="nextColumn"/>
          <w:pgSz w:w="11905" w:h="16838"/>
          <w:pgMar w:top="1418" w:right="1418" w:bottom="1134" w:left="1418" w:header="851" w:footer="992" w:gutter="0"/>
          <w:cols w:space="0" w:num="1"/>
          <w:docGrid w:type="linesAndChars" w:linePitch="317" w:charSpace="0"/>
        </w:sectPr>
      </w:pPr>
      <w:r>
        <w:rPr>
          <w:rFonts w:hint="eastAsia" w:asciiTheme="minorEastAsia" w:hAnsiTheme="minorEastAsia" w:eastAsiaTheme="minorEastAsia"/>
          <w:b/>
          <w:sz w:val="30"/>
          <w:szCs w:val="30"/>
        </w:rPr>
        <w:t>二零二六</w:t>
      </w:r>
      <w:r>
        <w:rPr>
          <w:rFonts w:hint="eastAsia" w:cs="仿宋_GB2312" w:asciiTheme="minorEastAsia" w:hAnsiTheme="minorEastAsia" w:eastAsiaTheme="minorEastAsia"/>
          <w:b/>
          <w:sz w:val="30"/>
          <w:szCs w:val="30"/>
        </w:rPr>
        <w:t>年四月</w:t>
      </w:r>
    </w:p>
    <w:p w14:paraId="45213492">
      <w:pPr>
        <w:pStyle w:val="208"/>
        <w:spacing w:line="360" w:lineRule="auto"/>
        <w:rPr>
          <w:rFonts w:hint="eastAsia" w:ascii="宋体" w:hAnsi="宋体" w:cs="仿宋"/>
          <w:color w:val="auto"/>
        </w:rPr>
      </w:pPr>
    </w:p>
    <w:p w14:paraId="25EAA04E">
      <w:pPr>
        <w:spacing w:line="360" w:lineRule="auto"/>
        <w:jc w:val="center"/>
        <w:outlineLvl w:val="0"/>
        <w:rPr>
          <w:rFonts w:hint="eastAsia" w:ascii="宋体" w:hAnsi="宋体" w:cs="仿宋"/>
          <w:b/>
          <w:sz w:val="36"/>
          <w:szCs w:val="36"/>
        </w:rPr>
      </w:pPr>
      <w:bookmarkStart w:id="0" w:name="_Toc27633"/>
      <w:bookmarkStart w:id="1" w:name="_Toc7599"/>
      <w:bookmarkStart w:id="2" w:name="_Toc10435"/>
      <w:bookmarkStart w:id="3" w:name="_Toc30553"/>
      <w:r>
        <w:rPr>
          <w:rFonts w:hint="eastAsia" w:ascii="宋体" w:hAnsi="宋体" w:cs="仿宋"/>
          <w:b/>
          <w:sz w:val="36"/>
          <w:szCs w:val="36"/>
        </w:rPr>
        <w:t>目      录</w:t>
      </w:r>
      <w:bookmarkEnd w:id="0"/>
      <w:bookmarkEnd w:id="1"/>
      <w:bookmarkEnd w:id="2"/>
      <w:bookmarkEnd w:id="3"/>
    </w:p>
    <w:p w14:paraId="35148CF4">
      <w:pPr>
        <w:rPr>
          <w:rFonts w:hint="eastAsia" w:ascii="宋体" w:hAnsi="宋体" w:cs="仿宋"/>
        </w:rPr>
      </w:pPr>
    </w:p>
    <w:p w14:paraId="70704474">
      <w:pPr>
        <w:pStyle w:val="59"/>
        <w:tabs>
          <w:tab w:val="right" w:leader="dot" w:pos="9637"/>
          <w:tab w:val="clear" w:pos="1050"/>
          <w:tab w:val="clear" w:pos="8937"/>
        </w:tabs>
        <w:spacing w:line="480" w:lineRule="auto"/>
        <w:rPr>
          <w:rFonts w:hint="eastAsia"/>
          <w:sz w:val="28"/>
          <w:szCs w:val="28"/>
        </w:rPr>
      </w:pPr>
      <w:r>
        <w:rPr>
          <w:rFonts w:hint="eastAsia" w:cs="仿宋"/>
          <w:b w:val="0"/>
        </w:rPr>
        <w:fldChar w:fldCharType="begin"/>
      </w:r>
      <w:r>
        <w:rPr>
          <w:rFonts w:hint="eastAsia" w:cs="仿宋"/>
          <w:b w:val="0"/>
        </w:rPr>
        <w:instrText xml:space="preserve"> TOC \o "1-1" \h \z \u </w:instrText>
      </w:r>
      <w:r>
        <w:rPr>
          <w:rFonts w:hint="eastAsia" w:cs="仿宋"/>
          <w:b w:val="0"/>
        </w:rPr>
        <w:fldChar w:fldCharType="separate"/>
      </w:r>
      <w:r>
        <w:fldChar w:fldCharType="begin"/>
      </w:r>
      <w:r>
        <w:instrText xml:space="preserve"> HYPERLINK \l "_Toc24132" </w:instrText>
      </w:r>
      <w:r>
        <w:fldChar w:fldCharType="separate"/>
      </w:r>
      <w:r>
        <w:rPr>
          <w:rFonts w:hint="eastAsia" w:cs="仿宋"/>
          <w:sz w:val="28"/>
          <w:szCs w:val="28"/>
        </w:rPr>
        <w:t>第一章 采购邀请</w:t>
      </w:r>
      <w:r>
        <w:rPr>
          <w:sz w:val="28"/>
          <w:szCs w:val="28"/>
        </w:rPr>
        <w:tab/>
      </w:r>
      <w:r>
        <w:rPr>
          <w:sz w:val="28"/>
          <w:szCs w:val="28"/>
        </w:rPr>
        <w:fldChar w:fldCharType="begin"/>
      </w:r>
      <w:r>
        <w:rPr>
          <w:sz w:val="28"/>
          <w:szCs w:val="28"/>
        </w:rPr>
        <w:instrText xml:space="preserve"> PAGEREF _Toc24132 \h </w:instrText>
      </w:r>
      <w:r>
        <w:rPr>
          <w:sz w:val="28"/>
          <w:szCs w:val="28"/>
        </w:rPr>
        <w:fldChar w:fldCharType="separate"/>
      </w:r>
      <w:r>
        <w:rPr>
          <w:rFonts w:hint="eastAsia"/>
          <w:sz w:val="28"/>
          <w:szCs w:val="28"/>
        </w:rPr>
        <w:t>1</w:t>
      </w:r>
      <w:r>
        <w:rPr>
          <w:sz w:val="28"/>
          <w:szCs w:val="28"/>
        </w:rPr>
        <w:fldChar w:fldCharType="end"/>
      </w:r>
      <w:r>
        <w:rPr>
          <w:sz w:val="28"/>
          <w:szCs w:val="28"/>
        </w:rPr>
        <w:fldChar w:fldCharType="end"/>
      </w:r>
    </w:p>
    <w:p w14:paraId="1DFF11DA">
      <w:pPr>
        <w:pStyle w:val="59"/>
        <w:tabs>
          <w:tab w:val="right" w:leader="dot" w:pos="9637"/>
          <w:tab w:val="clear" w:pos="1050"/>
          <w:tab w:val="clear" w:pos="8937"/>
        </w:tabs>
        <w:spacing w:line="480" w:lineRule="auto"/>
        <w:rPr>
          <w:rFonts w:hint="eastAsia"/>
          <w:sz w:val="28"/>
          <w:szCs w:val="28"/>
        </w:rPr>
      </w:pPr>
      <w:r>
        <w:fldChar w:fldCharType="begin"/>
      </w:r>
      <w:r>
        <w:instrText xml:space="preserve"> HYPERLINK \l "_Toc10149" </w:instrText>
      </w:r>
      <w:r>
        <w:fldChar w:fldCharType="separate"/>
      </w:r>
      <w:r>
        <w:rPr>
          <w:rFonts w:hint="eastAsia" w:cs="仿宋"/>
          <w:sz w:val="28"/>
          <w:szCs w:val="28"/>
        </w:rPr>
        <w:t>第二章 供应商须知</w:t>
      </w:r>
      <w:r>
        <w:rPr>
          <w:sz w:val="28"/>
          <w:szCs w:val="28"/>
        </w:rPr>
        <w:tab/>
      </w:r>
      <w:r>
        <w:rPr>
          <w:sz w:val="28"/>
          <w:szCs w:val="28"/>
        </w:rPr>
        <w:fldChar w:fldCharType="begin"/>
      </w:r>
      <w:r>
        <w:rPr>
          <w:sz w:val="28"/>
          <w:szCs w:val="28"/>
        </w:rPr>
        <w:instrText xml:space="preserve"> PAGEREF _Toc10149 \h </w:instrText>
      </w:r>
      <w:r>
        <w:rPr>
          <w:sz w:val="28"/>
          <w:szCs w:val="28"/>
        </w:rPr>
        <w:fldChar w:fldCharType="separate"/>
      </w:r>
      <w:r>
        <w:rPr>
          <w:rFonts w:hint="eastAsia"/>
          <w:sz w:val="28"/>
          <w:szCs w:val="28"/>
        </w:rPr>
        <w:t>6</w:t>
      </w:r>
      <w:r>
        <w:rPr>
          <w:sz w:val="28"/>
          <w:szCs w:val="28"/>
        </w:rPr>
        <w:fldChar w:fldCharType="end"/>
      </w:r>
      <w:r>
        <w:rPr>
          <w:sz w:val="28"/>
          <w:szCs w:val="28"/>
        </w:rPr>
        <w:fldChar w:fldCharType="end"/>
      </w:r>
    </w:p>
    <w:p w14:paraId="5D5C8779">
      <w:pPr>
        <w:pStyle w:val="59"/>
        <w:tabs>
          <w:tab w:val="right" w:leader="dot" w:pos="9637"/>
          <w:tab w:val="clear" w:pos="1050"/>
          <w:tab w:val="clear" w:pos="8937"/>
        </w:tabs>
        <w:spacing w:line="480" w:lineRule="auto"/>
        <w:rPr>
          <w:rFonts w:hint="eastAsia"/>
          <w:sz w:val="28"/>
          <w:szCs w:val="28"/>
        </w:rPr>
      </w:pPr>
      <w:r>
        <w:fldChar w:fldCharType="begin"/>
      </w:r>
      <w:r>
        <w:instrText xml:space="preserve"> HYPERLINK \l "_Toc965" </w:instrText>
      </w:r>
      <w:r>
        <w:fldChar w:fldCharType="separate"/>
      </w:r>
      <w:r>
        <w:rPr>
          <w:rFonts w:hint="eastAsia" w:cs="仿宋"/>
          <w:sz w:val="28"/>
          <w:szCs w:val="28"/>
        </w:rPr>
        <w:t>第三章 评审方法和评审标准</w:t>
      </w:r>
      <w:r>
        <w:rPr>
          <w:sz w:val="28"/>
          <w:szCs w:val="28"/>
        </w:rPr>
        <w:tab/>
      </w:r>
      <w:r>
        <w:rPr>
          <w:sz w:val="28"/>
          <w:szCs w:val="28"/>
        </w:rPr>
        <w:fldChar w:fldCharType="begin"/>
      </w:r>
      <w:r>
        <w:rPr>
          <w:sz w:val="28"/>
          <w:szCs w:val="28"/>
        </w:rPr>
        <w:instrText xml:space="preserve"> PAGEREF _Toc965 \h </w:instrText>
      </w:r>
      <w:r>
        <w:rPr>
          <w:sz w:val="28"/>
          <w:szCs w:val="28"/>
        </w:rPr>
        <w:fldChar w:fldCharType="separate"/>
      </w:r>
      <w:r>
        <w:rPr>
          <w:rFonts w:hint="eastAsia"/>
          <w:sz w:val="28"/>
          <w:szCs w:val="28"/>
        </w:rPr>
        <w:t>21</w:t>
      </w:r>
      <w:r>
        <w:rPr>
          <w:sz w:val="28"/>
          <w:szCs w:val="28"/>
        </w:rPr>
        <w:fldChar w:fldCharType="end"/>
      </w:r>
      <w:r>
        <w:rPr>
          <w:sz w:val="28"/>
          <w:szCs w:val="28"/>
        </w:rPr>
        <w:fldChar w:fldCharType="end"/>
      </w:r>
    </w:p>
    <w:p w14:paraId="41C61E66">
      <w:pPr>
        <w:pStyle w:val="59"/>
        <w:tabs>
          <w:tab w:val="right" w:leader="dot" w:pos="9637"/>
          <w:tab w:val="clear" w:pos="1050"/>
          <w:tab w:val="clear" w:pos="8937"/>
        </w:tabs>
        <w:spacing w:line="480" w:lineRule="auto"/>
        <w:rPr>
          <w:rFonts w:hint="eastAsia"/>
          <w:sz w:val="28"/>
          <w:szCs w:val="28"/>
        </w:rPr>
      </w:pPr>
      <w:r>
        <w:fldChar w:fldCharType="begin"/>
      </w:r>
      <w:r>
        <w:instrText xml:space="preserve"> HYPERLINK \l "_Toc9424" </w:instrText>
      </w:r>
      <w:r>
        <w:fldChar w:fldCharType="separate"/>
      </w:r>
      <w:r>
        <w:rPr>
          <w:rFonts w:hint="eastAsia" w:cs="仿宋"/>
          <w:sz w:val="28"/>
          <w:szCs w:val="28"/>
        </w:rPr>
        <w:t>第四章 采购需求</w:t>
      </w:r>
      <w:r>
        <w:rPr>
          <w:sz w:val="28"/>
          <w:szCs w:val="28"/>
        </w:rPr>
        <w:tab/>
      </w:r>
      <w:r>
        <w:rPr>
          <w:sz w:val="28"/>
          <w:szCs w:val="28"/>
        </w:rPr>
        <w:fldChar w:fldCharType="begin"/>
      </w:r>
      <w:r>
        <w:rPr>
          <w:sz w:val="28"/>
          <w:szCs w:val="28"/>
        </w:rPr>
        <w:instrText xml:space="preserve"> PAGEREF _Toc9424 \h </w:instrText>
      </w:r>
      <w:r>
        <w:rPr>
          <w:sz w:val="28"/>
          <w:szCs w:val="28"/>
        </w:rPr>
        <w:fldChar w:fldCharType="separate"/>
      </w:r>
      <w:r>
        <w:rPr>
          <w:rFonts w:hint="eastAsia"/>
          <w:sz w:val="28"/>
          <w:szCs w:val="28"/>
        </w:rPr>
        <w:t>33</w:t>
      </w:r>
      <w:r>
        <w:rPr>
          <w:sz w:val="28"/>
          <w:szCs w:val="28"/>
        </w:rPr>
        <w:fldChar w:fldCharType="end"/>
      </w:r>
      <w:r>
        <w:rPr>
          <w:sz w:val="28"/>
          <w:szCs w:val="28"/>
        </w:rPr>
        <w:fldChar w:fldCharType="end"/>
      </w:r>
    </w:p>
    <w:p w14:paraId="6889090B">
      <w:pPr>
        <w:pStyle w:val="59"/>
        <w:tabs>
          <w:tab w:val="right" w:leader="dot" w:pos="9637"/>
          <w:tab w:val="clear" w:pos="1050"/>
          <w:tab w:val="clear" w:pos="8937"/>
        </w:tabs>
        <w:spacing w:line="480" w:lineRule="auto"/>
        <w:rPr>
          <w:rFonts w:hint="eastAsia"/>
          <w:sz w:val="28"/>
          <w:szCs w:val="28"/>
        </w:rPr>
      </w:pPr>
      <w:r>
        <w:fldChar w:fldCharType="begin"/>
      </w:r>
      <w:r>
        <w:instrText xml:space="preserve"> HYPERLINK \l "_Toc8403" </w:instrText>
      </w:r>
      <w:r>
        <w:fldChar w:fldCharType="separate"/>
      </w:r>
      <w:r>
        <w:rPr>
          <w:rFonts w:hint="eastAsia" w:cs="仿宋"/>
          <w:sz w:val="28"/>
          <w:szCs w:val="28"/>
        </w:rPr>
        <w:t>第五章 合同草案条款</w:t>
      </w:r>
      <w:r>
        <w:rPr>
          <w:sz w:val="28"/>
          <w:szCs w:val="28"/>
        </w:rPr>
        <w:tab/>
      </w:r>
      <w:r>
        <w:rPr>
          <w:sz w:val="28"/>
          <w:szCs w:val="28"/>
        </w:rPr>
        <w:fldChar w:fldCharType="begin"/>
      </w:r>
      <w:r>
        <w:rPr>
          <w:sz w:val="28"/>
          <w:szCs w:val="28"/>
        </w:rPr>
        <w:instrText xml:space="preserve"> PAGEREF _Toc8403 \h </w:instrText>
      </w:r>
      <w:r>
        <w:rPr>
          <w:sz w:val="28"/>
          <w:szCs w:val="28"/>
        </w:rPr>
        <w:fldChar w:fldCharType="separate"/>
      </w:r>
      <w:r>
        <w:rPr>
          <w:rFonts w:hint="eastAsia"/>
          <w:sz w:val="28"/>
          <w:szCs w:val="28"/>
        </w:rPr>
        <w:t>35</w:t>
      </w:r>
      <w:r>
        <w:rPr>
          <w:sz w:val="28"/>
          <w:szCs w:val="28"/>
        </w:rPr>
        <w:fldChar w:fldCharType="end"/>
      </w:r>
      <w:r>
        <w:rPr>
          <w:sz w:val="28"/>
          <w:szCs w:val="28"/>
        </w:rPr>
        <w:fldChar w:fldCharType="end"/>
      </w:r>
    </w:p>
    <w:p w14:paraId="6C2CCA9A">
      <w:pPr>
        <w:pStyle w:val="59"/>
        <w:tabs>
          <w:tab w:val="right" w:leader="dot" w:pos="9637"/>
          <w:tab w:val="clear" w:pos="1050"/>
          <w:tab w:val="clear" w:pos="8937"/>
        </w:tabs>
        <w:spacing w:line="480" w:lineRule="auto"/>
        <w:rPr>
          <w:rFonts w:hint="eastAsia"/>
        </w:rPr>
      </w:pPr>
      <w:r>
        <w:fldChar w:fldCharType="begin"/>
      </w:r>
      <w:r>
        <w:instrText xml:space="preserve"> HYPERLINK \l "_Toc9094" </w:instrText>
      </w:r>
      <w:r>
        <w:fldChar w:fldCharType="separate"/>
      </w:r>
      <w:r>
        <w:rPr>
          <w:rFonts w:hint="eastAsia" w:cs="仿宋"/>
          <w:sz w:val="28"/>
          <w:szCs w:val="28"/>
        </w:rPr>
        <w:t>第六章 响应文件格式</w:t>
      </w:r>
      <w:r>
        <w:rPr>
          <w:sz w:val="28"/>
          <w:szCs w:val="28"/>
        </w:rPr>
        <w:tab/>
      </w:r>
      <w:r>
        <w:rPr>
          <w:sz w:val="28"/>
          <w:szCs w:val="28"/>
        </w:rPr>
        <w:fldChar w:fldCharType="begin"/>
      </w:r>
      <w:r>
        <w:rPr>
          <w:sz w:val="28"/>
          <w:szCs w:val="28"/>
        </w:rPr>
        <w:instrText xml:space="preserve"> PAGEREF _Toc9094 \h </w:instrText>
      </w:r>
      <w:r>
        <w:rPr>
          <w:sz w:val="28"/>
          <w:szCs w:val="28"/>
        </w:rPr>
        <w:fldChar w:fldCharType="separate"/>
      </w:r>
      <w:r>
        <w:rPr>
          <w:rFonts w:hint="eastAsia"/>
          <w:sz w:val="28"/>
          <w:szCs w:val="28"/>
        </w:rPr>
        <w:t>36</w:t>
      </w:r>
      <w:r>
        <w:rPr>
          <w:sz w:val="28"/>
          <w:szCs w:val="28"/>
        </w:rPr>
        <w:fldChar w:fldCharType="end"/>
      </w:r>
      <w:r>
        <w:rPr>
          <w:sz w:val="28"/>
          <w:szCs w:val="28"/>
        </w:rPr>
        <w:fldChar w:fldCharType="end"/>
      </w:r>
    </w:p>
    <w:p w14:paraId="0D656D76">
      <w:pPr>
        <w:pStyle w:val="59"/>
        <w:spacing w:line="480" w:lineRule="auto"/>
        <w:rPr>
          <w:rFonts w:hint="eastAsia" w:cs="仿宋"/>
          <w:b w:val="0"/>
        </w:rPr>
      </w:pPr>
      <w:r>
        <w:rPr>
          <w:rFonts w:hint="eastAsia" w:cs="仿宋"/>
        </w:rPr>
        <w:fldChar w:fldCharType="end"/>
      </w:r>
    </w:p>
    <w:p w14:paraId="0724F08F">
      <w:pPr>
        <w:pStyle w:val="5"/>
        <w:spacing w:line="360" w:lineRule="auto"/>
        <w:ind w:firstLine="0"/>
        <w:rPr>
          <w:rFonts w:hint="eastAsia" w:hAnsi="宋体"/>
        </w:rPr>
      </w:pPr>
      <w:bookmarkStart w:id="4" w:name="_Toc97371941"/>
      <w:r>
        <w:rPr>
          <w:rFonts w:hint="eastAsia" w:hAnsi="宋体" w:cs="宋体"/>
        </w:rPr>
        <w:t>注：竞争性磋商文件条款中以“</w:t>
      </w:r>
      <w:bookmarkStart w:id="5" w:name="_Hlk147306862"/>
      <w:r>
        <w:rPr>
          <w:rFonts w:hAnsi="宋体"/>
        </w:rPr>
        <w:t>■</w:t>
      </w:r>
      <w:bookmarkEnd w:id="5"/>
      <w:r>
        <w:rPr>
          <w:rFonts w:hint="eastAsia" w:hAnsi="宋体" w:cs="宋体"/>
        </w:rPr>
        <w:t>”形式标记的内容适用于本项目，以“</w:t>
      </w:r>
      <w:bookmarkStart w:id="6" w:name="_Hlk147306870"/>
      <w:r>
        <w:rPr>
          <w:rFonts w:ascii="Wingdings 2" w:hAnsi="Wingdings 2" w:cs="宋体"/>
        </w:rPr>
        <w:sym w:font="Wingdings 2" w:char="F0A3"/>
      </w:r>
      <w:bookmarkEnd w:id="6"/>
      <w:r>
        <w:rPr>
          <w:rFonts w:hint="eastAsia" w:hAnsi="宋体" w:cs="宋体"/>
        </w:rPr>
        <w:t>”形式标记的内容不适用于本项目。</w:t>
      </w:r>
    </w:p>
    <w:p w14:paraId="2F2D4344">
      <w:pPr>
        <w:spacing w:line="360" w:lineRule="auto"/>
        <w:jc w:val="center"/>
        <w:outlineLvl w:val="0"/>
        <w:rPr>
          <w:rFonts w:hint="eastAsia" w:ascii="宋体" w:hAnsi="宋体" w:cs="仿宋"/>
          <w:b/>
          <w:sz w:val="36"/>
          <w:szCs w:val="36"/>
        </w:rPr>
        <w:sectPr>
          <w:headerReference r:id="rId8" w:type="first"/>
          <w:footerReference r:id="rId11" w:type="first"/>
          <w:headerReference r:id="rId7" w:type="default"/>
          <w:footerReference r:id="rId9" w:type="default"/>
          <w:footerReference r:id="rId10" w:type="even"/>
          <w:type w:val="nextColumn"/>
          <w:pgSz w:w="11905" w:h="16838"/>
          <w:pgMar w:top="1247" w:right="1361" w:bottom="1247" w:left="1361" w:header="851" w:footer="851" w:gutter="0"/>
          <w:pgNumType w:start="1"/>
          <w:cols w:space="0" w:num="1"/>
          <w:titlePg/>
          <w:docGrid w:linePitch="462" w:charSpace="0"/>
        </w:sectPr>
      </w:pPr>
      <w:r>
        <w:rPr>
          <w:rFonts w:hint="eastAsia" w:ascii="宋体" w:hAnsi="宋体" w:cs="仿宋"/>
          <w:b/>
          <w:sz w:val="36"/>
          <w:szCs w:val="36"/>
        </w:rPr>
        <w:t xml:space="preserve">  </w:t>
      </w:r>
    </w:p>
    <w:p w14:paraId="767A4CB6">
      <w:pPr>
        <w:spacing w:line="360" w:lineRule="auto"/>
        <w:jc w:val="center"/>
        <w:outlineLvl w:val="0"/>
        <w:rPr>
          <w:rFonts w:hint="eastAsia" w:ascii="宋体" w:hAnsi="宋体" w:cs="仿宋"/>
          <w:b/>
          <w:sz w:val="36"/>
          <w:szCs w:val="36"/>
        </w:rPr>
      </w:pPr>
      <w:bookmarkStart w:id="7" w:name="_Toc24132"/>
      <w:r>
        <w:rPr>
          <w:rFonts w:hint="eastAsia" w:ascii="宋体" w:hAnsi="宋体" w:cs="仿宋"/>
          <w:b/>
          <w:sz w:val="36"/>
          <w:szCs w:val="36"/>
        </w:rPr>
        <w:t>第一章 采购邀请</w:t>
      </w:r>
      <w:bookmarkEnd w:id="4"/>
      <w:bookmarkEnd w:id="7"/>
      <w:bookmarkStart w:id="8" w:name="_Toc28359002"/>
      <w:bookmarkStart w:id="9" w:name="_Toc28359079"/>
      <w:bookmarkStart w:id="10" w:name="_Toc35393621"/>
      <w:bookmarkStart w:id="11" w:name="_Toc35393790"/>
      <w:bookmarkStart w:id="12" w:name="_Hlk24379207"/>
    </w:p>
    <w:p w14:paraId="4CDDC71F">
      <w:pPr>
        <w:pStyle w:val="4"/>
        <w:spacing w:before="0" w:line="360" w:lineRule="auto"/>
        <w:jc w:val="left"/>
        <w:rPr>
          <w:rFonts w:hint="eastAsia" w:ascii="宋体" w:hAnsi="宋体" w:eastAsia="宋体" w:cs="仿宋"/>
          <w:sz w:val="24"/>
          <w:szCs w:val="24"/>
        </w:rPr>
      </w:pPr>
      <w:r>
        <w:rPr>
          <w:rFonts w:hint="eastAsia" w:ascii="宋体" w:hAnsi="宋体" w:eastAsia="宋体" w:cs="仿宋"/>
          <w:sz w:val="24"/>
          <w:szCs w:val="24"/>
        </w:rPr>
        <w:t>一、项目基本情况</w:t>
      </w:r>
      <w:bookmarkEnd w:id="8"/>
      <w:bookmarkEnd w:id="9"/>
      <w:bookmarkEnd w:id="10"/>
      <w:bookmarkEnd w:id="11"/>
    </w:p>
    <w:bookmarkEnd w:id="12"/>
    <w:p w14:paraId="732CC467">
      <w:pPr>
        <w:spacing w:line="360" w:lineRule="auto"/>
        <w:ind w:firstLine="480" w:firstLineChars="200"/>
        <w:rPr>
          <w:rFonts w:hint="eastAsia" w:ascii="宋体" w:hAnsi="宋体" w:cs="宋体"/>
          <w:sz w:val="24"/>
        </w:rPr>
      </w:pPr>
      <w:r>
        <w:rPr>
          <w:rFonts w:hint="eastAsia" w:ascii="宋体" w:hAnsi="宋体" w:cs="宋体"/>
          <w:sz w:val="24"/>
        </w:rPr>
        <w:t>1.项目编号：</w:t>
      </w:r>
      <w:r>
        <w:rPr>
          <w:rFonts w:hint="eastAsia" w:ascii="宋体" w:hAnsi="宋体" w:cs="宋体"/>
          <w:sz w:val="24"/>
          <w:highlight w:val="none"/>
          <w:u w:val="single"/>
        </w:rPr>
        <w:t xml:space="preserve"> 11010526210200028655-XM001</w:t>
      </w:r>
    </w:p>
    <w:p w14:paraId="1777A2F3">
      <w:pPr>
        <w:spacing w:line="360" w:lineRule="auto"/>
        <w:ind w:firstLine="480" w:firstLineChars="200"/>
        <w:rPr>
          <w:rFonts w:hint="eastAsia" w:ascii="宋体" w:hAnsi="宋体" w:cs="宋体"/>
          <w:sz w:val="24"/>
        </w:rPr>
      </w:pPr>
      <w:r>
        <w:rPr>
          <w:rFonts w:hint="eastAsia" w:ascii="宋体" w:hAnsi="宋体" w:cs="宋体"/>
          <w:sz w:val="24"/>
        </w:rPr>
        <w:t>2.项目名称：</w:t>
      </w:r>
      <w:r>
        <w:rPr>
          <w:rFonts w:hint="eastAsia" w:ascii="宋体" w:hAnsi="宋体" w:cs="宋体"/>
          <w:sz w:val="24"/>
          <w:u w:val="single"/>
        </w:rPr>
        <w:t>2026年香河园街道重点楼防水改造项目工程</w:t>
      </w:r>
    </w:p>
    <w:p w14:paraId="63B2FDBF">
      <w:pPr>
        <w:spacing w:line="360" w:lineRule="auto"/>
        <w:ind w:firstLine="480" w:firstLineChars="200"/>
        <w:rPr>
          <w:rFonts w:hint="eastAsia" w:ascii="宋体" w:hAnsi="宋体" w:cs="宋体"/>
          <w:sz w:val="24"/>
        </w:rPr>
      </w:pPr>
      <w:r>
        <w:rPr>
          <w:rFonts w:hint="eastAsia" w:ascii="宋体" w:hAnsi="宋体" w:cs="宋体"/>
          <w:sz w:val="24"/>
        </w:rPr>
        <w:t>3.采购方式：</w:t>
      </w:r>
      <w:r>
        <w:rPr>
          <w:rFonts w:hint="eastAsia" w:ascii="宋体" w:hAnsi="宋体" w:cs="宋体"/>
          <w:sz w:val="24"/>
          <w:u w:val="single"/>
        </w:rPr>
        <w:t>竞争性磋商</w:t>
      </w:r>
    </w:p>
    <w:p w14:paraId="64BD6E70">
      <w:pPr>
        <w:spacing w:line="360" w:lineRule="auto"/>
        <w:ind w:firstLine="480" w:firstLineChars="200"/>
        <w:rPr>
          <w:rFonts w:hint="eastAsia" w:ascii="宋体" w:hAnsi="宋体" w:cs="宋体"/>
          <w:sz w:val="24"/>
        </w:rPr>
      </w:pPr>
      <w:r>
        <w:rPr>
          <w:rFonts w:hint="eastAsia" w:ascii="宋体" w:hAnsi="宋体" w:cs="宋体"/>
          <w:sz w:val="24"/>
        </w:rPr>
        <w:t>4.项目预算金额：</w:t>
      </w:r>
      <w:r>
        <w:rPr>
          <w:rFonts w:hint="eastAsia" w:ascii="宋体" w:hAnsi="宋体" w:cs="宋体"/>
          <w:sz w:val="24"/>
          <w:u w:val="single"/>
        </w:rPr>
        <w:t>115.743879</w:t>
      </w:r>
      <w:r>
        <w:rPr>
          <w:rFonts w:hint="eastAsia" w:asciiTheme="minorEastAsia" w:hAnsiTheme="minorEastAsia" w:eastAsiaTheme="minorEastAsia"/>
          <w:sz w:val="24"/>
        </w:rPr>
        <w:t>万元</w:t>
      </w:r>
      <w:r>
        <w:rPr>
          <w:rFonts w:hint="eastAsia" w:ascii="宋体" w:hAnsi="宋体" w:cs="宋体"/>
          <w:sz w:val="24"/>
        </w:rPr>
        <w:t>、项目最高限价：</w:t>
      </w:r>
      <w:r>
        <w:rPr>
          <w:rFonts w:hint="eastAsia" w:ascii="宋体" w:hAnsi="宋体" w:cs="宋体"/>
          <w:sz w:val="24"/>
          <w:u w:val="single"/>
        </w:rPr>
        <w:t>115.743879</w:t>
      </w:r>
      <w:r>
        <w:rPr>
          <w:rFonts w:hint="eastAsia" w:asciiTheme="minorEastAsia" w:hAnsiTheme="minorEastAsia" w:eastAsiaTheme="minorEastAsia"/>
          <w:sz w:val="24"/>
        </w:rPr>
        <w:t>万元</w:t>
      </w:r>
    </w:p>
    <w:p w14:paraId="5242A7A9">
      <w:pPr>
        <w:spacing w:line="360" w:lineRule="auto"/>
        <w:ind w:firstLine="480" w:firstLineChars="200"/>
        <w:rPr>
          <w:rFonts w:hint="eastAsia" w:ascii="宋体" w:hAnsi="宋体" w:cs="宋体"/>
          <w:sz w:val="24"/>
        </w:rPr>
      </w:pPr>
      <w:r>
        <w:rPr>
          <w:rFonts w:hint="eastAsia" w:ascii="宋体" w:hAnsi="宋体" w:cs="宋体"/>
          <w:sz w:val="24"/>
        </w:rPr>
        <w:t>5.采购需求：</w:t>
      </w:r>
    </w:p>
    <w:tbl>
      <w:tblPr>
        <w:tblStyle w:val="88"/>
        <w:tblW w:w="525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1"/>
        <w:gridCol w:w="2324"/>
        <w:gridCol w:w="2036"/>
        <w:gridCol w:w="722"/>
        <w:gridCol w:w="4066"/>
      </w:tblGrid>
      <w:tr w14:paraId="40C43C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37" w:hRule="atLeast"/>
          <w:jc w:val="center"/>
        </w:trPr>
        <w:tc>
          <w:tcPr>
            <w:tcW w:w="365" w:type="pct"/>
            <w:vAlign w:val="center"/>
          </w:tcPr>
          <w:p w14:paraId="6226EA97">
            <w:pPr>
              <w:jc w:val="center"/>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序号</w:t>
            </w:r>
          </w:p>
        </w:tc>
        <w:tc>
          <w:tcPr>
            <w:tcW w:w="1177" w:type="pct"/>
            <w:vAlign w:val="center"/>
          </w:tcPr>
          <w:p w14:paraId="0A0287CA">
            <w:pPr>
              <w:jc w:val="center"/>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标的名称</w:t>
            </w:r>
          </w:p>
        </w:tc>
        <w:tc>
          <w:tcPr>
            <w:tcW w:w="1031" w:type="pct"/>
            <w:vAlign w:val="center"/>
          </w:tcPr>
          <w:p w14:paraId="1E1FF733">
            <w:pPr>
              <w:jc w:val="center"/>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采购包预算金额（万元）</w:t>
            </w:r>
          </w:p>
        </w:tc>
        <w:tc>
          <w:tcPr>
            <w:tcW w:w="366" w:type="pct"/>
            <w:vAlign w:val="center"/>
          </w:tcPr>
          <w:p w14:paraId="4B5B1673">
            <w:pPr>
              <w:jc w:val="center"/>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数量</w:t>
            </w:r>
          </w:p>
        </w:tc>
        <w:tc>
          <w:tcPr>
            <w:tcW w:w="2059" w:type="pct"/>
            <w:vAlign w:val="center"/>
          </w:tcPr>
          <w:p w14:paraId="00791917">
            <w:pPr>
              <w:jc w:val="center"/>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简要技术需求或服务要求</w:t>
            </w:r>
          </w:p>
        </w:tc>
      </w:tr>
      <w:tr w14:paraId="29CBFC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0" w:hRule="atLeast"/>
          <w:jc w:val="center"/>
        </w:trPr>
        <w:tc>
          <w:tcPr>
            <w:tcW w:w="365" w:type="pct"/>
            <w:vAlign w:val="center"/>
          </w:tcPr>
          <w:p w14:paraId="4356CBF3">
            <w:pPr>
              <w:jc w:val="center"/>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01</w:t>
            </w:r>
          </w:p>
        </w:tc>
        <w:tc>
          <w:tcPr>
            <w:tcW w:w="1177" w:type="pct"/>
            <w:vAlign w:val="center"/>
          </w:tcPr>
          <w:p w14:paraId="73DAF7F3">
            <w:pPr>
              <w:jc w:val="center"/>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sz w:val="24"/>
              </w:rPr>
              <w:t>2026年香河园街道重点楼防水改造项目工程</w:t>
            </w:r>
          </w:p>
        </w:tc>
        <w:tc>
          <w:tcPr>
            <w:tcW w:w="1031" w:type="pct"/>
            <w:vAlign w:val="center"/>
          </w:tcPr>
          <w:p w14:paraId="32671AD7">
            <w:pPr>
              <w:jc w:val="center"/>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 xml:space="preserve">115.743879  </w:t>
            </w:r>
          </w:p>
        </w:tc>
        <w:tc>
          <w:tcPr>
            <w:tcW w:w="366" w:type="pct"/>
            <w:vAlign w:val="center"/>
          </w:tcPr>
          <w:p w14:paraId="387D83CC">
            <w:pPr>
              <w:jc w:val="center"/>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1</w:t>
            </w:r>
          </w:p>
        </w:tc>
        <w:tc>
          <w:tcPr>
            <w:tcW w:w="2059" w:type="pct"/>
            <w:vAlign w:val="center"/>
          </w:tcPr>
          <w:p w14:paraId="4235ECD8">
            <w:pPr>
              <w:jc w:val="left"/>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sz w:val="24"/>
              </w:rPr>
              <w:t>2026年香河园街道重点楼防水改造项目工程，工程内容</w:t>
            </w:r>
            <w:r>
              <w:rPr>
                <w:rFonts w:hint="eastAsia" w:ascii="宋体" w:hAnsi="宋体"/>
                <w:sz w:val="24"/>
              </w:rPr>
              <w:t>包括屋面防水新做，屋面侧墙防水新做，金属门安装，加高上人孔等，</w:t>
            </w:r>
            <w:r>
              <w:rPr>
                <w:rFonts w:hint="eastAsia" w:asciiTheme="minorEastAsia" w:hAnsiTheme="minorEastAsia" w:eastAsiaTheme="minorEastAsia" w:cstheme="minorEastAsia"/>
                <w:sz w:val="24"/>
              </w:rPr>
              <w:t>具体内容详见本采购文件-第四章“采购需求”、工程量清单及图纸。</w:t>
            </w:r>
          </w:p>
        </w:tc>
      </w:tr>
    </w:tbl>
    <w:p w14:paraId="11933EED">
      <w:pPr>
        <w:spacing w:line="360" w:lineRule="auto"/>
        <w:rPr>
          <w:rFonts w:hint="eastAsia" w:ascii="宋体" w:hAnsi="宋体" w:cs="宋体"/>
          <w:sz w:val="24"/>
        </w:rPr>
      </w:pPr>
    </w:p>
    <w:p w14:paraId="58E1B687">
      <w:pPr>
        <w:spacing w:line="360" w:lineRule="auto"/>
        <w:ind w:firstLine="480" w:firstLineChars="200"/>
        <w:rPr>
          <w:rFonts w:hint="eastAsia" w:ascii="宋体" w:hAnsi="宋体"/>
          <w:sz w:val="24"/>
        </w:rPr>
      </w:pPr>
      <w:r>
        <w:rPr>
          <w:rFonts w:hint="eastAsia" w:ascii="宋体" w:hAnsi="宋体" w:cs="仿宋"/>
          <w:kern w:val="0"/>
          <w:sz w:val="24"/>
          <w:lang w:bidi="zh-CN"/>
        </w:rPr>
        <w:t>6.</w:t>
      </w:r>
      <w:r>
        <w:rPr>
          <w:rFonts w:hint="eastAsia" w:ascii="宋体" w:hAnsi="宋体" w:cs="仿宋"/>
          <w:kern w:val="0"/>
          <w:sz w:val="24"/>
          <w:lang w:val="en-US" w:bidi="zh-CN"/>
        </w:rPr>
        <w:t>合同履行期限</w:t>
      </w:r>
      <w:r>
        <w:rPr>
          <w:rFonts w:hint="eastAsia" w:ascii="宋体" w:hAnsi="宋体" w:cs="仿宋"/>
          <w:kern w:val="0"/>
          <w:sz w:val="24"/>
          <w:lang w:bidi="zh-CN"/>
        </w:rPr>
        <w:t>：30日历天</w:t>
      </w:r>
      <w:r>
        <w:rPr>
          <w:rFonts w:hint="eastAsia" w:ascii="宋体" w:hAnsi="宋体"/>
          <w:sz w:val="24"/>
        </w:rPr>
        <w:t>。</w:t>
      </w:r>
    </w:p>
    <w:p w14:paraId="66244E3B">
      <w:pPr>
        <w:spacing w:line="360" w:lineRule="auto"/>
        <w:ind w:firstLine="480" w:firstLineChars="200"/>
        <w:rPr>
          <w:rFonts w:hint="eastAsia" w:ascii="宋体" w:hAnsi="宋体" w:cs="宋体"/>
          <w:sz w:val="24"/>
        </w:rPr>
      </w:pPr>
      <w:r>
        <w:rPr>
          <w:rFonts w:ascii="宋体" w:hAnsi="宋体" w:cs="宋体"/>
          <w:sz w:val="24"/>
        </w:rPr>
        <w:t>7</w:t>
      </w:r>
      <w:r>
        <w:rPr>
          <w:rFonts w:hint="eastAsia" w:ascii="宋体" w:hAnsi="宋体" w:cs="宋体"/>
          <w:sz w:val="24"/>
        </w:rPr>
        <w:t xml:space="preserve">.本项目是否接受联合体：□是  </w:t>
      </w:r>
      <w:r>
        <w:rPr>
          <w:rFonts w:ascii="宋体" w:hAnsi="宋体"/>
          <w:sz w:val="24"/>
        </w:rPr>
        <w:t>■</w:t>
      </w:r>
      <w:r>
        <w:rPr>
          <w:rFonts w:hint="eastAsia" w:ascii="宋体" w:hAnsi="宋体" w:cs="宋体"/>
          <w:sz w:val="24"/>
        </w:rPr>
        <w:t>否。</w:t>
      </w:r>
    </w:p>
    <w:p w14:paraId="19DA0A92">
      <w:pPr>
        <w:pStyle w:val="37"/>
        <w:spacing w:line="360" w:lineRule="auto"/>
        <w:ind w:left="840" w:hanging="420"/>
        <w:rPr>
          <w:rFonts w:hint="eastAsia" w:ascii="宋体" w:hAnsi="宋体"/>
        </w:rPr>
      </w:pPr>
    </w:p>
    <w:p w14:paraId="5CD45469">
      <w:pPr>
        <w:pStyle w:val="4"/>
        <w:spacing w:before="0" w:line="360" w:lineRule="auto"/>
        <w:jc w:val="left"/>
        <w:rPr>
          <w:rFonts w:hint="eastAsia" w:ascii="宋体" w:hAnsi="宋体" w:eastAsia="宋体" w:cs="仿宋"/>
          <w:sz w:val="24"/>
          <w:szCs w:val="24"/>
        </w:rPr>
      </w:pPr>
      <w:bookmarkStart w:id="13" w:name="_Toc28359003"/>
      <w:bookmarkStart w:id="14" w:name="_Toc35393622"/>
      <w:bookmarkStart w:id="15" w:name="_Toc28359080"/>
      <w:bookmarkStart w:id="16" w:name="_Toc35393791"/>
      <w:r>
        <w:rPr>
          <w:rFonts w:hint="eastAsia" w:ascii="宋体" w:hAnsi="宋体" w:eastAsia="宋体" w:cs="仿宋"/>
          <w:sz w:val="24"/>
          <w:szCs w:val="24"/>
        </w:rPr>
        <w:t>二、申请人的资格要求（须同时满足）</w:t>
      </w:r>
      <w:bookmarkEnd w:id="13"/>
      <w:bookmarkEnd w:id="14"/>
      <w:bookmarkEnd w:id="15"/>
      <w:bookmarkEnd w:id="16"/>
    </w:p>
    <w:p w14:paraId="58B72406">
      <w:pPr>
        <w:spacing w:line="360" w:lineRule="auto"/>
        <w:ind w:firstLine="480" w:firstLineChars="200"/>
        <w:rPr>
          <w:rFonts w:hint="eastAsia" w:ascii="宋体" w:hAnsi="宋体" w:cs="仿宋"/>
          <w:sz w:val="24"/>
        </w:rPr>
      </w:pPr>
      <w:r>
        <w:rPr>
          <w:rFonts w:hint="eastAsia" w:ascii="宋体" w:hAnsi="宋体" w:cs="仿宋"/>
          <w:sz w:val="24"/>
        </w:rPr>
        <w:t>1.满足《中华人民共和国政府采购法》第二十二条规定；</w:t>
      </w:r>
    </w:p>
    <w:p w14:paraId="04EDD8E5">
      <w:pPr>
        <w:spacing w:line="360" w:lineRule="auto"/>
        <w:ind w:firstLine="480" w:firstLineChars="200"/>
        <w:rPr>
          <w:rFonts w:hint="eastAsia" w:ascii="宋体" w:hAnsi="宋体" w:cs="仿宋"/>
          <w:sz w:val="24"/>
        </w:rPr>
      </w:pPr>
      <w:bookmarkStart w:id="17" w:name="_Toc28359004"/>
      <w:bookmarkStart w:id="18" w:name="_Toc28359081"/>
      <w:r>
        <w:rPr>
          <w:rFonts w:hint="eastAsia" w:ascii="宋体" w:hAnsi="宋体" w:cs="仿宋"/>
          <w:sz w:val="24"/>
        </w:rPr>
        <w:t>2.落实政府采购政策需满足的资格要求：</w:t>
      </w:r>
    </w:p>
    <w:p w14:paraId="33A66D15">
      <w:pPr>
        <w:spacing w:line="360" w:lineRule="auto"/>
        <w:ind w:firstLine="480" w:firstLineChars="200"/>
        <w:rPr>
          <w:rFonts w:hint="eastAsia" w:ascii="宋体" w:hAnsi="宋体" w:cs="仿宋"/>
          <w:sz w:val="24"/>
        </w:rPr>
      </w:pPr>
      <w:bookmarkStart w:id="19" w:name="OLE_LINK30"/>
      <w:r>
        <w:rPr>
          <w:rFonts w:hint="eastAsia" w:ascii="宋体" w:hAnsi="宋体" w:cs="仿宋"/>
          <w:sz w:val="24"/>
        </w:rPr>
        <w:t>2.1 中小企业政策</w:t>
      </w:r>
    </w:p>
    <w:p w14:paraId="12B398B2">
      <w:pPr>
        <w:spacing w:line="360" w:lineRule="auto"/>
        <w:ind w:firstLine="480" w:firstLineChars="200"/>
        <w:rPr>
          <w:rFonts w:hint="eastAsia" w:ascii="宋体" w:hAnsi="宋体" w:cs="仿宋"/>
          <w:sz w:val="24"/>
        </w:rPr>
      </w:pPr>
      <w:r>
        <w:rPr>
          <w:rFonts w:hint="eastAsia" w:ascii="宋体" w:hAnsi="宋体" w:cs="宋体"/>
          <w:sz w:val="24"/>
        </w:rPr>
        <w:t>□</w:t>
      </w:r>
      <w:r>
        <w:rPr>
          <w:rFonts w:hint="eastAsia" w:ascii="宋体" w:hAnsi="宋体" w:cs="仿宋"/>
          <w:sz w:val="24"/>
        </w:rPr>
        <w:t>本项目不专门面向中小企业预留采购份额。</w:t>
      </w:r>
    </w:p>
    <w:p w14:paraId="0EF5A4E2">
      <w:pPr>
        <w:tabs>
          <w:tab w:val="left" w:pos="900"/>
          <w:tab w:val="left" w:pos="1134"/>
          <w:tab w:val="left" w:pos="1589"/>
          <w:tab w:val="left" w:pos="5521"/>
        </w:tabs>
        <w:snapToGrid w:val="0"/>
        <w:spacing w:line="360" w:lineRule="auto"/>
        <w:ind w:firstLine="480" w:firstLineChars="200"/>
        <w:rPr>
          <w:rFonts w:hint="eastAsia" w:ascii="宋体" w:hAnsi="宋体" w:cs="宋体"/>
          <w:sz w:val="24"/>
          <w:highlight w:val="yellow"/>
        </w:rPr>
      </w:pPr>
      <w:r>
        <w:rPr>
          <w:rFonts w:hint="eastAsia" w:asciiTheme="minorEastAsia" w:hAnsiTheme="minorEastAsia" w:eastAsiaTheme="minorEastAsia"/>
          <w:sz w:val="24"/>
        </w:rPr>
        <w:t>■</w:t>
      </w:r>
      <w:r>
        <w:rPr>
          <w:rFonts w:hint="eastAsia" w:ascii="宋体" w:hAnsi="宋体" w:cs="宋体"/>
          <w:sz w:val="24"/>
        </w:rPr>
        <w:t xml:space="preserve">本项目专门面向  </w:t>
      </w:r>
      <w:r>
        <w:rPr>
          <w:rFonts w:hint="eastAsia" w:asciiTheme="minorEastAsia" w:hAnsiTheme="minorEastAsia" w:eastAsiaTheme="minorEastAsia"/>
          <w:sz w:val="24"/>
        </w:rPr>
        <w:t>■</w:t>
      </w:r>
      <w:r>
        <w:rPr>
          <w:rFonts w:hint="eastAsia" w:ascii="宋体" w:hAnsi="宋体" w:cs="宋体"/>
          <w:sz w:val="24"/>
        </w:rPr>
        <w:t>中小 □小微企业 采购。</w:t>
      </w:r>
    </w:p>
    <w:p w14:paraId="00C318C5">
      <w:pPr>
        <w:spacing w:line="360" w:lineRule="auto"/>
        <w:ind w:firstLine="480" w:firstLineChars="200"/>
        <w:rPr>
          <w:rFonts w:hint="eastAsia" w:ascii="宋体" w:hAnsi="宋体" w:cs="仿宋"/>
          <w:sz w:val="24"/>
        </w:rPr>
      </w:pPr>
      <w:r>
        <w:rPr>
          <w:rFonts w:hint="eastAsia" w:ascii="宋体" w:hAnsi="宋体" w:cs="宋体"/>
          <w:sz w:val="24"/>
        </w:rPr>
        <w:t>□</w:t>
      </w:r>
      <w:r>
        <w:rPr>
          <w:rFonts w:hint="eastAsia" w:ascii="宋体" w:hAnsi="宋体" w:cs="仿宋"/>
          <w:sz w:val="24"/>
        </w:rPr>
        <w:t>本项目预留部分采购项目预算专门面向中小企业采购。对于预留份额，提供的货物由符合政策要求的中小企业制造、服务由符合政策要求的中小企业承接。预留份额通过以下措施进行：</w:t>
      </w:r>
      <w:r>
        <w:rPr>
          <w:rFonts w:hint="eastAsia" w:ascii="宋体" w:hAnsi="宋体" w:cs="仿宋"/>
          <w:sz w:val="24"/>
          <w:u w:val="single"/>
        </w:rPr>
        <w:t xml:space="preserve"> </w:t>
      </w:r>
      <w:r>
        <w:rPr>
          <w:rFonts w:hint="eastAsia" w:ascii="宋体" w:hAnsi="宋体" w:cs="宋体"/>
          <w:sz w:val="24"/>
          <w:u w:val="single"/>
        </w:rPr>
        <w:t xml:space="preserve">/ </w:t>
      </w:r>
      <w:r>
        <w:rPr>
          <w:rFonts w:hint="eastAsia" w:ascii="宋体" w:hAnsi="宋体" w:cs="仿宋"/>
          <w:sz w:val="24"/>
        </w:rPr>
        <w:t>。</w:t>
      </w:r>
    </w:p>
    <w:p w14:paraId="5799E68D">
      <w:pPr>
        <w:spacing w:line="360" w:lineRule="auto"/>
        <w:ind w:firstLine="480" w:firstLineChars="200"/>
        <w:rPr>
          <w:rFonts w:hint="eastAsia" w:ascii="宋体" w:hAnsi="宋体" w:cs="仿宋"/>
          <w:sz w:val="24"/>
        </w:rPr>
      </w:pPr>
      <w:r>
        <w:rPr>
          <w:rFonts w:hint="eastAsia" w:ascii="宋体" w:hAnsi="宋体" w:cs="仿宋"/>
          <w:sz w:val="24"/>
        </w:rPr>
        <w:t>2.2 其他落实政府采购政策的资格要求：</w:t>
      </w:r>
      <w:r>
        <w:rPr>
          <w:rFonts w:hint="eastAsia" w:ascii="宋体" w:hAnsi="宋体" w:cs="仿宋"/>
          <w:sz w:val="24"/>
          <w:u w:val="single"/>
        </w:rPr>
        <w:t xml:space="preserve"> </w:t>
      </w:r>
      <w:r>
        <w:rPr>
          <w:rFonts w:hint="eastAsia" w:ascii="宋体" w:hAnsi="宋体" w:cs="宋体"/>
          <w:sz w:val="24"/>
          <w:u w:val="single"/>
        </w:rPr>
        <w:t xml:space="preserve">/ </w:t>
      </w:r>
      <w:r>
        <w:rPr>
          <w:rFonts w:hint="eastAsia" w:ascii="宋体" w:hAnsi="宋体" w:cs="宋体"/>
          <w:sz w:val="24"/>
        </w:rPr>
        <w:t>。</w:t>
      </w:r>
      <w:bookmarkEnd w:id="19"/>
    </w:p>
    <w:p w14:paraId="462E96C6">
      <w:pPr>
        <w:spacing w:line="360" w:lineRule="auto"/>
        <w:ind w:firstLine="480" w:firstLineChars="200"/>
        <w:rPr>
          <w:rFonts w:hint="eastAsia" w:ascii="宋体" w:hAnsi="宋体" w:cs="仿宋"/>
          <w:i/>
          <w:iCs/>
          <w:sz w:val="24"/>
          <w:u w:val="single"/>
        </w:rPr>
      </w:pPr>
      <w:r>
        <w:rPr>
          <w:rFonts w:hint="eastAsia" w:ascii="宋体" w:hAnsi="宋体" w:cs="仿宋"/>
          <w:sz w:val="24"/>
        </w:rPr>
        <w:t>3.本项目的特定资格要求：</w:t>
      </w:r>
      <w:bookmarkStart w:id="2354" w:name="_GoBack"/>
      <w:bookmarkEnd w:id="2354"/>
    </w:p>
    <w:p w14:paraId="045B1049">
      <w:pPr>
        <w:tabs>
          <w:tab w:val="left" w:pos="900"/>
          <w:tab w:val="left" w:pos="1134"/>
          <w:tab w:val="left" w:pos="1589"/>
          <w:tab w:val="left" w:pos="5521"/>
        </w:tabs>
        <w:snapToGrid w:val="0"/>
        <w:spacing w:line="360" w:lineRule="auto"/>
        <w:ind w:firstLine="480" w:firstLineChars="200"/>
        <w:rPr>
          <w:rFonts w:hint="eastAsia" w:ascii="宋体" w:hAnsi="宋体" w:cs="仿宋"/>
          <w:sz w:val="24"/>
        </w:rPr>
      </w:pPr>
      <w:bookmarkStart w:id="20" w:name="OLE_LINK31"/>
      <w:r>
        <w:rPr>
          <w:rFonts w:hint="eastAsia" w:ascii="宋体" w:hAnsi="宋体" w:cs="仿宋"/>
          <w:sz w:val="24"/>
        </w:rPr>
        <w:t>3.</w:t>
      </w:r>
      <w:r>
        <w:rPr>
          <w:rFonts w:ascii="宋体" w:hAnsi="宋体" w:cs="仿宋"/>
          <w:sz w:val="24"/>
        </w:rPr>
        <w:t>1</w:t>
      </w:r>
      <w:r>
        <w:rPr>
          <w:rFonts w:hint="eastAsia" w:ascii="宋体" w:hAnsi="宋体" w:cs="仿宋"/>
          <w:sz w:val="24"/>
        </w:rPr>
        <w:t xml:space="preserve"> 本项目是否属于政府购买服务：否；</w:t>
      </w:r>
    </w:p>
    <w:p w14:paraId="348C78A4">
      <w:pPr>
        <w:tabs>
          <w:tab w:val="left" w:pos="900"/>
          <w:tab w:val="left" w:pos="1134"/>
          <w:tab w:val="left" w:pos="1589"/>
          <w:tab w:val="left" w:pos="5521"/>
        </w:tabs>
        <w:snapToGrid w:val="0"/>
        <w:spacing w:line="360" w:lineRule="auto"/>
        <w:ind w:firstLine="480" w:firstLineChars="200"/>
        <w:rPr>
          <w:rFonts w:hint="eastAsia" w:ascii="宋体" w:hAnsi="宋体" w:cs="仿宋"/>
          <w:sz w:val="24"/>
        </w:rPr>
      </w:pPr>
      <w:r>
        <w:rPr>
          <w:rFonts w:hint="eastAsia" w:ascii="宋体" w:hAnsi="宋体" w:cs="仿宋"/>
          <w:sz w:val="24"/>
        </w:rPr>
        <w:t>3.2 其他特定资格要求：</w:t>
      </w:r>
    </w:p>
    <w:bookmarkEnd w:id="17"/>
    <w:bookmarkEnd w:id="18"/>
    <w:p w14:paraId="0BFD074B">
      <w:pPr>
        <w:spacing w:line="360" w:lineRule="auto"/>
        <w:ind w:firstLine="480" w:firstLineChars="200"/>
        <w:rPr>
          <w:rFonts w:hint="eastAsia" w:asciiTheme="minorEastAsia" w:hAnsiTheme="minorEastAsia" w:eastAsiaTheme="minorEastAsia"/>
          <w:sz w:val="24"/>
        </w:rPr>
      </w:pPr>
      <w:bookmarkStart w:id="21" w:name="_Toc35393792"/>
      <w:bookmarkStart w:id="22" w:name="_Toc35393623"/>
      <w:r>
        <w:rPr>
          <w:rFonts w:hint="eastAsia" w:asciiTheme="minorEastAsia" w:hAnsiTheme="minorEastAsia" w:eastAsiaTheme="minorEastAsia"/>
          <w:sz w:val="24"/>
        </w:rPr>
        <w:t>（1）供应商须具备防水防腐保温工程专业承包二级（含）以上资质；</w:t>
      </w:r>
    </w:p>
    <w:p w14:paraId="050D8850">
      <w:pPr>
        <w:spacing w:line="360" w:lineRule="auto"/>
        <w:ind w:firstLine="480" w:firstLineChars="200"/>
        <w:rPr>
          <w:rFonts w:hint="eastAsia" w:asciiTheme="minorEastAsia" w:hAnsiTheme="minorEastAsia" w:eastAsiaTheme="minorEastAsia"/>
          <w:sz w:val="24"/>
        </w:rPr>
      </w:pPr>
      <w:r>
        <w:rPr>
          <w:rFonts w:hint="eastAsia" w:asciiTheme="minorEastAsia" w:hAnsiTheme="minorEastAsia" w:eastAsiaTheme="minorEastAsia"/>
          <w:sz w:val="24"/>
        </w:rPr>
        <w:t>（2）供应商须提供在有效期内的安全生产许可证；</w:t>
      </w:r>
    </w:p>
    <w:p w14:paraId="73332426">
      <w:pPr>
        <w:spacing w:line="360" w:lineRule="auto"/>
        <w:ind w:firstLine="480" w:firstLineChars="200"/>
        <w:rPr>
          <w:rFonts w:hint="eastAsia" w:asciiTheme="minorEastAsia" w:hAnsiTheme="minorEastAsia" w:eastAsiaTheme="minorEastAsia"/>
          <w:sz w:val="24"/>
        </w:rPr>
      </w:pPr>
      <w:r>
        <w:rPr>
          <w:rFonts w:hint="eastAsia" w:asciiTheme="minorEastAsia" w:hAnsiTheme="minorEastAsia" w:eastAsiaTheme="minorEastAsia"/>
          <w:sz w:val="24"/>
        </w:rPr>
        <w:t>（3）项目经理须具备建筑工程专业二级及以上注册建造师执业资格，并具备有效的安全生产考核合格证书（B证）；</w:t>
      </w:r>
    </w:p>
    <w:p w14:paraId="0BFEC3C3">
      <w:pPr>
        <w:spacing w:line="360" w:lineRule="auto"/>
        <w:ind w:firstLine="480" w:firstLineChars="200"/>
        <w:rPr>
          <w:rFonts w:hint="eastAsia" w:asciiTheme="minorEastAsia" w:hAnsiTheme="minorEastAsia" w:eastAsiaTheme="minorEastAsia"/>
          <w:sz w:val="24"/>
        </w:rPr>
      </w:pPr>
      <w:r>
        <w:rPr>
          <w:rFonts w:ascii="宋体" w:hAnsi="宋体" w:cs="仿宋"/>
          <w:sz w:val="24"/>
        </w:rPr>
        <w:t>（</w:t>
      </w:r>
      <w:r>
        <w:rPr>
          <w:rFonts w:hint="eastAsia" w:ascii="宋体" w:hAnsi="宋体" w:cs="仿宋"/>
          <w:sz w:val="24"/>
        </w:rPr>
        <w:t>4</w:t>
      </w:r>
      <w:r>
        <w:rPr>
          <w:rFonts w:ascii="宋体" w:hAnsi="宋体" w:cs="仿宋"/>
          <w:sz w:val="24"/>
        </w:rPr>
        <w:t>）</w:t>
      </w:r>
      <w:r>
        <w:rPr>
          <w:rFonts w:asciiTheme="minorEastAsia" w:hAnsiTheme="minorEastAsia" w:eastAsiaTheme="minorEastAsia"/>
          <w:sz w:val="24"/>
        </w:rPr>
        <w:t>单位负责人为同一</w:t>
      </w:r>
      <w:r>
        <w:rPr>
          <w:rFonts w:hint="eastAsia" w:asciiTheme="minorEastAsia" w:hAnsiTheme="minorEastAsia" w:eastAsiaTheme="minorEastAsia"/>
          <w:sz w:val="24"/>
        </w:rPr>
        <w:t>人或者存在直接控股、管理关系的不同供应商，不得参加本项目的采购；</w:t>
      </w:r>
    </w:p>
    <w:p w14:paraId="47A8D05A">
      <w:pPr>
        <w:spacing w:line="360" w:lineRule="auto"/>
        <w:ind w:firstLine="480" w:firstLineChars="200"/>
        <w:rPr>
          <w:rFonts w:hint="eastAsia" w:asciiTheme="minorEastAsia" w:hAnsiTheme="minorEastAsia" w:eastAsiaTheme="minorEastAsia"/>
          <w:sz w:val="24"/>
        </w:rPr>
      </w:pPr>
      <w:r>
        <w:rPr>
          <w:rFonts w:hint="eastAsia" w:asciiTheme="minorEastAsia" w:hAnsiTheme="minorEastAsia" w:eastAsiaTheme="minorEastAsia"/>
          <w:sz w:val="24"/>
        </w:rPr>
        <w:t>（5）供应商的信用记录符合财库</w:t>
      </w:r>
      <w:r>
        <w:rPr>
          <w:rFonts w:asciiTheme="minorEastAsia" w:hAnsiTheme="minorEastAsia" w:eastAsiaTheme="minorEastAsia"/>
          <w:sz w:val="24"/>
        </w:rPr>
        <w:t>[2016]125号文规定，如供应商被“信用中国”网站、“中国政府采购网”网站列入失信被执行人、重大税收违法失信主体、政府采购严重违法失信行为记录名单的，不得参加本次项目采购活动；</w:t>
      </w:r>
    </w:p>
    <w:p w14:paraId="324DF599">
      <w:pPr>
        <w:spacing w:line="360" w:lineRule="auto"/>
        <w:ind w:firstLine="480" w:firstLineChars="200"/>
        <w:rPr>
          <w:rFonts w:hint="eastAsia" w:asciiTheme="minorEastAsia" w:hAnsiTheme="minorEastAsia" w:eastAsiaTheme="minorEastAsia"/>
          <w:sz w:val="24"/>
        </w:rPr>
      </w:pPr>
      <w:r>
        <w:rPr>
          <w:rFonts w:hint="eastAsia" w:ascii="宋体" w:hAnsi="宋体" w:cs="宋体"/>
          <w:kern w:val="0"/>
          <w:sz w:val="24"/>
        </w:rPr>
        <w:t>（6）</w:t>
      </w:r>
      <w:bookmarkStart w:id="23" w:name="_Hlk202736537"/>
      <w:r>
        <w:rPr>
          <w:rFonts w:hint="eastAsia" w:asciiTheme="minorEastAsia" w:hAnsiTheme="minorEastAsia" w:eastAsiaTheme="minorEastAsia"/>
          <w:sz w:val="24"/>
        </w:rPr>
        <w:t>供应商应</w:t>
      </w:r>
      <w:r>
        <w:rPr>
          <w:rFonts w:ascii="宋体" w:hAnsi="宋体" w:cs="宋体"/>
          <w:kern w:val="0"/>
          <w:sz w:val="24"/>
        </w:rPr>
        <w:t>在规定期限内通过北京市政府采购电子交易平台获取所参与</w:t>
      </w:r>
      <w:r>
        <w:rPr>
          <w:rFonts w:hint="eastAsia" w:ascii="宋体" w:hAnsi="宋体" w:cs="宋体"/>
          <w:kern w:val="0"/>
          <w:sz w:val="24"/>
        </w:rPr>
        <w:t>项目</w:t>
      </w:r>
      <w:r>
        <w:rPr>
          <w:rFonts w:ascii="宋体" w:hAnsi="宋体" w:cs="宋体"/>
          <w:kern w:val="0"/>
          <w:sz w:val="24"/>
        </w:rPr>
        <w:t>的</w:t>
      </w:r>
      <w:r>
        <w:rPr>
          <w:rFonts w:hint="eastAsia" w:ascii="宋体" w:hAnsi="宋体" w:cs="宋体"/>
          <w:kern w:val="0"/>
          <w:sz w:val="24"/>
        </w:rPr>
        <w:t>竞争性磋商</w:t>
      </w:r>
      <w:r>
        <w:rPr>
          <w:rFonts w:ascii="宋体" w:hAnsi="宋体" w:cs="宋体"/>
          <w:kern w:val="0"/>
          <w:sz w:val="24"/>
        </w:rPr>
        <w:t>文件</w:t>
      </w:r>
      <w:r>
        <w:rPr>
          <w:rFonts w:hint="eastAsia" w:ascii="宋体" w:hAnsi="宋体" w:cs="宋体"/>
          <w:kern w:val="0"/>
          <w:sz w:val="24"/>
        </w:rPr>
        <w:t>；</w:t>
      </w:r>
      <w:bookmarkEnd w:id="23"/>
    </w:p>
    <w:p w14:paraId="73D3AD72">
      <w:pPr>
        <w:spacing w:line="360" w:lineRule="auto"/>
        <w:ind w:firstLine="480" w:firstLineChars="200"/>
        <w:rPr>
          <w:rFonts w:hint="eastAsia" w:asciiTheme="minorEastAsia" w:hAnsiTheme="minorEastAsia" w:eastAsiaTheme="minorEastAsia"/>
          <w:sz w:val="24"/>
        </w:rPr>
      </w:pPr>
      <w:r>
        <w:rPr>
          <w:rFonts w:hint="eastAsia" w:asciiTheme="minorEastAsia" w:hAnsiTheme="minorEastAsia" w:eastAsiaTheme="minorEastAsia"/>
          <w:sz w:val="24"/>
        </w:rPr>
        <w:t>（7）法律、行政法规规定的其他条件。</w:t>
      </w:r>
      <w:bookmarkEnd w:id="20"/>
    </w:p>
    <w:p w14:paraId="1AB1D777">
      <w:pPr>
        <w:pStyle w:val="103"/>
      </w:pPr>
    </w:p>
    <w:bookmarkEnd w:id="21"/>
    <w:bookmarkEnd w:id="22"/>
    <w:p w14:paraId="33A3BD2F">
      <w:pPr>
        <w:pStyle w:val="4"/>
        <w:widowControl/>
        <w:spacing w:before="0" w:line="360" w:lineRule="auto"/>
        <w:jc w:val="left"/>
        <w:rPr>
          <w:rFonts w:hint="eastAsia" w:ascii="宋体" w:hAnsi="宋体" w:eastAsia="宋体" w:cs="仿宋"/>
          <w:sz w:val="24"/>
          <w:szCs w:val="24"/>
        </w:rPr>
      </w:pPr>
      <w:r>
        <w:rPr>
          <w:rFonts w:hint="eastAsia" w:ascii="宋体" w:hAnsi="宋体" w:eastAsia="宋体" w:cs="仿宋"/>
          <w:sz w:val="24"/>
          <w:szCs w:val="24"/>
        </w:rPr>
        <w:t>三、获取采购文件</w:t>
      </w:r>
    </w:p>
    <w:p w14:paraId="2B9D7C75">
      <w:pPr>
        <w:adjustRightInd w:val="0"/>
        <w:snapToGrid w:val="0"/>
        <w:spacing w:line="360" w:lineRule="auto"/>
        <w:ind w:firstLine="480" w:firstLineChars="200"/>
        <w:rPr>
          <w:rFonts w:hint="eastAsia" w:ascii="宋体" w:hAnsi="宋体" w:cs="宋体"/>
          <w:sz w:val="24"/>
          <w:lang w:bidi="ar"/>
        </w:rPr>
      </w:pPr>
      <w:bookmarkStart w:id="24" w:name="_Hlk150003349"/>
      <w:bookmarkStart w:id="25" w:name="_Toc28359082"/>
      <w:bookmarkStart w:id="26" w:name="_Toc35393624"/>
      <w:bookmarkStart w:id="27" w:name="_Toc35393793"/>
      <w:bookmarkStart w:id="28" w:name="_Toc28359005"/>
      <w:r>
        <w:rPr>
          <w:rFonts w:hint="eastAsia" w:ascii="宋体" w:hAnsi="宋体" w:cs="宋体"/>
          <w:sz w:val="24"/>
          <w:lang w:bidi="ar"/>
        </w:rPr>
        <w:t>1.时间：</w:t>
      </w:r>
      <w:r>
        <w:rPr>
          <w:rFonts w:hint="eastAsia" w:ascii="宋体" w:hAnsi="宋体" w:cs="宋体"/>
          <w:sz w:val="24"/>
        </w:rPr>
        <w:t>2026年04</w:t>
      </w:r>
      <w:r>
        <w:rPr>
          <w:rFonts w:hint="eastAsia" w:ascii="宋体" w:hAnsi="宋体" w:cs="宋体"/>
          <w:sz w:val="24"/>
          <w:lang w:bidi="ar"/>
        </w:rPr>
        <w:t>月1</w:t>
      </w:r>
      <w:r>
        <w:rPr>
          <w:rFonts w:hint="eastAsia" w:ascii="宋体" w:hAnsi="宋体" w:cs="宋体"/>
          <w:sz w:val="24"/>
          <w:lang w:val="en-US" w:eastAsia="zh-CN" w:bidi="ar"/>
        </w:rPr>
        <w:t>3</w:t>
      </w:r>
      <w:r>
        <w:rPr>
          <w:rFonts w:hint="eastAsia" w:ascii="宋体" w:hAnsi="宋体" w:cs="宋体"/>
          <w:sz w:val="24"/>
          <w:lang w:bidi="ar"/>
        </w:rPr>
        <w:t>日至2026年04月</w:t>
      </w:r>
      <w:r>
        <w:rPr>
          <w:rFonts w:hint="eastAsia" w:ascii="宋体" w:hAnsi="宋体" w:cs="宋体"/>
          <w:sz w:val="24"/>
          <w:lang w:val="en-US" w:eastAsia="zh-CN" w:bidi="ar"/>
        </w:rPr>
        <w:t>17</w:t>
      </w:r>
      <w:r>
        <w:rPr>
          <w:rFonts w:hint="eastAsia" w:ascii="宋体" w:hAnsi="宋体" w:cs="宋体"/>
          <w:sz w:val="24"/>
          <w:lang w:bidi="ar"/>
        </w:rPr>
        <w:t>日，每天上午0</w:t>
      </w:r>
      <w:r>
        <w:rPr>
          <w:rFonts w:hint="eastAsia" w:ascii="宋体" w:hAnsi="宋体" w:cs="宋体"/>
          <w:sz w:val="24"/>
        </w:rPr>
        <w:t>9：00</w:t>
      </w:r>
      <w:r>
        <w:rPr>
          <w:rFonts w:hint="eastAsia" w:ascii="宋体" w:hAnsi="宋体" w:cs="宋体"/>
          <w:sz w:val="24"/>
          <w:lang w:bidi="ar"/>
        </w:rPr>
        <w:t>至</w:t>
      </w:r>
      <w:r>
        <w:rPr>
          <w:rFonts w:hint="eastAsia" w:ascii="宋体" w:hAnsi="宋体" w:cs="宋体"/>
          <w:sz w:val="24"/>
        </w:rPr>
        <w:t>12：00，</w:t>
      </w:r>
      <w:r>
        <w:rPr>
          <w:rFonts w:hint="eastAsia" w:ascii="宋体" w:hAnsi="宋体" w:cs="宋体"/>
          <w:sz w:val="24"/>
          <w:lang w:bidi="ar"/>
        </w:rPr>
        <w:t>下午</w:t>
      </w:r>
      <w:r>
        <w:rPr>
          <w:rFonts w:hint="eastAsia" w:ascii="宋体" w:hAnsi="宋体" w:cs="宋体"/>
          <w:sz w:val="24"/>
        </w:rPr>
        <w:t>12：00</w:t>
      </w:r>
      <w:r>
        <w:rPr>
          <w:rFonts w:hint="eastAsia" w:ascii="宋体" w:hAnsi="宋体" w:cs="宋体"/>
          <w:sz w:val="24"/>
          <w:lang w:bidi="ar"/>
        </w:rPr>
        <w:t>至</w:t>
      </w:r>
      <w:r>
        <w:rPr>
          <w:rFonts w:hint="eastAsia" w:ascii="宋体" w:hAnsi="宋体" w:cs="宋体"/>
          <w:sz w:val="24"/>
        </w:rPr>
        <w:t>17：00（</w:t>
      </w:r>
      <w:r>
        <w:rPr>
          <w:rFonts w:hint="eastAsia" w:ascii="宋体" w:hAnsi="宋体" w:cs="宋体"/>
          <w:sz w:val="24"/>
          <w:lang w:bidi="ar"/>
        </w:rPr>
        <w:t>北京时间，法定节假日除外）。</w:t>
      </w:r>
    </w:p>
    <w:p w14:paraId="53BC59D0">
      <w:pPr>
        <w:widowControl/>
        <w:adjustRightInd w:val="0"/>
        <w:snapToGrid w:val="0"/>
        <w:spacing w:line="360" w:lineRule="auto"/>
        <w:ind w:firstLine="480" w:firstLineChars="200"/>
        <w:jc w:val="left"/>
        <w:rPr>
          <w:rFonts w:hint="eastAsia" w:ascii="宋体" w:hAnsi="宋体" w:cs="宋体"/>
          <w:sz w:val="24"/>
          <w:lang w:bidi="ar"/>
        </w:rPr>
      </w:pPr>
      <w:r>
        <w:rPr>
          <w:rFonts w:hint="eastAsia" w:ascii="宋体" w:hAnsi="宋体" w:cs="宋体"/>
          <w:sz w:val="24"/>
          <w:lang w:bidi="ar"/>
        </w:rPr>
        <w:t>2.地点：</w:t>
      </w:r>
      <w:bookmarkStart w:id="29" w:name="OLE_LINK32"/>
      <w:r>
        <w:rPr>
          <w:rFonts w:hint="eastAsia" w:ascii="宋体" w:hAnsi="宋体" w:cs="宋体"/>
          <w:sz w:val="24"/>
          <w:lang w:bidi="ar"/>
        </w:rPr>
        <w:t>北京市政府采购电子交易平台</w:t>
      </w:r>
      <w:bookmarkEnd w:id="29"/>
    </w:p>
    <w:p w14:paraId="7BCE5B13">
      <w:pPr>
        <w:widowControl/>
        <w:adjustRightInd w:val="0"/>
        <w:snapToGrid w:val="0"/>
        <w:spacing w:line="360" w:lineRule="auto"/>
        <w:ind w:firstLine="480" w:firstLineChars="200"/>
        <w:jc w:val="left"/>
        <w:rPr>
          <w:rFonts w:hint="eastAsia" w:ascii="宋体" w:hAnsi="宋体" w:cs="宋体"/>
          <w:sz w:val="24"/>
          <w:lang w:bidi="ar"/>
        </w:rPr>
      </w:pPr>
      <w:r>
        <w:rPr>
          <w:rFonts w:hint="eastAsia" w:ascii="宋体" w:hAnsi="宋体" w:cs="宋体"/>
          <w:sz w:val="24"/>
          <w:lang w:bidi="ar"/>
        </w:rPr>
        <w:t>3.方式：</w:t>
      </w:r>
      <w:r>
        <w:rPr>
          <w:rFonts w:ascii="宋体" w:hAnsi="宋体" w:cs="宋体"/>
          <w:sz w:val="24"/>
          <w:lang w:bidi="ar"/>
        </w:rPr>
        <w:t>供应商使用 CA 数字证书或电子营业执照登录北京市政府采购电子交易平台</w:t>
      </w:r>
      <w:r>
        <w:rPr>
          <w:rFonts w:hint="eastAsia" w:ascii="宋体" w:hAnsi="宋体" w:cs="宋体"/>
          <w:sz w:val="24"/>
          <w:lang w:bidi="ar"/>
        </w:rPr>
        <w:t>（http://zbcg-bjzc.zhongcy.com/bjczj-portal-site/index.html#/home）获取电子版竞争性磋商文件。</w:t>
      </w:r>
    </w:p>
    <w:p w14:paraId="3688D1ED">
      <w:pPr>
        <w:widowControl/>
        <w:adjustRightInd w:val="0"/>
        <w:snapToGrid w:val="0"/>
        <w:spacing w:line="360" w:lineRule="auto"/>
        <w:ind w:firstLine="480" w:firstLineChars="200"/>
        <w:jc w:val="left"/>
        <w:rPr>
          <w:rFonts w:hint="eastAsia" w:ascii="宋体" w:hAnsi="宋体" w:cs="宋体"/>
          <w:sz w:val="24"/>
          <w:lang w:bidi="ar"/>
        </w:rPr>
      </w:pPr>
      <w:r>
        <w:rPr>
          <w:rFonts w:ascii="宋体" w:hAnsi="宋体" w:cs="宋体"/>
          <w:sz w:val="24"/>
          <w:lang w:bidi="ar"/>
        </w:rPr>
        <w:t>4.售价：</w:t>
      </w:r>
      <w:r>
        <w:rPr>
          <w:rFonts w:hint="eastAsia" w:ascii="宋体" w:hAnsi="宋体" w:cs="宋体"/>
          <w:sz w:val="24"/>
          <w:lang w:bidi="ar"/>
        </w:rPr>
        <w:t>0元。</w:t>
      </w:r>
      <w:bookmarkEnd w:id="24"/>
    </w:p>
    <w:p w14:paraId="39EA4BD6">
      <w:pPr>
        <w:pStyle w:val="37"/>
        <w:spacing w:line="360" w:lineRule="auto"/>
        <w:ind w:left="900" w:hanging="480"/>
        <w:rPr>
          <w:rFonts w:hint="eastAsia" w:ascii="宋体" w:hAnsi="宋体"/>
          <w:sz w:val="24"/>
        </w:rPr>
      </w:pPr>
    </w:p>
    <w:p w14:paraId="6C6C294E">
      <w:pPr>
        <w:pStyle w:val="4"/>
        <w:widowControl/>
        <w:spacing w:before="0" w:line="360" w:lineRule="auto"/>
        <w:jc w:val="left"/>
        <w:rPr>
          <w:rFonts w:hint="eastAsia" w:ascii="宋体" w:hAnsi="宋体" w:eastAsia="宋体" w:cs="仿宋"/>
          <w:sz w:val="24"/>
          <w:szCs w:val="24"/>
        </w:rPr>
      </w:pPr>
      <w:r>
        <w:rPr>
          <w:rFonts w:hint="eastAsia" w:ascii="宋体" w:hAnsi="宋体" w:eastAsia="宋体" w:cs="仿宋"/>
          <w:sz w:val="24"/>
          <w:szCs w:val="24"/>
        </w:rPr>
        <w:t>四、</w:t>
      </w:r>
      <w:bookmarkEnd w:id="25"/>
      <w:bookmarkEnd w:id="26"/>
      <w:bookmarkEnd w:id="27"/>
      <w:bookmarkEnd w:id="28"/>
      <w:r>
        <w:rPr>
          <w:rFonts w:hint="eastAsia" w:ascii="宋体" w:hAnsi="宋体" w:eastAsia="宋体" w:cs="仿宋"/>
          <w:sz w:val="24"/>
          <w:szCs w:val="24"/>
        </w:rPr>
        <w:t>响应文件提交</w:t>
      </w:r>
    </w:p>
    <w:p w14:paraId="0C798A01">
      <w:pPr>
        <w:spacing w:line="360" w:lineRule="auto"/>
        <w:ind w:firstLine="480" w:firstLineChars="200"/>
        <w:rPr>
          <w:rFonts w:hint="eastAsia" w:ascii="宋体" w:hAnsi="宋体"/>
          <w:sz w:val="24"/>
        </w:rPr>
      </w:pPr>
      <w:bookmarkStart w:id="30" w:name="_Hlk150003386"/>
      <w:r>
        <w:rPr>
          <w:rFonts w:hint="eastAsia" w:ascii="宋体" w:hAnsi="宋体"/>
          <w:sz w:val="24"/>
        </w:rPr>
        <w:t>截止时间：2026年04月2</w:t>
      </w:r>
      <w:r>
        <w:rPr>
          <w:rFonts w:hint="eastAsia" w:ascii="宋体" w:hAnsi="宋体"/>
          <w:sz w:val="24"/>
          <w:lang w:val="en-US" w:eastAsia="zh-CN"/>
        </w:rPr>
        <w:t>3</w:t>
      </w:r>
      <w:r>
        <w:rPr>
          <w:rFonts w:hint="eastAsia" w:ascii="宋体" w:hAnsi="宋体"/>
          <w:sz w:val="24"/>
        </w:rPr>
        <w:t>日上午09点00分（北京时间）。</w:t>
      </w:r>
    </w:p>
    <w:p w14:paraId="2DAFF4CC">
      <w:pPr>
        <w:spacing w:line="360" w:lineRule="auto"/>
        <w:ind w:firstLine="480" w:firstLineChars="200"/>
        <w:rPr>
          <w:rFonts w:hint="eastAsia" w:ascii="宋体" w:hAnsi="宋体"/>
          <w:sz w:val="24"/>
        </w:rPr>
      </w:pPr>
      <w:r>
        <w:rPr>
          <w:rFonts w:hint="eastAsia" w:ascii="宋体" w:hAnsi="宋体"/>
          <w:sz w:val="24"/>
        </w:rPr>
        <w:t>地点：</w:t>
      </w:r>
      <w:bookmarkStart w:id="31" w:name="_Hlk183862220"/>
      <w:r>
        <w:rPr>
          <w:rFonts w:hint="eastAsia" w:ascii="宋体" w:hAnsi="宋体" w:cs="宋体"/>
          <w:sz w:val="24"/>
          <w:lang w:bidi="ar"/>
        </w:rPr>
        <w:t>北京市政府采购电子交易平台</w:t>
      </w:r>
      <w:bookmarkEnd w:id="31"/>
      <w:r>
        <w:rPr>
          <w:rFonts w:hint="eastAsia" w:ascii="宋体" w:hAnsi="宋体"/>
          <w:sz w:val="24"/>
        </w:rPr>
        <w:t>。</w:t>
      </w:r>
    </w:p>
    <w:bookmarkEnd w:id="30"/>
    <w:p w14:paraId="524F04EF">
      <w:pPr>
        <w:pStyle w:val="37"/>
        <w:spacing w:line="360" w:lineRule="auto"/>
        <w:ind w:left="840" w:hanging="420"/>
        <w:rPr>
          <w:rFonts w:hint="eastAsia" w:ascii="宋体" w:hAnsi="宋体"/>
          <w:lang w:bidi="ar"/>
        </w:rPr>
      </w:pPr>
    </w:p>
    <w:p w14:paraId="3C7D21F6">
      <w:pPr>
        <w:pStyle w:val="4"/>
        <w:spacing w:before="0" w:line="360" w:lineRule="auto"/>
        <w:jc w:val="left"/>
        <w:rPr>
          <w:rFonts w:hint="eastAsia" w:ascii="宋体" w:hAnsi="宋体" w:eastAsia="宋体" w:cs="仿宋"/>
          <w:sz w:val="24"/>
          <w:szCs w:val="24"/>
        </w:rPr>
      </w:pPr>
      <w:r>
        <w:rPr>
          <w:rFonts w:hint="eastAsia" w:ascii="宋体" w:hAnsi="宋体" w:eastAsia="宋体" w:cs="仿宋"/>
          <w:sz w:val="24"/>
          <w:szCs w:val="24"/>
        </w:rPr>
        <w:t>五、开启</w:t>
      </w:r>
    </w:p>
    <w:p w14:paraId="278CABBE">
      <w:pPr>
        <w:spacing w:line="360" w:lineRule="auto"/>
        <w:ind w:firstLine="480" w:firstLineChars="200"/>
        <w:rPr>
          <w:rFonts w:hint="eastAsia" w:ascii="宋体" w:hAnsi="宋体"/>
          <w:sz w:val="24"/>
        </w:rPr>
      </w:pPr>
      <w:r>
        <w:rPr>
          <w:rFonts w:hint="eastAsia" w:ascii="宋体" w:hAnsi="宋体"/>
          <w:sz w:val="24"/>
        </w:rPr>
        <w:t>时间：2026年04月2</w:t>
      </w:r>
      <w:r>
        <w:rPr>
          <w:rFonts w:hint="eastAsia" w:ascii="宋体" w:hAnsi="宋体"/>
          <w:sz w:val="24"/>
          <w:lang w:val="en-US" w:eastAsia="zh-CN"/>
        </w:rPr>
        <w:t>3</w:t>
      </w:r>
      <w:r>
        <w:rPr>
          <w:rFonts w:hint="eastAsia" w:ascii="宋体" w:hAnsi="宋体"/>
          <w:sz w:val="24"/>
        </w:rPr>
        <w:t>日上午09点00分（北京时间）。</w:t>
      </w:r>
    </w:p>
    <w:p w14:paraId="5AA5558A">
      <w:pPr>
        <w:spacing w:line="360" w:lineRule="auto"/>
        <w:ind w:firstLine="480" w:firstLineChars="200"/>
        <w:rPr>
          <w:rFonts w:hint="eastAsia" w:ascii="宋体" w:hAnsi="宋体"/>
          <w:color w:val="000000" w:themeColor="text1"/>
          <w:sz w:val="24"/>
          <w14:textFill>
            <w14:solidFill>
              <w14:schemeClr w14:val="tx1"/>
            </w14:solidFill>
          </w14:textFill>
        </w:rPr>
      </w:pPr>
      <w:r>
        <w:rPr>
          <w:rFonts w:hint="eastAsia" w:ascii="宋体" w:hAnsi="宋体" w:cs="宋体"/>
          <w:color w:val="000000" w:themeColor="text1"/>
          <w:sz w:val="24"/>
          <w:lang w:bidi="ar"/>
          <w14:textFill>
            <w14:solidFill>
              <w14:schemeClr w14:val="tx1"/>
            </w14:solidFill>
          </w14:textFill>
        </w:rPr>
        <w:t>地点：北京市政府采购电子交易平台</w:t>
      </w:r>
      <w:r>
        <w:rPr>
          <w:rFonts w:hint="eastAsia" w:ascii="宋体" w:hAnsi="宋体"/>
          <w:color w:val="000000" w:themeColor="text1"/>
          <w:sz w:val="24"/>
          <w14:textFill>
            <w14:solidFill>
              <w14:schemeClr w14:val="tx1"/>
            </w14:solidFill>
          </w14:textFill>
        </w:rPr>
        <w:t>。</w:t>
      </w:r>
      <w:r>
        <w:rPr>
          <w:rFonts w:ascii="宋体" w:hAnsi="宋体"/>
          <w:color w:val="000000" w:themeColor="text1"/>
          <w:sz w:val="24"/>
          <w14:textFill>
            <w14:solidFill>
              <w14:schemeClr w14:val="tx1"/>
            </w14:solidFill>
          </w14:textFill>
        </w:rPr>
        <w:t>供应商于磋商文件规定的开启时间、在开启地点使用CA数字证书或电子营业执照登录北京市政府采购电子交易平台解密并开启响应文件。</w:t>
      </w:r>
    </w:p>
    <w:p w14:paraId="13CF6DD8">
      <w:pPr>
        <w:pStyle w:val="37"/>
        <w:spacing w:line="360" w:lineRule="auto"/>
        <w:ind w:left="840" w:hanging="420"/>
        <w:rPr>
          <w:rFonts w:hint="eastAsia" w:ascii="宋体" w:hAnsi="宋体"/>
          <w:lang w:bidi="ar"/>
        </w:rPr>
      </w:pPr>
    </w:p>
    <w:p w14:paraId="17B5C1BA">
      <w:pPr>
        <w:pStyle w:val="4"/>
        <w:spacing w:before="0" w:line="360" w:lineRule="auto"/>
        <w:jc w:val="left"/>
        <w:rPr>
          <w:rFonts w:hint="eastAsia" w:ascii="宋体" w:hAnsi="宋体" w:eastAsia="宋体" w:cs="仿宋"/>
          <w:sz w:val="24"/>
          <w:szCs w:val="24"/>
        </w:rPr>
      </w:pPr>
      <w:bookmarkStart w:id="32" w:name="_Toc28359084"/>
      <w:bookmarkStart w:id="33" w:name="_Toc28359007"/>
      <w:bookmarkStart w:id="34" w:name="_Toc35393794"/>
      <w:bookmarkStart w:id="35" w:name="_Toc35393625"/>
      <w:r>
        <w:rPr>
          <w:rFonts w:hint="eastAsia" w:ascii="宋体" w:hAnsi="宋体" w:eastAsia="宋体" w:cs="仿宋"/>
          <w:sz w:val="24"/>
          <w:szCs w:val="24"/>
        </w:rPr>
        <w:t>六、公告期限</w:t>
      </w:r>
      <w:bookmarkEnd w:id="32"/>
      <w:bookmarkEnd w:id="33"/>
      <w:bookmarkEnd w:id="34"/>
      <w:bookmarkEnd w:id="35"/>
    </w:p>
    <w:p w14:paraId="32D5B046">
      <w:pPr>
        <w:spacing w:line="360" w:lineRule="auto"/>
        <w:ind w:firstLine="480" w:firstLineChars="200"/>
        <w:rPr>
          <w:rFonts w:hint="eastAsia" w:ascii="宋体" w:hAnsi="宋体" w:cs="仿宋"/>
          <w:kern w:val="0"/>
          <w:sz w:val="24"/>
        </w:rPr>
      </w:pPr>
      <w:r>
        <w:rPr>
          <w:rFonts w:hint="eastAsia" w:ascii="宋体" w:hAnsi="宋体" w:cs="仿宋"/>
          <w:kern w:val="0"/>
          <w:sz w:val="24"/>
        </w:rPr>
        <w:t>自本公告发布之日起3个工作日。</w:t>
      </w:r>
    </w:p>
    <w:p w14:paraId="4AD82DA5">
      <w:pPr>
        <w:pStyle w:val="37"/>
        <w:spacing w:line="360" w:lineRule="auto"/>
        <w:ind w:left="840" w:hanging="420"/>
        <w:rPr>
          <w:rFonts w:hint="eastAsia" w:ascii="宋体" w:hAnsi="宋体"/>
        </w:rPr>
      </w:pPr>
    </w:p>
    <w:p w14:paraId="625BDFF7">
      <w:pPr>
        <w:pStyle w:val="4"/>
        <w:spacing w:before="0" w:line="360" w:lineRule="auto"/>
        <w:jc w:val="left"/>
        <w:rPr>
          <w:rFonts w:hint="eastAsia" w:ascii="宋体" w:hAnsi="宋体" w:eastAsia="宋体" w:cs="仿宋"/>
          <w:sz w:val="24"/>
          <w:szCs w:val="24"/>
        </w:rPr>
      </w:pPr>
      <w:bookmarkStart w:id="36" w:name="_Toc35393626"/>
      <w:bookmarkStart w:id="37" w:name="_Toc35393795"/>
      <w:r>
        <w:rPr>
          <w:rFonts w:hint="eastAsia" w:ascii="宋体" w:hAnsi="宋体" w:eastAsia="宋体" w:cs="仿宋"/>
          <w:sz w:val="24"/>
          <w:szCs w:val="24"/>
        </w:rPr>
        <w:t>七、其他补充事宜</w:t>
      </w:r>
      <w:bookmarkEnd w:id="36"/>
      <w:bookmarkEnd w:id="37"/>
    </w:p>
    <w:p w14:paraId="79ABFC71">
      <w:pPr>
        <w:spacing w:line="360" w:lineRule="auto"/>
        <w:ind w:firstLine="480" w:firstLineChars="200"/>
        <w:rPr>
          <w:rFonts w:hint="eastAsia" w:ascii="宋体" w:hAnsi="宋体" w:cs="仿宋"/>
          <w:sz w:val="24"/>
        </w:rPr>
      </w:pPr>
      <w:bookmarkStart w:id="38" w:name="OLE_LINK33"/>
      <w:r>
        <w:rPr>
          <w:rFonts w:hint="eastAsia" w:ascii="宋体" w:hAnsi="宋体" w:cs="仿宋"/>
          <w:sz w:val="24"/>
        </w:rPr>
        <w:t>1.本项目需要落实的政府采购政策：</w:t>
      </w:r>
    </w:p>
    <w:p w14:paraId="5600629A">
      <w:pPr>
        <w:spacing w:line="360" w:lineRule="auto"/>
        <w:ind w:firstLine="480" w:firstLineChars="200"/>
        <w:rPr>
          <w:rFonts w:hint="eastAsia" w:ascii="宋体" w:hAnsi="宋体" w:cs="宋体"/>
          <w:kern w:val="0"/>
          <w:sz w:val="24"/>
        </w:rPr>
      </w:pPr>
      <w:r>
        <w:rPr>
          <w:rFonts w:hint="eastAsia" w:ascii="宋体" w:hAnsi="宋体" w:cs="宋体"/>
          <w:kern w:val="0"/>
          <w:sz w:val="24"/>
        </w:rPr>
        <w:t>1.1节能产品政府采购政策（财库[2019]9号、财库[2019]19号）</w:t>
      </w:r>
    </w:p>
    <w:p w14:paraId="67D388FB">
      <w:pPr>
        <w:spacing w:line="360" w:lineRule="auto"/>
        <w:ind w:firstLine="480" w:firstLineChars="200"/>
        <w:rPr>
          <w:rFonts w:hint="eastAsia" w:ascii="宋体" w:hAnsi="宋体" w:cs="宋体"/>
          <w:kern w:val="0"/>
          <w:sz w:val="24"/>
        </w:rPr>
      </w:pPr>
      <w:r>
        <w:rPr>
          <w:rFonts w:hint="eastAsia" w:ascii="宋体" w:hAnsi="宋体" w:cs="宋体"/>
          <w:kern w:val="0"/>
          <w:sz w:val="24"/>
        </w:rPr>
        <w:t>1.2环境标志产品政府采购政策（财库[2019]9号、财库[2019]18号）</w:t>
      </w:r>
    </w:p>
    <w:p w14:paraId="393AF99F">
      <w:pPr>
        <w:spacing w:line="360" w:lineRule="auto"/>
        <w:ind w:firstLine="480" w:firstLineChars="200"/>
        <w:rPr>
          <w:rFonts w:hint="eastAsia" w:ascii="宋体" w:hAnsi="宋体" w:cs="宋体"/>
          <w:kern w:val="0"/>
          <w:sz w:val="24"/>
        </w:rPr>
      </w:pPr>
      <w:r>
        <w:rPr>
          <w:rFonts w:hint="eastAsia" w:ascii="宋体" w:hAnsi="宋体" w:cs="宋体"/>
          <w:kern w:val="0"/>
          <w:sz w:val="24"/>
        </w:rPr>
        <w:t>1.3政府采购进口产品管理政策（财库[2007]119号、财库[2008]248号）</w:t>
      </w:r>
    </w:p>
    <w:p w14:paraId="26872CF1">
      <w:pPr>
        <w:spacing w:line="360" w:lineRule="auto"/>
        <w:ind w:firstLine="480" w:firstLineChars="200"/>
        <w:rPr>
          <w:rFonts w:hint="eastAsia" w:ascii="宋体" w:hAnsi="宋体" w:cs="宋体"/>
          <w:kern w:val="0"/>
          <w:sz w:val="24"/>
        </w:rPr>
      </w:pPr>
      <w:r>
        <w:rPr>
          <w:rFonts w:hint="eastAsia" w:ascii="宋体" w:hAnsi="宋体" w:cs="宋体"/>
          <w:kern w:val="0"/>
          <w:sz w:val="24"/>
        </w:rPr>
        <w:t>1.4关于印发《政府采购促进中小企业发展管理办法》的通知（财库〔2020〕46号）</w:t>
      </w:r>
    </w:p>
    <w:p w14:paraId="2AD3EDC6">
      <w:pPr>
        <w:spacing w:line="360" w:lineRule="auto"/>
        <w:ind w:firstLine="480" w:firstLineChars="200"/>
        <w:rPr>
          <w:rFonts w:hint="eastAsia" w:ascii="宋体" w:hAnsi="宋体" w:cs="宋体"/>
          <w:kern w:val="0"/>
          <w:sz w:val="24"/>
        </w:rPr>
      </w:pPr>
      <w:r>
        <w:rPr>
          <w:rFonts w:hint="eastAsia" w:ascii="宋体" w:hAnsi="宋体" w:cs="宋体"/>
          <w:kern w:val="0"/>
          <w:sz w:val="24"/>
        </w:rPr>
        <w:t>1.5关于进一步加大政府采购支持中小企业力度的通知（财库〔2022〕19号）</w:t>
      </w:r>
    </w:p>
    <w:p w14:paraId="1F557EB4">
      <w:pPr>
        <w:spacing w:line="360" w:lineRule="auto"/>
        <w:ind w:firstLine="480" w:firstLineChars="200"/>
        <w:rPr>
          <w:rFonts w:hint="eastAsia" w:ascii="宋体" w:hAnsi="宋体" w:cs="宋体"/>
          <w:kern w:val="0"/>
          <w:sz w:val="24"/>
        </w:rPr>
      </w:pPr>
      <w:r>
        <w:rPr>
          <w:rFonts w:hint="eastAsia" w:ascii="宋体" w:hAnsi="宋体" w:cs="宋体"/>
          <w:kern w:val="0"/>
          <w:sz w:val="24"/>
        </w:rPr>
        <w:t>1.6政府采购支持监狱企业发展政策（财库[2014]68号）</w:t>
      </w:r>
    </w:p>
    <w:p w14:paraId="2DEA7497">
      <w:pPr>
        <w:spacing w:line="360" w:lineRule="auto"/>
        <w:ind w:firstLine="480" w:firstLineChars="200"/>
        <w:rPr>
          <w:rFonts w:hint="eastAsia" w:ascii="宋体" w:hAnsi="宋体" w:cs="宋体"/>
          <w:kern w:val="0"/>
          <w:sz w:val="24"/>
        </w:rPr>
      </w:pPr>
      <w:r>
        <w:rPr>
          <w:rFonts w:hint="eastAsia" w:ascii="宋体" w:hAnsi="宋体" w:cs="宋体"/>
          <w:kern w:val="0"/>
          <w:sz w:val="24"/>
        </w:rPr>
        <w:t>1.7政府采购促进残疾人就业政策（财库[2017]141号）</w:t>
      </w:r>
    </w:p>
    <w:p w14:paraId="16879D59">
      <w:pPr>
        <w:spacing w:line="360" w:lineRule="auto"/>
        <w:ind w:firstLine="480" w:firstLineChars="200"/>
        <w:rPr>
          <w:rFonts w:hint="eastAsia" w:ascii="宋体" w:hAnsi="宋体" w:cs="宋体"/>
          <w:kern w:val="0"/>
          <w:sz w:val="24"/>
        </w:rPr>
      </w:pPr>
      <w:r>
        <w:rPr>
          <w:rFonts w:ascii="宋体" w:hAnsi="宋体" w:cs="宋体"/>
          <w:kern w:val="0"/>
          <w:sz w:val="24"/>
          <w:lang w:val="en"/>
        </w:rPr>
        <w:t>2.本项目推广政府采购信用担保工作等政府采购政策。如供应商无法以保函形式递交保证金，应附相关说明。</w:t>
      </w:r>
    </w:p>
    <w:p w14:paraId="6BAC26A9">
      <w:pPr>
        <w:adjustRightInd w:val="0"/>
        <w:snapToGrid w:val="0"/>
        <w:spacing w:line="360" w:lineRule="auto"/>
        <w:ind w:firstLine="480" w:firstLineChars="200"/>
        <w:rPr>
          <w:rFonts w:hint="eastAsia" w:ascii="宋体" w:hAnsi="宋体" w:cs="宋体"/>
          <w:sz w:val="24"/>
          <w:lang w:bidi="ar"/>
        </w:rPr>
      </w:pPr>
      <w:r>
        <w:rPr>
          <w:rFonts w:hint="eastAsia" w:ascii="宋体" w:hAnsi="宋体" w:cs="宋体"/>
          <w:sz w:val="24"/>
          <w:lang w:bidi="ar"/>
        </w:rPr>
        <w:t>3.本项目采用</w:t>
      </w:r>
      <w:r>
        <w:rPr>
          <w:rFonts w:hint="eastAsia" w:ascii="宋体" w:hAnsi="宋体" w:cs="宋体"/>
          <w:b/>
          <w:bCs/>
          <w:sz w:val="24"/>
          <w:lang w:bidi="ar"/>
        </w:rPr>
        <w:t>全流程电子化</w:t>
      </w:r>
      <w:r>
        <w:rPr>
          <w:rFonts w:hint="eastAsia" w:ascii="宋体" w:hAnsi="宋体" w:cs="宋体"/>
          <w:sz w:val="24"/>
          <w:lang w:bidi="ar"/>
        </w:rPr>
        <w:t>采购方式，请供应商认真学习北京市政府采购电子交易平台发布的相关操作手册（</w:t>
      </w:r>
      <w:r>
        <w:rPr>
          <w:rFonts w:ascii="宋体" w:hAnsi="宋体" w:cs="宋体"/>
          <w:sz w:val="24"/>
          <w:lang w:bidi="ar"/>
        </w:rPr>
        <w:t>供应商可在交易平台下载相关手册</w:t>
      </w:r>
      <w:r>
        <w:rPr>
          <w:rFonts w:hint="eastAsia" w:ascii="宋体" w:hAnsi="宋体" w:cs="宋体"/>
          <w:sz w:val="24"/>
          <w:lang w:bidi="ar"/>
        </w:rPr>
        <w:t>）</w:t>
      </w:r>
      <w:r>
        <w:rPr>
          <w:rFonts w:ascii="宋体" w:hAnsi="宋体" w:cs="宋体"/>
          <w:sz w:val="24"/>
          <w:lang w:bidi="ar"/>
        </w:rPr>
        <w:t>，办理CA数字证书或电子营业执照</w:t>
      </w:r>
      <w:r>
        <w:rPr>
          <w:rFonts w:hint="eastAsia" w:ascii="宋体" w:hAnsi="宋体" w:cs="宋体"/>
          <w:sz w:val="24"/>
          <w:lang w:bidi="ar"/>
        </w:rPr>
        <w:t>、</w:t>
      </w:r>
      <w:r>
        <w:rPr>
          <w:rFonts w:ascii="宋体" w:hAnsi="宋体" w:cs="宋体"/>
          <w:sz w:val="24"/>
          <w:lang w:bidi="ar"/>
        </w:rPr>
        <w:t>进行北京市政府采购电子交易平台注册绑定，并认真核实CA数字证书或电子营业执照情况确认是否符合本项目</w:t>
      </w:r>
      <w:r>
        <w:rPr>
          <w:rFonts w:hint="eastAsia" w:ascii="宋体" w:hAnsi="宋体" w:cs="宋体"/>
          <w:sz w:val="24"/>
          <w:lang w:bidi="ar"/>
        </w:rPr>
        <w:t>电子化</w:t>
      </w:r>
      <w:r>
        <w:rPr>
          <w:rFonts w:ascii="宋体" w:hAnsi="宋体" w:cs="宋体"/>
          <w:sz w:val="24"/>
          <w:lang w:bidi="ar"/>
        </w:rPr>
        <w:t>采购流程要求。</w:t>
      </w:r>
    </w:p>
    <w:p w14:paraId="46541E9A">
      <w:pPr>
        <w:adjustRightInd w:val="0"/>
        <w:snapToGrid w:val="0"/>
        <w:spacing w:line="360" w:lineRule="auto"/>
        <w:ind w:firstLine="482" w:firstLineChars="200"/>
        <w:rPr>
          <w:rFonts w:hint="eastAsia" w:ascii="宋体" w:hAnsi="宋体" w:cs="宋体"/>
          <w:sz w:val="24"/>
          <w:lang w:bidi="ar"/>
        </w:rPr>
      </w:pPr>
      <w:r>
        <w:rPr>
          <w:rFonts w:ascii="宋体" w:hAnsi="宋体" w:cs="宋体"/>
          <w:b/>
          <w:sz w:val="24"/>
        </w:rPr>
        <w:t>注意事项</w:t>
      </w:r>
      <w:r>
        <w:rPr>
          <w:rFonts w:ascii="宋体" w:hAnsi="宋体" w:cs="宋体"/>
          <w:sz w:val="24"/>
        </w:rPr>
        <w:t>：本项目最后报价环节须供应商</w:t>
      </w:r>
      <w:r>
        <w:rPr>
          <w:rFonts w:hint="eastAsia" w:ascii="宋体" w:hAnsi="宋体" w:cs="宋体"/>
          <w:sz w:val="24"/>
        </w:rPr>
        <w:t>点击【供应商】入口，使用CA或者电子营业执照进行登录，点击【我的项目】——找到参与的项目【进入项目】，点击【评审】--【多轮报价页面】，点击【谈判报价】，输入报价进行报价，点击确定即可。</w:t>
      </w:r>
    </w:p>
    <w:p w14:paraId="2426C181">
      <w:pPr>
        <w:adjustRightInd w:val="0"/>
        <w:snapToGrid w:val="0"/>
        <w:spacing w:line="360" w:lineRule="auto"/>
        <w:ind w:firstLine="480" w:firstLineChars="200"/>
        <w:rPr>
          <w:rFonts w:hint="eastAsia" w:ascii="宋体" w:hAnsi="宋体" w:cs="宋体"/>
          <w:sz w:val="24"/>
          <w:lang w:bidi="ar"/>
        </w:rPr>
      </w:pPr>
      <w:r>
        <w:rPr>
          <w:rFonts w:hint="eastAsia" w:ascii="宋体" w:hAnsi="宋体" w:cs="宋体"/>
          <w:sz w:val="24"/>
          <w:lang w:bidi="ar"/>
        </w:rPr>
        <w:t xml:space="preserve">CA数字证书服务热线 010-58511086 </w:t>
      </w:r>
    </w:p>
    <w:p w14:paraId="7DDA373E">
      <w:pPr>
        <w:adjustRightInd w:val="0"/>
        <w:snapToGrid w:val="0"/>
        <w:spacing w:line="360" w:lineRule="auto"/>
        <w:ind w:firstLine="480" w:firstLineChars="200"/>
        <w:rPr>
          <w:rFonts w:hint="eastAsia" w:ascii="宋体" w:hAnsi="宋体"/>
          <w:sz w:val="24"/>
        </w:rPr>
      </w:pPr>
      <w:r>
        <w:rPr>
          <w:rFonts w:hint="eastAsia" w:ascii="宋体" w:hAnsi="宋体"/>
          <w:sz w:val="24"/>
          <w:lang w:bidi="ar"/>
        </w:rPr>
        <w:t xml:space="preserve">电子营业执照服务热线 </w:t>
      </w:r>
      <w:r>
        <w:rPr>
          <w:rFonts w:ascii="宋体" w:hAnsi="宋体"/>
          <w:sz w:val="24"/>
          <w:lang w:bidi="ar"/>
        </w:rPr>
        <w:t>400-699-7000</w:t>
      </w:r>
    </w:p>
    <w:p w14:paraId="37864D5F">
      <w:pPr>
        <w:adjustRightInd w:val="0"/>
        <w:snapToGrid w:val="0"/>
        <w:spacing w:line="360" w:lineRule="auto"/>
        <w:ind w:firstLine="480" w:firstLineChars="200"/>
        <w:rPr>
          <w:rFonts w:hint="eastAsia" w:ascii="宋体" w:hAnsi="宋体" w:cs="宋体"/>
          <w:sz w:val="24"/>
          <w:lang w:bidi="ar"/>
        </w:rPr>
      </w:pPr>
      <w:r>
        <w:rPr>
          <w:rFonts w:hint="eastAsia" w:ascii="宋体" w:hAnsi="宋体" w:cs="宋体"/>
          <w:sz w:val="24"/>
          <w:lang w:bidi="ar"/>
        </w:rPr>
        <w:t>技术支持服务热线 010-86483801</w:t>
      </w:r>
    </w:p>
    <w:p w14:paraId="3652F520">
      <w:pPr>
        <w:adjustRightInd w:val="0"/>
        <w:snapToGrid w:val="0"/>
        <w:spacing w:line="360" w:lineRule="auto"/>
        <w:ind w:firstLine="480" w:firstLineChars="200"/>
        <w:rPr>
          <w:rFonts w:hint="eastAsia" w:ascii="宋体" w:hAnsi="宋体"/>
          <w:sz w:val="24"/>
          <w:lang w:bidi="ar"/>
        </w:rPr>
      </w:pPr>
      <w:r>
        <w:rPr>
          <w:rFonts w:hint="eastAsia" w:ascii="宋体" w:hAnsi="宋体" w:cs="宋体"/>
          <w:sz w:val="24"/>
          <w:lang w:bidi="ar"/>
        </w:rPr>
        <w:t>3.1</w:t>
      </w:r>
      <w:r>
        <w:rPr>
          <w:rFonts w:ascii="宋体" w:hAnsi="宋体"/>
          <w:sz w:val="24"/>
          <w:lang w:bidi="ar"/>
        </w:rPr>
        <w:t>办理</w:t>
      </w:r>
      <w:r>
        <w:rPr>
          <w:rFonts w:hint="eastAsia" w:ascii="宋体" w:hAnsi="宋体"/>
          <w:sz w:val="24"/>
          <w:lang w:bidi="ar"/>
        </w:rPr>
        <w:t>CA数字证书或电子营业执照</w:t>
      </w:r>
    </w:p>
    <w:p w14:paraId="2792AEA2">
      <w:pPr>
        <w:adjustRightInd w:val="0"/>
        <w:snapToGrid w:val="0"/>
        <w:spacing w:line="360" w:lineRule="auto"/>
        <w:ind w:firstLine="480" w:firstLineChars="200"/>
        <w:rPr>
          <w:rFonts w:hint="eastAsia" w:ascii="宋体" w:hAnsi="宋体" w:cs="宋体"/>
          <w:sz w:val="24"/>
          <w:lang w:bidi="ar"/>
        </w:rPr>
      </w:pPr>
      <w:r>
        <w:rPr>
          <w:rFonts w:ascii="宋体" w:hAnsi="宋体" w:cs="宋体"/>
          <w:sz w:val="24"/>
          <w:lang w:bidi="ar"/>
        </w:rPr>
        <w:t>供应商登录北京市政府采购电子交易平台查阅“用户指南”—“操作指南”—“市场主体CA办理操作流程指引”/</w:t>
      </w:r>
      <w:r>
        <w:rPr>
          <w:rFonts w:hint="eastAsia" w:ascii="宋体" w:hAnsi="宋体" w:cs="宋体"/>
          <w:sz w:val="24"/>
          <w:lang w:bidi="ar"/>
        </w:rPr>
        <w:t>“电子营业执照使用指南”</w:t>
      </w:r>
      <w:r>
        <w:rPr>
          <w:rFonts w:ascii="宋体" w:hAnsi="宋体" w:cs="宋体"/>
          <w:sz w:val="24"/>
          <w:lang w:bidi="ar"/>
        </w:rPr>
        <w:t>，按照程序要求办理。</w:t>
      </w:r>
    </w:p>
    <w:p w14:paraId="414246CE">
      <w:pPr>
        <w:adjustRightInd w:val="0"/>
        <w:snapToGrid w:val="0"/>
        <w:spacing w:line="360" w:lineRule="auto"/>
        <w:ind w:firstLine="480" w:firstLineChars="200"/>
        <w:rPr>
          <w:rFonts w:hint="eastAsia" w:ascii="宋体" w:hAnsi="宋体" w:cs="宋体"/>
          <w:sz w:val="24"/>
          <w:lang w:bidi="ar"/>
        </w:rPr>
      </w:pPr>
      <w:r>
        <w:rPr>
          <w:rFonts w:hint="eastAsia" w:ascii="宋体" w:hAnsi="宋体" w:cs="宋体"/>
          <w:sz w:val="24"/>
          <w:lang w:bidi="ar"/>
        </w:rPr>
        <w:t>3.2注册</w:t>
      </w:r>
    </w:p>
    <w:p w14:paraId="26A33164">
      <w:pPr>
        <w:adjustRightInd w:val="0"/>
        <w:snapToGrid w:val="0"/>
        <w:spacing w:line="360" w:lineRule="auto"/>
        <w:ind w:firstLine="480" w:firstLineChars="200"/>
        <w:rPr>
          <w:rFonts w:hint="eastAsia" w:ascii="宋体" w:hAnsi="宋体" w:cs="宋体"/>
          <w:sz w:val="24"/>
          <w:lang w:bidi="ar"/>
        </w:rPr>
      </w:pPr>
      <w:r>
        <w:rPr>
          <w:rFonts w:ascii="宋体" w:hAnsi="宋体" w:cs="宋体"/>
          <w:sz w:val="24"/>
          <w:lang w:bidi="ar"/>
        </w:rPr>
        <w:t>供应商登录北京市政府采购电子交易平台</w:t>
      </w:r>
      <w:r>
        <w:rPr>
          <w:rFonts w:hint="eastAsia" w:ascii="宋体" w:hAnsi="宋体" w:cs="宋体"/>
          <w:sz w:val="24"/>
          <w:lang w:bidi="ar"/>
        </w:rPr>
        <w:t xml:space="preserve">“用户指南”一“操作指南”一“市场主体注册入库操作流程指引”进行自助注册绑定。 </w:t>
      </w:r>
    </w:p>
    <w:p w14:paraId="5DAA9A06">
      <w:pPr>
        <w:adjustRightInd w:val="0"/>
        <w:snapToGrid w:val="0"/>
        <w:spacing w:line="360" w:lineRule="auto"/>
        <w:ind w:firstLine="480" w:firstLineChars="200"/>
        <w:rPr>
          <w:rFonts w:hint="eastAsia" w:ascii="宋体" w:hAnsi="宋体" w:cs="宋体"/>
          <w:sz w:val="24"/>
          <w:lang w:bidi="ar"/>
        </w:rPr>
      </w:pPr>
      <w:r>
        <w:rPr>
          <w:rFonts w:hint="eastAsia" w:ascii="宋体" w:hAnsi="宋体" w:cs="宋体"/>
          <w:sz w:val="24"/>
          <w:lang w:bidi="ar"/>
        </w:rPr>
        <w:t>3.</w:t>
      </w:r>
      <w:r>
        <w:rPr>
          <w:rFonts w:ascii="宋体" w:hAnsi="宋体" w:cs="宋体"/>
          <w:sz w:val="24"/>
          <w:lang w:bidi="ar"/>
        </w:rPr>
        <w:t>3</w:t>
      </w:r>
      <w:r>
        <w:rPr>
          <w:rFonts w:hint="eastAsia" w:ascii="宋体" w:hAnsi="宋体" w:cs="宋体"/>
          <w:sz w:val="24"/>
          <w:lang w:bidi="ar"/>
        </w:rPr>
        <w:t>驱动、客户端下载</w:t>
      </w:r>
    </w:p>
    <w:p w14:paraId="74E3CA11">
      <w:pPr>
        <w:adjustRightInd w:val="0"/>
        <w:snapToGrid w:val="0"/>
        <w:spacing w:line="360" w:lineRule="auto"/>
        <w:ind w:firstLine="480" w:firstLineChars="200"/>
        <w:rPr>
          <w:rFonts w:hint="eastAsia" w:ascii="宋体" w:hAnsi="宋体" w:cs="宋体"/>
          <w:sz w:val="24"/>
          <w:lang w:bidi="ar"/>
        </w:rPr>
      </w:pPr>
      <w:r>
        <w:rPr>
          <w:rFonts w:hint="eastAsia" w:ascii="宋体" w:hAnsi="宋体" w:cs="宋体"/>
          <w:sz w:val="24"/>
          <w:lang w:bidi="ar"/>
        </w:rPr>
        <w:t xml:space="preserve">供应商登录北京市政府采购电子交易平台“用户指南”一“工具下载”一 “招标采购系统文件驱动安装包”下载相关驱动。 </w:t>
      </w:r>
    </w:p>
    <w:p w14:paraId="61CBF1F9">
      <w:pPr>
        <w:adjustRightInd w:val="0"/>
        <w:snapToGrid w:val="0"/>
        <w:spacing w:line="360" w:lineRule="auto"/>
        <w:ind w:firstLine="480" w:firstLineChars="200"/>
        <w:rPr>
          <w:rFonts w:hint="eastAsia" w:ascii="宋体" w:hAnsi="宋体" w:cs="宋体"/>
          <w:sz w:val="24"/>
          <w:lang w:bidi="ar"/>
        </w:rPr>
      </w:pPr>
      <w:r>
        <w:rPr>
          <w:rFonts w:hint="eastAsia" w:ascii="宋体" w:hAnsi="宋体" w:cs="宋体"/>
          <w:sz w:val="24"/>
          <w:lang w:bidi="ar"/>
        </w:rPr>
        <w:t>供应商登录北京市政府采购电子交易平台“用户指南”一“工具下载”一 “投标文件编制工具”下载相关客户端。</w:t>
      </w:r>
    </w:p>
    <w:p w14:paraId="680ECAC6">
      <w:pPr>
        <w:adjustRightInd w:val="0"/>
        <w:snapToGrid w:val="0"/>
        <w:spacing w:line="360" w:lineRule="auto"/>
        <w:ind w:firstLine="480" w:firstLineChars="200"/>
        <w:rPr>
          <w:rFonts w:hint="eastAsia" w:ascii="宋体" w:hAnsi="宋体" w:cs="宋体"/>
          <w:sz w:val="24"/>
          <w:lang w:bidi="ar"/>
        </w:rPr>
      </w:pPr>
      <w:r>
        <w:rPr>
          <w:rFonts w:hint="eastAsia" w:ascii="宋体" w:hAnsi="宋体" w:cs="宋体"/>
          <w:sz w:val="24"/>
          <w:lang w:bidi="ar"/>
        </w:rPr>
        <w:t>3.</w:t>
      </w:r>
      <w:r>
        <w:rPr>
          <w:rFonts w:ascii="宋体" w:hAnsi="宋体" w:cs="宋体"/>
          <w:sz w:val="24"/>
          <w:lang w:bidi="ar"/>
        </w:rPr>
        <w:t>4</w:t>
      </w:r>
      <w:r>
        <w:rPr>
          <w:rFonts w:hint="eastAsia" w:ascii="宋体" w:hAnsi="宋体" w:cs="宋体"/>
          <w:sz w:val="24"/>
          <w:lang w:bidi="ar"/>
        </w:rPr>
        <w:t>获取电子竞争性磋商文件</w:t>
      </w:r>
    </w:p>
    <w:p w14:paraId="1A860EA9">
      <w:pPr>
        <w:adjustRightInd w:val="0"/>
        <w:snapToGrid w:val="0"/>
        <w:spacing w:line="360" w:lineRule="auto"/>
        <w:ind w:firstLine="480" w:firstLineChars="200"/>
        <w:rPr>
          <w:rFonts w:hint="eastAsia" w:ascii="宋体" w:hAnsi="宋体" w:cs="宋体"/>
          <w:sz w:val="24"/>
          <w:lang w:bidi="ar"/>
        </w:rPr>
      </w:pPr>
      <w:r>
        <w:rPr>
          <w:rFonts w:ascii="宋体" w:hAnsi="宋体" w:cs="宋体"/>
          <w:sz w:val="24"/>
          <w:lang w:bidi="ar"/>
        </w:rPr>
        <w:t>供应商</w:t>
      </w:r>
      <w:r>
        <w:rPr>
          <w:rFonts w:hint="eastAsia" w:ascii="宋体" w:hAnsi="宋体" w:cs="宋体"/>
          <w:sz w:val="24"/>
          <w:lang w:bidi="ar"/>
        </w:rPr>
        <w:t>使用CA数字证书或电子营业执照</w:t>
      </w:r>
      <w:r>
        <w:rPr>
          <w:rFonts w:ascii="宋体" w:hAnsi="宋体" w:cs="宋体"/>
          <w:sz w:val="24"/>
          <w:lang w:bidi="ar"/>
        </w:rPr>
        <w:t>登录北京市政府采购电子交易平台获取电子</w:t>
      </w:r>
      <w:r>
        <w:rPr>
          <w:rFonts w:hint="eastAsia" w:ascii="宋体" w:hAnsi="宋体" w:cs="宋体"/>
          <w:sz w:val="24"/>
          <w:lang w:bidi="ar"/>
        </w:rPr>
        <w:t>竞争性磋商</w:t>
      </w:r>
      <w:r>
        <w:rPr>
          <w:rFonts w:ascii="宋体" w:hAnsi="宋体" w:cs="宋体"/>
          <w:sz w:val="24"/>
          <w:lang w:bidi="ar"/>
        </w:rPr>
        <w:t>文件。</w:t>
      </w:r>
    </w:p>
    <w:p w14:paraId="23ED1F1F">
      <w:pPr>
        <w:adjustRightInd w:val="0"/>
        <w:snapToGrid w:val="0"/>
        <w:spacing w:line="360" w:lineRule="auto"/>
        <w:ind w:firstLine="480" w:firstLineChars="200"/>
        <w:rPr>
          <w:rFonts w:hint="eastAsia" w:ascii="宋体" w:hAnsi="宋体" w:cs="宋体"/>
          <w:sz w:val="24"/>
          <w:lang w:bidi="ar"/>
        </w:rPr>
      </w:pPr>
      <w:r>
        <w:rPr>
          <w:rFonts w:hint="eastAsia" w:ascii="宋体" w:hAnsi="宋体" w:cs="宋体"/>
          <w:sz w:val="24"/>
          <w:lang w:bidi="ar"/>
        </w:rPr>
        <w:t>3</w:t>
      </w:r>
      <w:r>
        <w:rPr>
          <w:rFonts w:ascii="宋体" w:hAnsi="宋体" w:cs="宋体"/>
          <w:sz w:val="24"/>
          <w:lang w:bidi="ar"/>
        </w:rPr>
        <w:t>.5编制电子</w:t>
      </w:r>
      <w:r>
        <w:rPr>
          <w:rFonts w:hint="eastAsia" w:ascii="宋体" w:hAnsi="宋体" w:cs="宋体"/>
          <w:sz w:val="24"/>
          <w:lang w:bidi="ar"/>
        </w:rPr>
        <w:t>响应</w:t>
      </w:r>
      <w:r>
        <w:rPr>
          <w:rFonts w:ascii="宋体" w:hAnsi="宋体" w:cs="宋体"/>
          <w:sz w:val="24"/>
          <w:lang w:bidi="ar"/>
        </w:rPr>
        <w:t>文件</w:t>
      </w:r>
    </w:p>
    <w:p w14:paraId="5ACFA4CD">
      <w:pPr>
        <w:adjustRightInd w:val="0"/>
        <w:snapToGrid w:val="0"/>
        <w:spacing w:line="360" w:lineRule="auto"/>
        <w:ind w:firstLine="480" w:firstLineChars="200"/>
        <w:rPr>
          <w:rFonts w:hint="eastAsia" w:ascii="宋体" w:hAnsi="宋体" w:cs="宋体"/>
          <w:sz w:val="24"/>
          <w:lang w:bidi="ar"/>
        </w:rPr>
      </w:pPr>
      <w:r>
        <w:rPr>
          <w:rFonts w:ascii="宋体" w:hAnsi="宋体" w:cs="宋体"/>
          <w:sz w:val="24"/>
          <w:lang w:bidi="ar"/>
        </w:rPr>
        <w:t>供应商应使用电子投标客户端编制电子</w:t>
      </w:r>
      <w:r>
        <w:rPr>
          <w:rFonts w:hint="eastAsia" w:ascii="宋体" w:hAnsi="宋体" w:cs="宋体"/>
          <w:sz w:val="24"/>
          <w:lang w:bidi="ar"/>
        </w:rPr>
        <w:t>响应</w:t>
      </w:r>
      <w:r>
        <w:rPr>
          <w:rFonts w:ascii="宋体" w:hAnsi="宋体" w:cs="宋体"/>
          <w:sz w:val="24"/>
          <w:lang w:bidi="ar"/>
        </w:rPr>
        <w:t>文件并进行线上</w:t>
      </w:r>
      <w:r>
        <w:rPr>
          <w:rFonts w:hint="eastAsia" w:ascii="宋体" w:hAnsi="宋体" w:cs="宋体"/>
          <w:sz w:val="24"/>
          <w:lang w:bidi="ar"/>
        </w:rPr>
        <w:t>响应</w:t>
      </w:r>
      <w:r>
        <w:rPr>
          <w:rFonts w:ascii="宋体" w:hAnsi="宋体" w:cs="宋体"/>
          <w:sz w:val="24"/>
          <w:lang w:bidi="ar"/>
        </w:rPr>
        <w:t>，供应商电子</w:t>
      </w:r>
      <w:r>
        <w:rPr>
          <w:rFonts w:hint="eastAsia" w:ascii="宋体" w:hAnsi="宋体" w:cs="宋体"/>
          <w:sz w:val="24"/>
          <w:lang w:bidi="ar"/>
        </w:rPr>
        <w:t>响应</w:t>
      </w:r>
      <w:r>
        <w:rPr>
          <w:rFonts w:ascii="宋体" w:hAnsi="宋体" w:cs="宋体"/>
          <w:sz w:val="24"/>
          <w:lang w:bidi="ar"/>
        </w:rPr>
        <w:t>文件需要加密并加盖电子签章，如无法按照要求在电子</w:t>
      </w:r>
      <w:r>
        <w:rPr>
          <w:rFonts w:hint="eastAsia" w:ascii="宋体" w:hAnsi="宋体" w:cs="宋体"/>
          <w:sz w:val="24"/>
          <w:lang w:bidi="ar"/>
        </w:rPr>
        <w:t>响应</w:t>
      </w:r>
      <w:r>
        <w:rPr>
          <w:rFonts w:ascii="宋体" w:hAnsi="宋体" w:cs="宋体"/>
          <w:sz w:val="24"/>
          <w:lang w:bidi="ar"/>
        </w:rPr>
        <w:t>文件中加盖电子签章和加密，请及时通过技术支持服务热线联系技术人员。</w:t>
      </w:r>
    </w:p>
    <w:p w14:paraId="6AF243AE">
      <w:pPr>
        <w:adjustRightInd w:val="0"/>
        <w:snapToGrid w:val="0"/>
        <w:spacing w:line="360" w:lineRule="auto"/>
        <w:ind w:firstLine="480" w:firstLineChars="200"/>
        <w:rPr>
          <w:rFonts w:hint="eastAsia" w:ascii="宋体" w:hAnsi="宋体" w:cs="宋体"/>
          <w:sz w:val="24"/>
          <w:lang w:bidi="ar"/>
        </w:rPr>
      </w:pPr>
      <w:r>
        <w:rPr>
          <w:rFonts w:hint="eastAsia" w:ascii="宋体" w:hAnsi="宋体" w:cs="宋体"/>
          <w:sz w:val="24"/>
          <w:lang w:bidi="ar"/>
        </w:rPr>
        <w:t>3</w:t>
      </w:r>
      <w:r>
        <w:rPr>
          <w:rFonts w:ascii="宋体" w:hAnsi="宋体" w:cs="宋体"/>
          <w:sz w:val="24"/>
          <w:lang w:bidi="ar"/>
        </w:rPr>
        <w:t>.6</w:t>
      </w:r>
      <w:r>
        <w:rPr>
          <w:rFonts w:hint="eastAsia" w:ascii="宋体" w:hAnsi="宋体" w:cs="Leelawadee UI"/>
          <w:sz w:val="24"/>
          <w:lang w:bidi="ar"/>
        </w:rPr>
        <w:t>提</w:t>
      </w:r>
      <w:r>
        <w:rPr>
          <w:rFonts w:ascii="宋体" w:hAnsi="宋体" w:cs="宋体"/>
          <w:sz w:val="24"/>
          <w:lang w:bidi="ar"/>
        </w:rPr>
        <w:t>交电子</w:t>
      </w:r>
      <w:r>
        <w:rPr>
          <w:rFonts w:hint="eastAsia" w:ascii="宋体" w:hAnsi="宋体" w:cs="宋体"/>
          <w:sz w:val="24"/>
          <w:lang w:bidi="ar"/>
        </w:rPr>
        <w:t>响应</w:t>
      </w:r>
      <w:r>
        <w:rPr>
          <w:rFonts w:ascii="宋体" w:hAnsi="宋体" w:cs="宋体"/>
          <w:sz w:val="24"/>
          <w:lang w:bidi="ar"/>
        </w:rPr>
        <w:t>文件</w:t>
      </w:r>
    </w:p>
    <w:p w14:paraId="6B1B6A09">
      <w:pPr>
        <w:adjustRightInd w:val="0"/>
        <w:snapToGrid w:val="0"/>
        <w:spacing w:line="360" w:lineRule="auto"/>
        <w:ind w:firstLine="480" w:firstLineChars="200"/>
        <w:rPr>
          <w:rFonts w:hint="eastAsia" w:ascii="宋体" w:hAnsi="宋体" w:cs="宋体"/>
          <w:sz w:val="24"/>
          <w:lang w:bidi="ar"/>
        </w:rPr>
      </w:pPr>
      <w:r>
        <w:rPr>
          <w:rFonts w:ascii="宋体" w:hAnsi="宋体" w:cs="宋体"/>
          <w:sz w:val="24"/>
          <w:lang w:bidi="ar"/>
        </w:rPr>
        <w:t>供应商应于</w:t>
      </w:r>
      <w:r>
        <w:rPr>
          <w:rFonts w:hint="eastAsia" w:ascii="宋体" w:hAnsi="宋体" w:cs="宋体"/>
          <w:sz w:val="24"/>
          <w:lang w:bidi="ar"/>
        </w:rPr>
        <w:t>响应文件提交</w:t>
      </w:r>
      <w:r>
        <w:rPr>
          <w:rFonts w:ascii="宋体" w:hAnsi="宋体" w:cs="宋体"/>
          <w:sz w:val="24"/>
          <w:lang w:bidi="ar"/>
        </w:rPr>
        <w:t>截止时间前在北京市政府采购电子交易平台</w:t>
      </w:r>
      <w:r>
        <w:rPr>
          <w:rFonts w:hint="eastAsia" w:ascii="宋体" w:hAnsi="宋体" w:cs="Leelawadee UI"/>
          <w:sz w:val="24"/>
          <w:lang w:bidi="ar"/>
        </w:rPr>
        <w:t>提</w:t>
      </w:r>
      <w:r>
        <w:rPr>
          <w:rFonts w:ascii="宋体" w:hAnsi="宋体" w:cs="宋体"/>
          <w:sz w:val="24"/>
          <w:lang w:bidi="ar"/>
        </w:rPr>
        <w:t>交电子</w:t>
      </w:r>
      <w:r>
        <w:rPr>
          <w:rFonts w:hint="eastAsia" w:ascii="宋体" w:hAnsi="宋体" w:cs="宋体"/>
          <w:sz w:val="24"/>
          <w:lang w:bidi="ar"/>
        </w:rPr>
        <w:t>响应</w:t>
      </w:r>
      <w:r>
        <w:rPr>
          <w:rFonts w:ascii="宋体" w:hAnsi="宋体" w:cs="宋体"/>
          <w:sz w:val="24"/>
          <w:lang w:bidi="ar"/>
        </w:rPr>
        <w:t>文件，上传电子</w:t>
      </w:r>
      <w:r>
        <w:rPr>
          <w:rFonts w:hint="eastAsia" w:ascii="宋体" w:hAnsi="宋体" w:cs="宋体"/>
          <w:sz w:val="24"/>
          <w:lang w:bidi="ar"/>
        </w:rPr>
        <w:t>响应</w:t>
      </w:r>
      <w:r>
        <w:rPr>
          <w:rFonts w:ascii="宋体" w:hAnsi="宋体" w:cs="宋体"/>
          <w:sz w:val="24"/>
          <w:lang w:bidi="ar"/>
        </w:rPr>
        <w:t xml:space="preserve">文件过程中请保持与互联网的连接畅通。 </w:t>
      </w:r>
    </w:p>
    <w:p w14:paraId="15BFD6FB">
      <w:pPr>
        <w:adjustRightInd w:val="0"/>
        <w:snapToGrid w:val="0"/>
        <w:spacing w:line="360" w:lineRule="auto"/>
        <w:ind w:firstLine="480" w:firstLineChars="200"/>
        <w:rPr>
          <w:rFonts w:hint="eastAsia" w:ascii="宋体" w:hAnsi="宋体" w:cs="宋体"/>
          <w:sz w:val="24"/>
          <w:lang w:bidi="ar"/>
        </w:rPr>
      </w:pPr>
      <w:r>
        <w:rPr>
          <w:rFonts w:hint="eastAsia" w:ascii="宋体" w:hAnsi="宋体" w:cs="宋体"/>
          <w:sz w:val="24"/>
          <w:lang w:bidi="ar"/>
        </w:rPr>
        <w:t>3</w:t>
      </w:r>
      <w:r>
        <w:rPr>
          <w:rFonts w:ascii="宋体" w:hAnsi="宋体" w:cs="宋体"/>
          <w:sz w:val="24"/>
          <w:lang w:bidi="ar"/>
        </w:rPr>
        <w:t>.7</w:t>
      </w:r>
      <w:r>
        <w:rPr>
          <w:rFonts w:hint="eastAsia" w:ascii="宋体" w:hAnsi="宋体" w:cs="宋体"/>
          <w:sz w:val="24"/>
          <w:lang w:bidi="ar"/>
        </w:rPr>
        <w:t>开启响应文件</w:t>
      </w:r>
    </w:p>
    <w:p w14:paraId="7BA70A76">
      <w:pPr>
        <w:adjustRightInd w:val="0"/>
        <w:snapToGrid w:val="0"/>
        <w:spacing w:line="360" w:lineRule="auto"/>
        <w:ind w:firstLine="480" w:firstLineChars="200"/>
        <w:rPr>
          <w:rFonts w:hint="eastAsia" w:ascii="宋体" w:hAnsi="宋体" w:cs="宋体"/>
          <w:sz w:val="24"/>
          <w:lang w:bidi="ar"/>
        </w:rPr>
      </w:pPr>
      <w:r>
        <w:rPr>
          <w:rFonts w:ascii="宋体" w:hAnsi="宋体" w:cs="宋体"/>
          <w:sz w:val="24"/>
          <w:lang w:bidi="ar"/>
        </w:rPr>
        <w:t>供应商于磋商文件规定的开启时间、在开启地点使用CA数字证书或电子营业执照登录北京市政府采购电子交易平台解密并开启响应文件。如因供应商问题，解密不成功， 则响应无效</w:t>
      </w:r>
      <w:r>
        <w:rPr>
          <w:rFonts w:hint="eastAsia" w:ascii="宋体" w:hAnsi="宋体" w:cs="宋体"/>
          <w:sz w:val="24"/>
          <w:lang w:bidi="ar"/>
        </w:rPr>
        <w:t>。</w:t>
      </w:r>
    </w:p>
    <w:p w14:paraId="5249424F">
      <w:pPr>
        <w:spacing w:line="360" w:lineRule="auto"/>
        <w:ind w:firstLine="480" w:firstLineChars="200"/>
        <w:rPr>
          <w:rFonts w:hint="eastAsia" w:ascii="宋体" w:hAnsi="宋体" w:cs="宋体"/>
          <w:sz w:val="24"/>
        </w:rPr>
      </w:pPr>
      <w:r>
        <w:rPr>
          <w:rFonts w:hint="eastAsia" w:ascii="宋体" w:hAnsi="宋体" w:cs="宋体"/>
          <w:sz w:val="24"/>
        </w:rPr>
        <w:t>4.公告发布媒体：</w:t>
      </w:r>
    </w:p>
    <w:p w14:paraId="5F81AAD6">
      <w:pPr>
        <w:spacing w:line="360" w:lineRule="auto"/>
        <w:ind w:firstLine="480" w:firstLineChars="200"/>
        <w:rPr>
          <w:rStyle w:val="92"/>
          <w:rFonts w:hint="eastAsia" w:ascii="宋体" w:hAnsi="宋体" w:cs="宋体"/>
          <w:b w:val="0"/>
          <w:bCs w:val="0"/>
          <w:sz w:val="24"/>
        </w:rPr>
      </w:pPr>
      <w:r>
        <w:rPr>
          <w:rStyle w:val="92"/>
          <w:rFonts w:hint="eastAsia" w:ascii="宋体" w:hAnsi="宋体" w:cs="宋体"/>
          <w:b w:val="0"/>
          <w:bCs w:val="0"/>
          <w:sz w:val="24"/>
        </w:rPr>
        <w:t>本公告在中国政府采购网、北京市政府采购网发布。</w:t>
      </w:r>
      <w:bookmarkEnd w:id="38"/>
    </w:p>
    <w:p w14:paraId="0C83C14A">
      <w:pPr>
        <w:spacing w:line="360" w:lineRule="auto"/>
        <w:ind w:firstLine="480" w:firstLineChars="200"/>
        <w:rPr>
          <w:rFonts w:hint="eastAsia" w:ascii="宋体" w:hAnsi="宋体" w:cs="仿宋"/>
          <w:sz w:val="24"/>
        </w:rPr>
      </w:pPr>
    </w:p>
    <w:p w14:paraId="359AFCCA">
      <w:pPr>
        <w:pStyle w:val="4"/>
        <w:spacing w:before="0" w:line="360" w:lineRule="auto"/>
        <w:jc w:val="left"/>
        <w:rPr>
          <w:rFonts w:hint="eastAsia" w:ascii="宋体" w:hAnsi="宋体" w:eastAsia="宋体" w:cs="仿宋"/>
          <w:sz w:val="24"/>
          <w:szCs w:val="24"/>
        </w:rPr>
      </w:pPr>
      <w:bookmarkStart w:id="39" w:name="_Toc35393627"/>
      <w:bookmarkStart w:id="40" w:name="_Toc28359085"/>
      <w:bookmarkStart w:id="41" w:name="_Toc28359008"/>
      <w:bookmarkStart w:id="42" w:name="_Toc35393796"/>
      <w:r>
        <w:rPr>
          <w:rFonts w:hint="eastAsia" w:ascii="宋体" w:hAnsi="宋体" w:eastAsia="宋体" w:cs="仿宋"/>
          <w:sz w:val="24"/>
          <w:szCs w:val="24"/>
        </w:rPr>
        <w:t>八、对本项目提出询问，请按以下方式联系。</w:t>
      </w:r>
      <w:bookmarkEnd w:id="39"/>
      <w:bookmarkEnd w:id="40"/>
      <w:bookmarkEnd w:id="41"/>
      <w:bookmarkEnd w:id="42"/>
    </w:p>
    <w:p w14:paraId="15E0A11C">
      <w:pPr>
        <w:widowControl/>
        <w:spacing w:line="360" w:lineRule="auto"/>
        <w:ind w:firstLine="482" w:firstLineChars="200"/>
        <w:jc w:val="left"/>
        <w:rPr>
          <w:rFonts w:hint="eastAsia" w:ascii="宋体" w:hAnsi="宋体" w:cs="宋体"/>
          <w:b/>
          <w:sz w:val="24"/>
        </w:rPr>
      </w:pPr>
      <w:bookmarkStart w:id="43" w:name="_Toc305158854"/>
      <w:bookmarkStart w:id="44" w:name="_Toc97371942"/>
      <w:bookmarkStart w:id="45" w:name="_Toc353873938"/>
      <w:bookmarkStart w:id="46" w:name="_Toc305158928"/>
      <w:bookmarkStart w:id="47" w:name="_Toc127161488"/>
      <w:bookmarkStart w:id="48" w:name="_Toc512937850"/>
      <w:bookmarkStart w:id="49" w:name="_Toc265228423"/>
      <w:bookmarkStart w:id="50" w:name="_Toc195842950"/>
      <w:bookmarkStart w:id="51" w:name="_Toc264969275"/>
      <w:bookmarkStart w:id="52" w:name="_Toc226965856"/>
      <w:bookmarkStart w:id="53" w:name="_Toc127151777"/>
      <w:bookmarkStart w:id="54" w:name="_Toc353825548"/>
      <w:bookmarkStart w:id="55" w:name="_Toc150774783"/>
      <w:r>
        <w:rPr>
          <w:rFonts w:hint="eastAsia" w:ascii="宋体" w:hAnsi="宋体" w:cs="宋体"/>
          <w:b/>
          <w:sz w:val="24"/>
        </w:rPr>
        <w:t>1.采购人信息</w:t>
      </w:r>
    </w:p>
    <w:p w14:paraId="65916CD6">
      <w:pPr>
        <w:spacing w:line="360" w:lineRule="auto"/>
        <w:ind w:firstLine="480" w:firstLineChars="200"/>
        <w:jc w:val="left"/>
        <w:rPr>
          <w:rFonts w:hint="eastAsia" w:ascii="宋体" w:hAnsi="宋体" w:cs="宋体"/>
          <w:sz w:val="24"/>
        </w:rPr>
      </w:pPr>
      <w:bookmarkStart w:id="56" w:name="_Toc28359009"/>
      <w:bookmarkStart w:id="57" w:name="_Toc28359086"/>
      <w:r>
        <w:rPr>
          <w:rFonts w:hint="eastAsia" w:ascii="宋体" w:hAnsi="宋体" w:cs="宋体"/>
          <w:sz w:val="24"/>
        </w:rPr>
        <w:t>名    称：北京市朝阳区人民政府香河园街道办事处</w:t>
      </w:r>
    </w:p>
    <w:p w14:paraId="17093A64">
      <w:pPr>
        <w:spacing w:line="360" w:lineRule="auto"/>
        <w:ind w:firstLine="480" w:firstLineChars="200"/>
        <w:jc w:val="left"/>
        <w:rPr>
          <w:rFonts w:hint="eastAsia" w:ascii="宋体" w:hAnsi="宋体" w:cs="宋体"/>
          <w:sz w:val="24"/>
        </w:rPr>
      </w:pPr>
      <w:r>
        <w:rPr>
          <w:rFonts w:hint="eastAsia" w:ascii="宋体" w:hAnsi="宋体" w:cs="宋体"/>
          <w:sz w:val="24"/>
        </w:rPr>
        <w:t>地    址：</w:t>
      </w:r>
      <w:r>
        <w:rPr>
          <w:rFonts w:hint="eastAsia" w:ascii="宋体" w:hAnsi="宋体"/>
          <w:sz w:val="24"/>
        </w:rPr>
        <w:t>北京市朝阳区西坝河南里</w:t>
      </w:r>
      <w:r>
        <w:rPr>
          <w:rFonts w:hint="eastAsia" w:ascii="宋体" w:hAnsi="宋体" w:cs="宋体"/>
          <w:sz w:val="24"/>
        </w:rPr>
        <w:t>26号楼</w:t>
      </w:r>
    </w:p>
    <w:p w14:paraId="5811D057">
      <w:pPr>
        <w:spacing w:line="360" w:lineRule="auto"/>
        <w:ind w:firstLine="480" w:firstLineChars="200"/>
        <w:jc w:val="left"/>
        <w:rPr>
          <w:rFonts w:hint="eastAsia" w:ascii="宋体" w:hAnsi="宋体" w:cs="宋体"/>
          <w:sz w:val="24"/>
        </w:rPr>
      </w:pPr>
      <w:r>
        <w:rPr>
          <w:rFonts w:hint="eastAsia" w:ascii="宋体" w:hAnsi="宋体" w:cs="宋体"/>
          <w:sz w:val="24"/>
        </w:rPr>
        <w:t>联系方式</w:t>
      </w:r>
      <w:r>
        <w:rPr>
          <w:rFonts w:hint="eastAsia" w:ascii="宋体" w:hAnsi="宋体" w:cs="宋体"/>
          <w:color w:val="000000" w:themeColor="text1"/>
          <w:sz w:val="24"/>
          <w14:textFill>
            <w14:solidFill>
              <w14:schemeClr w14:val="tx1"/>
            </w14:solidFill>
          </w14:textFill>
        </w:rPr>
        <w:t>：张老师010-84488407</w:t>
      </w:r>
    </w:p>
    <w:p w14:paraId="3E72746B">
      <w:pPr>
        <w:spacing w:line="360" w:lineRule="auto"/>
        <w:ind w:firstLine="482" w:firstLineChars="200"/>
        <w:jc w:val="left"/>
        <w:rPr>
          <w:rFonts w:hint="eastAsia" w:ascii="宋体" w:hAnsi="宋体" w:cs="宋体"/>
          <w:b/>
          <w:sz w:val="24"/>
        </w:rPr>
      </w:pPr>
      <w:r>
        <w:rPr>
          <w:rFonts w:hint="eastAsia" w:ascii="宋体" w:hAnsi="宋体" w:cs="宋体"/>
          <w:b/>
          <w:sz w:val="24"/>
        </w:rPr>
        <w:t>2.采购代理机构信息</w:t>
      </w:r>
      <w:bookmarkEnd w:id="56"/>
      <w:bookmarkEnd w:id="57"/>
    </w:p>
    <w:p w14:paraId="47E90C68">
      <w:pPr>
        <w:spacing w:line="360" w:lineRule="auto"/>
        <w:ind w:firstLine="480" w:firstLineChars="200"/>
        <w:jc w:val="left"/>
        <w:rPr>
          <w:rFonts w:hint="eastAsia" w:ascii="宋体" w:hAnsi="宋体" w:cs="宋体"/>
          <w:sz w:val="24"/>
        </w:rPr>
      </w:pPr>
      <w:bookmarkStart w:id="58" w:name="_Toc28359010"/>
      <w:bookmarkStart w:id="59" w:name="_Toc28359087"/>
      <w:r>
        <w:rPr>
          <w:rFonts w:hint="eastAsia" w:ascii="宋体" w:hAnsi="宋体" w:cs="宋体"/>
          <w:sz w:val="24"/>
        </w:rPr>
        <w:t>名    称：北京天一圣匠工程咨询有限公司</w:t>
      </w:r>
    </w:p>
    <w:p w14:paraId="528DBBF6">
      <w:pPr>
        <w:spacing w:line="360" w:lineRule="auto"/>
        <w:ind w:firstLine="480" w:firstLineChars="200"/>
        <w:jc w:val="left"/>
        <w:rPr>
          <w:rFonts w:hint="eastAsia" w:ascii="宋体" w:hAnsi="宋体" w:cs="宋体"/>
          <w:sz w:val="24"/>
        </w:rPr>
      </w:pPr>
      <w:r>
        <w:rPr>
          <w:rFonts w:hint="eastAsia" w:ascii="宋体" w:hAnsi="宋体" w:cs="宋体"/>
          <w:sz w:val="24"/>
        </w:rPr>
        <w:t>地    址：北京市丰台区郭公庄一区2号楼202室</w:t>
      </w:r>
    </w:p>
    <w:p w14:paraId="22709F77">
      <w:pPr>
        <w:spacing w:line="360" w:lineRule="auto"/>
        <w:ind w:firstLine="480" w:firstLineChars="200"/>
        <w:jc w:val="left"/>
        <w:rPr>
          <w:rFonts w:hint="eastAsia" w:ascii="宋体" w:hAnsi="宋体" w:cs="宋体"/>
          <w:sz w:val="24"/>
        </w:rPr>
      </w:pPr>
      <w:r>
        <w:rPr>
          <w:rFonts w:hint="eastAsia" w:ascii="宋体" w:hAnsi="宋体" w:cs="宋体"/>
          <w:sz w:val="24"/>
        </w:rPr>
        <w:t>联系方式：</w:t>
      </w:r>
      <w:bookmarkStart w:id="60" w:name="OLE_LINK19"/>
      <w:bookmarkStart w:id="61" w:name="OLE_LINK26"/>
      <w:r>
        <w:rPr>
          <w:rFonts w:hint="eastAsia" w:ascii="宋体" w:hAnsi="宋体" w:cs="宋体"/>
          <w:sz w:val="24"/>
        </w:rPr>
        <w:t xml:space="preserve">刘工 </w:t>
      </w:r>
      <w:bookmarkEnd w:id="60"/>
      <w:bookmarkEnd w:id="61"/>
      <w:r>
        <w:rPr>
          <w:rFonts w:hint="eastAsia" w:ascii="宋体" w:hAnsi="宋体"/>
          <w:kern w:val="0"/>
          <w:sz w:val="24"/>
        </w:rPr>
        <w:t>010-83613336</w:t>
      </w:r>
    </w:p>
    <w:p w14:paraId="55A25C90">
      <w:pPr>
        <w:spacing w:line="360" w:lineRule="auto"/>
        <w:ind w:firstLine="482" w:firstLineChars="200"/>
        <w:rPr>
          <w:rFonts w:hint="eastAsia" w:ascii="宋体" w:hAnsi="宋体" w:cs="宋体"/>
          <w:b/>
          <w:sz w:val="24"/>
        </w:rPr>
      </w:pPr>
      <w:r>
        <w:rPr>
          <w:rFonts w:hint="eastAsia" w:ascii="宋体" w:hAnsi="宋体" w:cs="宋体"/>
          <w:b/>
          <w:sz w:val="24"/>
        </w:rPr>
        <w:t>3.项目联系方式</w:t>
      </w:r>
      <w:bookmarkEnd w:id="58"/>
      <w:bookmarkEnd w:id="59"/>
    </w:p>
    <w:p w14:paraId="50C5F354">
      <w:pPr>
        <w:pStyle w:val="45"/>
        <w:spacing w:line="360" w:lineRule="auto"/>
        <w:ind w:firstLine="480" w:firstLineChars="200"/>
        <w:rPr>
          <w:rFonts w:hAnsi="宋体" w:cs="宋体"/>
          <w:sz w:val="24"/>
          <w:szCs w:val="24"/>
        </w:rPr>
      </w:pPr>
      <w:r>
        <w:rPr>
          <w:rFonts w:hAnsi="宋体" w:cs="宋体"/>
          <w:sz w:val="24"/>
          <w:szCs w:val="24"/>
        </w:rPr>
        <w:t xml:space="preserve">项目联系人：刘工     </w:t>
      </w:r>
    </w:p>
    <w:p w14:paraId="5514B063">
      <w:pPr>
        <w:pStyle w:val="45"/>
        <w:spacing w:line="360" w:lineRule="auto"/>
        <w:ind w:firstLine="480" w:firstLineChars="200"/>
        <w:rPr>
          <w:rFonts w:hAnsi="宋体" w:cs="宋体"/>
          <w:sz w:val="24"/>
          <w:szCs w:val="24"/>
        </w:rPr>
      </w:pPr>
      <w:r>
        <w:rPr>
          <w:rFonts w:hAnsi="宋体" w:cs="宋体"/>
          <w:sz w:val="24"/>
          <w:szCs w:val="24"/>
        </w:rPr>
        <w:t xml:space="preserve">电     </w:t>
      </w:r>
      <w:r>
        <w:rPr>
          <w:rFonts w:hint="eastAsia" w:hAnsi="宋体" w:cs="宋体"/>
          <w:sz w:val="24"/>
          <w:szCs w:val="24"/>
          <w:lang w:val="en-US" w:eastAsia="zh-CN"/>
        </w:rPr>
        <w:t xml:space="preserve"> </w:t>
      </w:r>
      <w:r>
        <w:rPr>
          <w:rFonts w:hAnsi="宋体" w:cs="宋体"/>
          <w:sz w:val="24"/>
          <w:szCs w:val="24"/>
        </w:rPr>
        <w:t>话：</w:t>
      </w:r>
      <w:r>
        <w:rPr>
          <w:rFonts w:hAnsi="宋体"/>
          <w:kern w:val="0"/>
          <w:sz w:val="24"/>
        </w:rPr>
        <w:t>010-83613336</w:t>
      </w:r>
    </w:p>
    <w:p w14:paraId="15BF9BC3">
      <w:pPr>
        <w:pStyle w:val="45"/>
        <w:spacing w:line="360" w:lineRule="auto"/>
        <w:ind w:firstLine="480" w:firstLineChars="200"/>
        <w:rPr>
          <w:rFonts w:hAnsi="宋体" w:cs="宋体"/>
          <w:sz w:val="24"/>
          <w:szCs w:val="24"/>
        </w:rPr>
      </w:pPr>
      <w:r>
        <w:rPr>
          <w:rFonts w:hAnsi="宋体" w:cs="宋体"/>
          <w:sz w:val="24"/>
          <w:szCs w:val="24"/>
        </w:rPr>
        <w:t xml:space="preserve">邮 </w:t>
      </w:r>
      <w:r>
        <w:rPr>
          <w:rFonts w:hint="default" w:hAnsi="宋体" w:cs="宋体"/>
          <w:sz w:val="24"/>
          <w:szCs w:val="24"/>
        </w:rPr>
        <w:t xml:space="preserve">    </w:t>
      </w:r>
      <w:r>
        <w:rPr>
          <w:rFonts w:hint="eastAsia" w:hAnsi="宋体" w:cs="宋体"/>
          <w:sz w:val="24"/>
          <w:szCs w:val="24"/>
          <w:lang w:val="en-US" w:eastAsia="zh-CN"/>
        </w:rPr>
        <w:t xml:space="preserve"> </w:t>
      </w:r>
      <w:r>
        <w:rPr>
          <w:rFonts w:hAnsi="宋体" w:cs="宋体"/>
          <w:sz w:val="24"/>
          <w:szCs w:val="24"/>
        </w:rPr>
        <w:t>箱：</w:t>
      </w:r>
      <w:r>
        <w:rPr>
          <w:rFonts w:hAnsi="宋体"/>
          <w:kern w:val="0"/>
          <w:sz w:val="24"/>
        </w:rPr>
        <w:t>tysj3336@126.com</w:t>
      </w:r>
    </w:p>
    <w:p w14:paraId="72C73A7D">
      <w:pPr>
        <w:pStyle w:val="45"/>
        <w:spacing w:line="360" w:lineRule="auto"/>
        <w:ind w:firstLine="723" w:firstLineChars="200"/>
        <w:rPr>
          <w:rFonts w:hAnsi="宋体" w:cs="仿宋"/>
          <w:b/>
          <w:sz w:val="36"/>
          <w:szCs w:val="36"/>
        </w:rPr>
      </w:pPr>
      <w:r>
        <w:rPr>
          <w:rFonts w:hAnsi="宋体" w:cs="仿宋"/>
          <w:b/>
          <w:sz w:val="36"/>
          <w:szCs w:val="36"/>
        </w:rPr>
        <w:br w:type="page"/>
      </w:r>
    </w:p>
    <w:p w14:paraId="601BC585">
      <w:pPr>
        <w:spacing w:line="360" w:lineRule="auto"/>
        <w:jc w:val="center"/>
        <w:outlineLvl w:val="0"/>
        <w:rPr>
          <w:rFonts w:hint="eastAsia" w:ascii="宋体" w:hAnsi="宋体" w:cs="仿宋"/>
          <w:b/>
          <w:sz w:val="32"/>
          <w:szCs w:val="32"/>
        </w:rPr>
      </w:pPr>
      <w:bookmarkStart w:id="62" w:name="_Toc10149"/>
      <w:r>
        <w:rPr>
          <w:rFonts w:hint="eastAsia" w:ascii="宋体" w:hAnsi="宋体" w:cs="仿宋"/>
          <w:b/>
          <w:sz w:val="36"/>
          <w:szCs w:val="36"/>
        </w:rPr>
        <w:t>第二章 供应商须知</w:t>
      </w:r>
      <w:bookmarkEnd w:id="43"/>
      <w:bookmarkEnd w:id="44"/>
      <w:bookmarkEnd w:id="45"/>
      <w:bookmarkEnd w:id="46"/>
      <w:bookmarkEnd w:id="47"/>
      <w:bookmarkEnd w:id="48"/>
      <w:bookmarkEnd w:id="49"/>
      <w:bookmarkEnd w:id="50"/>
      <w:bookmarkEnd w:id="51"/>
      <w:bookmarkEnd w:id="52"/>
      <w:bookmarkEnd w:id="53"/>
      <w:bookmarkEnd w:id="54"/>
      <w:bookmarkEnd w:id="55"/>
      <w:bookmarkEnd w:id="62"/>
    </w:p>
    <w:p w14:paraId="24755FC0">
      <w:pPr>
        <w:pStyle w:val="4"/>
        <w:tabs>
          <w:tab w:val="center" w:pos="4592"/>
          <w:tab w:val="left" w:pos="7860"/>
        </w:tabs>
        <w:spacing w:before="0" w:line="360" w:lineRule="auto"/>
        <w:rPr>
          <w:rFonts w:hint="eastAsia" w:ascii="宋体" w:hAnsi="宋体" w:eastAsia="宋体" w:cs="仿宋"/>
          <w:b w:val="0"/>
          <w:sz w:val="28"/>
        </w:rPr>
      </w:pPr>
      <w:bookmarkStart w:id="63" w:name="_Toc151193617"/>
      <w:bookmarkStart w:id="64" w:name="_Toc151193761"/>
      <w:bookmarkStart w:id="65" w:name="_Toc195842884"/>
      <w:bookmarkStart w:id="66" w:name="_Toc149720812"/>
      <w:bookmarkStart w:id="67" w:name="_Toc226965709"/>
      <w:bookmarkStart w:id="68" w:name="_Toc164229360"/>
      <w:bookmarkStart w:id="69" w:name="_Toc151193689"/>
      <w:bookmarkStart w:id="70" w:name="_Toc164608788"/>
      <w:bookmarkStart w:id="71" w:name="_Toc164229214"/>
      <w:bookmarkStart w:id="72" w:name="_Toc164608633"/>
      <w:bookmarkStart w:id="73" w:name="_Toc226309763"/>
      <w:bookmarkStart w:id="74" w:name="_Toc150774724"/>
      <w:bookmarkStart w:id="75" w:name="_Toc520356144"/>
      <w:bookmarkStart w:id="76" w:name="_Toc127151519"/>
      <w:bookmarkStart w:id="77" w:name="_Toc150509270"/>
      <w:bookmarkStart w:id="78" w:name="_Toc127161433"/>
      <w:bookmarkStart w:id="79" w:name="_Toc151190146"/>
      <w:bookmarkStart w:id="80" w:name="_Toc226965792"/>
      <w:bookmarkStart w:id="81" w:name="_Toc164351613"/>
      <w:bookmarkStart w:id="82" w:name="_Toc150774619"/>
      <w:bookmarkStart w:id="83" w:name="_Toc150480757"/>
      <w:bookmarkStart w:id="84" w:name="_Toc226337215"/>
      <w:bookmarkStart w:id="85" w:name="_Toc127151720"/>
      <w:bookmarkStart w:id="86" w:name="_Toc142311021"/>
      <w:bookmarkStart w:id="87" w:name="_Toc151193833"/>
      <w:bookmarkStart w:id="88" w:name="_Toc151193907"/>
      <w:r>
        <w:rPr>
          <w:rFonts w:hint="eastAsia" w:ascii="宋体" w:hAnsi="宋体" w:eastAsia="宋体" w:cs="仿宋"/>
          <w:sz w:val="28"/>
        </w:rPr>
        <w:t>供应商须知资料表</w:t>
      </w:r>
    </w:p>
    <w:p w14:paraId="45E719D3">
      <w:pPr>
        <w:spacing w:line="360" w:lineRule="auto"/>
        <w:ind w:firstLine="480"/>
        <w:rPr>
          <w:rFonts w:hint="eastAsia" w:ascii="宋体" w:hAnsi="宋体" w:cs="仿宋"/>
          <w:sz w:val="24"/>
        </w:rPr>
      </w:pPr>
      <w:r>
        <w:rPr>
          <w:rFonts w:hint="eastAsia" w:ascii="宋体" w:hAnsi="宋体" w:cs="仿宋"/>
          <w:sz w:val="24"/>
        </w:rPr>
        <w:t>本表是对供应商须知的具体补充和修改，如有矛盾，均以本资料表为准。</w:t>
      </w:r>
    </w:p>
    <w:tbl>
      <w:tblPr>
        <w:tblStyle w:val="88"/>
        <w:tblW w:w="540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5"/>
        <w:gridCol w:w="1925"/>
        <w:gridCol w:w="7262"/>
      </w:tblGrid>
      <w:tr w14:paraId="6FCFDE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 w:hRule="atLeast"/>
          <w:tblHeader/>
          <w:jc w:val="center"/>
        </w:trPr>
        <w:tc>
          <w:tcPr>
            <w:tcW w:w="480" w:type="pct"/>
            <w:vAlign w:val="center"/>
          </w:tcPr>
          <w:p w14:paraId="4DD67BA8">
            <w:pPr>
              <w:jc w:val="center"/>
              <w:rPr>
                <w:rFonts w:hint="eastAsia" w:ascii="宋体" w:hAnsi="宋体" w:cs="仿宋"/>
                <w:b/>
                <w:bCs/>
                <w:sz w:val="24"/>
              </w:rPr>
            </w:pPr>
            <w:r>
              <w:rPr>
                <w:rFonts w:hint="eastAsia" w:ascii="宋体" w:hAnsi="宋体" w:cs="仿宋"/>
                <w:b/>
                <w:sz w:val="24"/>
              </w:rPr>
              <w:t>条款号</w:t>
            </w:r>
          </w:p>
        </w:tc>
        <w:tc>
          <w:tcPr>
            <w:tcW w:w="947" w:type="pct"/>
            <w:vAlign w:val="center"/>
          </w:tcPr>
          <w:p w14:paraId="3852CB3A">
            <w:pPr>
              <w:jc w:val="center"/>
              <w:rPr>
                <w:rFonts w:hint="eastAsia" w:ascii="宋体" w:hAnsi="宋体" w:cs="仿宋"/>
                <w:b/>
                <w:bCs/>
                <w:sz w:val="24"/>
              </w:rPr>
            </w:pPr>
            <w:r>
              <w:rPr>
                <w:rFonts w:hint="eastAsia" w:ascii="宋体" w:hAnsi="宋体" w:cs="仿宋"/>
                <w:b/>
                <w:bCs/>
                <w:sz w:val="24"/>
              </w:rPr>
              <w:t>条目</w:t>
            </w:r>
          </w:p>
        </w:tc>
        <w:tc>
          <w:tcPr>
            <w:tcW w:w="3573" w:type="pct"/>
            <w:vAlign w:val="center"/>
          </w:tcPr>
          <w:p w14:paraId="5B4B38D3">
            <w:pPr>
              <w:jc w:val="center"/>
              <w:rPr>
                <w:rFonts w:hint="eastAsia" w:ascii="宋体" w:hAnsi="宋体" w:cs="仿宋"/>
                <w:b/>
                <w:bCs/>
                <w:sz w:val="24"/>
              </w:rPr>
            </w:pPr>
            <w:r>
              <w:rPr>
                <w:rFonts w:hint="eastAsia" w:ascii="宋体" w:hAnsi="宋体" w:cs="仿宋"/>
                <w:b/>
                <w:bCs/>
                <w:sz w:val="24"/>
              </w:rPr>
              <w:t>内容</w:t>
            </w:r>
          </w:p>
        </w:tc>
      </w:tr>
      <w:tr w14:paraId="5D6B70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480" w:type="pct"/>
            <w:vAlign w:val="center"/>
          </w:tcPr>
          <w:p w14:paraId="14A34ABF">
            <w:pPr>
              <w:pStyle w:val="45"/>
              <w:adjustRightInd w:val="0"/>
              <w:snapToGrid w:val="0"/>
              <w:jc w:val="center"/>
              <w:rPr>
                <w:rFonts w:hAnsi="宋体" w:cs="仿宋"/>
                <w:sz w:val="24"/>
                <w:szCs w:val="24"/>
              </w:rPr>
            </w:pPr>
            <w:r>
              <w:rPr>
                <w:rFonts w:hAnsi="宋体" w:cs="仿宋"/>
                <w:sz w:val="24"/>
                <w:szCs w:val="24"/>
              </w:rPr>
              <w:t>2.2</w:t>
            </w:r>
          </w:p>
        </w:tc>
        <w:tc>
          <w:tcPr>
            <w:tcW w:w="947" w:type="pct"/>
            <w:vAlign w:val="center"/>
          </w:tcPr>
          <w:p w14:paraId="577746FE">
            <w:pPr>
              <w:jc w:val="center"/>
              <w:rPr>
                <w:rFonts w:hint="eastAsia" w:ascii="宋体" w:hAnsi="宋体" w:cs="仿宋"/>
                <w:sz w:val="24"/>
              </w:rPr>
            </w:pPr>
            <w:r>
              <w:rPr>
                <w:rFonts w:hint="eastAsia" w:ascii="宋体" w:hAnsi="宋体" w:cs="仿宋"/>
                <w:sz w:val="24"/>
              </w:rPr>
              <w:t>项目属性</w:t>
            </w:r>
          </w:p>
        </w:tc>
        <w:tc>
          <w:tcPr>
            <w:tcW w:w="3573" w:type="pct"/>
            <w:vAlign w:val="center"/>
          </w:tcPr>
          <w:p w14:paraId="15EB74AA">
            <w:pPr>
              <w:jc w:val="left"/>
              <w:rPr>
                <w:rFonts w:hint="eastAsia" w:ascii="宋体" w:hAnsi="宋体" w:cs="仿宋"/>
                <w:sz w:val="24"/>
              </w:rPr>
            </w:pPr>
            <w:r>
              <w:rPr>
                <w:rFonts w:hint="eastAsia" w:ascii="宋体" w:hAnsi="宋体" w:cs="仿宋"/>
                <w:sz w:val="24"/>
              </w:rPr>
              <w:t>项目属性：</w:t>
            </w:r>
          </w:p>
          <w:p w14:paraId="04E750F0">
            <w:pPr>
              <w:jc w:val="left"/>
              <w:rPr>
                <w:rFonts w:hint="eastAsia" w:ascii="宋体" w:hAnsi="宋体" w:cs="仿宋"/>
                <w:sz w:val="24"/>
              </w:rPr>
            </w:pPr>
            <w:r>
              <w:rPr>
                <w:rFonts w:hint="eastAsia" w:ascii="宋体" w:hAnsi="宋体" w:cs="仿宋"/>
                <w:sz w:val="24"/>
              </w:rPr>
              <w:t>□服务</w:t>
            </w:r>
          </w:p>
          <w:p w14:paraId="3918BCFD">
            <w:pPr>
              <w:jc w:val="left"/>
              <w:rPr>
                <w:rFonts w:hint="eastAsia" w:ascii="宋体" w:hAnsi="宋体" w:cs="仿宋"/>
                <w:sz w:val="24"/>
              </w:rPr>
            </w:pPr>
            <w:r>
              <w:rPr>
                <w:rFonts w:hint="eastAsia" w:ascii="宋体" w:hAnsi="宋体" w:cs="仿宋"/>
                <w:sz w:val="24"/>
              </w:rPr>
              <w:t>□货物</w:t>
            </w:r>
          </w:p>
          <w:p w14:paraId="0516F96D">
            <w:pPr>
              <w:jc w:val="left"/>
              <w:rPr>
                <w:rFonts w:hint="eastAsia" w:ascii="宋体" w:hAnsi="宋体" w:cs="仿宋"/>
                <w:sz w:val="24"/>
                <w:u w:val="single"/>
              </w:rPr>
            </w:pPr>
            <w:r>
              <w:rPr>
                <w:rFonts w:ascii="宋体" w:hAnsi="宋体"/>
                <w:sz w:val="24"/>
              </w:rPr>
              <w:t>■</w:t>
            </w:r>
            <w:r>
              <w:rPr>
                <w:rFonts w:hint="eastAsia" w:ascii="宋体" w:hAnsi="宋体" w:cs="仿宋"/>
                <w:sz w:val="24"/>
              </w:rPr>
              <w:t>工程</w:t>
            </w:r>
          </w:p>
        </w:tc>
      </w:tr>
      <w:tr w14:paraId="290A0D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480" w:type="pct"/>
            <w:vAlign w:val="center"/>
          </w:tcPr>
          <w:p w14:paraId="7DD96734">
            <w:pPr>
              <w:pStyle w:val="45"/>
              <w:adjustRightInd w:val="0"/>
              <w:snapToGrid w:val="0"/>
              <w:jc w:val="center"/>
              <w:rPr>
                <w:rFonts w:hAnsi="宋体" w:cs="仿宋"/>
                <w:sz w:val="24"/>
                <w:szCs w:val="24"/>
              </w:rPr>
            </w:pPr>
            <w:r>
              <w:rPr>
                <w:rFonts w:hAnsi="宋体" w:cs="仿宋"/>
                <w:sz w:val="24"/>
                <w:szCs w:val="24"/>
              </w:rPr>
              <w:t>2.3</w:t>
            </w:r>
          </w:p>
        </w:tc>
        <w:tc>
          <w:tcPr>
            <w:tcW w:w="947" w:type="pct"/>
            <w:vAlign w:val="center"/>
          </w:tcPr>
          <w:p w14:paraId="18592DEE">
            <w:pPr>
              <w:jc w:val="center"/>
              <w:rPr>
                <w:rFonts w:hint="eastAsia" w:ascii="宋体" w:hAnsi="宋体" w:cs="仿宋"/>
                <w:sz w:val="24"/>
              </w:rPr>
            </w:pPr>
            <w:r>
              <w:rPr>
                <w:rFonts w:hint="eastAsia" w:ascii="宋体" w:hAnsi="宋体" w:cs="仿宋"/>
                <w:sz w:val="24"/>
              </w:rPr>
              <w:t>科研仪器设备</w:t>
            </w:r>
          </w:p>
        </w:tc>
        <w:tc>
          <w:tcPr>
            <w:tcW w:w="3573" w:type="pct"/>
            <w:vAlign w:val="center"/>
          </w:tcPr>
          <w:p w14:paraId="3043B6A3">
            <w:pPr>
              <w:jc w:val="left"/>
              <w:rPr>
                <w:rFonts w:hint="eastAsia" w:ascii="宋体" w:hAnsi="宋体" w:cs="仿宋"/>
                <w:sz w:val="24"/>
              </w:rPr>
            </w:pPr>
            <w:r>
              <w:rPr>
                <w:rFonts w:hint="eastAsia" w:ascii="宋体" w:hAnsi="宋体" w:cs="仿宋"/>
                <w:sz w:val="24"/>
              </w:rPr>
              <w:t>是否属于科研仪器设备采购项目：</w:t>
            </w:r>
          </w:p>
          <w:p w14:paraId="30C26761">
            <w:pPr>
              <w:jc w:val="left"/>
              <w:rPr>
                <w:rFonts w:hint="eastAsia" w:ascii="宋体" w:hAnsi="宋体" w:cs="仿宋"/>
                <w:sz w:val="24"/>
              </w:rPr>
            </w:pPr>
            <w:r>
              <w:rPr>
                <w:rFonts w:hint="eastAsia" w:ascii="宋体" w:hAnsi="宋体" w:cs="仿宋"/>
                <w:sz w:val="24"/>
              </w:rPr>
              <w:t>□是</w:t>
            </w:r>
          </w:p>
          <w:p w14:paraId="2D04B7C0">
            <w:pPr>
              <w:jc w:val="left"/>
              <w:rPr>
                <w:rFonts w:hint="eastAsia" w:ascii="宋体" w:hAnsi="宋体" w:cs="仿宋"/>
                <w:sz w:val="24"/>
              </w:rPr>
            </w:pPr>
            <w:r>
              <w:rPr>
                <w:rFonts w:ascii="宋体" w:hAnsi="宋体"/>
                <w:sz w:val="24"/>
              </w:rPr>
              <w:t>■</w:t>
            </w:r>
            <w:r>
              <w:rPr>
                <w:rFonts w:hint="eastAsia" w:ascii="宋体" w:hAnsi="宋体" w:cs="仿宋"/>
                <w:sz w:val="24"/>
              </w:rPr>
              <w:t xml:space="preserve">否 </w:t>
            </w:r>
          </w:p>
        </w:tc>
      </w:tr>
      <w:tr w14:paraId="231EF2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480" w:type="pct"/>
            <w:vMerge w:val="restart"/>
            <w:vAlign w:val="center"/>
          </w:tcPr>
          <w:p w14:paraId="01B3DB2A">
            <w:pPr>
              <w:pStyle w:val="45"/>
              <w:adjustRightInd w:val="0"/>
              <w:snapToGrid w:val="0"/>
              <w:jc w:val="center"/>
              <w:rPr>
                <w:rFonts w:hAnsi="宋体" w:cs="仿宋"/>
                <w:sz w:val="24"/>
                <w:szCs w:val="24"/>
              </w:rPr>
            </w:pPr>
            <w:r>
              <w:rPr>
                <w:rFonts w:hAnsi="宋体" w:cs="仿宋"/>
                <w:sz w:val="24"/>
                <w:szCs w:val="24"/>
              </w:rPr>
              <w:t>3.1</w:t>
            </w:r>
          </w:p>
        </w:tc>
        <w:tc>
          <w:tcPr>
            <w:tcW w:w="947" w:type="pct"/>
            <w:vAlign w:val="center"/>
          </w:tcPr>
          <w:p w14:paraId="6BEB8590">
            <w:pPr>
              <w:jc w:val="center"/>
              <w:rPr>
                <w:rFonts w:hint="eastAsia" w:ascii="宋体" w:hAnsi="宋体" w:cs="仿宋"/>
                <w:color w:val="000000" w:themeColor="text1"/>
                <w:sz w:val="24"/>
                <w14:textFill>
                  <w14:solidFill>
                    <w14:schemeClr w14:val="tx1"/>
                  </w14:solidFill>
                </w14:textFill>
              </w:rPr>
            </w:pPr>
            <w:r>
              <w:rPr>
                <w:rFonts w:hint="eastAsia" w:ascii="宋体" w:hAnsi="宋体" w:cs="仿宋"/>
                <w:color w:val="000000" w:themeColor="text1"/>
                <w:sz w:val="24"/>
                <w14:textFill>
                  <w14:solidFill>
                    <w14:schemeClr w14:val="tx1"/>
                  </w14:solidFill>
                </w14:textFill>
              </w:rPr>
              <w:t>现场考察</w:t>
            </w:r>
          </w:p>
        </w:tc>
        <w:tc>
          <w:tcPr>
            <w:tcW w:w="3573" w:type="pct"/>
            <w:vAlign w:val="center"/>
          </w:tcPr>
          <w:p w14:paraId="456FE511">
            <w:pPr>
              <w:jc w:val="left"/>
              <w:rPr>
                <w:rFonts w:hint="eastAsia" w:ascii="宋体" w:hAnsi="宋体" w:cs="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w:t>
            </w:r>
            <w:r>
              <w:rPr>
                <w:rFonts w:hint="eastAsia" w:ascii="宋体" w:hAnsi="宋体" w:cs="宋体"/>
                <w:color w:val="000000" w:themeColor="text1"/>
                <w:sz w:val="24"/>
                <w14:textFill>
                  <w14:solidFill>
                    <w14:schemeClr w14:val="tx1"/>
                  </w14:solidFill>
                </w14:textFill>
              </w:rPr>
              <w:t>不组织</w:t>
            </w:r>
          </w:p>
          <w:p w14:paraId="70B3A267">
            <w:pPr>
              <w:pStyle w:val="45"/>
              <w:adjustRightInd w:val="0"/>
              <w:snapToGrid w:val="0"/>
              <w:rPr>
                <w:rFonts w:hAnsi="宋体" w:cs="宋体"/>
                <w:bCs/>
                <w:color w:val="000000" w:themeColor="text1"/>
                <w:sz w:val="24"/>
                <w14:textFill>
                  <w14:solidFill>
                    <w14:schemeClr w14:val="tx1"/>
                  </w14:solidFill>
                </w14:textFill>
              </w:rPr>
            </w:pPr>
            <w:r>
              <w:rPr>
                <w:rFonts w:ascii="Wingdings 2" w:hAnsi="Wingdings 2" w:cs="宋体"/>
                <w:color w:val="000000" w:themeColor="text1"/>
                <w:sz w:val="24"/>
                <w14:textFill>
                  <w14:solidFill>
                    <w14:schemeClr w14:val="tx1"/>
                  </w14:solidFill>
                </w14:textFill>
              </w:rPr>
              <w:sym w:font="Wingdings 2" w:char="F0A3"/>
            </w:r>
            <w:r>
              <w:rPr>
                <w:rFonts w:hAnsi="宋体" w:cs="宋体"/>
                <w:color w:val="000000" w:themeColor="text1"/>
                <w:sz w:val="24"/>
                <w14:textFill>
                  <w14:solidFill>
                    <w14:schemeClr w14:val="tx1"/>
                  </w14:solidFill>
                </w14:textFill>
              </w:rPr>
              <w:t>组织，考察时间：</w:t>
            </w:r>
            <w:r>
              <w:rPr>
                <w:rFonts w:hAnsi="宋体" w:cs="宋体"/>
                <w:color w:val="000000" w:themeColor="text1"/>
                <w:sz w:val="24"/>
                <w:u w:val="single"/>
                <w14:textFill>
                  <w14:solidFill>
                    <w14:schemeClr w14:val="tx1"/>
                  </w14:solidFill>
                </w14:textFill>
              </w:rPr>
              <w:t xml:space="preserve"> / </w:t>
            </w:r>
            <w:r>
              <w:rPr>
                <w:rFonts w:hAnsi="宋体" w:cs="宋体"/>
                <w:color w:val="000000" w:themeColor="text1"/>
                <w:sz w:val="24"/>
                <w14:textFill>
                  <w14:solidFill>
                    <w14:schemeClr w14:val="tx1"/>
                  </w14:solidFill>
                </w14:textFill>
              </w:rPr>
              <w:t>年</w:t>
            </w:r>
            <w:r>
              <w:rPr>
                <w:rFonts w:hAnsi="宋体" w:cs="宋体"/>
                <w:color w:val="000000" w:themeColor="text1"/>
                <w:sz w:val="24"/>
                <w:u w:val="single"/>
                <w14:textFill>
                  <w14:solidFill>
                    <w14:schemeClr w14:val="tx1"/>
                  </w14:solidFill>
                </w14:textFill>
              </w:rPr>
              <w:t xml:space="preserve"> / </w:t>
            </w:r>
            <w:r>
              <w:rPr>
                <w:rFonts w:hAnsi="宋体" w:cs="宋体"/>
                <w:color w:val="000000" w:themeColor="text1"/>
                <w:sz w:val="24"/>
                <w14:textFill>
                  <w14:solidFill>
                    <w14:schemeClr w14:val="tx1"/>
                  </w14:solidFill>
                </w14:textFill>
              </w:rPr>
              <w:t>月</w:t>
            </w:r>
            <w:r>
              <w:rPr>
                <w:rFonts w:hAnsi="宋体" w:cs="宋体"/>
                <w:color w:val="000000" w:themeColor="text1"/>
                <w:sz w:val="24"/>
                <w:u w:val="single"/>
                <w14:textFill>
                  <w14:solidFill>
                    <w14:schemeClr w14:val="tx1"/>
                  </w14:solidFill>
                </w14:textFill>
              </w:rPr>
              <w:t xml:space="preserve"> / </w:t>
            </w:r>
            <w:r>
              <w:rPr>
                <w:rFonts w:hAnsi="宋体" w:cs="宋体"/>
                <w:color w:val="000000" w:themeColor="text1"/>
                <w:sz w:val="24"/>
                <w14:textFill>
                  <w14:solidFill>
                    <w14:schemeClr w14:val="tx1"/>
                  </w14:solidFill>
                </w14:textFill>
              </w:rPr>
              <w:t>日</w:t>
            </w:r>
            <w:r>
              <w:rPr>
                <w:rFonts w:hAnsi="宋体" w:cs="宋体"/>
                <w:color w:val="000000" w:themeColor="text1"/>
                <w:sz w:val="24"/>
                <w:u w:val="single"/>
                <w14:textFill>
                  <w14:solidFill>
                    <w14:schemeClr w14:val="tx1"/>
                  </w14:solidFill>
                </w14:textFill>
              </w:rPr>
              <w:t xml:space="preserve"> / </w:t>
            </w:r>
            <w:r>
              <w:rPr>
                <w:rFonts w:hAnsi="宋体" w:cs="宋体"/>
                <w:bCs/>
                <w:color w:val="000000" w:themeColor="text1"/>
                <w:sz w:val="24"/>
                <w14:textFill>
                  <w14:solidFill>
                    <w14:schemeClr w14:val="tx1"/>
                  </w14:solidFill>
                </w14:textFill>
              </w:rPr>
              <w:t>点</w:t>
            </w:r>
            <w:r>
              <w:rPr>
                <w:rFonts w:hAnsi="宋体" w:cs="宋体"/>
                <w:bCs/>
                <w:color w:val="000000" w:themeColor="text1"/>
                <w:sz w:val="24"/>
                <w:u w:val="single"/>
                <w14:textFill>
                  <w14:solidFill>
                    <w14:schemeClr w14:val="tx1"/>
                  </w14:solidFill>
                </w14:textFill>
              </w:rPr>
              <w:t xml:space="preserve"> </w:t>
            </w:r>
            <w:r>
              <w:rPr>
                <w:rFonts w:hAnsi="宋体" w:cs="宋体"/>
                <w:color w:val="000000" w:themeColor="text1"/>
                <w:sz w:val="24"/>
                <w:u w:val="single"/>
                <w14:textFill>
                  <w14:solidFill>
                    <w14:schemeClr w14:val="tx1"/>
                  </w14:solidFill>
                </w14:textFill>
              </w:rPr>
              <w:t xml:space="preserve">/ </w:t>
            </w:r>
            <w:r>
              <w:rPr>
                <w:rFonts w:hAnsi="宋体" w:cs="宋体"/>
                <w:bCs/>
                <w:color w:val="000000" w:themeColor="text1"/>
                <w:sz w:val="24"/>
                <w14:textFill>
                  <w14:solidFill>
                    <w14:schemeClr w14:val="tx1"/>
                  </w14:solidFill>
                </w14:textFill>
              </w:rPr>
              <w:t>分</w:t>
            </w:r>
          </w:p>
          <w:p w14:paraId="366A3278">
            <w:pPr>
              <w:pStyle w:val="45"/>
              <w:adjustRightInd w:val="0"/>
              <w:snapToGrid w:val="0"/>
              <w:rPr>
                <w:rFonts w:hAnsi="宋体" w:cs="仿宋"/>
                <w:color w:val="000000" w:themeColor="text1"/>
                <w:sz w:val="24"/>
                <w:szCs w:val="24"/>
                <w14:textFill>
                  <w14:solidFill>
                    <w14:schemeClr w14:val="tx1"/>
                  </w14:solidFill>
                </w14:textFill>
              </w:rPr>
            </w:pPr>
            <w:r>
              <w:rPr>
                <w:rFonts w:hAnsi="宋体" w:cs="宋体"/>
                <w:color w:val="000000" w:themeColor="text1"/>
                <w:sz w:val="24"/>
                <w:szCs w:val="24"/>
                <w14:textFill>
                  <w14:solidFill>
                    <w14:schemeClr w14:val="tx1"/>
                  </w14:solidFill>
                </w14:textFill>
              </w:rPr>
              <w:t>考察地点：</w:t>
            </w:r>
            <w:r>
              <w:rPr>
                <w:rFonts w:hAnsi="宋体" w:cs="宋体"/>
                <w:color w:val="000000" w:themeColor="text1"/>
                <w:sz w:val="24"/>
                <w:szCs w:val="24"/>
                <w:u w:val="single"/>
                <w14:textFill>
                  <w14:solidFill>
                    <w14:schemeClr w14:val="tx1"/>
                  </w14:solidFill>
                </w14:textFill>
              </w:rPr>
              <w:t xml:space="preserve"> / </w:t>
            </w:r>
            <w:r>
              <w:rPr>
                <w:rFonts w:hAnsi="宋体" w:cs="宋体"/>
                <w:color w:val="000000" w:themeColor="text1"/>
                <w:sz w:val="24"/>
                <w:szCs w:val="24"/>
                <w14:textFill>
                  <w14:solidFill>
                    <w14:schemeClr w14:val="tx1"/>
                  </w14:solidFill>
                </w14:textFill>
              </w:rPr>
              <w:t>。</w:t>
            </w:r>
          </w:p>
        </w:tc>
      </w:tr>
      <w:tr w14:paraId="31B0C9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480" w:type="pct"/>
            <w:vMerge w:val="continue"/>
            <w:vAlign w:val="center"/>
          </w:tcPr>
          <w:p w14:paraId="754BAD3D">
            <w:pPr>
              <w:pStyle w:val="45"/>
              <w:adjustRightInd w:val="0"/>
              <w:snapToGrid w:val="0"/>
              <w:jc w:val="center"/>
              <w:rPr>
                <w:rFonts w:hAnsi="宋体" w:cs="仿宋"/>
                <w:sz w:val="24"/>
                <w:szCs w:val="24"/>
              </w:rPr>
            </w:pPr>
          </w:p>
        </w:tc>
        <w:tc>
          <w:tcPr>
            <w:tcW w:w="947" w:type="pct"/>
            <w:vAlign w:val="center"/>
          </w:tcPr>
          <w:p w14:paraId="7341E8D4">
            <w:pPr>
              <w:jc w:val="center"/>
              <w:rPr>
                <w:rFonts w:hint="eastAsia" w:ascii="宋体" w:hAnsi="宋体" w:cs="仿宋"/>
                <w:sz w:val="24"/>
              </w:rPr>
            </w:pPr>
            <w:r>
              <w:rPr>
                <w:rFonts w:hint="eastAsia" w:ascii="宋体" w:hAnsi="宋体" w:cs="仿宋"/>
                <w:sz w:val="24"/>
              </w:rPr>
              <w:t>磋商前答疑会</w:t>
            </w:r>
          </w:p>
        </w:tc>
        <w:tc>
          <w:tcPr>
            <w:tcW w:w="3573" w:type="pct"/>
            <w:vAlign w:val="center"/>
          </w:tcPr>
          <w:p w14:paraId="428E0DF8">
            <w:pPr>
              <w:jc w:val="left"/>
              <w:rPr>
                <w:rFonts w:hint="eastAsia" w:ascii="宋体" w:hAnsi="宋体" w:cs="宋体"/>
                <w:sz w:val="24"/>
              </w:rPr>
            </w:pPr>
            <w:r>
              <w:rPr>
                <w:rFonts w:ascii="宋体" w:hAnsi="宋体"/>
                <w:sz w:val="24"/>
              </w:rPr>
              <w:t>■</w:t>
            </w:r>
            <w:r>
              <w:rPr>
                <w:rFonts w:hint="eastAsia" w:ascii="宋体" w:hAnsi="宋体" w:cs="宋体"/>
                <w:sz w:val="24"/>
              </w:rPr>
              <w:t>不召开</w:t>
            </w:r>
          </w:p>
          <w:p w14:paraId="5EBAADCC">
            <w:pPr>
              <w:jc w:val="left"/>
              <w:rPr>
                <w:rFonts w:hint="eastAsia" w:ascii="宋体" w:hAnsi="宋体" w:cs="宋体"/>
                <w:sz w:val="24"/>
              </w:rPr>
            </w:pPr>
            <w:r>
              <w:rPr>
                <w:rFonts w:ascii="Wingdings 2" w:hAnsi="Wingdings 2" w:cs="宋体"/>
                <w:sz w:val="24"/>
              </w:rPr>
              <w:sym w:font="Wingdings 2" w:char="F0A3"/>
            </w:r>
            <w:r>
              <w:rPr>
                <w:rFonts w:hint="eastAsia" w:ascii="宋体" w:hAnsi="宋体" w:cs="宋体"/>
                <w:sz w:val="24"/>
              </w:rPr>
              <w:t>召开，召开时间：</w:t>
            </w:r>
            <w:r>
              <w:rPr>
                <w:rFonts w:hint="eastAsia" w:ascii="宋体" w:hAnsi="宋体" w:cs="宋体"/>
                <w:sz w:val="24"/>
                <w:u w:val="single"/>
              </w:rPr>
              <w:t xml:space="preserve"> </w:t>
            </w:r>
            <w:r>
              <w:rPr>
                <w:rFonts w:ascii="宋体" w:hAnsi="宋体" w:cs="宋体"/>
                <w:sz w:val="24"/>
                <w:u w:val="single"/>
              </w:rPr>
              <w:t>/</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ascii="宋体" w:hAnsi="宋体" w:cs="宋体"/>
                <w:sz w:val="24"/>
                <w:u w:val="single"/>
              </w:rPr>
              <w:t>/</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ascii="宋体" w:hAnsi="宋体" w:cs="宋体"/>
                <w:sz w:val="24"/>
                <w:u w:val="single"/>
              </w:rPr>
              <w:t>/</w:t>
            </w:r>
            <w:r>
              <w:rPr>
                <w:rFonts w:hint="eastAsia" w:ascii="宋体" w:hAnsi="宋体" w:cs="宋体"/>
                <w:sz w:val="24"/>
                <w:u w:val="single"/>
              </w:rPr>
              <w:t xml:space="preserve"> </w:t>
            </w:r>
            <w:r>
              <w:rPr>
                <w:rFonts w:hint="eastAsia" w:ascii="宋体" w:hAnsi="宋体" w:cs="宋体"/>
                <w:sz w:val="24"/>
              </w:rPr>
              <w:t>日</w:t>
            </w:r>
            <w:r>
              <w:rPr>
                <w:rFonts w:hint="eastAsia" w:ascii="宋体" w:hAnsi="宋体" w:cs="宋体"/>
                <w:sz w:val="24"/>
                <w:u w:val="single"/>
              </w:rPr>
              <w:t xml:space="preserve"> </w:t>
            </w:r>
            <w:r>
              <w:rPr>
                <w:rFonts w:ascii="宋体" w:hAnsi="宋体" w:cs="宋体"/>
                <w:sz w:val="24"/>
                <w:u w:val="single"/>
              </w:rPr>
              <w:t>/</w:t>
            </w:r>
            <w:r>
              <w:rPr>
                <w:rFonts w:hint="eastAsia" w:ascii="宋体" w:hAnsi="宋体" w:cs="宋体"/>
                <w:sz w:val="24"/>
                <w:u w:val="single"/>
              </w:rPr>
              <w:t xml:space="preserve"> </w:t>
            </w:r>
            <w:r>
              <w:rPr>
                <w:rFonts w:hint="eastAsia" w:ascii="宋体" w:hAnsi="宋体" w:cs="宋体"/>
                <w:bCs/>
                <w:sz w:val="24"/>
              </w:rPr>
              <w:t>点</w:t>
            </w:r>
            <w:r>
              <w:rPr>
                <w:rFonts w:hint="eastAsia" w:ascii="宋体" w:hAnsi="宋体" w:cs="宋体"/>
                <w:bCs/>
                <w:sz w:val="24"/>
                <w:u w:val="single"/>
              </w:rPr>
              <w:t xml:space="preserve"> </w:t>
            </w:r>
            <w:r>
              <w:rPr>
                <w:rFonts w:ascii="宋体" w:hAnsi="宋体" w:cs="宋体"/>
                <w:sz w:val="24"/>
                <w:u w:val="single"/>
              </w:rPr>
              <w:t>/</w:t>
            </w:r>
            <w:r>
              <w:rPr>
                <w:rFonts w:hint="eastAsia" w:ascii="宋体" w:hAnsi="宋体" w:cs="宋体"/>
                <w:sz w:val="24"/>
                <w:u w:val="single"/>
              </w:rPr>
              <w:t xml:space="preserve"> </w:t>
            </w:r>
            <w:r>
              <w:rPr>
                <w:rFonts w:hint="eastAsia" w:ascii="宋体" w:hAnsi="宋体" w:cs="宋体"/>
                <w:bCs/>
                <w:sz w:val="24"/>
              </w:rPr>
              <w:t>分</w:t>
            </w:r>
          </w:p>
          <w:p w14:paraId="3AAA489F">
            <w:pPr>
              <w:jc w:val="left"/>
              <w:rPr>
                <w:rFonts w:hint="eastAsia" w:ascii="宋体" w:hAnsi="宋体" w:cs="仿宋"/>
                <w:sz w:val="24"/>
              </w:rPr>
            </w:pPr>
            <w:r>
              <w:rPr>
                <w:rFonts w:hint="eastAsia" w:ascii="宋体" w:hAnsi="宋体" w:cs="宋体"/>
                <w:sz w:val="24"/>
              </w:rPr>
              <w:t>召开地点：</w:t>
            </w:r>
            <w:r>
              <w:rPr>
                <w:rFonts w:hint="eastAsia" w:ascii="宋体" w:hAnsi="宋体" w:cs="宋体"/>
                <w:sz w:val="24"/>
                <w:u w:val="single"/>
              </w:rPr>
              <w:t xml:space="preserve"> </w:t>
            </w:r>
            <w:r>
              <w:rPr>
                <w:rFonts w:ascii="宋体" w:hAnsi="宋体" w:cs="宋体"/>
                <w:sz w:val="24"/>
                <w:u w:val="single"/>
              </w:rPr>
              <w:t xml:space="preserve">/ </w:t>
            </w:r>
            <w:r>
              <w:rPr>
                <w:rFonts w:ascii="宋体" w:hAnsi="宋体" w:cs="宋体"/>
                <w:sz w:val="24"/>
              </w:rPr>
              <w:t>。</w:t>
            </w:r>
          </w:p>
        </w:tc>
      </w:tr>
      <w:tr w14:paraId="1723AD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6" w:hRule="atLeast"/>
          <w:jc w:val="center"/>
        </w:trPr>
        <w:tc>
          <w:tcPr>
            <w:tcW w:w="480" w:type="pct"/>
            <w:vAlign w:val="center"/>
          </w:tcPr>
          <w:p w14:paraId="66335B4F">
            <w:pPr>
              <w:pStyle w:val="45"/>
              <w:adjustRightInd w:val="0"/>
              <w:snapToGrid w:val="0"/>
              <w:jc w:val="center"/>
              <w:rPr>
                <w:rFonts w:hAnsi="宋体" w:cs="仿宋"/>
                <w:sz w:val="24"/>
                <w:szCs w:val="24"/>
              </w:rPr>
            </w:pPr>
            <w:r>
              <w:rPr>
                <w:rFonts w:hAnsi="宋体" w:cs="仿宋"/>
                <w:sz w:val="24"/>
                <w:szCs w:val="24"/>
              </w:rPr>
              <w:t>4.2.5</w:t>
            </w:r>
          </w:p>
        </w:tc>
        <w:tc>
          <w:tcPr>
            <w:tcW w:w="947" w:type="pct"/>
            <w:vAlign w:val="center"/>
          </w:tcPr>
          <w:p w14:paraId="5B42C648">
            <w:pPr>
              <w:jc w:val="center"/>
              <w:rPr>
                <w:rFonts w:hint="eastAsia" w:ascii="宋体" w:hAnsi="宋体" w:cs="仿宋"/>
                <w:sz w:val="24"/>
              </w:rPr>
            </w:pPr>
            <w:r>
              <w:rPr>
                <w:rFonts w:hint="eastAsia" w:ascii="宋体" w:hAnsi="宋体" w:cs="仿宋"/>
                <w:sz w:val="24"/>
              </w:rPr>
              <w:t>标的所属行业</w:t>
            </w:r>
          </w:p>
        </w:tc>
        <w:tc>
          <w:tcPr>
            <w:tcW w:w="3573" w:type="pct"/>
            <w:vAlign w:val="center"/>
          </w:tcPr>
          <w:p w14:paraId="2BBD972B">
            <w:pPr>
              <w:jc w:val="left"/>
              <w:rPr>
                <w:rFonts w:hint="eastAsia" w:ascii="宋体" w:hAnsi="宋体" w:cs="仿宋"/>
                <w:sz w:val="24"/>
              </w:rPr>
            </w:pPr>
            <w:r>
              <w:rPr>
                <w:rFonts w:hint="eastAsia" w:ascii="宋体" w:hAnsi="宋体" w:cs="仿宋"/>
                <w:sz w:val="24"/>
              </w:rPr>
              <w:t>本项目采购标的对应的中小企业划分标准所属行业：</w:t>
            </w:r>
          </w:p>
          <w:tbl>
            <w:tblPr>
              <w:tblStyle w:val="88"/>
              <w:tblW w:w="497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27"/>
              <w:gridCol w:w="2779"/>
            </w:tblGrid>
            <w:tr w14:paraId="77AEEB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3017" w:type="pct"/>
                  <w:tcBorders>
                    <w:top w:val="single" w:color="auto" w:sz="4" w:space="0"/>
                    <w:left w:val="single" w:color="auto" w:sz="4" w:space="0"/>
                    <w:bottom w:val="single" w:color="auto" w:sz="4" w:space="0"/>
                    <w:right w:val="single" w:color="auto" w:sz="4" w:space="0"/>
                  </w:tcBorders>
                  <w:vAlign w:val="center"/>
                </w:tcPr>
                <w:p w14:paraId="235D0C63">
                  <w:pPr>
                    <w:jc w:val="center"/>
                    <w:rPr>
                      <w:rFonts w:hint="eastAsia" w:ascii="宋体" w:hAnsi="宋体" w:cs="仿宋"/>
                      <w:bCs/>
                      <w:sz w:val="24"/>
                    </w:rPr>
                  </w:pPr>
                  <w:r>
                    <w:rPr>
                      <w:rFonts w:hint="eastAsia" w:ascii="宋体" w:hAnsi="宋体" w:cs="仿宋"/>
                      <w:bCs/>
                      <w:sz w:val="24"/>
                    </w:rPr>
                    <w:t>标的名称</w:t>
                  </w:r>
                </w:p>
              </w:tc>
              <w:tc>
                <w:tcPr>
                  <w:tcW w:w="1983" w:type="pct"/>
                  <w:tcBorders>
                    <w:top w:val="single" w:color="auto" w:sz="4" w:space="0"/>
                    <w:left w:val="single" w:color="auto" w:sz="4" w:space="0"/>
                    <w:bottom w:val="single" w:color="auto" w:sz="4" w:space="0"/>
                    <w:right w:val="single" w:color="auto" w:sz="4" w:space="0"/>
                  </w:tcBorders>
                  <w:vAlign w:val="center"/>
                </w:tcPr>
                <w:p w14:paraId="43B0FB8B">
                  <w:pPr>
                    <w:jc w:val="center"/>
                    <w:rPr>
                      <w:rFonts w:hint="eastAsia" w:ascii="宋体" w:hAnsi="宋体" w:cs="仿宋"/>
                      <w:sz w:val="24"/>
                    </w:rPr>
                  </w:pPr>
                  <w:r>
                    <w:rPr>
                      <w:rFonts w:hint="eastAsia" w:ascii="宋体" w:hAnsi="宋体" w:cs="仿宋"/>
                      <w:sz w:val="24"/>
                    </w:rPr>
                    <w:t>中小企业划分标准所属行业</w:t>
                  </w:r>
                </w:p>
              </w:tc>
            </w:tr>
            <w:tr w14:paraId="320844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trPr>
              <w:tc>
                <w:tcPr>
                  <w:tcW w:w="3017" w:type="pct"/>
                  <w:tcBorders>
                    <w:top w:val="single" w:color="auto" w:sz="4" w:space="0"/>
                    <w:left w:val="single" w:color="auto" w:sz="4" w:space="0"/>
                    <w:bottom w:val="single" w:color="auto" w:sz="4" w:space="0"/>
                    <w:right w:val="single" w:color="auto" w:sz="4" w:space="0"/>
                  </w:tcBorders>
                  <w:vAlign w:val="center"/>
                </w:tcPr>
                <w:p w14:paraId="0C902558">
                  <w:pPr>
                    <w:jc w:val="center"/>
                    <w:rPr>
                      <w:rFonts w:hint="eastAsia" w:ascii="宋体" w:hAnsi="宋体" w:cs="仿宋"/>
                      <w:bCs/>
                      <w:sz w:val="24"/>
                    </w:rPr>
                  </w:pPr>
                  <w:r>
                    <w:rPr>
                      <w:rFonts w:hint="eastAsia" w:ascii="宋体" w:hAnsi="宋体" w:cs="宋体"/>
                      <w:sz w:val="24"/>
                    </w:rPr>
                    <w:t>2026年香河园街道重点楼防水改造项目工程</w:t>
                  </w:r>
                </w:p>
              </w:tc>
              <w:tc>
                <w:tcPr>
                  <w:tcW w:w="1983" w:type="pct"/>
                  <w:tcBorders>
                    <w:top w:val="single" w:color="auto" w:sz="4" w:space="0"/>
                    <w:left w:val="single" w:color="auto" w:sz="4" w:space="0"/>
                    <w:bottom w:val="single" w:color="auto" w:sz="4" w:space="0"/>
                    <w:right w:val="single" w:color="auto" w:sz="4" w:space="0"/>
                  </w:tcBorders>
                  <w:vAlign w:val="center"/>
                </w:tcPr>
                <w:p w14:paraId="10F56AA0">
                  <w:pPr>
                    <w:jc w:val="center"/>
                    <w:rPr>
                      <w:rFonts w:hint="eastAsia" w:ascii="宋体" w:hAnsi="宋体" w:cs="仿宋"/>
                      <w:kern w:val="0"/>
                      <w:sz w:val="24"/>
                    </w:rPr>
                  </w:pPr>
                  <w:r>
                    <w:rPr>
                      <w:rFonts w:hint="eastAsia" w:ascii="宋体" w:hAnsi="宋体" w:cs="仿宋"/>
                      <w:b/>
                      <w:bCs/>
                      <w:sz w:val="24"/>
                    </w:rPr>
                    <w:t>建筑业</w:t>
                  </w:r>
                </w:p>
              </w:tc>
            </w:tr>
          </w:tbl>
          <w:p w14:paraId="02447406">
            <w:pPr>
              <w:jc w:val="left"/>
              <w:rPr>
                <w:rFonts w:hint="eastAsia" w:ascii="宋体" w:hAnsi="宋体" w:cs="仿宋"/>
                <w:sz w:val="24"/>
              </w:rPr>
            </w:pPr>
          </w:p>
        </w:tc>
      </w:tr>
      <w:tr w14:paraId="508BEE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480" w:type="pct"/>
            <w:vAlign w:val="center"/>
          </w:tcPr>
          <w:p w14:paraId="4ED122FE">
            <w:pPr>
              <w:pStyle w:val="45"/>
              <w:adjustRightInd w:val="0"/>
              <w:snapToGrid w:val="0"/>
              <w:jc w:val="center"/>
              <w:rPr>
                <w:rFonts w:hAnsi="宋体" w:cs="仿宋"/>
                <w:color w:val="000000" w:themeColor="text1"/>
                <w:sz w:val="24"/>
                <w:szCs w:val="24"/>
                <w14:textFill>
                  <w14:solidFill>
                    <w14:schemeClr w14:val="tx1"/>
                  </w14:solidFill>
                </w14:textFill>
              </w:rPr>
            </w:pPr>
            <w:r>
              <w:rPr>
                <w:rFonts w:hAnsi="宋体" w:cs="仿宋"/>
                <w:color w:val="000000" w:themeColor="text1"/>
                <w:sz w:val="24"/>
                <w:szCs w:val="24"/>
                <w14:textFill>
                  <w14:solidFill>
                    <w14:schemeClr w14:val="tx1"/>
                  </w14:solidFill>
                </w14:textFill>
              </w:rPr>
              <w:t>10.2</w:t>
            </w:r>
          </w:p>
        </w:tc>
        <w:tc>
          <w:tcPr>
            <w:tcW w:w="947" w:type="pct"/>
            <w:vAlign w:val="center"/>
          </w:tcPr>
          <w:p w14:paraId="48384DDA">
            <w:pPr>
              <w:jc w:val="center"/>
              <w:rPr>
                <w:rFonts w:hint="eastAsia" w:ascii="宋体" w:hAnsi="宋体" w:cs="仿宋"/>
                <w:color w:val="000000" w:themeColor="text1"/>
                <w:sz w:val="24"/>
                <w14:textFill>
                  <w14:solidFill>
                    <w14:schemeClr w14:val="tx1"/>
                  </w14:solidFill>
                </w14:textFill>
              </w:rPr>
            </w:pPr>
            <w:r>
              <w:rPr>
                <w:rFonts w:hint="eastAsia" w:ascii="宋体" w:hAnsi="宋体" w:cs="仿宋"/>
                <w:color w:val="000000" w:themeColor="text1"/>
                <w:sz w:val="24"/>
                <w14:textFill>
                  <w14:solidFill>
                    <w14:schemeClr w14:val="tx1"/>
                  </w14:solidFill>
                </w14:textFill>
              </w:rPr>
              <w:t>报价</w:t>
            </w:r>
          </w:p>
        </w:tc>
        <w:tc>
          <w:tcPr>
            <w:tcW w:w="3573" w:type="pct"/>
            <w:vAlign w:val="center"/>
          </w:tcPr>
          <w:p w14:paraId="330F8D65">
            <w:pPr>
              <w:jc w:val="left"/>
              <w:rPr>
                <w:rFonts w:hint="eastAsia" w:ascii="宋体" w:hAnsi="宋体" w:cs="仿宋"/>
                <w:color w:val="000000" w:themeColor="text1"/>
                <w:sz w:val="24"/>
                <w14:textFill>
                  <w14:solidFill>
                    <w14:schemeClr w14:val="tx1"/>
                  </w14:solidFill>
                </w14:textFill>
              </w:rPr>
            </w:pPr>
            <w:r>
              <w:rPr>
                <w:rFonts w:hint="eastAsia" w:ascii="宋体" w:hAnsi="宋体" w:cs="仿宋"/>
                <w:color w:val="000000" w:themeColor="text1"/>
                <w:sz w:val="24"/>
                <w14:textFill>
                  <w14:solidFill>
                    <w14:schemeClr w14:val="tx1"/>
                  </w14:solidFill>
                </w14:textFill>
              </w:rPr>
              <w:t>报价的特殊规定：</w:t>
            </w:r>
          </w:p>
          <w:p w14:paraId="76B0366D">
            <w:pPr>
              <w:jc w:val="left"/>
              <w:rPr>
                <w:rFonts w:hint="eastAsia" w:ascii="宋体" w:hAnsi="宋体" w:cs="仿宋"/>
                <w:color w:val="000000" w:themeColor="text1"/>
                <w:sz w:val="24"/>
                <w14:textFill>
                  <w14:solidFill>
                    <w14:schemeClr w14:val="tx1"/>
                  </w14:solidFill>
                </w14:textFill>
              </w:rPr>
            </w:pPr>
            <w:r>
              <w:rPr>
                <w:rFonts w:hint="eastAsia" w:ascii="宋体" w:hAnsi="宋体" w:cs="仿宋"/>
                <w:color w:val="000000" w:themeColor="text1"/>
                <w:sz w:val="24"/>
                <w14:textFill>
                  <w14:solidFill>
                    <w14:schemeClr w14:val="tx1"/>
                  </w14:solidFill>
                </w14:textFill>
              </w:rPr>
              <w:t>□无</w:t>
            </w:r>
          </w:p>
          <w:p w14:paraId="6124F286">
            <w:pPr>
              <w:jc w:val="left"/>
              <w:rPr>
                <w:rFonts w:hint="eastAsia" w:asciiTheme="minorEastAsia" w:hAnsiTheme="minorEastAsia" w:eastAsiaTheme="minorEastAsia"/>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w:t>
            </w:r>
            <w:r>
              <w:rPr>
                <w:rFonts w:hint="eastAsia" w:ascii="宋体" w:hAnsi="宋体" w:cs="仿宋"/>
                <w:color w:val="000000" w:themeColor="text1"/>
                <w:sz w:val="24"/>
                <w14:textFill>
                  <w14:solidFill>
                    <w14:schemeClr w14:val="tx1"/>
                  </w14:solidFill>
                </w14:textFill>
              </w:rPr>
              <w:t>有，具体情形</w:t>
            </w:r>
            <w:r>
              <w:rPr>
                <w:rFonts w:hint="eastAsia" w:ascii="宋体" w:hAnsi="宋体" w:cs="宋体"/>
                <w:color w:val="000000" w:themeColor="text1"/>
                <w:sz w:val="24"/>
                <w14:textFill>
                  <w14:solidFill>
                    <w14:schemeClr w14:val="tx1"/>
                  </w14:solidFill>
                </w14:textFill>
              </w:rPr>
              <w:t>：</w:t>
            </w:r>
          </w:p>
          <w:p w14:paraId="6178F37E">
            <w:pPr>
              <w:pStyle w:val="309"/>
              <w:keepNext w:val="0"/>
              <w:keepLines w:val="0"/>
              <w:snapToGrid w:val="0"/>
              <w:spacing w:before="0" w:after="0" w:line="240" w:lineRule="auto"/>
              <w:rPr>
                <w:rFonts w:hint="eastAsia" w:cs="Arial" w:asciiTheme="minorEastAsia" w:hAnsiTheme="minorEastAsia" w:eastAsiaTheme="minorEastAsia"/>
                <w:b/>
                <w:color w:val="000000" w:themeColor="text1"/>
                <w:sz w:val="24"/>
                <w:lang w:val="en-US"/>
                <w14:textFill>
                  <w14:solidFill>
                    <w14:schemeClr w14:val="tx1"/>
                  </w14:solidFill>
                </w14:textFill>
              </w:rPr>
            </w:pPr>
            <w:r>
              <w:rPr>
                <w:rFonts w:hint="eastAsia" w:asciiTheme="minorEastAsia" w:hAnsiTheme="minorEastAsia" w:eastAsiaTheme="minorEastAsia"/>
                <w:b/>
                <w:color w:val="000000" w:themeColor="text1"/>
                <w:sz w:val="24"/>
                <w:szCs w:val="24"/>
                <w:lang w:val="en-US"/>
                <w14:textFill>
                  <w14:solidFill>
                    <w14:schemeClr w14:val="tx1"/>
                  </w14:solidFill>
                </w14:textFill>
              </w:rPr>
              <w:t>本项目最高限价为：</w:t>
            </w:r>
            <w:r>
              <w:rPr>
                <w:rFonts w:hint="eastAsia" w:asciiTheme="minorEastAsia" w:hAnsiTheme="minorEastAsia" w:eastAsiaTheme="minorEastAsia"/>
                <w:b/>
                <w:color w:val="000000" w:themeColor="text1"/>
                <w:sz w:val="24"/>
                <w:szCs w:val="24"/>
                <w:u w:val="single"/>
                <w:lang w:val="en-US"/>
                <w14:textFill>
                  <w14:solidFill>
                    <w14:schemeClr w14:val="tx1"/>
                  </w14:solidFill>
                </w14:textFill>
              </w:rPr>
              <w:t>1157438.79</w:t>
            </w:r>
            <w:r>
              <w:rPr>
                <w:rFonts w:hint="eastAsia" w:asciiTheme="minorEastAsia" w:hAnsiTheme="minorEastAsia" w:eastAsiaTheme="minorEastAsia"/>
                <w:b/>
                <w:color w:val="000000" w:themeColor="text1"/>
                <w:sz w:val="24"/>
                <w:szCs w:val="24"/>
                <w:lang w:val="en-US"/>
                <w14:textFill>
                  <w14:solidFill>
                    <w14:schemeClr w14:val="tx1"/>
                  </w14:solidFill>
                </w14:textFill>
              </w:rPr>
              <w:t>元。</w:t>
            </w:r>
          </w:p>
          <w:p w14:paraId="7822096E">
            <w:pPr>
              <w:adjustRightInd w:val="0"/>
              <w:snapToGrid w:val="0"/>
              <w:ind w:firstLine="480" w:firstLineChars="200"/>
              <w:jc w:val="left"/>
              <w:rPr>
                <w:rFonts w:hint="eastAsia" w:cs="Arial" w:asciiTheme="minorEastAsia" w:hAnsiTheme="minorEastAsia" w:eastAsiaTheme="minorEastAsia"/>
                <w:bCs/>
                <w:color w:val="000000" w:themeColor="text1"/>
                <w:sz w:val="24"/>
                <w14:textFill>
                  <w14:solidFill>
                    <w14:schemeClr w14:val="tx1"/>
                  </w14:solidFill>
                </w14:textFill>
              </w:rPr>
            </w:pPr>
            <w:r>
              <w:rPr>
                <w:rFonts w:hint="eastAsia" w:cs="Arial" w:asciiTheme="minorEastAsia" w:hAnsiTheme="minorEastAsia" w:eastAsiaTheme="minorEastAsia"/>
                <w:bCs/>
                <w:color w:val="000000" w:themeColor="text1"/>
                <w:sz w:val="24"/>
                <w14:textFill>
                  <w14:solidFill>
                    <w14:schemeClr w14:val="tx1"/>
                  </w14:solidFill>
                </w14:textFill>
              </w:rPr>
              <w:t>其中：分部分项工程合价为：</w:t>
            </w:r>
            <w:r>
              <w:rPr>
                <w:rFonts w:hint="eastAsia" w:cs="Arial" w:asciiTheme="minorEastAsia" w:hAnsiTheme="minorEastAsia" w:eastAsiaTheme="minorEastAsia"/>
                <w:bCs/>
                <w:color w:val="000000" w:themeColor="text1"/>
                <w:sz w:val="24"/>
                <w:u w:val="single"/>
                <w14:textFill>
                  <w14:solidFill>
                    <w14:schemeClr w14:val="tx1"/>
                  </w14:solidFill>
                </w14:textFill>
              </w:rPr>
              <w:t>949645.33</w:t>
            </w:r>
            <w:r>
              <w:rPr>
                <w:rFonts w:hint="eastAsia" w:cs="Arial" w:asciiTheme="minorEastAsia" w:hAnsiTheme="minorEastAsia" w:eastAsiaTheme="minorEastAsia"/>
                <w:bCs/>
                <w:color w:val="000000" w:themeColor="text1"/>
                <w:sz w:val="24"/>
                <w14:textFill>
                  <w14:solidFill>
                    <w14:schemeClr w14:val="tx1"/>
                  </w14:solidFill>
                </w14:textFill>
              </w:rPr>
              <w:t>元；</w:t>
            </w:r>
          </w:p>
          <w:p w14:paraId="4CD0A6F0">
            <w:pPr>
              <w:adjustRightInd w:val="0"/>
              <w:snapToGrid w:val="0"/>
              <w:ind w:firstLine="480" w:firstLineChars="200"/>
              <w:jc w:val="left"/>
              <w:rPr>
                <w:rFonts w:hint="eastAsia" w:cs="Arial" w:asciiTheme="minorEastAsia" w:hAnsiTheme="minorEastAsia" w:eastAsiaTheme="minorEastAsia"/>
                <w:bCs/>
                <w:color w:val="000000" w:themeColor="text1"/>
                <w:sz w:val="24"/>
                <w14:textFill>
                  <w14:solidFill>
                    <w14:schemeClr w14:val="tx1"/>
                  </w14:solidFill>
                </w14:textFill>
              </w:rPr>
            </w:pPr>
            <w:r>
              <w:rPr>
                <w:rFonts w:cs="Arial" w:asciiTheme="minorEastAsia" w:hAnsiTheme="minorEastAsia" w:eastAsiaTheme="minorEastAsia"/>
                <w:bCs/>
                <w:color w:val="000000" w:themeColor="text1"/>
                <w:sz w:val="24"/>
                <w14:textFill>
                  <w14:solidFill>
                    <w14:schemeClr w14:val="tx1"/>
                  </w14:solidFill>
                </w14:textFill>
              </w:rPr>
              <w:t xml:space="preserve">      措施项目合价为：</w:t>
            </w:r>
            <w:r>
              <w:rPr>
                <w:rFonts w:hint="eastAsia" w:cs="Arial" w:asciiTheme="minorEastAsia" w:hAnsiTheme="minorEastAsia" w:eastAsiaTheme="minorEastAsia"/>
                <w:bCs/>
                <w:color w:val="000000" w:themeColor="text1"/>
                <w:sz w:val="24"/>
                <w:u w:val="single"/>
                <w14:textFill>
                  <w14:solidFill>
                    <w14:schemeClr w14:val="tx1"/>
                  </w14:solidFill>
                </w14:textFill>
              </w:rPr>
              <w:t>112225.12</w:t>
            </w:r>
            <w:r>
              <w:rPr>
                <w:rFonts w:hint="eastAsia" w:cs="Arial" w:asciiTheme="minorEastAsia" w:hAnsiTheme="minorEastAsia" w:eastAsiaTheme="minorEastAsia"/>
                <w:bCs/>
                <w:color w:val="000000" w:themeColor="text1"/>
                <w:sz w:val="24"/>
                <w14:textFill>
                  <w14:solidFill>
                    <w14:schemeClr w14:val="tx1"/>
                  </w14:solidFill>
                </w14:textFill>
              </w:rPr>
              <w:t>元；</w:t>
            </w:r>
          </w:p>
          <w:p w14:paraId="7BA12744">
            <w:pPr>
              <w:adjustRightInd w:val="0"/>
              <w:snapToGrid w:val="0"/>
              <w:ind w:firstLine="480" w:firstLineChars="200"/>
              <w:jc w:val="left"/>
              <w:rPr>
                <w:rFonts w:hint="eastAsia" w:cs="Arial" w:asciiTheme="minorEastAsia" w:hAnsiTheme="minorEastAsia" w:eastAsiaTheme="minorEastAsia"/>
                <w:bCs/>
                <w:color w:val="000000" w:themeColor="text1"/>
                <w:sz w:val="24"/>
                <w14:textFill>
                  <w14:solidFill>
                    <w14:schemeClr w14:val="tx1"/>
                  </w14:solidFill>
                </w14:textFill>
              </w:rPr>
            </w:pPr>
            <w:r>
              <w:rPr>
                <w:rFonts w:cs="Arial" w:asciiTheme="minorEastAsia" w:hAnsiTheme="minorEastAsia" w:eastAsiaTheme="minorEastAsia"/>
                <w:bCs/>
                <w:color w:val="000000" w:themeColor="text1"/>
                <w:sz w:val="24"/>
                <w14:textFill>
                  <w14:solidFill>
                    <w14:schemeClr w14:val="tx1"/>
                  </w14:solidFill>
                </w14:textFill>
              </w:rPr>
              <w:t xml:space="preserve">      其他项目合价为：</w:t>
            </w:r>
            <w:r>
              <w:rPr>
                <w:rFonts w:hint="eastAsia" w:cs="Arial" w:asciiTheme="minorEastAsia" w:hAnsiTheme="minorEastAsia" w:eastAsiaTheme="minorEastAsia"/>
                <w:bCs/>
                <w:color w:val="000000" w:themeColor="text1"/>
                <w:sz w:val="24"/>
                <w:u w:val="single"/>
                <w14:textFill>
                  <w14:solidFill>
                    <w14:schemeClr w14:val="tx1"/>
                  </w14:solidFill>
                </w14:textFill>
              </w:rPr>
              <w:t xml:space="preserve">  0 </w:t>
            </w:r>
            <w:r>
              <w:rPr>
                <w:rFonts w:asciiTheme="minorEastAsia" w:hAnsiTheme="minorEastAsia" w:eastAsiaTheme="minorEastAsia"/>
                <w:color w:val="000000" w:themeColor="text1"/>
                <w:sz w:val="24"/>
                <w:u w:val="single"/>
                <w14:textFill>
                  <w14:solidFill>
                    <w14:schemeClr w14:val="tx1"/>
                  </w14:solidFill>
                </w14:textFill>
              </w:rPr>
              <w:t xml:space="preserve"> </w:t>
            </w:r>
            <w:r>
              <w:rPr>
                <w:rFonts w:hint="eastAsia" w:cs="Arial" w:asciiTheme="minorEastAsia" w:hAnsiTheme="minorEastAsia" w:eastAsiaTheme="minorEastAsia"/>
                <w:bCs/>
                <w:color w:val="000000" w:themeColor="text1"/>
                <w:sz w:val="24"/>
                <w14:textFill>
                  <w14:solidFill>
                    <w14:schemeClr w14:val="tx1"/>
                  </w14:solidFill>
                </w14:textFill>
              </w:rPr>
              <w:t>元；</w:t>
            </w:r>
          </w:p>
          <w:p w14:paraId="706C52FD">
            <w:pPr>
              <w:adjustRightInd w:val="0"/>
              <w:snapToGrid w:val="0"/>
              <w:jc w:val="left"/>
              <w:rPr>
                <w:rFonts w:hint="eastAsia" w:cs="Arial" w:asciiTheme="minorEastAsia" w:hAnsiTheme="minorEastAsia" w:eastAsiaTheme="minorEastAsia"/>
                <w:bCs/>
                <w:color w:val="000000" w:themeColor="text1"/>
                <w:sz w:val="24"/>
                <w14:textFill>
                  <w14:solidFill>
                    <w14:schemeClr w14:val="tx1"/>
                  </w14:solidFill>
                </w14:textFill>
              </w:rPr>
            </w:pPr>
            <w:r>
              <w:rPr>
                <w:rFonts w:cs="Arial" w:asciiTheme="minorEastAsia" w:hAnsiTheme="minorEastAsia" w:eastAsiaTheme="minorEastAsia"/>
                <w:bCs/>
                <w:color w:val="000000" w:themeColor="text1"/>
                <w:sz w:val="24"/>
                <w14:textFill>
                  <w14:solidFill>
                    <w14:schemeClr w14:val="tx1"/>
                  </w14:solidFill>
                </w14:textFill>
              </w:rPr>
              <w:t xml:space="preserve">         </w:t>
            </w:r>
            <w:r>
              <w:rPr>
                <w:rFonts w:hint="eastAsia" w:cs="Arial" w:asciiTheme="minorEastAsia" w:hAnsiTheme="minorEastAsia" w:eastAsiaTheme="minorEastAsia"/>
                <w:bCs/>
                <w:color w:val="000000" w:themeColor="text1"/>
                <w:sz w:val="24"/>
                <w:lang w:val="en-US" w:eastAsia="zh-CN"/>
                <w14:textFill>
                  <w14:solidFill>
                    <w14:schemeClr w14:val="tx1"/>
                  </w14:solidFill>
                </w14:textFill>
              </w:rPr>
              <w:t xml:space="preserve"> </w:t>
            </w:r>
            <w:r>
              <w:rPr>
                <w:rFonts w:hint="eastAsia" w:cs="Arial" w:asciiTheme="minorEastAsia" w:hAnsiTheme="minorEastAsia" w:eastAsiaTheme="minorEastAsia"/>
                <w:bCs/>
                <w:color w:val="000000" w:themeColor="text1"/>
                <w:sz w:val="24"/>
                <w14:textFill>
                  <w14:solidFill>
                    <w14:schemeClr w14:val="tx1"/>
                  </w14:solidFill>
                </w14:textFill>
              </w:rPr>
              <w:t>增值税</w:t>
            </w:r>
            <w:r>
              <w:rPr>
                <w:rFonts w:cs="Arial" w:asciiTheme="minorEastAsia" w:hAnsiTheme="minorEastAsia" w:eastAsiaTheme="minorEastAsia"/>
                <w:bCs/>
                <w:color w:val="000000" w:themeColor="text1"/>
                <w:sz w:val="24"/>
                <w14:textFill>
                  <w14:solidFill>
                    <w14:schemeClr w14:val="tx1"/>
                  </w14:solidFill>
                </w14:textFill>
              </w:rPr>
              <w:t>的合价为：</w:t>
            </w:r>
            <w:r>
              <w:rPr>
                <w:rFonts w:hint="eastAsia" w:cs="Arial" w:asciiTheme="minorEastAsia" w:hAnsiTheme="minorEastAsia" w:eastAsiaTheme="minorEastAsia"/>
                <w:bCs/>
                <w:color w:val="000000" w:themeColor="text1"/>
                <w:sz w:val="24"/>
                <w:u w:val="single"/>
                <w14:textFill>
                  <w14:solidFill>
                    <w14:schemeClr w14:val="tx1"/>
                  </w14:solidFill>
                </w14:textFill>
              </w:rPr>
              <w:t>95568.34</w:t>
            </w:r>
            <w:r>
              <w:rPr>
                <w:rFonts w:hint="eastAsia" w:cs="Arial" w:asciiTheme="minorEastAsia" w:hAnsiTheme="minorEastAsia" w:eastAsiaTheme="minorEastAsia"/>
                <w:bCs/>
                <w:color w:val="000000" w:themeColor="text1"/>
                <w:sz w:val="24"/>
                <w14:textFill>
                  <w14:solidFill>
                    <w14:schemeClr w14:val="tx1"/>
                  </w14:solidFill>
                </w14:textFill>
              </w:rPr>
              <w:t>元。</w:t>
            </w:r>
          </w:p>
          <w:p w14:paraId="06B89459">
            <w:pPr>
              <w:adjustRightInd w:val="0"/>
              <w:snapToGrid w:val="0"/>
              <w:ind w:firstLine="480" w:firstLineChars="200"/>
              <w:jc w:val="left"/>
              <w:rPr>
                <w:rFonts w:hint="eastAsia" w:cs="Arial" w:asciiTheme="minorEastAsia" w:hAnsiTheme="minorEastAsia" w:eastAsiaTheme="minorEastAsia"/>
                <w:bCs/>
                <w:color w:val="000000" w:themeColor="text1"/>
                <w:sz w:val="24"/>
                <w14:textFill>
                  <w14:solidFill>
                    <w14:schemeClr w14:val="tx1"/>
                  </w14:solidFill>
                </w14:textFill>
              </w:rPr>
            </w:pPr>
            <w:r>
              <w:rPr>
                <w:rFonts w:hint="eastAsia" w:cs="Arial" w:asciiTheme="minorEastAsia" w:hAnsiTheme="minorEastAsia" w:eastAsiaTheme="minorEastAsia"/>
                <w:bCs/>
                <w:color w:val="000000" w:themeColor="text1"/>
                <w:sz w:val="24"/>
                <w14:textFill>
                  <w14:solidFill>
                    <w14:schemeClr w14:val="tx1"/>
                  </w14:solidFill>
                </w14:textFill>
              </w:rPr>
              <w:t>其他说明：</w:t>
            </w:r>
          </w:p>
          <w:p w14:paraId="721FC51D">
            <w:pPr>
              <w:adjustRightInd w:val="0"/>
              <w:snapToGrid w:val="0"/>
              <w:ind w:firstLine="720" w:firstLineChars="300"/>
              <w:jc w:val="left"/>
              <w:rPr>
                <w:rFonts w:hint="eastAsia" w:cs="Arial" w:asciiTheme="minorEastAsia" w:hAnsiTheme="minorEastAsia" w:eastAsiaTheme="minorEastAsia"/>
                <w:color w:val="000000" w:themeColor="text1"/>
                <w:sz w:val="24"/>
                <w14:textFill>
                  <w14:solidFill>
                    <w14:schemeClr w14:val="tx1"/>
                  </w14:solidFill>
                </w14:textFill>
              </w:rPr>
            </w:pPr>
            <w:r>
              <w:rPr>
                <w:rFonts w:hint="eastAsia" w:cs="Arial" w:asciiTheme="minorEastAsia" w:hAnsiTheme="minorEastAsia" w:eastAsiaTheme="minorEastAsia"/>
                <w:color w:val="000000" w:themeColor="text1"/>
                <w:sz w:val="24"/>
                <w14:textFill>
                  <w14:solidFill>
                    <w14:schemeClr w14:val="tx1"/>
                  </w14:solidFill>
                </w14:textFill>
              </w:rPr>
              <w:t>专业工程暂估价</w:t>
            </w:r>
            <w:r>
              <w:rPr>
                <w:rFonts w:cs="Arial" w:asciiTheme="minorEastAsia" w:hAnsiTheme="minorEastAsia" w:eastAsiaTheme="minorEastAsia"/>
                <w:color w:val="000000" w:themeColor="text1"/>
                <w:sz w:val="24"/>
                <w14:textFill>
                  <w14:solidFill>
                    <w14:schemeClr w14:val="tx1"/>
                  </w14:solidFill>
                </w14:textFill>
              </w:rPr>
              <w:t>(含税)</w:t>
            </w:r>
            <w:r>
              <w:rPr>
                <w:rFonts w:hint="eastAsia" w:cs="Arial" w:asciiTheme="minorEastAsia" w:hAnsiTheme="minorEastAsia" w:eastAsiaTheme="minorEastAsia"/>
                <w:color w:val="000000" w:themeColor="text1"/>
                <w:sz w:val="24"/>
                <w14:textFill>
                  <w14:solidFill>
                    <w14:schemeClr w14:val="tx1"/>
                  </w14:solidFill>
                </w14:textFill>
              </w:rPr>
              <w:t>合计金额：</w:t>
            </w:r>
            <w:r>
              <w:rPr>
                <w:rFonts w:hint="eastAsia" w:cs="Arial" w:asciiTheme="minorEastAsia" w:hAnsiTheme="minorEastAsia" w:eastAsiaTheme="minorEastAsia"/>
                <w:bCs/>
                <w:color w:val="000000" w:themeColor="text1"/>
                <w:sz w:val="24"/>
                <w:u w:val="single"/>
                <w14:textFill>
                  <w14:solidFill>
                    <w14:schemeClr w14:val="tx1"/>
                  </w14:solidFill>
                </w14:textFill>
              </w:rPr>
              <w:t xml:space="preserve">  0 </w:t>
            </w:r>
            <w:r>
              <w:rPr>
                <w:rFonts w:asciiTheme="minorEastAsia" w:hAnsiTheme="minorEastAsia" w:eastAsiaTheme="minorEastAsia"/>
                <w:color w:val="000000" w:themeColor="text1"/>
                <w:sz w:val="24"/>
                <w:u w:val="single"/>
                <w14:textFill>
                  <w14:solidFill>
                    <w14:schemeClr w14:val="tx1"/>
                  </w14:solidFill>
                </w14:textFill>
              </w:rPr>
              <w:t xml:space="preserve"> </w:t>
            </w:r>
            <w:r>
              <w:rPr>
                <w:rFonts w:hint="eastAsia" w:cs="Arial" w:asciiTheme="minorEastAsia" w:hAnsiTheme="minorEastAsia" w:eastAsiaTheme="minorEastAsia"/>
                <w:color w:val="000000" w:themeColor="text1"/>
                <w:sz w:val="24"/>
                <w14:textFill>
                  <w14:solidFill>
                    <w14:schemeClr w14:val="tx1"/>
                  </w14:solidFill>
                </w14:textFill>
              </w:rPr>
              <w:t>元；</w:t>
            </w:r>
          </w:p>
          <w:p w14:paraId="47D9DEDF">
            <w:pPr>
              <w:adjustRightInd w:val="0"/>
              <w:snapToGrid w:val="0"/>
              <w:ind w:firstLine="720" w:firstLineChars="300"/>
              <w:jc w:val="left"/>
              <w:rPr>
                <w:rFonts w:hint="eastAsia" w:cs="Arial" w:asciiTheme="minorEastAsia" w:hAnsiTheme="minorEastAsia" w:eastAsiaTheme="minorEastAsia"/>
                <w:color w:val="000000" w:themeColor="text1"/>
                <w:sz w:val="24"/>
                <w14:textFill>
                  <w14:solidFill>
                    <w14:schemeClr w14:val="tx1"/>
                  </w14:solidFill>
                </w14:textFill>
              </w:rPr>
            </w:pPr>
            <w:r>
              <w:rPr>
                <w:rFonts w:hint="eastAsia" w:cs="Arial" w:asciiTheme="minorEastAsia" w:hAnsiTheme="minorEastAsia" w:eastAsiaTheme="minorEastAsia"/>
                <w:color w:val="000000" w:themeColor="text1"/>
                <w:sz w:val="24"/>
                <w14:textFill>
                  <w14:solidFill>
                    <w14:schemeClr w14:val="tx1"/>
                  </w14:solidFill>
                </w14:textFill>
              </w:rPr>
              <w:t>材料和工程设备暂估价</w:t>
            </w:r>
            <w:r>
              <w:rPr>
                <w:rFonts w:cs="Arial" w:asciiTheme="minorEastAsia" w:hAnsiTheme="minorEastAsia" w:eastAsiaTheme="minorEastAsia"/>
                <w:color w:val="000000" w:themeColor="text1"/>
                <w:sz w:val="24"/>
                <w14:textFill>
                  <w14:solidFill>
                    <w14:schemeClr w14:val="tx1"/>
                  </w14:solidFill>
                </w14:textFill>
              </w:rPr>
              <w:t>(不含税)合计金额：</w:t>
            </w:r>
            <w:r>
              <w:rPr>
                <w:rFonts w:hint="eastAsia" w:cs="Arial" w:asciiTheme="minorEastAsia" w:hAnsiTheme="minorEastAsia" w:eastAsiaTheme="minorEastAsia"/>
                <w:bCs/>
                <w:color w:val="000000" w:themeColor="text1"/>
                <w:sz w:val="24"/>
                <w:u w:val="single"/>
                <w14:textFill>
                  <w14:solidFill>
                    <w14:schemeClr w14:val="tx1"/>
                  </w14:solidFill>
                </w14:textFill>
              </w:rPr>
              <w:t xml:space="preserve"> 0</w:t>
            </w:r>
            <w:r>
              <w:rPr>
                <w:rFonts w:asciiTheme="minorEastAsia" w:hAnsiTheme="minorEastAsia" w:eastAsiaTheme="minorEastAsia"/>
                <w:color w:val="000000" w:themeColor="text1"/>
                <w:sz w:val="24"/>
                <w:u w:val="single"/>
                <w14:textFill>
                  <w14:solidFill>
                    <w14:schemeClr w14:val="tx1"/>
                  </w14:solidFill>
                </w14:textFill>
              </w:rPr>
              <w:t xml:space="preserve"> </w:t>
            </w:r>
            <w:r>
              <w:rPr>
                <w:rFonts w:hint="eastAsia" w:cs="Arial" w:asciiTheme="minorEastAsia" w:hAnsiTheme="minorEastAsia" w:eastAsiaTheme="minorEastAsia"/>
                <w:color w:val="000000" w:themeColor="text1"/>
                <w:sz w:val="24"/>
                <w14:textFill>
                  <w14:solidFill>
                    <w14:schemeClr w14:val="tx1"/>
                  </w14:solidFill>
                </w14:textFill>
              </w:rPr>
              <w:t>元；</w:t>
            </w:r>
          </w:p>
          <w:p w14:paraId="0C47FC3D">
            <w:pPr>
              <w:adjustRightInd w:val="0"/>
              <w:snapToGrid w:val="0"/>
              <w:ind w:firstLine="720" w:firstLineChars="300"/>
              <w:jc w:val="left"/>
              <w:rPr>
                <w:rFonts w:hint="eastAsia" w:cs="Arial" w:asciiTheme="minorEastAsia" w:hAnsiTheme="minorEastAsia" w:eastAsiaTheme="minorEastAsia"/>
                <w:color w:val="000000" w:themeColor="text1"/>
                <w:sz w:val="24"/>
                <w14:textFill>
                  <w14:solidFill>
                    <w14:schemeClr w14:val="tx1"/>
                  </w14:solidFill>
                </w14:textFill>
              </w:rPr>
            </w:pPr>
            <w:r>
              <w:rPr>
                <w:rFonts w:hint="eastAsia" w:cs="Arial" w:asciiTheme="minorEastAsia" w:hAnsiTheme="minorEastAsia" w:eastAsiaTheme="minorEastAsia"/>
                <w:color w:val="000000" w:themeColor="text1"/>
                <w:sz w:val="24"/>
                <w14:textFill>
                  <w14:solidFill>
                    <w14:schemeClr w14:val="tx1"/>
                  </w14:solidFill>
                </w14:textFill>
              </w:rPr>
              <w:t>暂列金额（不含计日工）（含税）合计金额：</w:t>
            </w:r>
            <w:r>
              <w:rPr>
                <w:rFonts w:hint="eastAsia" w:cs="Arial" w:asciiTheme="minorEastAsia" w:hAnsiTheme="minorEastAsia" w:eastAsiaTheme="minorEastAsia"/>
                <w:bCs/>
                <w:color w:val="000000" w:themeColor="text1"/>
                <w:sz w:val="24"/>
                <w:u w:val="single"/>
                <w14:textFill>
                  <w14:solidFill>
                    <w14:schemeClr w14:val="tx1"/>
                  </w14:solidFill>
                </w14:textFill>
              </w:rPr>
              <w:t>0</w:t>
            </w:r>
            <w:r>
              <w:rPr>
                <w:rFonts w:hint="eastAsia" w:cs="Arial" w:asciiTheme="minorEastAsia" w:hAnsiTheme="minorEastAsia" w:eastAsiaTheme="minorEastAsia"/>
                <w:color w:val="000000" w:themeColor="text1"/>
                <w:sz w:val="24"/>
                <w14:textFill>
                  <w14:solidFill>
                    <w14:schemeClr w14:val="tx1"/>
                  </w14:solidFill>
                </w14:textFill>
              </w:rPr>
              <w:t>元；</w:t>
            </w:r>
          </w:p>
          <w:p w14:paraId="40A460DD">
            <w:pPr>
              <w:pStyle w:val="309"/>
              <w:keepNext w:val="0"/>
              <w:keepLines w:val="0"/>
              <w:snapToGrid w:val="0"/>
              <w:spacing w:before="0" w:after="0" w:line="240" w:lineRule="auto"/>
              <w:ind w:firstLine="720" w:firstLineChars="300"/>
              <w:rPr>
                <w:rFonts w:hint="eastAsia" w:cs="Arial" w:asciiTheme="minorEastAsia" w:hAnsiTheme="minorEastAsia" w:eastAsiaTheme="minorEastAsia"/>
                <w:color w:val="000000" w:themeColor="text1"/>
                <w:kern w:val="2"/>
                <w:sz w:val="24"/>
                <w:szCs w:val="24"/>
                <w:lang w:val="en-US"/>
                <w14:textFill>
                  <w14:solidFill>
                    <w14:schemeClr w14:val="tx1"/>
                  </w14:solidFill>
                </w14:textFill>
              </w:rPr>
            </w:pPr>
            <w:r>
              <w:rPr>
                <w:rFonts w:hint="eastAsia" w:asciiTheme="minorEastAsia" w:hAnsiTheme="minorEastAsia" w:eastAsiaTheme="minorEastAsia"/>
                <w:bCs/>
                <w:color w:val="000000" w:themeColor="text1"/>
                <w:sz w:val="24"/>
                <w:szCs w:val="24"/>
                <w:lang w:val="en-US"/>
                <w14:textFill>
                  <w14:solidFill>
                    <w14:schemeClr w14:val="tx1"/>
                  </w14:solidFill>
                </w14:textFill>
              </w:rPr>
              <w:t>安全生产标准化措施费（含税）</w:t>
            </w:r>
            <w:r>
              <w:rPr>
                <w:rFonts w:hint="eastAsia" w:cs="Arial" w:asciiTheme="minorEastAsia" w:hAnsiTheme="minorEastAsia" w:eastAsiaTheme="minorEastAsia"/>
                <w:color w:val="000000" w:themeColor="text1"/>
                <w:sz w:val="24"/>
                <w14:textFill>
                  <w14:solidFill>
                    <w14:schemeClr w14:val="tx1"/>
                  </w14:solidFill>
                </w14:textFill>
              </w:rPr>
              <w:t>合计金额</w:t>
            </w:r>
            <w:r>
              <w:rPr>
                <w:rFonts w:hint="eastAsia" w:cs="Arial" w:asciiTheme="minorEastAsia" w:hAnsiTheme="minorEastAsia" w:eastAsiaTheme="minorEastAsia"/>
                <w:color w:val="000000" w:themeColor="text1"/>
                <w:kern w:val="2"/>
                <w:sz w:val="24"/>
                <w:szCs w:val="24"/>
                <w:lang w:val="en-US"/>
                <w14:textFill>
                  <w14:solidFill>
                    <w14:schemeClr w14:val="tx1"/>
                  </w14:solidFill>
                </w14:textFill>
              </w:rPr>
              <w:t>：</w:t>
            </w:r>
            <w:r>
              <w:rPr>
                <w:rFonts w:hint="eastAsia" w:cs="Arial" w:asciiTheme="minorEastAsia" w:hAnsiTheme="minorEastAsia" w:eastAsiaTheme="minorEastAsia"/>
                <w:color w:val="000000" w:themeColor="text1"/>
                <w:kern w:val="2"/>
                <w:sz w:val="24"/>
                <w:szCs w:val="24"/>
                <w:u w:val="single"/>
                <w:lang w:val="en-US"/>
                <w14:textFill>
                  <w14:solidFill>
                    <w14:schemeClr w14:val="tx1"/>
                  </w14:solidFill>
                </w14:textFill>
              </w:rPr>
              <w:t>41916.15</w:t>
            </w:r>
            <w:r>
              <w:rPr>
                <w:rFonts w:hint="eastAsia" w:cs="Arial" w:asciiTheme="minorEastAsia" w:hAnsiTheme="minorEastAsia" w:eastAsiaTheme="minorEastAsia"/>
                <w:color w:val="000000" w:themeColor="text1"/>
                <w:kern w:val="2"/>
                <w:sz w:val="24"/>
                <w:szCs w:val="24"/>
                <w:lang w:val="en-US"/>
                <w14:textFill>
                  <w14:solidFill>
                    <w14:schemeClr w14:val="tx1"/>
                  </w14:solidFill>
                </w14:textFill>
              </w:rPr>
              <w:t>元。</w:t>
            </w:r>
          </w:p>
          <w:p w14:paraId="7D24DAAB">
            <w:pPr>
              <w:adjustRightInd w:val="0"/>
              <w:snapToGrid w:val="0"/>
              <w:jc w:val="left"/>
              <w:rPr>
                <w:rFonts w:hint="eastAsia" w:cs="Arial" w:asciiTheme="minorEastAsia" w:hAnsiTheme="minorEastAsia" w:eastAsiaTheme="minorEastAsia"/>
                <w:b/>
                <w:color w:val="000000" w:themeColor="text1"/>
                <w:sz w:val="24"/>
                <w:szCs w:val="32"/>
                <w14:textFill>
                  <w14:solidFill>
                    <w14:schemeClr w14:val="tx1"/>
                  </w14:solidFill>
                </w14:textFill>
              </w:rPr>
            </w:pPr>
          </w:p>
          <w:p w14:paraId="09E5D0E7">
            <w:pPr>
              <w:jc w:val="left"/>
              <w:rPr>
                <w:rFonts w:hint="eastAsia" w:ascii="宋体" w:hAnsi="宋体" w:cs="宋体"/>
                <w:color w:val="000000" w:themeColor="text1"/>
                <w:sz w:val="24"/>
                <w14:textFill>
                  <w14:solidFill>
                    <w14:schemeClr w14:val="tx1"/>
                  </w14:solidFill>
                </w14:textFill>
              </w:rPr>
            </w:pPr>
            <w:r>
              <w:rPr>
                <w:rFonts w:hint="eastAsia" w:asciiTheme="minorEastAsia" w:hAnsiTheme="minorEastAsia" w:eastAsiaTheme="minorEastAsia"/>
                <w:b/>
                <w:bCs/>
                <w:color w:val="000000" w:themeColor="text1"/>
                <w:sz w:val="24"/>
                <w14:textFill>
                  <w14:solidFill>
                    <w14:schemeClr w14:val="tx1"/>
                  </w14:solidFill>
                </w14:textFill>
              </w:rPr>
              <w:t>注：供应商的报价超过了上述公布的最高限价的，其响应报价无效</w:t>
            </w:r>
            <w:r>
              <w:rPr>
                <w:rFonts w:asciiTheme="minorEastAsia" w:hAnsiTheme="minorEastAsia" w:eastAsiaTheme="minorEastAsia"/>
                <w:b/>
                <w:bCs/>
                <w:color w:val="000000" w:themeColor="text1"/>
                <w:sz w:val="24"/>
                <w14:textFill>
                  <w14:solidFill>
                    <w14:schemeClr w14:val="tx1"/>
                  </w14:solidFill>
                </w14:textFill>
              </w:rPr>
              <w:t>。</w:t>
            </w:r>
            <w:r>
              <w:rPr>
                <w:rFonts w:hint="eastAsia" w:ascii="宋体" w:hAnsi="宋体" w:cs="宋体"/>
                <w:b/>
                <w:bCs/>
                <w:color w:val="000000" w:themeColor="text1"/>
                <w:sz w:val="24"/>
                <w14:textFill>
                  <w14:solidFill>
                    <w14:schemeClr w14:val="tx1"/>
                  </w14:solidFill>
                </w14:textFill>
              </w:rPr>
              <w:t xml:space="preserve">  </w:t>
            </w:r>
          </w:p>
        </w:tc>
      </w:tr>
      <w:tr w14:paraId="08A349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480" w:type="pct"/>
            <w:vAlign w:val="center"/>
          </w:tcPr>
          <w:p w14:paraId="23411B1F">
            <w:pPr>
              <w:pStyle w:val="45"/>
              <w:adjustRightInd w:val="0"/>
              <w:snapToGrid w:val="0"/>
              <w:jc w:val="center"/>
              <w:rPr>
                <w:rFonts w:hAnsi="宋体" w:cs="仿宋"/>
                <w:sz w:val="24"/>
                <w:szCs w:val="24"/>
              </w:rPr>
            </w:pPr>
            <w:r>
              <w:rPr>
                <w:rFonts w:hAnsi="宋体" w:cs="仿宋"/>
                <w:sz w:val="24"/>
                <w:szCs w:val="24"/>
              </w:rPr>
              <w:t>11.1</w:t>
            </w:r>
          </w:p>
        </w:tc>
        <w:tc>
          <w:tcPr>
            <w:tcW w:w="947" w:type="pct"/>
            <w:vMerge w:val="restart"/>
            <w:vAlign w:val="center"/>
          </w:tcPr>
          <w:p w14:paraId="13BA3B5F">
            <w:pPr>
              <w:jc w:val="center"/>
              <w:rPr>
                <w:rFonts w:hint="eastAsia" w:ascii="宋体" w:hAnsi="宋体" w:cs="仿宋"/>
                <w:sz w:val="24"/>
              </w:rPr>
            </w:pPr>
            <w:r>
              <w:rPr>
                <w:rFonts w:hint="eastAsia" w:ascii="宋体" w:hAnsi="宋体" w:cs="仿宋"/>
                <w:sz w:val="24"/>
              </w:rPr>
              <w:t>磋商保证金</w:t>
            </w:r>
          </w:p>
        </w:tc>
        <w:tc>
          <w:tcPr>
            <w:tcW w:w="3573" w:type="pct"/>
            <w:vAlign w:val="center"/>
          </w:tcPr>
          <w:p w14:paraId="6A846D72">
            <w:pPr>
              <w:pStyle w:val="45"/>
              <w:adjustRightInd w:val="0"/>
              <w:snapToGrid w:val="0"/>
              <w:rPr>
                <w:rFonts w:hAnsi="宋体" w:cs="宋体"/>
                <w:sz w:val="24"/>
              </w:rPr>
            </w:pPr>
            <w:r>
              <w:rPr>
                <w:rFonts w:hAnsi="宋体" w:cs="宋体"/>
                <w:sz w:val="24"/>
                <w:szCs w:val="24"/>
              </w:rPr>
              <w:t>磋商保证金金额：</w:t>
            </w:r>
            <w:r>
              <w:rPr>
                <w:rFonts w:hint="default" w:hAnsi="宋体" w:cs="宋体"/>
                <w:sz w:val="24"/>
              </w:rPr>
              <w:t xml:space="preserve"> </w:t>
            </w:r>
          </w:p>
          <w:p w14:paraId="7567A89F">
            <w:pPr>
              <w:rPr>
                <w:rFonts w:hint="eastAsia" w:ascii="宋体" w:hAnsi="宋体" w:cs="宋体"/>
                <w:sz w:val="24"/>
              </w:rPr>
            </w:pPr>
            <w:r>
              <w:rPr>
                <w:rFonts w:hint="eastAsia" w:ascii="宋体" w:hAnsi="宋体" w:cs="宋体"/>
                <w:sz w:val="24"/>
              </w:rPr>
              <w:t>1、金额：</w:t>
            </w:r>
            <w:r>
              <w:rPr>
                <w:rFonts w:hint="eastAsia" w:ascii="宋体" w:hAnsi="宋体" w:cs="宋体"/>
                <w:color w:val="000000" w:themeColor="text1"/>
                <w:sz w:val="24"/>
                <w14:textFill>
                  <w14:solidFill>
                    <w14:schemeClr w14:val="tx1"/>
                  </w14:solidFill>
                </w14:textFill>
              </w:rPr>
              <w:t>¥20000.00（大写：人民币贰万元整）；</w:t>
            </w:r>
          </w:p>
          <w:p w14:paraId="24BCBF6B">
            <w:pPr>
              <w:rPr>
                <w:rFonts w:hint="eastAsia" w:ascii="宋体" w:hAnsi="宋体" w:cs="宋体"/>
                <w:sz w:val="24"/>
              </w:rPr>
            </w:pPr>
            <w:r>
              <w:rPr>
                <w:rFonts w:hint="eastAsia" w:ascii="宋体" w:hAnsi="宋体" w:cs="宋体"/>
                <w:sz w:val="24"/>
              </w:rPr>
              <w:t>2、交纳磋商保证金可采用的形式：政府采购法律法规接受的支票、汇票、本票、网上银行支付或者金融机构、担保机构出具的保函等非现金形式。</w:t>
            </w:r>
          </w:p>
          <w:p w14:paraId="780835D2">
            <w:pPr>
              <w:rPr>
                <w:rFonts w:hint="eastAsia" w:ascii="宋体" w:hAnsi="宋体" w:cs="宋体"/>
                <w:sz w:val="24"/>
              </w:rPr>
            </w:pPr>
            <w:r>
              <w:rPr>
                <w:rFonts w:hint="eastAsia" w:ascii="宋体" w:hAnsi="宋体" w:cs="宋体"/>
                <w:sz w:val="24"/>
              </w:rPr>
              <w:t>3、磋商保证金到账（保函提交）截止时间同首次响应文件提交截止时间。以支票、汇票、本票、网上银行支付等形式提交磋商保证金的，应在首次响应文件提交截止时间前到账；以金融机构、担保机构出具的保函等形式提交磋商保证金的，应在首次响应文件提交截止时间前将原件提交至采购代理机构；</w:t>
            </w:r>
            <w:r>
              <w:rPr>
                <w:rFonts w:ascii="宋体" w:hAnsi="宋体" w:cs="宋体"/>
                <w:sz w:val="24"/>
              </w:rPr>
              <w:t>以电子保函形式提交</w:t>
            </w:r>
            <w:r>
              <w:rPr>
                <w:rFonts w:hint="eastAsia" w:ascii="宋体" w:hAnsi="宋体" w:cs="宋体"/>
                <w:sz w:val="24"/>
              </w:rPr>
              <w:t>磋商</w:t>
            </w:r>
            <w:r>
              <w:rPr>
                <w:rFonts w:ascii="宋体" w:hAnsi="宋体" w:cs="宋体"/>
                <w:sz w:val="24"/>
              </w:rPr>
              <w:t>保证金的，应在</w:t>
            </w:r>
            <w:r>
              <w:rPr>
                <w:rFonts w:hint="eastAsia" w:ascii="宋体" w:hAnsi="宋体" w:cs="宋体"/>
                <w:sz w:val="24"/>
              </w:rPr>
              <w:t>首次响应文件提交</w:t>
            </w:r>
            <w:r>
              <w:rPr>
                <w:rFonts w:ascii="宋体" w:hAnsi="宋体" w:cs="宋体"/>
                <w:sz w:val="24"/>
              </w:rPr>
              <w:t>截止时间前通过北京市政府采购电子交易平台完成电子保函在线办理。未按上述要求缴纳</w:t>
            </w:r>
            <w:r>
              <w:rPr>
                <w:rFonts w:hint="eastAsia" w:ascii="宋体" w:hAnsi="宋体" w:cs="宋体"/>
                <w:sz w:val="24"/>
              </w:rPr>
              <w:t>磋商</w:t>
            </w:r>
            <w:r>
              <w:rPr>
                <w:rFonts w:ascii="宋体" w:hAnsi="宋体" w:cs="宋体"/>
                <w:sz w:val="24"/>
              </w:rPr>
              <w:t>保证金的</w:t>
            </w:r>
            <w:r>
              <w:rPr>
                <w:rFonts w:hint="eastAsia" w:ascii="宋体" w:hAnsi="宋体" w:cs="宋体"/>
                <w:sz w:val="24"/>
              </w:rPr>
              <w:t>，其</w:t>
            </w:r>
            <w:r>
              <w:rPr>
                <w:rFonts w:hint="eastAsia" w:ascii="宋体" w:hAnsi="宋体" w:cs="宋体"/>
                <w:b/>
                <w:bCs/>
                <w:sz w:val="24"/>
              </w:rPr>
              <w:t>响应无效</w:t>
            </w:r>
            <w:r>
              <w:rPr>
                <w:rFonts w:hint="eastAsia" w:ascii="宋体" w:hAnsi="宋体" w:cs="宋体"/>
                <w:sz w:val="24"/>
              </w:rPr>
              <w:t>。</w:t>
            </w:r>
          </w:p>
          <w:p w14:paraId="6E05C434">
            <w:pPr>
              <w:rPr>
                <w:rFonts w:hint="eastAsia" w:ascii="宋体" w:hAnsi="宋体" w:cs="宋体"/>
                <w:sz w:val="24"/>
              </w:rPr>
            </w:pPr>
            <w:r>
              <w:rPr>
                <w:rFonts w:hint="eastAsia" w:ascii="宋体" w:hAnsi="宋体" w:cs="宋体"/>
                <w:sz w:val="24"/>
              </w:rPr>
              <w:t>4、供应商</w:t>
            </w:r>
            <w:r>
              <w:rPr>
                <w:rFonts w:ascii="宋体" w:hAnsi="宋体" w:cs="宋体"/>
                <w:sz w:val="24"/>
              </w:rPr>
              <w:t>除需在</w:t>
            </w:r>
            <w:r>
              <w:rPr>
                <w:rFonts w:hint="eastAsia" w:ascii="宋体" w:hAnsi="宋体" w:cs="宋体"/>
                <w:sz w:val="24"/>
              </w:rPr>
              <w:t>响应</w:t>
            </w:r>
            <w:r>
              <w:rPr>
                <w:rFonts w:ascii="宋体" w:hAnsi="宋体" w:cs="宋体"/>
                <w:sz w:val="24"/>
              </w:rPr>
              <w:t>文件中提供“</w:t>
            </w:r>
            <w:r>
              <w:rPr>
                <w:rFonts w:hint="eastAsia" w:ascii="宋体" w:hAnsi="宋体" w:cs="宋体"/>
                <w:sz w:val="24"/>
              </w:rPr>
              <w:t>磋商</w:t>
            </w:r>
            <w:r>
              <w:rPr>
                <w:rFonts w:ascii="宋体" w:hAnsi="宋体" w:cs="宋体"/>
                <w:sz w:val="24"/>
              </w:rPr>
              <w:t>保证金凭证/交款单据电子件”，还需在</w:t>
            </w:r>
            <w:r>
              <w:rPr>
                <w:rFonts w:hint="eastAsia" w:ascii="宋体" w:hAnsi="宋体" w:cs="宋体"/>
                <w:sz w:val="24"/>
              </w:rPr>
              <w:t>首次响应文件提交</w:t>
            </w:r>
            <w:r>
              <w:rPr>
                <w:rFonts w:ascii="宋体" w:hAnsi="宋体" w:cs="宋体"/>
                <w:sz w:val="24"/>
              </w:rPr>
              <w:t>截止时间前，通过电子交易平台上传“</w:t>
            </w:r>
            <w:r>
              <w:rPr>
                <w:rFonts w:hint="eastAsia" w:ascii="宋体" w:hAnsi="宋体" w:cs="宋体"/>
                <w:sz w:val="24"/>
              </w:rPr>
              <w:t>磋商</w:t>
            </w:r>
            <w:r>
              <w:rPr>
                <w:rFonts w:ascii="宋体" w:hAnsi="宋体" w:cs="宋体"/>
                <w:sz w:val="24"/>
              </w:rPr>
              <w:t>保证金凭证/交款单据电子件”。</w:t>
            </w:r>
          </w:p>
          <w:p w14:paraId="6E44F619">
            <w:pPr>
              <w:tabs>
                <w:tab w:val="left" w:pos="900"/>
                <w:tab w:val="left" w:pos="1080"/>
                <w:tab w:val="left" w:pos="1589"/>
                <w:tab w:val="left" w:pos="2014"/>
              </w:tabs>
              <w:snapToGrid w:val="0"/>
              <w:rPr>
                <w:rFonts w:hint="eastAsia" w:ascii="宋体" w:hAnsi="宋体" w:cs="宋体"/>
                <w:sz w:val="24"/>
              </w:rPr>
            </w:pPr>
            <w:r>
              <w:rPr>
                <w:rFonts w:hint="eastAsia" w:ascii="宋体" w:hAnsi="宋体" w:cs="宋体"/>
                <w:sz w:val="24"/>
              </w:rPr>
              <w:t>5、磋商保证金有效期同响应有效期。</w:t>
            </w:r>
          </w:p>
          <w:p w14:paraId="66A21CFC">
            <w:pPr>
              <w:rPr>
                <w:rFonts w:hint="eastAsia" w:ascii="宋体" w:hAnsi="宋体" w:cs="宋体"/>
                <w:b/>
                <w:bCs/>
                <w:sz w:val="24"/>
              </w:rPr>
            </w:pPr>
            <w:r>
              <w:rPr>
                <w:rFonts w:hint="eastAsia" w:ascii="宋体" w:hAnsi="宋体" w:cs="宋体"/>
                <w:b/>
                <w:bCs/>
                <w:sz w:val="24"/>
              </w:rPr>
              <w:t xml:space="preserve">6、磋商保证金收受人信息： </w:t>
            </w:r>
            <w:r>
              <w:rPr>
                <w:rFonts w:ascii="宋体" w:hAnsi="宋体" w:cs="宋体"/>
                <w:b/>
                <w:bCs/>
                <w:sz w:val="24"/>
              </w:rPr>
              <w:t xml:space="preserve"> </w:t>
            </w:r>
          </w:p>
          <w:p w14:paraId="743ECBC8">
            <w:pPr>
              <w:pStyle w:val="45"/>
              <w:adjustRightInd w:val="0"/>
              <w:snapToGrid w:val="0"/>
              <w:spacing w:line="276" w:lineRule="auto"/>
              <w:rPr>
                <w:rFonts w:asciiTheme="minorEastAsia" w:hAnsiTheme="minorEastAsia" w:eastAsiaTheme="minorEastAsia"/>
                <w:b/>
                <w:bCs/>
                <w:sz w:val="24"/>
                <w:u w:val="single"/>
              </w:rPr>
            </w:pPr>
            <w:r>
              <w:rPr>
                <w:rFonts w:asciiTheme="minorEastAsia" w:hAnsiTheme="minorEastAsia" w:eastAsiaTheme="minorEastAsia"/>
                <w:b/>
                <w:bCs/>
                <w:sz w:val="24"/>
              </w:rPr>
              <w:t>账户名称：</w:t>
            </w:r>
            <w:r>
              <w:rPr>
                <w:rFonts w:asciiTheme="minorEastAsia" w:hAnsiTheme="minorEastAsia" w:eastAsiaTheme="minorEastAsia"/>
                <w:b/>
                <w:bCs/>
                <w:sz w:val="24"/>
                <w:u w:val="single"/>
              </w:rPr>
              <w:t>北京天一圣匠工程咨询有限公司</w:t>
            </w:r>
          </w:p>
          <w:p w14:paraId="281CA880">
            <w:pPr>
              <w:pStyle w:val="45"/>
              <w:adjustRightInd w:val="0"/>
              <w:snapToGrid w:val="0"/>
              <w:spacing w:line="276" w:lineRule="auto"/>
              <w:rPr>
                <w:rFonts w:asciiTheme="minorEastAsia" w:hAnsiTheme="minorEastAsia" w:eastAsiaTheme="minorEastAsia"/>
                <w:b/>
                <w:bCs/>
                <w:sz w:val="24"/>
              </w:rPr>
            </w:pPr>
            <w:r>
              <w:rPr>
                <w:rFonts w:asciiTheme="minorEastAsia" w:hAnsiTheme="minorEastAsia" w:eastAsiaTheme="minorEastAsia"/>
                <w:b/>
                <w:bCs/>
                <w:sz w:val="24"/>
              </w:rPr>
              <w:t>开户银行名称：</w:t>
            </w:r>
            <w:r>
              <w:rPr>
                <w:rFonts w:asciiTheme="minorEastAsia" w:hAnsiTheme="minorEastAsia" w:eastAsiaTheme="minorEastAsia"/>
                <w:b/>
                <w:bCs/>
                <w:sz w:val="24"/>
                <w:u w:val="single"/>
              </w:rPr>
              <w:t>中国银行北京总部基地东区支行</w:t>
            </w:r>
          </w:p>
          <w:p w14:paraId="6E78FF41">
            <w:pPr>
              <w:rPr>
                <w:rFonts w:hint="eastAsia" w:asciiTheme="minorEastAsia" w:hAnsiTheme="minorEastAsia" w:eastAsiaTheme="minorEastAsia"/>
                <w:b/>
                <w:bCs/>
                <w:sz w:val="24"/>
                <w:u w:val="single"/>
              </w:rPr>
            </w:pPr>
            <w:r>
              <w:rPr>
                <w:rFonts w:hint="eastAsia" w:asciiTheme="minorEastAsia" w:hAnsiTheme="minorEastAsia" w:eastAsiaTheme="minorEastAsia"/>
                <w:b/>
                <w:bCs/>
                <w:sz w:val="24"/>
              </w:rPr>
              <w:t>银行账号：</w:t>
            </w:r>
            <w:r>
              <w:rPr>
                <w:rFonts w:hint="eastAsia" w:asciiTheme="minorEastAsia" w:hAnsiTheme="minorEastAsia" w:eastAsiaTheme="minorEastAsia"/>
                <w:b/>
                <w:bCs/>
                <w:sz w:val="24"/>
                <w:u w:val="single"/>
              </w:rPr>
              <w:t>338967316858</w:t>
            </w:r>
          </w:p>
          <w:p w14:paraId="32E548C4">
            <w:pPr>
              <w:rPr>
                <w:rFonts w:hint="eastAsia" w:cs="宋体" w:asciiTheme="minorEastAsia" w:hAnsiTheme="minorEastAsia" w:eastAsiaTheme="minorEastAsia"/>
                <w:b/>
                <w:bCs/>
                <w:sz w:val="24"/>
                <w:u w:val="single"/>
              </w:rPr>
            </w:pPr>
            <w:r>
              <w:rPr>
                <w:rFonts w:hint="eastAsia" w:cs="宋体" w:asciiTheme="minorEastAsia" w:hAnsiTheme="minorEastAsia" w:eastAsiaTheme="minorEastAsia"/>
                <w:b/>
                <w:bCs/>
                <w:sz w:val="24"/>
                <w:u w:val="single"/>
              </w:rPr>
              <w:t>本项目推广政府采购信用担保工作等政府采购政策。如供应商无法以保函形式递交保证金，应附相关说明。</w:t>
            </w:r>
          </w:p>
          <w:p w14:paraId="21254D43">
            <w:pPr>
              <w:pStyle w:val="45"/>
              <w:tabs>
                <w:tab w:val="left" w:pos="2240"/>
              </w:tabs>
              <w:ind w:firstLine="480" w:firstLineChars="200"/>
              <w:rPr>
                <w:rFonts w:hAnsi="宋体" w:cs="宋体"/>
                <w:sz w:val="24"/>
                <w:szCs w:val="24"/>
              </w:rPr>
            </w:pPr>
            <w:r>
              <w:rPr>
                <w:rFonts w:hAnsi="宋体" w:cs="宋体"/>
                <w:sz w:val="24"/>
                <w:szCs w:val="24"/>
              </w:rPr>
              <w:t>如电汇，请务必在银行进账单附言事由中注明“</w:t>
            </w:r>
            <w:r>
              <w:rPr>
                <w:rFonts w:hAnsi="宋体" w:cs="宋体"/>
                <w:b/>
                <w:bCs/>
                <w:sz w:val="24"/>
                <w:szCs w:val="24"/>
              </w:rPr>
              <w:t>项目名称（可简写）的保证金</w:t>
            </w:r>
            <w:r>
              <w:rPr>
                <w:rFonts w:hAnsi="宋体" w:cs="宋体"/>
                <w:sz w:val="24"/>
                <w:szCs w:val="24"/>
              </w:rPr>
              <w:t>”，如未填写将影响保证金核查，可能因未查询到供应商保证金而导致其</w:t>
            </w:r>
            <w:r>
              <w:rPr>
                <w:rFonts w:hAnsi="宋体" w:cs="宋体"/>
                <w:b/>
                <w:bCs/>
                <w:sz w:val="24"/>
                <w:szCs w:val="24"/>
              </w:rPr>
              <w:t>响应无效</w:t>
            </w:r>
            <w:r>
              <w:rPr>
                <w:rFonts w:hAnsi="宋体" w:cs="宋体"/>
                <w:sz w:val="24"/>
                <w:szCs w:val="24"/>
              </w:rPr>
              <w:t>。</w:t>
            </w:r>
          </w:p>
          <w:p w14:paraId="2F11D6D0">
            <w:pPr>
              <w:rPr>
                <w:rFonts w:hint="eastAsia" w:ascii="宋体" w:hAnsi="宋体" w:cs="宋体"/>
                <w:sz w:val="24"/>
              </w:rPr>
            </w:pPr>
            <w:r>
              <w:rPr>
                <w:rFonts w:hint="eastAsia" w:ascii="宋体" w:hAnsi="宋体" w:cs="宋体"/>
                <w:sz w:val="24"/>
              </w:rPr>
              <w:t>7、递交时间：请供应商于首次响应文件提交截止时间前递交有效的磋商保证金，保证金到账时间以银行确认的实际到账时间为准。</w:t>
            </w:r>
          </w:p>
          <w:p w14:paraId="5A6AAA60">
            <w:pPr>
              <w:rPr>
                <w:rFonts w:hint="eastAsia" w:ascii="宋体" w:hAnsi="宋体" w:cs="宋体"/>
                <w:sz w:val="24"/>
              </w:rPr>
            </w:pPr>
            <w:r>
              <w:rPr>
                <w:rFonts w:hint="eastAsia" w:ascii="宋体" w:hAnsi="宋体" w:cs="宋体"/>
                <w:sz w:val="24"/>
              </w:rPr>
              <w:t>8、除法律规定外，磋商保证金需按照下列规定递交，否则视为无效：</w:t>
            </w:r>
          </w:p>
          <w:p w14:paraId="49170349">
            <w:pPr>
              <w:rPr>
                <w:rFonts w:hint="eastAsia" w:ascii="宋体" w:hAnsi="宋体" w:cs="宋体"/>
                <w:sz w:val="24"/>
              </w:rPr>
            </w:pPr>
            <w:r>
              <w:rPr>
                <w:rFonts w:hint="eastAsia" w:ascii="宋体" w:hAnsi="宋体" w:cs="宋体"/>
                <w:sz w:val="24"/>
              </w:rPr>
              <w:t>8.1在首次响应文件提交截止时间前向磋商保证金收取账户一次足额缴纳。</w:t>
            </w:r>
          </w:p>
          <w:p w14:paraId="12E5DC44">
            <w:pPr>
              <w:rPr>
                <w:rFonts w:hint="eastAsia" w:ascii="宋体" w:hAnsi="宋体" w:cs="宋体"/>
                <w:sz w:val="24"/>
              </w:rPr>
            </w:pPr>
            <w:r>
              <w:rPr>
                <w:rFonts w:hint="eastAsia" w:ascii="宋体" w:hAnsi="宋体" w:cs="宋体"/>
                <w:sz w:val="24"/>
              </w:rPr>
              <w:t>8.2供应商提交的磋商保证金应以本单位的名义转出，账户名称应与获取磋商文件时的单位名称一致，不得以分支机构等其他名义提交。</w:t>
            </w:r>
          </w:p>
          <w:p w14:paraId="173FE0E4">
            <w:pPr>
              <w:jc w:val="left"/>
              <w:rPr>
                <w:rFonts w:hint="eastAsia" w:ascii="宋体" w:hAnsi="宋体" w:cs="宋体"/>
                <w:sz w:val="24"/>
              </w:rPr>
            </w:pPr>
            <w:r>
              <w:rPr>
                <w:rFonts w:hint="eastAsia" w:ascii="宋体" w:hAnsi="宋体" w:cs="宋体"/>
                <w:sz w:val="24"/>
              </w:rPr>
              <w:t>8.3供应商提交的磋商保证金仅限当次采购项目（采购包）有效，不得重复替代使用。如有多个采购包的采购项目，供应商应按所参与采购包分别缴纳磋商保证金。</w:t>
            </w:r>
          </w:p>
        </w:tc>
      </w:tr>
      <w:tr w14:paraId="4E6425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6" w:hRule="atLeast"/>
          <w:jc w:val="center"/>
        </w:trPr>
        <w:tc>
          <w:tcPr>
            <w:tcW w:w="480" w:type="pct"/>
            <w:vAlign w:val="center"/>
          </w:tcPr>
          <w:p w14:paraId="7B49349B">
            <w:pPr>
              <w:pStyle w:val="45"/>
              <w:adjustRightInd w:val="0"/>
              <w:snapToGrid w:val="0"/>
              <w:jc w:val="center"/>
              <w:rPr>
                <w:rFonts w:hAnsi="宋体" w:cs="仿宋"/>
                <w:sz w:val="24"/>
                <w:szCs w:val="24"/>
              </w:rPr>
            </w:pPr>
            <w:r>
              <w:rPr>
                <w:rFonts w:hAnsi="宋体" w:cs="仿宋"/>
                <w:sz w:val="24"/>
                <w:szCs w:val="24"/>
              </w:rPr>
              <w:t>11.8.5</w:t>
            </w:r>
          </w:p>
        </w:tc>
        <w:tc>
          <w:tcPr>
            <w:tcW w:w="947" w:type="pct"/>
            <w:vMerge w:val="continue"/>
            <w:vAlign w:val="center"/>
          </w:tcPr>
          <w:p w14:paraId="427419B7">
            <w:pPr>
              <w:jc w:val="center"/>
              <w:rPr>
                <w:rFonts w:hint="eastAsia" w:ascii="宋体" w:hAnsi="宋体" w:cs="仿宋"/>
                <w:sz w:val="24"/>
              </w:rPr>
            </w:pPr>
          </w:p>
        </w:tc>
        <w:tc>
          <w:tcPr>
            <w:tcW w:w="3573" w:type="pct"/>
            <w:vAlign w:val="center"/>
          </w:tcPr>
          <w:p w14:paraId="7B0B619C">
            <w:pPr>
              <w:jc w:val="left"/>
              <w:rPr>
                <w:rFonts w:hint="eastAsia" w:ascii="宋体" w:hAnsi="宋体" w:cs="宋体"/>
                <w:sz w:val="24"/>
              </w:rPr>
            </w:pPr>
            <w:r>
              <w:rPr>
                <w:rFonts w:hint="eastAsia" w:ascii="宋体" w:hAnsi="宋体" w:cs="宋体"/>
                <w:sz w:val="24"/>
              </w:rPr>
              <w:t>磋商保证金不予退还的其他情形：</w:t>
            </w:r>
          </w:p>
          <w:p w14:paraId="7EAC9F98">
            <w:pPr>
              <w:jc w:val="left"/>
              <w:rPr>
                <w:rFonts w:hint="eastAsia" w:ascii="宋体" w:hAnsi="宋体" w:cs="宋体"/>
                <w:sz w:val="24"/>
              </w:rPr>
            </w:pPr>
            <w:r>
              <w:rPr>
                <w:rFonts w:hAnsi="宋体"/>
                <w:sz w:val="24"/>
              </w:rPr>
              <w:t>■</w:t>
            </w:r>
            <w:r>
              <w:rPr>
                <w:rFonts w:hint="eastAsia" w:ascii="宋体" w:hAnsi="宋体" w:cs="宋体"/>
                <w:sz w:val="24"/>
              </w:rPr>
              <w:t>无</w:t>
            </w:r>
          </w:p>
          <w:p w14:paraId="3F738939">
            <w:pPr>
              <w:pStyle w:val="45"/>
              <w:adjustRightInd w:val="0"/>
              <w:snapToGrid w:val="0"/>
              <w:rPr>
                <w:rFonts w:hAnsi="宋体" w:cs="仿宋"/>
                <w:sz w:val="24"/>
                <w:szCs w:val="24"/>
              </w:rPr>
            </w:pPr>
            <w:r>
              <w:rPr>
                <w:rFonts w:hAnsi="宋体" w:cs="宋体"/>
                <w:sz w:val="24"/>
              </w:rPr>
              <w:t>□</w:t>
            </w:r>
            <w:r>
              <w:rPr>
                <w:rFonts w:hAnsi="宋体" w:cs="宋体"/>
                <w:sz w:val="24"/>
                <w:szCs w:val="24"/>
              </w:rPr>
              <w:t>有，具体情形：</w:t>
            </w:r>
            <w:r>
              <w:rPr>
                <w:rFonts w:hAnsi="宋体" w:cs="宋体"/>
                <w:sz w:val="24"/>
                <w:szCs w:val="24"/>
                <w:u w:val="single"/>
              </w:rPr>
              <w:t xml:space="preserve"> </w:t>
            </w:r>
            <w:r>
              <w:rPr>
                <w:rFonts w:hAnsi="宋体" w:cs="宋体"/>
                <w:sz w:val="24"/>
                <w:u w:val="single"/>
              </w:rPr>
              <w:t xml:space="preserve">/ </w:t>
            </w:r>
            <w:r>
              <w:rPr>
                <w:rFonts w:hAnsi="宋体" w:cs="宋体"/>
                <w:sz w:val="24"/>
              </w:rPr>
              <w:t>。</w:t>
            </w:r>
          </w:p>
        </w:tc>
      </w:tr>
      <w:tr w14:paraId="76A1F3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jc w:val="center"/>
        </w:trPr>
        <w:tc>
          <w:tcPr>
            <w:tcW w:w="480" w:type="pct"/>
            <w:vAlign w:val="center"/>
          </w:tcPr>
          <w:p w14:paraId="72EE394A">
            <w:pPr>
              <w:pStyle w:val="45"/>
              <w:adjustRightInd w:val="0"/>
              <w:snapToGrid w:val="0"/>
              <w:jc w:val="center"/>
              <w:rPr>
                <w:rFonts w:hAnsi="宋体" w:cs="仿宋"/>
                <w:sz w:val="24"/>
                <w:szCs w:val="24"/>
              </w:rPr>
            </w:pPr>
            <w:r>
              <w:rPr>
                <w:rFonts w:hAnsi="宋体" w:cs="仿宋"/>
                <w:sz w:val="24"/>
                <w:szCs w:val="24"/>
              </w:rPr>
              <w:t>12.1</w:t>
            </w:r>
          </w:p>
        </w:tc>
        <w:tc>
          <w:tcPr>
            <w:tcW w:w="947" w:type="pct"/>
            <w:vAlign w:val="center"/>
          </w:tcPr>
          <w:p w14:paraId="3818B65B">
            <w:pPr>
              <w:jc w:val="center"/>
              <w:rPr>
                <w:rFonts w:hint="eastAsia" w:ascii="宋体" w:hAnsi="宋体" w:cs="仿宋"/>
                <w:sz w:val="24"/>
              </w:rPr>
            </w:pPr>
            <w:r>
              <w:rPr>
                <w:rFonts w:hint="eastAsia" w:ascii="宋体" w:hAnsi="宋体" w:cs="仿宋"/>
                <w:sz w:val="24"/>
              </w:rPr>
              <w:t>响应有效期</w:t>
            </w:r>
          </w:p>
        </w:tc>
        <w:tc>
          <w:tcPr>
            <w:tcW w:w="3573" w:type="pct"/>
            <w:vAlign w:val="center"/>
          </w:tcPr>
          <w:p w14:paraId="27189F3F">
            <w:pPr>
              <w:jc w:val="left"/>
              <w:rPr>
                <w:rFonts w:hint="eastAsia" w:ascii="宋体" w:hAnsi="宋体" w:cs="仿宋"/>
                <w:sz w:val="24"/>
              </w:rPr>
            </w:pPr>
            <w:r>
              <w:rPr>
                <w:rFonts w:hint="eastAsia" w:ascii="宋体" w:hAnsi="宋体" w:cs="仿宋"/>
                <w:sz w:val="24"/>
              </w:rPr>
              <w:t>自响应文件提交的截止之日起算90日历天。</w:t>
            </w:r>
          </w:p>
        </w:tc>
      </w:tr>
      <w:tr w14:paraId="24A9D6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jc w:val="center"/>
        </w:trPr>
        <w:tc>
          <w:tcPr>
            <w:tcW w:w="480" w:type="pct"/>
            <w:vAlign w:val="center"/>
          </w:tcPr>
          <w:p w14:paraId="3E0FF71E">
            <w:pPr>
              <w:pStyle w:val="45"/>
              <w:adjustRightInd w:val="0"/>
              <w:snapToGrid w:val="0"/>
              <w:jc w:val="center"/>
              <w:rPr>
                <w:rFonts w:hAnsi="宋体" w:cs="仿宋"/>
                <w:sz w:val="24"/>
                <w:szCs w:val="24"/>
              </w:rPr>
            </w:pPr>
            <w:r>
              <w:rPr>
                <w:rFonts w:hAnsi="宋体" w:cs="仿宋"/>
                <w:sz w:val="24"/>
                <w:szCs w:val="24"/>
              </w:rPr>
              <w:t>17.2</w:t>
            </w:r>
          </w:p>
        </w:tc>
        <w:tc>
          <w:tcPr>
            <w:tcW w:w="947" w:type="pct"/>
            <w:vAlign w:val="center"/>
          </w:tcPr>
          <w:p w14:paraId="05881DEE">
            <w:pPr>
              <w:jc w:val="center"/>
              <w:rPr>
                <w:rFonts w:hint="eastAsia" w:ascii="宋体" w:hAnsi="宋体" w:cs="仿宋"/>
                <w:sz w:val="24"/>
              </w:rPr>
            </w:pPr>
            <w:r>
              <w:rPr>
                <w:rFonts w:hint="eastAsia" w:ascii="宋体" w:hAnsi="宋体" w:cs="仿宋"/>
                <w:sz w:val="24"/>
              </w:rPr>
              <w:t>解密时间</w:t>
            </w:r>
          </w:p>
        </w:tc>
        <w:tc>
          <w:tcPr>
            <w:tcW w:w="3573" w:type="pct"/>
            <w:vAlign w:val="center"/>
          </w:tcPr>
          <w:p w14:paraId="51F0F9BE">
            <w:pPr>
              <w:jc w:val="left"/>
              <w:rPr>
                <w:rFonts w:hint="eastAsia" w:ascii="宋体" w:hAnsi="宋体" w:cs="仿宋"/>
                <w:sz w:val="24"/>
              </w:rPr>
            </w:pPr>
            <w:r>
              <w:rPr>
                <w:rFonts w:ascii="宋体" w:hAnsi="宋体" w:cs="仿宋"/>
                <w:sz w:val="24"/>
              </w:rPr>
              <w:t>解密时间：</w:t>
            </w:r>
            <w:r>
              <w:rPr>
                <w:rFonts w:hint="eastAsia" w:ascii="宋体" w:hAnsi="宋体" w:cs="仿宋"/>
                <w:b/>
                <w:bCs/>
                <w:sz w:val="24"/>
              </w:rPr>
              <w:t xml:space="preserve"> 20 分钟</w:t>
            </w:r>
          </w:p>
        </w:tc>
      </w:tr>
      <w:tr w14:paraId="46E28E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4" w:hRule="atLeast"/>
          <w:jc w:val="center"/>
        </w:trPr>
        <w:tc>
          <w:tcPr>
            <w:tcW w:w="480" w:type="pct"/>
            <w:vAlign w:val="center"/>
          </w:tcPr>
          <w:p w14:paraId="2292E1DF">
            <w:pPr>
              <w:pStyle w:val="45"/>
              <w:adjustRightInd w:val="0"/>
              <w:snapToGrid w:val="0"/>
              <w:jc w:val="center"/>
              <w:rPr>
                <w:rFonts w:hAnsi="宋体" w:cs="仿宋"/>
                <w:sz w:val="24"/>
                <w:szCs w:val="24"/>
              </w:rPr>
            </w:pPr>
            <w:r>
              <w:rPr>
                <w:rFonts w:hAnsi="宋体" w:cs="宋体"/>
                <w:sz w:val="24"/>
                <w:szCs w:val="24"/>
              </w:rPr>
              <w:t>2</w:t>
            </w:r>
            <w:r>
              <w:rPr>
                <w:rFonts w:hint="default" w:hAnsi="宋体" w:cs="宋体"/>
                <w:sz w:val="24"/>
                <w:szCs w:val="24"/>
              </w:rPr>
              <w:t>0</w:t>
            </w:r>
            <w:r>
              <w:rPr>
                <w:rFonts w:hAnsi="宋体" w:cs="宋体"/>
                <w:sz w:val="24"/>
                <w:szCs w:val="24"/>
              </w:rPr>
              <w:t>.1</w:t>
            </w:r>
          </w:p>
        </w:tc>
        <w:tc>
          <w:tcPr>
            <w:tcW w:w="947" w:type="pct"/>
            <w:vAlign w:val="center"/>
          </w:tcPr>
          <w:p w14:paraId="3A528109">
            <w:pPr>
              <w:jc w:val="center"/>
              <w:rPr>
                <w:rFonts w:ascii="宋体" w:hAnsi="宋体" w:cs="宋体"/>
                <w:sz w:val="24"/>
              </w:rPr>
            </w:pPr>
            <w:r>
              <w:rPr>
                <w:rFonts w:hint="eastAsia" w:ascii="宋体" w:hAnsi="宋体" w:cs="宋体"/>
                <w:sz w:val="24"/>
              </w:rPr>
              <w:t>确定成交</w:t>
            </w:r>
          </w:p>
          <w:p w14:paraId="77EFE12E">
            <w:pPr>
              <w:jc w:val="center"/>
              <w:rPr>
                <w:rFonts w:hint="eastAsia" w:ascii="宋体" w:hAnsi="宋体" w:cs="仿宋"/>
                <w:sz w:val="24"/>
              </w:rPr>
            </w:pPr>
            <w:r>
              <w:rPr>
                <w:rFonts w:hint="eastAsia" w:ascii="宋体" w:hAnsi="宋体" w:cs="宋体"/>
                <w:sz w:val="24"/>
              </w:rPr>
              <w:t>供应商</w:t>
            </w:r>
          </w:p>
        </w:tc>
        <w:tc>
          <w:tcPr>
            <w:tcW w:w="3573" w:type="pct"/>
            <w:vAlign w:val="center"/>
          </w:tcPr>
          <w:p w14:paraId="489E9241">
            <w:pPr>
              <w:pStyle w:val="45"/>
              <w:adjustRightInd w:val="0"/>
              <w:snapToGrid w:val="0"/>
              <w:rPr>
                <w:rFonts w:hAnsi="宋体" w:cs="宋体"/>
                <w:sz w:val="24"/>
                <w:szCs w:val="24"/>
              </w:rPr>
            </w:pPr>
            <w:r>
              <w:rPr>
                <w:rFonts w:hAnsi="宋体" w:cs="宋体"/>
                <w:sz w:val="24"/>
                <w:szCs w:val="24"/>
              </w:rPr>
              <w:t>采购人是否授权磋商小组直接确定成交供应商：</w:t>
            </w:r>
          </w:p>
          <w:p w14:paraId="065D9ADD">
            <w:pPr>
              <w:pStyle w:val="45"/>
              <w:adjustRightInd w:val="0"/>
              <w:snapToGrid w:val="0"/>
              <w:rPr>
                <w:rFonts w:hAnsi="宋体" w:cs="宋体"/>
                <w:sz w:val="24"/>
                <w:szCs w:val="24"/>
              </w:rPr>
            </w:pPr>
            <w:r>
              <w:rPr>
                <w:rFonts w:hAnsi="宋体"/>
                <w:sz w:val="24"/>
                <w:szCs w:val="24"/>
              </w:rPr>
              <w:t>■</w:t>
            </w:r>
            <w:r>
              <w:rPr>
                <w:rFonts w:hAnsi="宋体" w:cs="宋体"/>
                <w:sz w:val="24"/>
                <w:szCs w:val="24"/>
              </w:rPr>
              <w:t>否</w:t>
            </w:r>
          </w:p>
          <w:p w14:paraId="500ABC31">
            <w:pPr>
              <w:jc w:val="left"/>
              <w:rPr>
                <w:rFonts w:hint="eastAsia" w:ascii="宋体" w:hAnsi="宋体" w:cs="仿宋"/>
                <w:sz w:val="24"/>
                <w:u w:val="single"/>
              </w:rPr>
            </w:pPr>
            <w:r>
              <w:rPr>
                <w:rFonts w:hint="eastAsia" w:ascii="宋体" w:hAnsi="宋体" w:cs="宋体"/>
                <w:sz w:val="24"/>
              </w:rPr>
              <w:t>□是</w:t>
            </w:r>
          </w:p>
        </w:tc>
      </w:tr>
      <w:tr w14:paraId="2E1EEA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jc w:val="center"/>
        </w:trPr>
        <w:tc>
          <w:tcPr>
            <w:tcW w:w="480" w:type="pct"/>
            <w:vAlign w:val="center"/>
          </w:tcPr>
          <w:p w14:paraId="7C847105">
            <w:pPr>
              <w:pStyle w:val="45"/>
              <w:adjustRightInd w:val="0"/>
              <w:snapToGrid w:val="0"/>
              <w:jc w:val="center"/>
              <w:rPr>
                <w:rFonts w:hAnsi="宋体" w:cs="仿宋"/>
                <w:sz w:val="24"/>
                <w:szCs w:val="24"/>
              </w:rPr>
            </w:pPr>
            <w:r>
              <w:rPr>
                <w:rFonts w:hAnsi="宋体" w:cs="宋体"/>
                <w:sz w:val="24"/>
                <w:szCs w:val="24"/>
              </w:rPr>
              <w:t>2</w:t>
            </w:r>
            <w:r>
              <w:rPr>
                <w:rFonts w:hint="default" w:hAnsi="宋体" w:cs="宋体"/>
                <w:sz w:val="24"/>
                <w:szCs w:val="24"/>
              </w:rPr>
              <w:t>3</w:t>
            </w:r>
            <w:r>
              <w:rPr>
                <w:rFonts w:hAnsi="宋体" w:cs="宋体"/>
                <w:sz w:val="24"/>
                <w:szCs w:val="24"/>
              </w:rPr>
              <w:t>.5</w:t>
            </w:r>
          </w:p>
        </w:tc>
        <w:tc>
          <w:tcPr>
            <w:tcW w:w="947" w:type="pct"/>
            <w:vAlign w:val="center"/>
          </w:tcPr>
          <w:p w14:paraId="7FF0C1ED">
            <w:pPr>
              <w:jc w:val="center"/>
              <w:rPr>
                <w:rFonts w:hint="eastAsia" w:ascii="宋体" w:hAnsi="宋体" w:cs="仿宋"/>
                <w:sz w:val="24"/>
              </w:rPr>
            </w:pPr>
            <w:r>
              <w:rPr>
                <w:rFonts w:hint="eastAsia" w:ascii="宋体" w:hAnsi="宋体" w:cs="宋体"/>
                <w:sz w:val="24"/>
              </w:rPr>
              <w:t>分包</w:t>
            </w:r>
          </w:p>
        </w:tc>
        <w:tc>
          <w:tcPr>
            <w:tcW w:w="3573" w:type="pct"/>
            <w:vAlign w:val="center"/>
          </w:tcPr>
          <w:p w14:paraId="524C9DB4">
            <w:pPr>
              <w:jc w:val="left"/>
              <w:rPr>
                <w:rFonts w:hint="eastAsia" w:ascii="宋体" w:hAnsi="宋体" w:cs="宋体"/>
                <w:sz w:val="24"/>
              </w:rPr>
            </w:pPr>
            <w:r>
              <w:rPr>
                <w:rFonts w:hint="eastAsia" w:ascii="宋体" w:hAnsi="宋体" w:cs="宋体"/>
                <w:sz w:val="24"/>
              </w:rPr>
              <w:t xml:space="preserve">本项目是否允许分包： </w:t>
            </w:r>
          </w:p>
          <w:p w14:paraId="604ADEED">
            <w:pPr>
              <w:jc w:val="left"/>
              <w:rPr>
                <w:rFonts w:hint="eastAsia" w:ascii="宋体" w:hAnsi="宋体" w:cs="宋体"/>
                <w:sz w:val="24"/>
              </w:rPr>
            </w:pPr>
            <w:r>
              <w:rPr>
                <w:rFonts w:hAnsi="宋体"/>
                <w:sz w:val="24"/>
              </w:rPr>
              <w:t>■</w:t>
            </w:r>
            <w:r>
              <w:rPr>
                <w:rFonts w:hint="eastAsia" w:ascii="宋体" w:hAnsi="宋体" w:cs="宋体"/>
                <w:sz w:val="24"/>
              </w:rPr>
              <w:t>不允许</w:t>
            </w:r>
          </w:p>
          <w:p w14:paraId="33571073">
            <w:pPr>
              <w:jc w:val="left"/>
              <w:rPr>
                <w:rFonts w:hint="eastAsia" w:ascii="宋体" w:hAnsi="宋体" w:cs="仿宋"/>
                <w:sz w:val="24"/>
                <w:u w:val="single"/>
              </w:rPr>
            </w:pPr>
            <w:r>
              <w:rPr>
                <w:rFonts w:hint="eastAsia" w:ascii="宋体" w:hAnsi="宋体" w:cs="宋体"/>
                <w:sz w:val="24"/>
              </w:rPr>
              <w:t>□允许，具体要求：</w:t>
            </w:r>
            <w:r>
              <w:rPr>
                <w:rFonts w:hint="eastAsia" w:ascii="宋体" w:hAnsi="宋体" w:cs="宋体"/>
                <w:sz w:val="24"/>
                <w:u w:val="single"/>
              </w:rPr>
              <w:t xml:space="preserve"> / </w:t>
            </w:r>
            <w:r>
              <w:rPr>
                <w:rFonts w:hint="eastAsia" w:ascii="宋体" w:hAnsi="宋体" w:cs="宋体"/>
                <w:sz w:val="24"/>
              </w:rPr>
              <w:t>。</w:t>
            </w:r>
          </w:p>
        </w:tc>
      </w:tr>
      <w:tr w14:paraId="23A75F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jc w:val="center"/>
        </w:trPr>
        <w:tc>
          <w:tcPr>
            <w:tcW w:w="480" w:type="pct"/>
            <w:vAlign w:val="center"/>
          </w:tcPr>
          <w:p w14:paraId="730DE80D">
            <w:pPr>
              <w:pStyle w:val="45"/>
              <w:adjustRightInd w:val="0"/>
              <w:snapToGrid w:val="0"/>
              <w:jc w:val="center"/>
              <w:rPr>
                <w:rFonts w:hAnsi="宋体" w:cs="宋体"/>
                <w:sz w:val="24"/>
                <w:szCs w:val="24"/>
              </w:rPr>
            </w:pPr>
            <w:r>
              <w:rPr>
                <w:rFonts w:hAnsi="宋体" w:cs="宋体"/>
                <w:sz w:val="24"/>
                <w:szCs w:val="24"/>
              </w:rPr>
              <w:t>23.6</w:t>
            </w:r>
          </w:p>
        </w:tc>
        <w:tc>
          <w:tcPr>
            <w:tcW w:w="947" w:type="pct"/>
            <w:vAlign w:val="center"/>
          </w:tcPr>
          <w:p w14:paraId="778C2126">
            <w:pPr>
              <w:jc w:val="center"/>
              <w:rPr>
                <w:rFonts w:hint="eastAsia" w:ascii="宋体" w:hAnsi="宋体" w:cs="宋体"/>
                <w:sz w:val="24"/>
              </w:rPr>
            </w:pPr>
            <w:r>
              <w:rPr>
                <w:rFonts w:hint="eastAsia" w:ascii="宋体" w:hAnsi="宋体" w:cs="宋体"/>
                <w:sz w:val="24"/>
              </w:rPr>
              <w:t>政采贷</w:t>
            </w:r>
          </w:p>
        </w:tc>
        <w:tc>
          <w:tcPr>
            <w:tcW w:w="3573" w:type="pct"/>
            <w:vAlign w:val="center"/>
          </w:tcPr>
          <w:p w14:paraId="55E09455">
            <w:pPr>
              <w:jc w:val="left"/>
              <w:rPr>
                <w:rFonts w:hint="eastAsia" w:ascii="宋体" w:hAnsi="宋体" w:cs="宋体"/>
                <w:sz w:val="24"/>
              </w:rPr>
            </w:pPr>
            <w:r>
              <w:rPr>
                <w:rFonts w:ascii="宋体" w:hAnsi="宋体" w:cs="宋体"/>
                <w:sz w:val="24"/>
              </w:rPr>
              <w:t>为更大力度激发市场活力和社会创造力，增强发展动力，按照《北京市全面优化营商环境助力企业高质量发展实施方案》（京政办发〔2023〕8号）部署，进一步加强政府采购合同线上融资“一站式”服务（以下简 称“政采贷”），北京市财政局、中国人民银行营业管理部联合发布《关于推进政府采购合同线上融资有关工作的通知》（京财采购〔2023〕637 号）。有需求的供应商，可按上述通知要求办理“政采贷”。</w:t>
            </w:r>
          </w:p>
        </w:tc>
      </w:tr>
      <w:tr w14:paraId="2CAB3E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jc w:val="center"/>
        </w:trPr>
        <w:tc>
          <w:tcPr>
            <w:tcW w:w="480" w:type="pct"/>
            <w:vAlign w:val="center"/>
          </w:tcPr>
          <w:p w14:paraId="67080E3D">
            <w:pPr>
              <w:pStyle w:val="45"/>
              <w:adjustRightInd w:val="0"/>
              <w:snapToGrid w:val="0"/>
              <w:jc w:val="center"/>
              <w:rPr>
                <w:rFonts w:hAnsi="宋体" w:cs="仿宋"/>
                <w:sz w:val="24"/>
                <w:szCs w:val="24"/>
              </w:rPr>
            </w:pPr>
            <w:r>
              <w:rPr>
                <w:rFonts w:hAnsi="宋体" w:cs="宋体"/>
                <w:sz w:val="24"/>
                <w:szCs w:val="24"/>
              </w:rPr>
              <w:t>2</w:t>
            </w:r>
            <w:r>
              <w:rPr>
                <w:rFonts w:hint="default" w:hAnsi="宋体" w:cs="宋体"/>
                <w:sz w:val="24"/>
                <w:szCs w:val="24"/>
              </w:rPr>
              <w:t>4.1.1</w:t>
            </w:r>
          </w:p>
        </w:tc>
        <w:tc>
          <w:tcPr>
            <w:tcW w:w="947" w:type="pct"/>
            <w:vAlign w:val="center"/>
          </w:tcPr>
          <w:p w14:paraId="3B171858">
            <w:pPr>
              <w:jc w:val="center"/>
              <w:rPr>
                <w:rFonts w:hint="eastAsia" w:ascii="宋体" w:hAnsi="宋体" w:cs="仿宋"/>
                <w:sz w:val="24"/>
              </w:rPr>
            </w:pPr>
            <w:r>
              <w:rPr>
                <w:rFonts w:hint="eastAsia" w:ascii="宋体" w:hAnsi="宋体" w:cs="宋体"/>
                <w:sz w:val="24"/>
              </w:rPr>
              <w:t>询问</w:t>
            </w:r>
          </w:p>
        </w:tc>
        <w:tc>
          <w:tcPr>
            <w:tcW w:w="3573" w:type="pct"/>
            <w:vAlign w:val="center"/>
          </w:tcPr>
          <w:p w14:paraId="000DCE2D">
            <w:pPr>
              <w:jc w:val="left"/>
              <w:rPr>
                <w:rFonts w:hint="eastAsia" w:ascii="宋体" w:hAnsi="宋体" w:cs="仿宋"/>
                <w:sz w:val="24"/>
              </w:rPr>
            </w:pPr>
            <w:r>
              <w:rPr>
                <w:rFonts w:hint="eastAsia" w:ascii="宋体" w:hAnsi="宋体" w:cs="宋体"/>
                <w:sz w:val="24"/>
              </w:rPr>
              <w:t>询问送达形式：</w:t>
            </w:r>
            <w:r>
              <w:rPr>
                <w:rFonts w:hint="eastAsia" w:ascii="宋体" w:hAnsi="宋体" w:cs="宋体"/>
                <w:sz w:val="24"/>
                <w:u w:val="single"/>
              </w:rPr>
              <w:t>书面形式送达代理机构</w:t>
            </w:r>
            <w:r>
              <w:rPr>
                <w:rFonts w:hint="eastAsia" w:asciiTheme="minorEastAsia" w:hAnsiTheme="minorEastAsia" w:eastAsiaTheme="minorEastAsia"/>
                <w:sz w:val="24"/>
                <w:u w:val="single"/>
              </w:rPr>
              <w:t>（加盖供应商公章）</w:t>
            </w:r>
            <w:r>
              <w:rPr>
                <w:rFonts w:hint="eastAsia" w:ascii="宋体" w:hAnsi="宋体" w:cs="宋体"/>
                <w:sz w:val="24"/>
              </w:rPr>
              <w:t>。</w:t>
            </w:r>
          </w:p>
        </w:tc>
      </w:tr>
      <w:tr w14:paraId="30C2FD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480" w:type="pct"/>
            <w:vAlign w:val="center"/>
          </w:tcPr>
          <w:p w14:paraId="408ACB5D">
            <w:pPr>
              <w:pStyle w:val="45"/>
              <w:adjustRightInd w:val="0"/>
              <w:snapToGrid w:val="0"/>
              <w:jc w:val="center"/>
              <w:rPr>
                <w:rFonts w:hAnsi="宋体" w:cs="仿宋"/>
                <w:sz w:val="24"/>
                <w:szCs w:val="24"/>
              </w:rPr>
            </w:pPr>
            <w:r>
              <w:rPr>
                <w:rFonts w:hAnsi="宋体" w:cs="仿宋"/>
                <w:sz w:val="24"/>
                <w:szCs w:val="24"/>
              </w:rPr>
              <w:t>2</w:t>
            </w:r>
            <w:r>
              <w:rPr>
                <w:rFonts w:hint="default" w:hAnsi="宋体" w:cs="仿宋"/>
                <w:sz w:val="24"/>
                <w:szCs w:val="24"/>
              </w:rPr>
              <w:t>4</w:t>
            </w:r>
            <w:r>
              <w:rPr>
                <w:rFonts w:hAnsi="宋体" w:cs="仿宋"/>
                <w:sz w:val="24"/>
                <w:szCs w:val="24"/>
              </w:rPr>
              <w:t>.3</w:t>
            </w:r>
          </w:p>
        </w:tc>
        <w:tc>
          <w:tcPr>
            <w:tcW w:w="947" w:type="pct"/>
            <w:vAlign w:val="center"/>
          </w:tcPr>
          <w:p w14:paraId="27A87BBD">
            <w:pPr>
              <w:jc w:val="center"/>
              <w:rPr>
                <w:rFonts w:hint="eastAsia" w:ascii="宋体" w:hAnsi="宋体" w:cs="仿宋"/>
                <w:sz w:val="24"/>
              </w:rPr>
            </w:pPr>
            <w:r>
              <w:rPr>
                <w:rFonts w:hint="eastAsia" w:ascii="宋体" w:hAnsi="宋体" w:cs="仿宋"/>
                <w:sz w:val="24"/>
              </w:rPr>
              <w:t>联系方式</w:t>
            </w:r>
          </w:p>
        </w:tc>
        <w:tc>
          <w:tcPr>
            <w:tcW w:w="3573" w:type="pct"/>
            <w:vAlign w:val="center"/>
          </w:tcPr>
          <w:p w14:paraId="059FCA0B">
            <w:pPr>
              <w:jc w:val="left"/>
              <w:rPr>
                <w:rFonts w:hint="eastAsia" w:ascii="宋体" w:hAnsi="宋体" w:cs="仿宋"/>
                <w:sz w:val="24"/>
              </w:rPr>
            </w:pPr>
            <w:r>
              <w:rPr>
                <w:rFonts w:hint="eastAsia" w:ascii="宋体" w:hAnsi="宋体" w:cs="仿宋"/>
                <w:sz w:val="24"/>
              </w:rPr>
              <w:t>接收询问和质疑的联系方式</w:t>
            </w:r>
          </w:p>
          <w:p w14:paraId="5E16CD4E">
            <w:pPr>
              <w:jc w:val="left"/>
              <w:rPr>
                <w:rFonts w:hint="eastAsia" w:ascii="宋体" w:hAnsi="宋体" w:cs="仿宋"/>
                <w:sz w:val="24"/>
              </w:rPr>
            </w:pPr>
            <w:r>
              <w:rPr>
                <w:rFonts w:hint="eastAsia" w:ascii="宋体" w:hAnsi="宋体" w:cs="仿宋"/>
                <w:sz w:val="24"/>
              </w:rPr>
              <w:t>联系部门：</w:t>
            </w:r>
            <w:r>
              <w:rPr>
                <w:rFonts w:hint="eastAsia" w:asciiTheme="minorEastAsia" w:hAnsiTheme="minorEastAsia" w:eastAsiaTheme="minorEastAsia"/>
                <w:sz w:val="24"/>
                <w:u w:val="single"/>
              </w:rPr>
              <w:t>招标部</w:t>
            </w:r>
            <w:r>
              <w:rPr>
                <w:rFonts w:hint="eastAsia" w:ascii="宋体" w:hAnsi="宋体" w:cs="仿宋"/>
                <w:sz w:val="24"/>
              </w:rPr>
              <w:t>；</w:t>
            </w:r>
          </w:p>
          <w:p w14:paraId="2BCF03DA">
            <w:pPr>
              <w:jc w:val="left"/>
              <w:rPr>
                <w:rFonts w:hint="eastAsia" w:ascii="宋体" w:hAnsi="宋体" w:cs="仿宋"/>
                <w:sz w:val="24"/>
              </w:rPr>
            </w:pPr>
            <w:r>
              <w:rPr>
                <w:rFonts w:hint="eastAsia" w:ascii="宋体" w:hAnsi="宋体" w:cs="仿宋"/>
                <w:sz w:val="24"/>
              </w:rPr>
              <w:t>联系电话：</w:t>
            </w:r>
            <w:r>
              <w:rPr>
                <w:rFonts w:hint="eastAsia" w:ascii="宋体" w:hAnsi="宋体" w:cs="仿宋"/>
                <w:sz w:val="24"/>
                <w:u w:val="single"/>
              </w:rPr>
              <w:t>010-83613336</w:t>
            </w:r>
            <w:r>
              <w:rPr>
                <w:rFonts w:hint="eastAsia" w:ascii="宋体" w:hAnsi="宋体" w:cs="仿宋"/>
                <w:sz w:val="24"/>
              </w:rPr>
              <w:t>；</w:t>
            </w:r>
          </w:p>
          <w:p w14:paraId="3FD385DB">
            <w:pPr>
              <w:jc w:val="left"/>
              <w:rPr>
                <w:rFonts w:hint="eastAsia" w:ascii="宋体" w:hAnsi="宋体" w:cs="仿宋"/>
                <w:sz w:val="24"/>
              </w:rPr>
            </w:pPr>
            <w:r>
              <w:rPr>
                <w:rFonts w:hint="eastAsia" w:ascii="宋体" w:hAnsi="宋体" w:cs="仿宋"/>
                <w:sz w:val="24"/>
              </w:rPr>
              <w:t>通讯地址：</w:t>
            </w:r>
            <w:r>
              <w:rPr>
                <w:rFonts w:hint="eastAsia" w:ascii="宋体" w:hAnsi="宋体" w:cs="仿宋"/>
                <w:sz w:val="24"/>
                <w:u w:val="single"/>
              </w:rPr>
              <w:t>北京市丰台区郭公庄一区棉花城2号楼</w:t>
            </w:r>
            <w:r>
              <w:rPr>
                <w:rFonts w:hint="eastAsia" w:ascii="宋体" w:hAnsi="宋体" w:cs="仿宋"/>
                <w:sz w:val="24"/>
              </w:rPr>
              <w:t>。</w:t>
            </w:r>
          </w:p>
        </w:tc>
      </w:tr>
      <w:tr w14:paraId="3D7601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6" w:hRule="atLeast"/>
          <w:jc w:val="center"/>
        </w:trPr>
        <w:tc>
          <w:tcPr>
            <w:tcW w:w="480" w:type="pct"/>
            <w:vAlign w:val="center"/>
          </w:tcPr>
          <w:p w14:paraId="4379454E">
            <w:pPr>
              <w:pStyle w:val="45"/>
              <w:adjustRightInd w:val="0"/>
              <w:snapToGrid w:val="0"/>
              <w:jc w:val="center"/>
              <w:rPr>
                <w:rFonts w:hAnsi="宋体" w:cs="仿宋"/>
                <w:sz w:val="24"/>
                <w:szCs w:val="24"/>
              </w:rPr>
            </w:pPr>
            <w:r>
              <w:rPr>
                <w:rFonts w:hAnsi="宋体" w:cs="仿宋"/>
                <w:sz w:val="24"/>
                <w:szCs w:val="24"/>
              </w:rPr>
              <w:t>2</w:t>
            </w:r>
            <w:r>
              <w:rPr>
                <w:rFonts w:hint="default" w:hAnsi="宋体" w:cs="仿宋"/>
                <w:sz w:val="24"/>
                <w:szCs w:val="24"/>
              </w:rPr>
              <w:t>5</w:t>
            </w:r>
          </w:p>
        </w:tc>
        <w:tc>
          <w:tcPr>
            <w:tcW w:w="947" w:type="pct"/>
            <w:vAlign w:val="center"/>
          </w:tcPr>
          <w:p w14:paraId="1E6493C2">
            <w:pPr>
              <w:jc w:val="center"/>
              <w:rPr>
                <w:rFonts w:hint="eastAsia" w:ascii="宋体" w:hAnsi="宋体" w:cs="仿宋"/>
                <w:sz w:val="24"/>
              </w:rPr>
            </w:pPr>
            <w:r>
              <w:rPr>
                <w:rFonts w:hint="eastAsia" w:ascii="宋体" w:hAnsi="宋体" w:cs="仿宋"/>
                <w:sz w:val="24"/>
              </w:rPr>
              <w:t>代理费</w:t>
            </w:r>
          </w:p>
        </w:tc>
        <w:tc>
          <w:tcPr>
            <w:tcW w:w="3573" w:type="pct"/>
            <w:vAlign w:val="center"/>
          </w:tcPr>
          <w:p w14:paraId="13854BD3">
            <w:pPr>
              <w:jc w:val="left"/>
              <w:rPr>
                <w:rFonts w:hint="eastAsia" w:ascii="宋体" w:hAnsi="宋体" w:cs="宋体"/>
                <w:sz w:val="24"/>
              </w:rPr>
            </w:pPr>
            <w:r>
              <w:rPr>
                <w:rFonts w:hint="eastAsia" w:ascii="宋体" w:hAnsi="宋体" w:cs="宋体"/>
                <w:sz w:val="24"/>
              </w:rPr>
              <w:t>收费对象：</w:t>
            </w:r>
          </w:p>
          <w:p w14:paraId="7BBAA907">
            <w:pPr>
              <w:jc w:val="left"/>
              <w:rPr>
                <w:rFonts w:hint="eastAsia" w:ascii="宋体" w:hAnsi="宋体" w:cs="宋体"/>
                <w:sz w:val="24"/>
              </w:rPr>
            </w:pPr>
            <w:r>
              <w:rPr>
                <w:rFonts w:hint="eastAsia" w:ascii="宋体" w:hAnsi="宋体" w:cs="宋体"/>
                <w:sz w:val="24"/>
              </w:rPr>
              <w:t>□采购人</w:t>
            </w:r>
          </w:p>
          <w:p w14:paraId="42F36768">
            <w:pPr>
              <w:jc w:val="left"/>
              <w:rPr>
                <w:rFonts w:hint="eastAsia" w:ascii="宋体" w:hAnsi="宋体" w:cs="宋体"/>
                <w:sz w:val="24"/>
              </w:rPr>
            </w:pPr>
            <w:r>
              <w:rPr>
                <w:rFonts w:hint="eastAsia" w:ascii="宋体" w:hAnsi="宋体" w:cs="宋体"/>
                <w:sz w:val="24"/>
              </w:rPr>
              <w:t>■成交供应商</w:t>
            </w:r>
          </w:p>
          <w:p w14:paraId="0ED2CFFC">
            <w:pPr>
              <w:tabs>
                <w:tab w:val="left" w:pos="0"/>
                <w:tab w:val="left" w:pos="60"/>
              </w:tabs>
              <w:jc w:val="left"/>
              <w:rPr>
                <w:rFonts w:hint="eastAsia" w:ascii="宋体" w:hAnsi="宋体" w:cs="宋体"/>
                <w:sz w:val="24"/>
              </w:rPr>
            </w:pPr>
            <w:r>
              <w:rPr>
                <w:rFonts w:hint="eastAsia" w:ascii="宋体" w:hAnsi="宋体" w:cs="宋体"/>
                <w:sz w:val="24"/>
              </w:rPr>
              <w:t>收费标准：</w:t>
            </w:r>
            <w:r>
              <w:rPr>
                <w:rFonts w:hint="eastAsia" w:ascii="宋体" w:hAnsi="宋体"/>
                <w:kern w:val="0"/>
                <w:sz w:val="24"/>
                <w:u w:val="single"/>
              </w:rPr>
              <w:t>参照国家发展和改革委员会的《招标代理服务收费管理暂行办法》（计价格[2011]534号以及[2002]1980号）和《国家发展和改革委员会办公厅关于招标代理服务收费有关问题的通知》即发改办价格[2003]857号文件规定的标准，以成交金额为基数，按照差额定率累进法执行，</w:t>
            </w:r>
            <w:r>
              <w:rPr>
                <w:rFonts w:hint="eastAsia" w:ascii="宋体" w:hAnsi="宋体" w:cs="宋体"/>
                <w:sz w:val="24"/>
                <w:u w:val="single"/>
                <w:lang w:val="zh-CN"/>
              </w:rPr>
              <w:t>下浮</w:t>
            </w:r>
            <w:r>
              <w:rPr>
                <w:rFonts w:hint="eastAsia" w:ascii="宋体" w:hAnsi="宋体" w:cs="宋体"/>
                <w:sz w:val="24"/>
                <w:u w:val="single"/>
              </w:rPr>
              <w:t>2</w:t>
            </w:r>
            <w:r>
              <w:rPr>
                <w:rFonts w:hint="eastAsia" w:ascii="宋体" w:hAnsi="宋体" w:cs="宋体"/>
                <w:sz w:val="24"/>
                <w:u w:val="single"/>
                <w:lang w:val="zh-CN"/>
              </w:rPr>
              <w:t>0%计取代理服务费</w:t>
            </w:r>
            <w:r>
              <w:rPr>
                <w:rFonts w:hint="eastAsia" w:ascii="宋体" w:hAnsi="宋体" w:cs="宋体"/>
                <w:sz w:val="24"/>
              </w:rPr>
              <w:t>。</w:t>
            </w:r>
          </w:p>
          <w:p w14:paraId="4881A9CC">
            <w:pPr>
              <w:tabs>
                <w:tab w:val="left" w:pos="0"/>
                <w:tab w:val="left" w:pos="60"/>
              </w:tabs>
              <w:jc w:val="left"/>
              <w:rPr>
                <w:rFonts w:hint="eastAsia" w:ascii="宋体" w:hAnsi="宋体" w:cs="宋体"/>
                <w:color w:val="FF0000"/>
                <w:sz w:val="24"/>
              </w:rPr>
            </w:pPr>
            <w:r>
              <w:rPr>
                <w:rFonts w:hint="eastAsia" w:ascii="宋体" w:hAnsi="宋体" w:cs="宋体"/>
                <w:sz w:val="24"/>
              </w:rPr>
              <w:t>缴纳时间：</w:t>
            </w:r>
            <w:r>
              <w:rPr>
                <w:rFonts w:hint="eastAsia" w:ascii="宋体" w:hAnsi="宋体" w:cs="宋体"/>
                <w:sz w:val="24"/>
                <w:u w:val="single"/>
              </w:rPr>
              <w:t>在发出成交结果通知后5个工作日内支付至采购代理机构以下指定收费账户（汇款备注项目名称简称或项目编号）</w:t>
            </w:r>
            <w:r>
              <w:rPr>
                <w:rFonts w:hint="eastAsia" w:ascii="宋体" w:hAnsi="宋体" w:cs="宋体"/>
                <w:sz w:val="24"/>
              </w:rPr>
              <w:t>。</w:t>
            </w:r>
          </w:p>
          <w:p w14:paraId="315BDA3E">
            <w:pPr>
              <w:spacing w:line="276" w:lineRule="auto"/>
              <w:rPr>
                <w:rFonts w:hint="eastAsia" w:asciiTheme="minorEastAsia" w:hAnsiTheme="minorEastAsia" w:eastAsiaTheme="minorEastAsia"/>
                <w:b/>
                <w:bCs/>
                <w:sz w:val="24"/>
              </w:rPr>
            </w:pPr>
            <w:r>
              <w:rPr>
                <w:rFonts w:hint="eastAsia" w:asciiTheme="minorEastAsia" w:hAnsiTheme="minorEastAsia" w:eastAsiaTheme="minorEastAsia"/>
                <w:b/>
                <w:bCs/>
                <w:sz w:val="24"/>
              </w:rPr>
              <w:t>账户名称：</w:t>
            </w:r>
            <w:r>
              <w:rPr>
                <w:rFonts w:hint="eastAsia" w:asciiTheme="minorEastAsia" w:hAnsiTheme="minorEastAsia" w:eastAsiaTheme="minorEastAsia"/>
                <w:b/>
                <w:bCs/>
                <w:sz w:val="24"/>
                <w:u w:val="single"/>
              </w:rPr>
              <w:t>北京天一圣匠工程咨询有限公司</w:t>
            </w:r>
          </w:p>
          <w:p w14:paraId="2BD03BEA">
            <w:pPr>
              <w:spacing w:line="276" w:lineRule="auto"/>
              <w:rPr>
                <w:rFonts w:hint="eastAsia" w:asciiTheme="minorEastAsia" w:hAnsiTheme="minorEastAsia" w:eastAsiaTheme="minorEastAsia"/>
                <w:b/>
                <w:bCs/>
                <w:sz w:val="24"/>
              </w:rPr>
            </w:pPr>
            <w:r>
              <w:rPr>
                <w:rFonts w:hint="eastAsia" w:asciiTheme="minorEastAsia" w:hAnsiTheme="minorEastAsia" w:eastAsiaTheme="minorEastAsia"/>
                <w:b/>
                <w:bCs/>
                <w:sz w:val="24"/>
              </w:rPr>
              <w:t>开户银行：</w:t>
            </w:r>
            <w:r>
              <w:rPr>
                <w:rFonts w:hint="eastAsia" w:ascii="宋体" w:hAnsi="宋体" w:cs="宋体"/>
                <w:b/>
                <w:bCs/>
                <w:sz w:val="24"/>
                <w:u w:val="single"/>
              </w:rPr>
              <w:t>北京农商银行卢沟桥支行</w:t>
            </w:r>
          </w:p>
          <w:p w14:paraId="6E974D1B">
            <w:pPr>
              <w:jc w:val="left"/>
              <w:rPr>
                <w:rFonts w:hint="eastAsia" w:ascii="宋体" w:hAnsi="宋体" w:cs="宋体"/>
                <w:sz w:val="24"/>
              </w:rPr>
            </w:pPr>
            <w:r>
              <w:rPr>
                <w:rFonts w:hint="eastAsia" w:asciiTheme="minorEastAsia" w:hAnsiTheme="minorEastAsia" w:eastAsiaTheme="minorEastAsia"/>
                <w:b/>
                <w:bCs/>
                <w:sz w:val="24"/>
              </w:rPr>
              <w:t>银行账号：</w:t>
            </w:r>
            <w:r>
              <w:rPr>
                <w:rFonts w:hint="eastAsia" w:asciiTheme="minorEastAsia" w:hAnsiTheme="minorEastAsia" w:eastAsiaTheme="minorEastAsia"/>
                <w:b/>
                <w:bCs/>
                <w:sz w:val="24"/>
                <w:u w:val="single"/>
              </w:rPr>
              <w:t>0203 0101 0300 0017 164</w:t>
            </w:r>
          </w:p>
        </w:tc>
      </w:tr>
    </w:tbl>
    <w:p w14:paraId="7323FBD6">
      <w:pPr>
        <w:tabs>
          <w:tab w:val="left" w:pos="5580"/>
        </w:tabs>
        <w:adjustRightInd w:val="0"/>
        <w:spacing w:line="360" w:lineRule="auto"/>
        <w:jc w:val="distribute"/>
        <w:rPr>
          <w:rFonts w:hint="eastAsia" w:ascii="宋体" w:hAnsi="宋体" w:cs="仿宋"/>
          <w:sz w:val="24"/>
        </w:rPr>
        <w:sectPr>
          <w:footerReference r:id="rId13" w:type="first"/>
          <w:footerReference r:id="rId12" w:type="default"/>
          <w:pgSz w:w="11905" w:h="16838"/>
          <w:pgMar w:top="1247" w:right="1361" w:bottom="1247" w:left="1361" w:header="567" w:footer="992" w:gutter="0"/>
          <w:pgNumType w:start="1"/>
          <w:cols w:space="0" w:num="1"/>
          <w:docGrid w:linePitch="462" w:charSpace="0"/>
        </w:sectPr>
      </w:pPr>
    </w:p>
    <w:p w14:paraId="4681425E">
      <w:pPr>
        <w:spacing w:before="240" w:beforeLines="100"/>
        <w:jc w:val="center"/>
        <w:rPr>
          <w:rFonts w:hint="eastAsia" w:ascii="宋体" w:hAnsi="宋体" w:cs="仿宋"/>
          <w:b/>
          <w:sz w:val="28"/>
          <w:szCs w:val="28"/>
        </w:rPr>
      </w:pPr>
      <w:r>
        <w:rPr>
          <w:rFonts w:hint="eastAsia" w:ascii="宋体" w:hAnsi="宋体" w:cs="仿宋"/>
          <w:b/>
          <w:sz w:val="28"/>
          <w:szCs w:val="28"/>
        </w:rPr>
        <w:t>供应商须知</w:t>
      </w:r>
    </w:p>
    <w:p w14:paraId="67DBF347">
      <w:pPr>
        <w:pStyle w:val="4"/>
        <w:tabs>
          <w:tab w:val="center" w:pos="4592"/>
          <w:tab w:val="left" w:pos="7860"/>
        </w:tabs>
        <w:spacing w:before="0" w:line="360" w:lineRule="auto"/>
        <w:jc w:val="left"/>
        <w:rPr>
          <w:rFonts w:hint="eastAsia" w:ascii="宋体" w:hAnsi="宋体" w:eastAsia="宋体" w:cs="仿宋"/>
          <w:sz w:val="28"/>
        </w:rPr>
      </w:pPr>
      <w:bookmarkStart w:id="89" w:name="_Toc127151518"/>
      <w:bookmarkStart w:id="90" w:name="_Toc520356143"/>
      <w:r>
        <w:rPr>
          <w:rFonts w:hint="eastAsia" w:ascii="宋体" w:hAnsi="宋体" w:eastAsia="宋体" w:cs="仿宋"/>
          <w:sz w:val="28"/>
        </w:rPr>
        <w:tab/>
      </w:r>
      <w:bookmarkStart w:id="91" w:name="_Toc150774723"/>
      <w:bookmarkStart w:id="92" w:name="_Toc151193832"/>
      <w:bookmarkStart w:id="93" w:name="_Toc264969208"/>
      <w:bookmarkStart w:id="94" w:name="_Toc151193688"/>
      <w:bookmarkStart w:id="95" w:name="_Toc150509269"/>
      <w:bookmarkStart w:id="96" w:name="_Toc142311020"/>
      <w:bookmarkStart w:id="97" w:name="_Toc151193760"/>
      <w:bookmarkStart w:id="98" w:name="_Toc151193906"/>
      <w:bookmarkStart w:id="99" w:name="_Toc226965708"/>
      <w:bookmarkStart w:id="100" w:name="_Toc151190145"/>
      <w:bookmarkStart w:id="101" w:name="_Toc226337214"/>
      <w:bookmarkStart w:id="102" w:name="_Toc265228356"/>
      <w:bookmarkStart w:id="103" w:name="_Toc305158786"/>
      <w:bookmarkStart w:id="104" w:name="_Toc226965791"/>
      <w:bookmarkStart w:id="105" w:name="_Toc305158860"/>
      <w:bookmarkStart w:id="106" w:name="_Toc226309762"/>
      <w:bookmarkStart w:id="107" w:name="_Toc195842883"/>
      <w:bookmarkStart w:id="108" w:name="_Toc150480756"/>
      <w:bookmarkStart w:id="109" w:name="_Toc151193616"/>
      <w:bookmarkStart w:id="110" w:name="_Toc150774618"/>
      <w:r>
        <w:rPr>
          <w:rFonts w:hint="eastAsia" w:ascii="宋体" w:hAnsi="宋体" w:eastAsia="宋体" w:cs="仿宋"/>
          <w:sz w:val="28"/>
        </w:rPr>
        <w:t>一   说  明</w:t>
      </w:r>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r>
        <w:rPr>
          <w:rFonts w:hint="eastAsia" w:ascii="宋体" w:hAnsi="宋体" w:eastAsia="宋体" w:cs="仿宋"/>
          <w:sz w:val="28"/>
        </w:rPr>
        <w:tab/>
      </w:r>
    </w:p>
    <w:p w14:paraId="7C10D08B">
      <w:pPr>
        <w:numPr>
          <w:ilvl w:val="0"/>
          <w:numId w:val="29"/>
        </w:numPr>
        <w:tabs>
          <w:tab w:val="left" w:pos="360"/>
          <w:tab w:val="clear" w:pos="900"/>
        </w:tabs>
        <w:snapToGrid w:val="0"/>
        <w:spacing w:line="360" w:lineRule="auto"/>
        <w:ind w:left="357" w:hanging="357"/>
        <w:outlineLvl w:val="1"/>
        <w:rPr>
          <w:rFonts w:hint="eastAsia" w:ascii="宋体" w:hAnsi="宋体" w:cs="仿宋"/>
          <w:sz w:val="24"/>
        </w:rPr>
      </w:pPr>
      <w:bookmarkStart w:id="111" w:name="_Toc265228357"/>
      <w:bookmarkStart w:id="112" w:name="_Toc264969209"/>
      <w:bookmarkStart w:id="113" w:name="_Toc305158787"/>
      <w:bookmarkStart w:id="114" w:name="_Toc305158861"/>
      <w:r>
        <w:rPr>
          <w:rFonts w:hint="eastAsia" w:ascii="宋体" w:hAnsi="宋体" w:cs="仿宋"/>
          <w:sz w:val="24"/>
        </w:rPr>
        <w:t>采购人、采购代理机构、供应商</w:t>
      </w:r>
      <w:bookmarkEnd w:id="111"/>
      <w:bookmarkEnd w:id="112"/>
      <w:bookmarkEnd w:id="113"/>
      <w:bookmarkEnd w:id="114"/>
      <w:r>
        <w:rPr>
          <w:rFonts w:hint="eastAsia" w:ascii="宋体" w:hAnsi="宋体" w:cs="仿宋"/>
          <w:sz w:val="24"/>
        </w:rPr>
        <w:t>、联合体</w:t>
      </w:r>
    </w:p>
    <w:p w14:paraId="2C1D57F6">
      <w:pPr>
        <w:numPr>
          <w:ilvl w:val="1"/>
          <w:numId w:val="29"/>
        </w:numPr>
        <w:tabs>
          <w:tab w:val="left" w:pos="1080"/>
          <w:tab w:val="left" w:pos="2014"/>
          <w:tab w:val="left" w:pos="5521"/>
        </w:tabs>
        <w:snapToGrid w:val="0"/>
        <w:spacing w:line="360" w:lineRule="auto"/>
        <w:ind w:left="1080" w:hanging="720"/>
        <w:rPr>
          <w:rFonts w:hint="eastAsia" w:ascii="宋体" w:hAnsi="宋体" w:cs="宋体"/>
          <w:sz w:val="24"/>
        </w:rPr>
      </w:pPr>
      <w:bookmarkStart w:id="115" w:name="_Toc226965793"/>
      <w:bookmarkStart w:id="116" w:name="_Toc127161434"/>
      <w:bookmarkStart w:id="117" w:name="_Toc305158862"/>
      <w:bookmarkStart w:id="118" w:name="_Toc195842885"/>
      <w:bookmarkStart w:id="119" w:name="_Toc305158788"/>
      <w:bookmarkStart w:id="120" w:name="_Toc164608634"/>
      <w:bookmarkStart w:id="121" w:name="_Toc226965710"/>
      <w:bookmarkStart w:id="122" w:name="_Toc151193618"/>
      <w:bookmarkStart w:id="123" w:name="_Toc226337216"/>
      <w:bookmarkStart w:id="124" w:name="_Toc149720813"/>
      <w:bookmarkStart w:id="125" w:name="_Toc226309764"/>
      <w:bookmarkStart w:id="126" w:name="_Toc142311022"/>
      <w:bookmarkStart w:id="127" w:name="_Toc151193908"/>
      <w:bookmarkStart w:id="128" w:name="_Toc164608789"/>
      <w:bookmarkStart w:id="129" w:name="_Toc150774725"/>
      <w:bookmarkStart w:id="130" w:name="_Toc264969210"/>
      <w:bookmarkStart w:id="131" w:name="_Toc164351614"/>
      <w:bookmarkStart w:id="132" w:name="_Toc265228358"/>
      <w:bookmarkStart w:id="133" w:name="_Toc150774620"/>
      <w:bookmarkStart w:id="134" w:name="_Toc127151520"/>
      <w:bookmarkStart w:id="135" w:name="_Toc164229361"/>
      <w:bookmarkStart w:id="136" w:name="_Toc164229215"/>
      <w:bookmarkStart w:id="137" w:name="_Toc151193762"/>
      <w:bookmarkStart w:id="138" w:name="_Toc150509271"/>
      <w:bookmarkStart w:id="139" w:name="_Toc127151721"/>
      <w:bookmarkStart w:id="140" w:name="_Toc151190147"/>
      <w:bookmarkStart w:id="141" w:name="_Toc151193834"/>
      <w:bookmarkStart w:id="142" w:name="_Toc150480758"/>
      <w:bookmarkStart w:id="143" w:name="_Toc151193690"/>
      <w:r>
        <w:rPr>
          <w:rFonts w:hint="eastAsia" w:ascii="宋体" w:hAnsi="宋体" w:cs="宋体"/>
          <w:sz w:val="24"/>
        </w:rPr>
        <w:t>采购人、采购代理机构：指依法进行政府采购的国家机关、事业单位、团体组织，及其委托的采购代理机构。本项目采购人、采购代理机构见第一章《采购邀请》。</w:t>
      </w:r>
    </w:p>
    <w:p w14:paraId="7CC44EC2">
      <w:pPr>
        <w:numPr>
          <w:ilvl w:val="1"/>
          <w:numId w:val="29"/>
        </w:numPr>
        <w:tabs>
          <w:tab w:val="left" w:pos="1080"/>
          <w:tab w:val="left" w:pos="2014"/>
          <w:tab w:val="left" w:pos="5521"/>
        </w:tabs>
        <w:snapToGrid w:val="0"/>
        <w:spacing w:line="360" w:lineRule="auto"/>
        <w:ind w:left="1080" w:hanging="720"/>
        <w:rPr>
          <w:rFonts w:hint="eastAsia" w:ascii="宋体" w:hAnsi="宋体" w:cs="宋体"/>
          <w:sz w:val="24"/>
        </w:rPr>
      </w:pPr>
      <w:r>
        <w:rPr>
          <w:rFonts w:hint="eastAsia" w:ascii="宋体" w:hAnsi="宋体" w:cs="宋体"/>
          <w:sz w:val="24"/>
        </w:rPr>
        <w:t>供应商（也称“申请人”）：指向采购人提供货物、工程或者服务的法人、其他组织或者自然人。</w:t>
      </w:r>
    </w:p>
    <w:p w14:paraId="120E52E1">
      <w:pPr>
        <w:numPr>
          <w:ilvl w:val="1"/>
          <w:numId w:val="29"/>
        </w:numPr>
        <w:tabs>
          <w:tab w:val="left" w:pos="1080"/>
          <w:tab w:val="left" w:pos="2014"/>
          <w:tab w:val="left" w:pos="5521"/>
        </w:tabs>
        <w:snapToGrid w:val="0"/>
        <w:spacing w:line="360" w:lineRule="auto"/>
        <w:ind w:left="1080" w:hanging="720"/>
        <w:rPr>
          <w:rFonts w:hint="eastAsia" w:ascii="宋体" w:hAnsi="宋体" w:cs="宋体"/>
          <w:sz w:val="24"/>
        </w:rPr>
      </w:pPr>
      <w:r>
        <w:rPr>
          <w:rFonts w:hint="eastAsia" w:ascii="宋体" w:hAnsi="宋体" w:cs="宋体"/>
          <w:sz w:val="24"/>
        </w:rPr>
        <w:t>联合体：指两个以上的自然人、法人或者其他组织组成一个联合体，以一个供应商的身份共同参加政府采购。</w:t>
      </w:r>
    </w:p>
    <w:p w14:paraId="4A8E3284">
      <w:pPr>
        <w:numPr>
          <w:ilvl w:val="0"/>
          <w:numId w:val="29"/>
        </w:numPr>
        <w:tabs>
          <w:tab w:val="left" w:pos="360"/>
          <w:tab w:val="clear" w:pos="900"/>
        </w:tabs>
        <w:snapToGrid w:val="0"/>
        <w:spacing w:line="360" w:lineRule="auto"/>
        <w:ind w:left="357" w:hanging="357"/>
        <w:outlineLvl w:val="1"/>
        <w:rPr>
          <w:rFonts w:hint="eastAsia" w:ascii="宋体" w:hAnsi="宋体" w:cs="仿宋"/>
          <w:sz w:val="24"/>
        </w:rPr>
      </w:pPr>
      <w:r>
        <w:rPr>
          <w:rFonts w:hint="eastAsia" w:ascii="宋体" w:hAnsi="宋体" w:cs="仿宋"/>
          <w:sz w:val="24"/>
        </w:rPr>
        <w:t>资金来源</w:t>
      </w:r>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r>
        <w:rPr>
          <w:rFonts w:hint="eastAsia" w:ascii="宋体" w:hAnsi="宋体" w:cs="仿宋"/>
          <w:sz w:val="24"/>
        </w:rPr>
        <w:t>、项目属性、科研仪器设备采购</w:t>
      </w:r>
    </w:p>
    <w:p w14:paraId="4C34D54F">
      <w:pPr>
        <w:numPr>
          <w:ilvl w:val="1"/>
          <w:numId w:val="29"/>
        </w:numPr>
        <w:tabs>
          <w:tab w:val="left" w:pos="1080"/>
          <w:tab w:val="left" w:pos="2014"/>
        </w:tabs>
        <w:snapToGrid w:val="0"/>
        <w:spacing w:line="360" w:lineRule="auto"/>
        <w:ind w:left="1080" w:hanging="720"/>
        <w:rPr>
          <w:rFonts w:hint="eastAsia" w:ascii="宋体" w:hAnsi="宋体" w:cs="仿宋"/>
          <w:sz w:val="24"/>
        </w:rPr>
      </w:pPr>
      <w:r>
        <w:rPr>
          <w:rFonts w:hint="eastAsia" w:ascii="宋体" w:hAnsi="宋体" w:cs="仿宋"/>
          <w:sz w:val="24"/>
        </w:rPr>
        <w:t>资金来源为财政性资金</w:t>
      </w:r>
      <w:r>
        <w:rPr>
          <w:rFonts w:ascii="宋体" w:hAnsi="宋体" w:cs="宋体"/>
          <w:sz w:val="24"/>
        </w:rPr>
        <w:t>和/或本项目采购中无法与财政性资金分割的非财政性资金</w:t>
      </w:r>
      <w:r>
        <w:rPr>
          <w:rFonts w:hint="eastAsia" w:ascii="宋体" w:hAnsi="宋体" w:cs="仿宋"/>
          <w:sz w:val="24"/>
        </w:rPr>
        <w:t>。</w:t>
      </w:r>
    </w:p>
    <w:p w14:paraId="21E80BFF">
      <w:pPr>
        <w:numPr>
          <w:ilvl w:val="1"/>
          <w:numId w:val="29"/>
        </w:numPr>
        <w:tabs>
          <w:tab w:val="left" w:pos="1080"/>
          <w:tab w:val="left" w:pos="2014"/>
        </w:tabs>
        <w:snapToGrid w:val="0"/>
        <w:spacing w:line="360" w:lineRule="auto"/>
        <w:ind w:left="1080" w:hanging="720"/>
        <w:rPr>
          <w:rFonts w:hint="eastAsia" w:ascii="宋体" w:hAnsi="宋体" w:cs="仿宋"/>
          <w:sz w:val="24"/>
        </w:rPr>
      </w:pPr>
      <w:r>
        <w:rPr>
          <w:rFonts w:hint="eastAsia" w:ascii="宋体" w:hAnsi="宋体" w:cs="仿宋"/>
          <w:sz w:val="24"/>
        </w:rPr>
        <w:t>项目属性见《供应商须知资料表》。</w:t>
      </w:r>
    </w:p>
    <w:p w14:paraId="5E20F660">
      <w:pPr>
        <w:numPr>
          <w:ilvl w:val="1"/>
          <w:numId w:val="29"/>
        </w:numPr>
        <w:tabs>
          <w:tab w:val="left" w:pos="1080"/>
          <w:tab w:val="left" w:pos="2014"/>
        </w:tabs>
        <w:snapToGrid w:val="0"/>
        <w:spacing w:line="360" w:lineRule="auto"/>
        <w:ind w:left="1080" w:hanging="720"/>
        <w:rPr>
          <w:rFonts w:hint="eastAsia" w:ascii="宋体" w:hAnsi="宋体" w:cs="仿宋"/>
          <w:sz w:val="24"/>
        </w:rPr>
      </w:pPr>
      <w:r>
        <w:rPr>
          <w:rFonts w:hint="eastAsia" w:ascii="宋体" w:hAnsi="宋体" w:cs="仿宋"/>
          <w:sz w:val="24"/>
        </w:rPr>
        <w:t>是否属于科研仪器设备采购见《供应商须知资料表》。</w:t>
      </w:r>
    </w:p>
    <w:p w14:paraId="31989851">
      <w:pPr>
        <w:numPr>
          <w:ilvl w:val="0"/>
          <w:numId w:val="29"/>
        </w:numPr>
        <w:tabs>
          <w:tab w:val="left" w:pos="360"/>
        </w:tabs>
        <w:snapToGrid w:val="0"/>
        <w:spacing w:line="360" w:lineRule="auto"/>
        <w:ind w:left="357" w:hanging="357"/>
        <w:outlineLvl w:val="1"/>
        <w:rPr>
          <w:rFonts w:hint="eastAsia" w:ascii="宋体" w:hAnsi="宋体" w:cs="仿宋"/>
          <w:sz w:val="24"/>
        </w:rPr>
      </w:pPr>
      <w:r>
        <w:rPr>
          <w:rFonts w:hint="eastAsia" w:ascii="宋体" w:hAnsi="宋体" w:cs="仿宋"/>
          <w:sz w:val="24"/>
        </w:rPr>
        <w:t>现场考察、磋商前答疑会</w:t>
      </w:r>
    </w:p>
    <w:p w14:paraId="4618344A">
      <w:pPr>
        <w:numPr>
          <w:ilvl w:val="1"/>
          <w:numId w:val="29"/>
        </w:numPr>
        <w:tabs>
          <w:tab w:val="left" w:pos="1080"/>
          <w:tab w:val="left" w:pos="2014"/>
        </w:tabs>
        <w:snapToGrid w:val="0"/>
        <w:spacing w:line="360" w:lineRule="auto"/>
        <w:ind w:left="1080" w:hanging="720"/>
        <w:rPr>
          <w:rFonts w:hint="eastAsia" w:ascii="宋体" w:hAnsi="宋体" w:cs="仿宋"/>
          <w:sz w:val="28"/>
        </w:rPr>
      </w:pPr>
      <w:r>
        <w:rPr>
          <w:rFonts w:hint="eastAsia" w:ascii="宋体" w:hAnsi="宋体" w:cs="仿宋"/>
          <w:sz w:val="24"/>
        </w:rPr>
        <w:t>若《供应商须知资料表》中规定了组织现场考察、召开磋商前答疑会，则供应商应按要求在规定的时间和地点参加。</w:t>
      </w:r>
      <w:bookmarkStart w:id="144" w:name="_Toc150509273"/>
      <w:bookmarkStart w:id="145" w:name="_Toc226965795"/>
      <w:bookmarkStart w:id="146" w:name="_Toc142311024"/>
      <w:bookmarkStart w:id="147" w:name="_Toc150774727"/>
      <w:bookmarkStart w:id="148" w:name="_Toc151193692"/>
      <w:bookmarkStart w:id="149" w:name="_Toc150480760"/>
      <w:bookmarkStart w:id="150" w:name="_Toc151193620"/>
      <w:bookmarkStart w:id="151" w:name="_Toc226965712"/>
      <w:bookmarkStart w:id="152" w:name="_Toc151193764"/>
      <w:bookmarkStart w:id="153" w:name="_Toc151190149"/>
      <w:bookmarkStart w:id="154" w:name="_Toc305158790"/>
      <w:bookmarkStart w:id="155" w:name="_Toc195842887"/>
      <w:bookmarkStart w:id="156" w:name="_Toc305158864"/>
      <w:bookmarkStart w:id="157" w:name="_Toc226337218"/>
      <w:bookmarkStart w:id="158" w:name="_Toc264969212"/>
      <w:bookmarkStart w:id="159" w:name="_Toc151193836"/>
      <w:bookmarkStart w:id="160" w:name="_Toc226309766"/>
      <w:bookmarkStart w:id="161" w:name="_Toc265228360"/>
      <w:bookmarkStart w:id="162" w:name="_Toc520356146"/>
      <w:bookmarkStart w:id="163" w:name="_Toc150774622"/>
      <w:bookmarkStart w:id="164" w:name="_Toc151193910"/>
      <w:bookmarkStart w:id="165" w:name="_Toc127151522"/>
    </w:p>
    <w:p w14:paraId="299AE50F">
      <w:pPr>
        <w:numPr>
          <w:ilvl w:val="1"/>
          <w:numId w:val="29"/>
        </w:numPr>
        <w:tabs>
          <w:tab w:val="left" w:pos="1080"/>
          <w:tab w:val="left" w:pos="2014"/>
        </w:tabs>
        <w:snapToGrid w:val="0"/>
        <w:spacing w:line="360" w:lineRule="auto"/>
        <w:ind w:left="1080" w:hanging="720"/>
        <w:rPr>
          <w:rFonts w:hint="eastAsia" w:ascii="宋体" w:hAnsi="宋体" w:cs="仿宋"/>
          <w:sz w:val="24"/>
        </w:rPr>
      </w:pPr>
      <w:r>
        <w:rPr>
          <w:rFonts w:hint="eastAsia" w:ascii="宋体" w:hAnsi="宋体" w:cs="仿宋"/>
          <w:sz w:val="24"/>
        </w:rPr>
        <w:t>由于未参加现场考察或磋商前答疑会而导致对项目实际情况不了解，影响响应文件编制、报价准确性、综合因素响应不全面等问题的，由供应商自行承担不利评审后果。</w:t>
      </w:r>
    </w:p>
    <w:p w14:paraId="365232B0">
      <w:pPr>
        <w:numPr>
          <w:ilvl w:val="0"/>
          <w:numId w:val="29"/>
        </w:numPr>
        <w:tabs>
          <w:tab w:val="left" w:pos="360"/>
          <w:tab w:val="clear" w:pos="900"/>
        </w:tabs>
        <w:snapToGrid w:val="0"/>
        <w:spacing w:line="360" w:lineRule="auto"/>
        <w:ind w:left="357" w:hanging="357"/>
        <w:outlineLvl w:val="1"/>
        <w:rPr>
          <w:rFonts w:hint="eastAsia" w:ascii="宋体" w:hAnsi="宋体" w:cs="仿宋"/>
          <w:sz w:val="24"/>
        </w:rPr>
      </w:pPr>
      <w:r>
        <w:rPr>
          <w:rFonts w:hint="eastAsia" w:ascii="宋体" w:hAnsi="宋体" w:cs="仿宋"/>
          <w:sz w:val="24"/>
        </w:rPr>
        <w:t>政府采购政策（包括但不限于下列具体政策要求）</w:t>
      </w:r>
    </w:p>
    <w:p w14:paraId="0A6F534C">
      <w:pPr>
        <w:numPr>
          <w:ilvl w:val="1"/>
          <w:numId w:val="29"/>
        </w:numPr>
        <w:tabs>
          <w:tab w:val="left" w:pos="1080"/>
          <w:tab w:val="left" w:pos="2014"/>
        </w:tabs>
        <w:snapToGrid w:val="0"/>
        <w:spacing w:line="360" w:lineRule="auto"/>
        <w:ind w:left="1080" w:hanging="720"/>
        <w:rPr>
          <w:rFonts w:hint="eastAsia" w:ascii="宋体" w:hAnsi="宋体"/>
          <w:sz w:val="24"/>
        </w:rPr>
      </w:pPr>
      <w:r>
        <w:rPr>
          <w:rFonts w:hint="eastAsia" w:ascii="宋体" w:hAnsi="宋体"/>
          <w:sz w:val="24"/>
        </w:rPr>
        <w:t>采购本国货物、工程和服务</w:t>
      </w:r>
    </w:p>
    <w:p w14:paraId="6BDB376A">
      <w:pPr>
        <w:numPr>
          <w:ilvl w:val="2"/>
          <w:numId w:val="29"/>
        </w:numPr>
        <w:tabs>
          <w:tab w:val="left" w:pos="2014"/>
        </w:tabs>
        <w:snapToGrid w:val="0"/>
        <w:spacing w:line="360" w:lineRule="auto"/>
        <w:rPr>
          <w:rFonts w:hint="eastAsia" w:ascii="宋体" w:hAnsi="宋体"/>
          <w:sz w:val="24"/>
        </w:rPr>
      </w:pPr>
      <w:r>
        <w:rPr>
          <w:rFonts w:hint="eastAsia" w:ascii="宋体" w:hAnsi="宋体"/>
          <w:kern w:val="0"/>
          <w:sz w:val="24"/>
        </w:rPr>
        <w:t>政府采购应当采购本国货物、工程和服务。但有《</w:t>
      </w:r>
      <w:r>
        <w:rPr>
          <w:rFonts w:hint="eastAsia" w:ascii="宋体" w:hAnsi="宋体"/>
          <w:b/>
          <w:kern w:val="0"/>
          <w:sz w:val="24"/>
        </w:rPr>
        <w:t>中华人民共和国政府采购法</w:t>
      </w:r>
      <w:r>
        <w:rPr>
          <w:rFonts w:hint="eastAsia" w:ascii="宋体" w:hAnsi="宋体"/>
          <w:kern w:val="0"/>
          <w:sz w:val="24"/>
        </w:rPr>
        <w:t>》第十条规定情形的除外。</w:t>
      </w:r>
    </w:p>
    <w:p w14:paraId="53E9CF2C">
      <w:pPr>
        <w:numPr>
          <w:ilvl w:val="2"/>
          <w:numId w:val="29"/>
        </w:numPr>
        <w:tabs>
          <w:tab w:val="left" w:pos="2014"/>
        </w:tabs>
        <w:snapToGrid w:val="0"/>
        <w:spacing w:line="360" w:lineRule="auto"/>
        <w:rPr>
          <w:rFonts w:hint="eastAsia" w:ascii="宋体" w:hAnsi="宋体"/>
          <w:sz w:val="24"/>
        </w:rPr>
      </w:pPr>
      <w:r>
        <w:rPr>
          <w:rFonts w:hint="eastAsia" w:ascii="宋体" w:hAnsi="宋体"/>
          <w:sz w:val="24"/>
        </w:rPr>
        <w:t>本项目如接受非本国货物、工程、服务参与投标，则具体要求见第四章《采购需求》。</w:t>
      </w:r>
    </w:p>
    <w:p w14:paraId="4BBDB9F4">
      <w:pPr>
        <w:numPr>
          <w:ilvl w:val="2"/>
          <w:numId w:val="29"/>
        </w:numPr>
        <w:tabs>
          <w:tab w:val="left" w:pos="2014"/>
        </w:tabs>
        <w:snapToGrid w:val="0"/>
        <w:spacing w:line="360" w:lineRule="auto"/>
        <w:rPr>
          <w:rFonts w:hint="eastAsia" w:ascii="宋体" w:hAnsi="宋体"/>
          <w:sz w:val="24"/>
        </w:rPr>
      </w:pPr>
      <w:r>
        <w:rPr>
          <w:rFonts w:hint="eastAsia" w:ascii="宋体" w:hAnsi="宋体"/>
          <w:sz w:val="24"/>
        </w:rPr>
        <w:t>进口产品</w:t>
      </w:r>
      <w:r>
        <w:rPr>
          <w:rFonts w:ascii="宋体" w:hAnsi="宋体"/>
          <w:sz w:val="24"/>
        </w:rPr>
        <w:t>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14:paraId="48939FDB">
      <w:pPr>
        <w:numPr>
          <w:ilvl w:val="1"/>
          <w:numId w:val="29"/>
        </w:numPr>
        <w:tabs>
          <w:tab w:val="left" w:pos="1080"/>
          <w:tab w:val="left" w:pos="2014"/>
        </w:tabs>
        <w:snapToGrid w:val="0"/>
        <w:spacing w:line="360" w:lineRule="auto"/>
        <w:ind w:left="1080" w:hanging="720"/>
        <w:rPr>
          <w:rFonts w:hint="eastAsia" w:ascii="宋体" w:hAnsi="宋体" w:cs="仿宋"/>
          <w:sz w:val="24"/>
        </w:rPr>
      </w:pPr>
      <w:r>
        <w:rPr>
          <w:rFonts w:hint="eastAsia" w:ascii="宋体" w:hAnsi="宋体" w:cs="仿宋"/>
          <w:sz w:val="24"/>
        </w:rPr>
        <w:t>中小企业、监狱企业及残疾人福利性单位</w:t>
      </w:r>
    </w:p>
    <w:p w14:paraId="626862B5">
      <w:pPr>
        <w:numPr>
          <w:ilvl w:val="2"/>
          <w:numId w:val="29"/>
        </w:numPr>
        <w:snapToGrid w:val="0"/>
        <w:spacing w:line="360" w:lineRule="auto"/>
        <w:rPr>
          <w:rFonts w:hint="eastAsia" w:ascii="宋体" w:hAnsi="宋体" w:cs="仿宋"/>
          <w:vanish/>
          <w:sz w:val="24"/>
        </w:rPr>
      </w:pPr>
      <w:r>
        <w:rPr>
          <w:rFonts w:hint="eastAsia" w:ascii="宋体" w:hAnsi="宋体" w:cs="仿宋"/>
          <w:sz w:val="24"/>
        </w:rPr>
        <w:t>中小企业定义：</w:t>
      </w:r>
    </w:p>
    <w:p w14:paraId="599FA4E6">
      <w:pPr>
        <w:numPr>
          <w:ilvl w:val="3"/>
          <w:numId w:val="0"/>
        </w:numPr>
        <w:tabs>
          <w:tab w:val="left" w:pos="1980"/>
          <w:tab w:val="left" w:pos="2035"/>
          <w:tab w:val="left" w:pos="2885"/>
          <w:tab w:val="left" w:pos="2977"/>
        </w:tabs>
        <w:snapToGrid w:val="0"/>
        <w:spacing w:line="360" w:lineRule="auto"/>
        <w:ind w:left="2885" w:hanging="900"/>
        <w:rPr>
          <w:rFonts w:hint="eastAsia" w:ascii="宋体" w:hAnsi="宋体" w:cs="宋体"/>
          <w:sz w:val="24"/>
        </w:rPr>
      </w:pPr>
      <w:r>
        <w:rPr>
          <w:rFonts w:hint="eastAsia" w:ascii="宋体" w:hAnsi="宋体" w:cs="宋体"/>
          <w:sz w:val="24"/>
        </w:rPr>
        <w:t>4.1.1.1</w:t>
      </w:r>
      <w:r>
        <w:rPr>
          <w:rFonts w:hint="eastAsia" w:ascii="宋体" w:hAnsi="宋体" w:cs="仿宋"/>
          <w:sz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w:t>
      </w:r>
      <w:r>
        <w:rPr>
          <w:rFonts w:ascii="宋体" w:hAnsi="宋体" w:cs="仿宋"/>
          <w:sz w:val="24"/>
        </w:rPr>
        <w:t>、</w:t>
      </w:r>
      <w:r>
        <w:rPr>
          <w:rFonts w:hint="eastAsia" w:ascii="宋体" w:hAnsi="宋体" w:cs="仿宋"/>
          <w:sz w:val="24"/>
        </w:rPr>
        <w:t>《关于进一步加大政府采购支持中小企业力度的通知</w:t>
      </w:r>
      <w:r>
        <w:rPr>
          <w:rFonts w:hint="eastAsia" w:ascii="宋体" w:hAnsi="宋体" w:cs="宋体"/>
          <w:sz w:val="24"/>
        </w:rPr>
        <w:t>》</w:t>
      </w:r>
      <w:r>
        <w:rPr>
          <w:rFonts w:ascii="宋体" w:hAnsi="宋体" w:cs="宋体"/>
          <w:sz w:val="24"/>
        </w:rPr>
        <w:t>（财库〔2022〕</w:t>
      </w:r>
      <w:r>
        <w:rPr>
          <w:rFonts w:ascii="宋体" w:hAnsi="宋体" w:cs="仿宋"/>
          <w:sz w:val="24"/>
        </w:rPr>
        <w:t>19号）</w:t>
      </w:r>
      <w:r>
        <w:rPr>
          <w:rFonts w:hint="eastAsia" w:ascii="宋体" w:hAnsi="宋体" w:cs="仿宋"/>
          <w:sz w:val="24"/>
        </w:rPr>
        <w:t>、《政府采购促进中小企业发展管理办法》（财库</w:t>
      </w:r>
      <w:r>
        <w:rPr>
          <w:rFonts w:hint="eastAsia" w:ascii="宋体" w:hAnsi="宋体" w:cs="宋体"/>
          <w:sz w:val="24"/>
        </w:rPr>
        <w:t>〔2020〕46号</w:t>
      </w:r>
      <w:r>
        <w:rPr>
          <w:rFonts w:hint="eastAsia" w:ascii="宋体" w:hAnsi="宋体" w:cs="仿宋"/>
          <w:sz w:val="24"/>
        </w:rPr>
        <w:t>）、《关于印发中小企业划型标准规定的通知》（工信部联企业〔2011〕300 号）</w:t>
      </w:r>
      <w:r>
        <w:rPr>
          <w:rFonts w:ascii="宋体" w:hAnsi="宋体" w:cs="宋体"/>
          <w:sz w:val="24"/>
        </w:rPr>
        <w:t>、《金融业企业划型标准规定》（〔2015〕309 号）等国务院批准的中小企业划分标准执行</w:t>
      </w:r>
      <w:r>
        <w:rPr>
          <w:rFonts w:hint="eastAsia" w:ascii="宋体" w:hAnsi="宋体" w:cs="仿宋"/>
          <w:sz w:val="24"/>
        </w:rPr>
        <w:t>。</w:t>
      </w:r>
    </w:p>
    <w:p w14:paraId="5C860204">
      <w:pPr>
        <w:numPr>
          <w:ilvl w:val="3"/>
          <w:numId w:val="0"/>
        </w:numPr>
        <w:tabs>
          <w:tab w:val="left" w:pos="1980"/>
          <w:tab w:val="left" w:pos="2035"/>
          <w:tab w:val="left" w:pos="2885"/>
          <w:tab w:val="left" w:pos="2977"/>
        </w:tabs>
        <w:snapToGrid w:val="0"/>
        <w:spacing w:line="360" w:lineRule="auto"/>
        <w:ind w:left="2885" w:hanging="900"/>
        <w:rPr>
          <w:rFonts w:hint="eastAsia" w:ascii="宋体" w:hAnsi="宋体" w:cs="仿宋"/>
          <w:sz w:val="24"/>
        </w:rPr>
      </w:pPr>
      <w:r>
        <w:rPr>
          <w:rFonts w:hint="eastAsia" w:ascii="宋体" w:hAnsi="宋体" w:cs="仿宋"/>
          <w:sz w:val="24"/>
        </w:rPr>
        <w:t>4.1.1.2供应商提供的工程符合下列情形的，享受中小企业扶持政策：</w:t>
      </w:r>
    </w:p>
    <w:p w14:paraId="1C0833F7">
      <w:pPr>
        <w:tabs>
          <w:tab w:val="left" w:pos="1980"/>
        </w:tabs>
        <w:snapToGrid w:val="0"/>
        <w:spacing w:line="360" w:lineRule="auto"/>
        <w:ind w:left="2835" w:leftChars="1350"/>
        <w:rPr>
          <w:rFonts w:hint="eastAsia" w:ascii="宋体" w:hAnsi="宋体" w:cs="仿宋"/>
          <w:sz w:val="24"/>
        </w:rPr>
      </w:pPr>
      <w:r>
        <w:rPr>
          <w:rFonts w:hint="eastAsia" w:ascii="宋体" w:hAnsi="宋体" w:cs="仿宋"/>
          <w:sz w:val="24"/>
        </w:rPr>
        <w:t>在工程采购项目中，工程由中小企业承建，即工程施工单位为中小企业。</w:t>
      </w:r>
    </w:p>
    <w:p w14:paraId="01BE3C69">
      <w:pPr>
        <w:numPr>
          <w:ilvl w:val="3"/>
          <w:numId w:val="0"/>
        </w:numPr>
        <w:tabs>
          <w:tab w:val="left" w:pos="1980"/>
          <w:tab w:val="left" w:pos="2035"/>
          <w:tab w:val="left" w:pos="2885"/>
          <w:tab w:val="left" w:pos="2977"/>
        </w:tabs>
        <w:snapToGrid w:val="0"/>
        <w:spacing w:line="360" w:lineRule="auto"/>
        <w:ind w:left="2885" w:hanging="900"/>
        <w:rPr>
          <w:rFonts w:hint="eastAsia" w:ascii="宋体" w:hAnsi="宋体" w:cs="仿宋"/>
          <w:sz w:val="24"/>
        </w:rPr>
      </w:pPr>
      <w:r>
        <w:rPr>
          <w:rFonts w:hint="eastAsia" w:ascii="宋体" w:hAnsi="宋体" w:cs="仿宋"/>
          <w:sz w:val="24"/>
        </w:rPr>
        <w:t>4.1.1.3以联合体形式参加政府采购活动，联合体各方均为中小企业的，联合体视同中小企业。其中，联合体各方均为小微企业的，联合体视同小微企业。</w:t>
      </w:r>
    </w:p>
    <w:p w14:paraId="7A204C07">
      <w:pPr>
        <w:numPr>
          <w:ilvl w:val="2"/>
          <w:numId w:val="29"/>
        </w:numPr>
        <w:snapToGrid w:val="0"/>
        <w:spacing w:line="360" w:lineRule="auto"/>
        <w:rPr>
          <w:rFonts w:hint="eastAsia" w:ascii="宋体" w:hAnsi="宋体" w:cs="仿宋"/>
          <w:sz w:val="24"/>
        </w:rPr>
      </w:pPr>
      <w:r>
        <w:rPr>
          <w:rFonts w:hint="eastAsia" w:ascii="宋体" w:hAnsi="宋体" w:cs="仿宋"/>
          <w:sz w:val="24"/>
        </w:rPr>
        <w:t>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4411981D">
      <w:pPr>
        <w:numPr>
          <w:ilvl w:val="2"/>
          <w:numId w:val="29"/>
        </w:numPr>
        <w:snapToGrid w:val="0"/>
        <w:spacing w:line="360" w:lineRule="auto"/>
        <w:rPr>
          <w:rFonts w:hint="eastAsia" w:ascii="宋体" w:hAnsi="宋体" w:cs="仿宋"/>
          <w:sz w:val="24"/>
        </w:rPr>
      </w:pPr>
      <w:r>
        <w:rPr>
          <w:rFonts w:hint="eastAsia" w:ascii="宋体" w:hAnsi="宋体" w:cs="仿宋"/>
          <w:sz w:val="24"/>
        </w:rPr>
        <w:t>在政府采购活动中，残疾人福利性单位视同小型、微型企业，享受预留份额、评审中价格扣除等促进中小企业发展的政府采购政策。残疾人福利单位定义：享受政府采购支持政策的残疾人福利性单位应当同时满足以下条件：</w:t>
      </w:r>
    </w:p>
    <w:p w14:paraId="72056CC5">
      <w:pPr>
        <w:numPr>
          <w:ilvl w:val="3"/>
          <w:numId w:val="0"/>
        </w:numPr>
        <w:tabs>
          <w:tab w:val="left" w:pos="1980"/>
          <w:tab w:val="left" w:pos="2035"/>
          <w:tab w:val="left" w:pos="2885"/>
          <w:tab w:val="left" w:pos="2977"/>
        </w:tabs>
        <w:snapToGrid w:val="0"/>
        <w:spacing w:line="360" w:lineRule="auto"/>
        <w:ind w:left="2885" w:hanging="900"/>
        <w:rPr>
          <w:rFonts w:hint="eastAsia" w:ascii="宋体" w:hAnsi="宋体" w:cs="仿宋"/>
          <w:sz w:val="24"/>
        </w:rPr>
      </w:pPr>
      <w:r>
        <w:rPr>
          <w:rFonts w:hint="eastAsia" w:ascii="宋体" w:hAnsi="宋体" w:cs="仿宋"/>
          <w:sz w:val="24"/>
        </w:rPr>
        <w:t>4.2.3.1安置的残疾人占本单位在职职工人数的比例不低于25%（含25%），并且安置的残疾人人数不少于10 人（含10人）；</w:t>
      </w:r>
    </w:p>
    <w:p w14:paraId="552AB268">
      <w:pPr>
        <w:numPr>
          <w:ilvl w:val="3"/>
          <w:numId w:val="0"/>
        </w:numPr>
        <w:tabs>
          <w:tab w:val="left" w:pos="1980"/>
          <w:tab w:val="left" w:pos="2035"/>
          <w:tab w:val="left" w:pos="2885"/>
          <w:tab w:val="left" w:pos="2977"/>
        </w:tabs>
        <w:snapToGrid w:val="0"/>
        <w:spacing w:line="360" w:lineRule="auto"/>
        <w:ind w:left="2885" w:hanging="900"/>
        <w:rPr>
          <w:rFonts w:hint="eastAsia" w:ascii="宋体" w:hAnsi="宋体" w:cs="仿宋"/>
          <w:sz w:val="24"/>
        </w:rPr>
      </w:pPr>
      <w:r>
        <w:rPr>
          <w:rFonts w:hint="eastAsia" w:ascii="宋体" w:hAnsi="宋体" w:cs="仿宋"/>
          <w:sz w:val="24"/>
        </w:rPr>
        <w:t>4.2.3.2依法与安置的每位残疾人签订了一年以上（含一年）的劳动合同或服务协议；</w:t>
      </w:r>
    </w:p>
    <w:p w14:paraId="620B2EE6">
      <w:pPr>
        <w:numPr>
          <w:ilvl w:val="3"/>
          <w:numId w:val="0"/>
        </w:numPr>
        <w:tabs>
          <w:tab w:val="left" w:pos="1980"/>
          <w:tab w:val="left" w:pos="2035"/>
          <w:tab w:val="left" w:pos="2885"/>
          <w:tab w:val="left" w:pos="2977"/>
        </w:tabs>
        <w:snapToGrid w:val="0"/>
        <w:spacing w:line="360" w:lineRule="auto"/>
        <w:ind w:left="2885" w:hanging="900"/>
        <w:rPr>
          <w:rFonts w:hint="eastAsia" w:ascii="宋体" w:hAnsi="宋体" w:cs="仿宋"/>
          <w:sz w:val="24"/>
        </w:rPr>
      </w:pPr>
      <w:r>
        <w:rPr>
          <w:rFonts w:hint="eastAsia" w:ascii="宋体" w:hAnsi="宋体" w:cs="仿宋"/>
          <w:sz w:val="24"/>
        </w:rPr>
        <w:t>4.2.3.3为安置的每位残疾人按月足额缴纳了基本养老保险、基本医疗保险、失业保险、工伤保险和生育保险等社会保险费；</w:t>
      </w:r>
    </w:p>
    <w:p w14:paraId="621315B4">
      <w:pPr>
        <w:numPr>
          <w:ilvl w:val="3"/>
          <w:numId w:val="0"/>
        </w:numPr>
        <w:tabs>
          <w:tab w:val="left" w:pos="1980"/>
          <w:tab w:val="left" w:pos="2035"/>
          <w:tab w:val="left" w:pos="2885"/>
          <w:tab w:val="left" w:pos="2977"/>
        </w:tabs>
        <w:snapToGrid w:val="0"/>
        <w:spacing w:line="360" w:lineRule="auto"/>
        <w:ind w:left="2885" w:hanging="900"/>
        <w:rPr>
          <w:rFonts w:hint="eastAsia" w:ascii="宋体" w:hAnsi="宋体" w:cs="仿宋"/>
          <w:sz w:val="24"/>
        </w:rPr>
      </w:pPr>
      <w:r>
        <w:rPr>
          <w:rFonts w:hint="eastAsia" w:ascii="宋体" w:hAnsi="宋体" w:cs="仿宋"/>
          <w:sz w:val="24"/>
        </w:rPr>
        <w:t>4.2.3.4通过银行等金融机构向安置的每位残疾人，按月支付了不低于单位所在区县适用的经省级人民政府批准的月最低工资标准的工资；</w:t>
      </w:r>
    </w:p>
    <w:p w14:paraId="113486AA">
      <w:pPr>
        <w:numPr>
          <w:ilvl w:val="3"/>
          <w:numId w:val="0"/>
        </w:numPr>
        <w:tabs>
          <w:tab w:val="left" w:pos="1980"/>
          <w:tab w:val="left" w:pos="2035"/>
          <w:tab w:val="left" w:pos="2885"/>
          <w:tab w:val="left" w:pos="2977"/>
        </w:tabs>
        <w:snapToGrid w:val="0"/>
        <w:spacing w:line="360" w:lineRule="auto"/>
        <w:ind w:left="2885" w:hanging="900"/>
        <w:rPr>
          <w:rFonts w:hint="eastAsia" w:ascii="宋体" w:hAnsi="宋体" w:cs="仿宋"/>
          <w:sz w:val="24"/>
        </w:rPr>
      </w:pPr>
      <w:r>
        <w:rPr>
          <w:rFonts w:hint="eastAsia" w:ascii="宋体" w:hAnsi="宋体" w:cs="仿宋"/>
          <w:sz w:val="24"/>
        </w:rPr>
        <w:t>4.2.3.5提供本单位制造的货物、承担的工程或者服务（以下简称产品），或者提供其他残疾人福利性单位制造的货物（不包括使用非残疾人福利性单位注册商标的货物）；</w:t>
      </w:r>
    </w:p>
    <w:p w14:paraId="271EED4B">
      <w:pPr>
        <w:numPr>
          <w:ilvl w:val="3"/>
          <w:numId w:val="0"/>
        </w:numPr>
        <w:tabs>
          <w:tab w:val="left" w:pos="1980"/>
          <w:tab w:val="left" w:pos="2035"/>
          <w:tab w:val="left" w:pos="2885"/>
          <w:tab w:val="left" w:pos="2977"/>
        </w:tabs>
        <w:snapToGrid w:val="0"/>
        <w:spacing w:line="360" w:lineRule="auto"/>
        <w:ind w:left="2885" w:hanging="900"/>
        <w:rPr>
          <w:rFonts w:hint="eastAsia" w:ascii="宋体" w:hAnsi="宋体" w:cs="仿宋"/>
          <w:sz w:val="24"/>
        </w:rPr>
      </w:pPr>
      <w:r>
        <w:rPr>
          <w:rFonts w:hint="eastAsia" w:ascii="宋体" w:hAnsi="宋体" w:cs="仿宋"/>
          <w:sz w:val="24"/>
        </w:rPr>
        <w:t>4.2.3.6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服务协议的雇员人数。</w:t>
      </w:r>
    </w:p>
    <w:p w14:paraId="68821F4D">
      <w:pPr>
        <w:numPr>
          <w:ilvl w:val="2"/>
          <w:numId w:val="29"/>
        </w:numPr>
        <w:snapToGrid w:val="0"/>
        <w:spacing w:line="360" w:lineRule="auto"/>
        <w:rPr>
          <w:rFonts w:hint="eastAsia" w:ascii="宋体" w:hAnsi="宋体" w:cs="仿宋"/>
          <w:sz w:val="24"/>
        </w:rPr>
      </w:pPr>
      <w:r>
        <w:rPr>
          <w:rFonts w:hint="eastAsia" w:ascii="宋体" w:hAnsi="宋体" w:cs="仿宋"/>
          <w:sz w:val="24"/>
        </w:rPr>
        <w:t>本项目是否专门面向中小企业预留采购份额见第一章《采购邀请》。</w:t>
      </w:r>
    </w:p>
    <w:p w14:paraId="62F7AAA2">
      <w:pPr>
        <w:numPr>
          <w:ilvl w:val="2"/>
          <w:numId w:val="29"/>
        </w:numPr>
        <w:snapToGrid w:val="0"/>
        <w:spacing w:line="360" w:lineRule="auto"/>
        <w:rPr>
          <w:rFonts w:hint="eastAsia" w:ascii="宋体" w:hAnsi="宋体" w:cs="仿宋"/>
          <w:sz w:val="24"/>
        </w:rPr>
      </w:pPr>
      <w:r>
        <w:rPr>
          <w:rFonts w:hint="eastAsia" w:ascii="宋体" w:hAnsi="宋体" w:cs="仿宋"/>
          <w:sz w:val="24"/>
        </w:rPr>
        <w:t>采购标的对应的中小企业划分标准所属行业见《供应商须知资料表》。</w:t>
      </w:r>
    </w:p>
    <w:p w14:paraId="5259E4A3">
      <w:pPr>
        <w:numPr>
          <w:ilvl w:val="2"/>
          <w:numId w:val="29"/>
        </w:numPr>
        <w:snapToGrid w:val="0"/>
        <w:spacing w:line="360" w:lineRule="auto"/>
        <w:rPr>
          <w:rFonts w:hint="eastAsia" w:ascii="宋体" w:hAnsi="宋体" w:cs="仿宋"/>
          <w:sz w:val="24"/>
        </w:rPr>
      </w:pPr>
      <w:r>
        <w:rPr>
          <w:rFonts w:hint="eastAsia" w:ascii="宋体" w:hAnsi="宋体" w:cs="仿宋"/>
          <w:sz w:val="24"/>
        </w:rPr>
        <w:t>小微企业价格评审优惠的政策调整</w:t>
      </w:r>
      <w:bookmarkStart w:id="166" w:name="_Hlk150004154"/>
      <w:r>
        <w:rPr>
          <w:rFonts w:hint="eastAsia" w:ascii="宋体" w:hAnsi="宋体" w:cs="仿宋"/>
          <w:sz w:val="24"/>
        </w:rPr>
        <w:t>：</w:t>
      </w:r>
      <w:bookmarkEnd w:id="166"/>
      <w:r>
        <w:rPr>
          <w:rFonts w:hint="eastAsia" w:ascii="宋体" w:hAnsi="宋体" w:cs="仿宋"/>
          <w:sz w:val="24"/>
        </w:rPr>
        <w:t>见第三章《评审方法和评审标准》。</w:t>
      </w:r>
    </w:p>
    <w:p w14:paraId="5DA52E9C">
      <w:pPr>
        <w:numPr>
          <w:ilvl w:val="1"/>
          <w:numId w:val="29"/>
        </w:numPr>
        <w:tabs>
          <w:tab w:val="left" w:pos="1080"/>
          <w:tab w:val="left" w:pos="2014"/>
        </w:tabs>
        <w:snapToGrid w:val="0"/>
        <w:spacing w:line="360" w:lineRule="auto"/>
        <w:ind w:left="1080" w:hanging="720"/>
        <w:rPr>
          <w:rFonts w:hint="eastAsia" w:ascii="宋体" w:hAnsi="宋体" w:cs="仿宋"/>
          <w:sz w:val="24"/>
        </w:rPr>
      </w:pPr>
      <w:r>
        <w:rPr>
          <w:rFonts w:hint="eastAsia" w:ascii="宋体" w:hAnsi="宋体" w:cs="仿宋"/>
          <w:sz w:val="24"/>
        </w:rPr>
        <w:t>政府采购节能产品、环境标志产品</w:t>
      </w:r>
    </w:p>
    <w:p w14:paraId="24F9F801">
      <w:pPr>
        <w:numPr>
          <w:ilvl w:val="2"/>
          <w:numId w:val="29"/>
        </w:numPr>
        <w:snapToGrid w:val="0"/>
        <w:spacing w:line="360" w:lineRule="auto"/>
        <w:rPr>
          <w:rFonts w:hint="eastAsia" w:ascii="宋体" w:hAnsi="宋体" w:cs="仿宋"/>
          <w:sz w:val="24"/>
        </w:rPr>
      </w:pPr>
      <w:r>
        <w:rPr>
          <w:rFonts w:hint="eastAsia" w:ascii="宋体" w:hAnsi="宋体" w:cs="仿宋"/>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24AC1655">
      <w:pPr>
        <w:numPr>
          <w:ilvl w:val="2"/>
          <w:numId w:val="29"/>
        </w:numPr>
        <w:snapToGrid w:val="0"/>
        <w:spacing w:line="360" w:lineRule="auto"/>
        <w:rPr>
          <w:rFonts w:hint="eastAsia" w:ascii="宋体" w:hAnsi="宋体" w:cs="仿宋"/>
          <w:sz w:val="24"/>
        </w:rPr>
      </w:pPr>
      <w:r>
        <w:rPr>
          <w:rFonts w:hint="eastAsia" w:ascii="宋体" w:hAnsi="宋体" w:cs="仿宋"/>
          <w:sz w:val="24"/>
        </w:rPr>
        <w:t xml:space="preserve">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 </w:t>
      </w:r>
    </w:p>
    <w:p w14:paraId="78E177CB">
      <w:pPr>
        <w:numPr>
          <w:ilvl w:val="2"/>
          <w:numId w:val="29"/>
        </w:numPr>
        <w:snapToGrid w:val="0"/>
        <w:spacing w:line="360" w:lineRule="auto"/>
        <w:rPr>
          <w:rFonts w:hint="eastAsia" w:ascii="宋体" w:hAnsi="宋体" w:cs="仿宋"/>
          <w:sz w:val="24"/>
        </w:rPr>
      </w:pPr>
      <w:r>
        <w:rPr>
          <w:rFonts w:hint="eastAsia" w:ascii="宋体" w:hAnsi="宋体" w:cs="仿宋"/>
          <w:sz w:val="24"/>
        </w:rPr>
        <w:t>如本项目采购产品属于实施政府强制采购品目清单范围的节能产品，则供应商所报产品必须获得国家确定的认证机构出具的、处于有效期之内的节能产品认证证书，</w:t>
      </w:r>
      <w:r>
        <w:rPr>
          <w:rFonts w:hint="eastAsia" w:ascii="宋体" w:hAnsi="宋体" w:cs="仿宋"/>
          <w:kern w:val="0"/>
          <w:sz w:val="24"/>
        </w:rPr>
        <w:t>否则</w:t>
      </w:r>
      <w:r>
        <w:rPr>
          <w:rFonts w:hint="eastAsia" w:ascii="宋体" w:hAnsi="宋体" w:cs="仿宋"/>
          <w:b/>
          <w:kern w:val="0"/>
          <w:sz w:val="24"/>
        </w:rPr>
        <w:t>响应无效</w:t>
      </w:r>
      <w:r>
        <w:rPr>
          <w:rFonts w:hint="eastAsia" w:ascii="宋体" w:hAnsi="宋体" w:cs="仿宋"/>
          <w:sz w:val="24"/>
        </w:rPr>
        <w:t>；</w:t>
      </w:r>
    </w:p>
    <w:p w14:paraId="7CBD9A6F">
      <w:pPr>
        <w:numPr>
          <w:ilvl w:val="2"/>
          <w:numId w:val="29"/>
        </w:numPr>
        <w:snapToGrid w:val="0"/>
        <w:spacing w:line="360" w:lineRule="auto"/>
        <w:rPr>
          <w:rFonts w:hint="eastAsia" w:ascii="宋体" w:hAnsi="宋体" w:cs="仿宋"/>
          <w:sz w:val="24"/>
        </w:rPr>
      </w:pPr>
      <w:r>
        <w:rPr>
          <w:rFonts w:hint="eastAsia" w:ascii="宋体" w:hAnsi="宋体" w:cs="仿宋"/>
          <w:sz w:val="24"/>
        </w:rPr>
        <w:t>非政府强制采购的节能产品或环境标志产品，依据品目清单和认证证书实施政府优先采购。优先采购的具体规定见第三章《评审方法和评审标准》（如涉及）。</w:t>
      </w:r>
    </w:p>
    <w:p w14:paraId="10DA7F8D">
      <w:pPr>
        <w:numPr>
          <w:ilvl w:val="1"/>
          <w:numId w:val="29"/>
        </w:numPr>
        <w:tabs>
          <w:tab w:val="left" w:pos="1080"/>
          <w:tab w:val="left" w:pos="2014"/>
        </w:tabs>
        <w:snapToGrid w:val="0"/>
        <w:spacing w:line="360" w:lineRule="auto"/>
        <w:ind w:left="1080" w:hanging="720"/>
        <w:rPr>
          <w:rFonts w:hint="eastAsia" w:ascii="宋体" w:hAnsi="宋体" w:cs="仿宋"/>
          <w:sz w:val="24"/>
        </w:rPr>
      </w:pPr>
      <w:r>
        <w:rPr>
          <w:rFonts w:hint="eastAsia" w:ascii="宋体" w:hAnsi="宋体" w:cs="仿宋"/>
          <w:sz w:val="24"/>
        </w:rPr>
        <w:t>正版软件</w:t>
      </w:r>
    </w:p>
    <w:p w14:paraId="295BF501">
      <w:pPr>
        <w:numPr>
          <w:ilvl w:val="2"/>
          <w:numId w:val="29"/>
        </w:numPr>
        <w:snapToGrid w:val="0"/>
        <w:spacing w:line="360" w:lineRule="auto"/>
        <w:rPr>
          <w:rFonts w:hint="eastAsia" w:ascii="宋体" w:hAnsi="宋体" w:cs="仿宋"/>
          <w:sz w:val="24"/>
        </w:rPr>
      </w:pPr>
      <w:r>
        <w:rPr>
          <w:rFonts w:hint="eastAsia" w:ascii="宋体" w:hAnsi="宋体" w:cs="仿宋"/>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号）、《财政部关于进一步做好政府机关使用正版软件工作的通知》（财预〔2010〕536 号）。</w:t>
      </w:r>
    </w:p>
    <w:p w14:paraId="47D2E45B">
      <w:pPr>
        <w:numPr>
          <w:ilvl w:val="1"/>
          <w:numId w:val="29"/>
        </w:numPr>
        <w:tabs>
          <w:tab w:val="left" w:pos="1080"/>
          <w:tab w:val="left" w:pos="2014"/>
        </w:tabs>
        <w:snapToGrid w:val="0"/>
        <w:spacing w:line="360" w:lineRule="auto"/>
        <w:ind w:left="1080" w:hanging="720"/>
        <w:rPr>
          <w:rFonts w:hint="eastAsia" w:ascii="宋体" w:hAnsi="宋体" w:cs="仿宋"/>
          <w:sz w:val="24"/>
        </w:rPr>
      </w:pPr>
      <w:r>
        <w:rPr>
          <w:rFonts w:hint="eastAsia" w:ascii="宋体" w:hAnsi="宋体" w:cs="仿宋"/>
          <w:sz w:val="24"/>
        </w:rPr>
        <w:t>网络安全专用产品</w:t>
      </w:r>
    </w:p>
    <w:p w14:paraId="008F4B5B">
      <w:pPr>
        <w:numPr>
          <w:ilvl w:val="2"/>
          <w:numId w:val="29"/>
        </w:numPr>
        <w:tabs>
          <w:tab w:val="left" w:pos="2014"/>
        </w:tabs>
        <w:snapToGrid w:val="0"/>
        <w:spacing w:line="360" w:lineRule="auto"/>
        <w:rPr>
          <w:rFonts w:hint="eastAsia" w:ascii="宋体" w:hAnsi="宋体"/>
          <w:sz w:val="24"/>
        </w:rPr>
      </w:pPr>
      <w:r>
        <w:rPr>
          <w:rFonts w:hint="eastAsia" w:ascii="宋体" w:hAnsi="宋体"/>
          <w:sz w:val="24"/>
        </w:rPr>
        <w:t>根据《</w:t>
      </w:r>
      <w:r>
        <w:rPr>
          <w:rFonts w:ascii="宋体" w:hAnsi="宋体"/>
          <w:sz w:val="24"/>
        </w:rPr>
        <w:t>关于调整网络安全专用产品安全管理有关事项的公告》（2023年第1号），所提供产品属于列入《网络关键设备和网络安全专用产品目录》的网络安全专用产品时，应当按照《信息安全技术网络安全专用产品安全技术要求》等相关国家标准的强制性要求，由具备资格 的机构安全认证合格或者安全检测符合要求。</w:t>
      </w:r>
    </w:p>
    <w:p w14:paraId="144AA2CD">
      <w:pPr>
        <w:numPr>
          <w:ilvl w:val="1"/>
          <w:numId w:val="29"/>
        </w:numPr>
        <w:tabs>
          <w:tab w:val="left" w:pos="1080"/>
          <w:tab w:val="left" w:pos="2014"/>
        </w:tabs>
        <w:snapToGrid w:val="0"/>
        <w:spacing w:line="360" w:lineRule="auto"/>
        <w:ind w:left="1080" w:hanging="720"/>
        <w:rPr>
          <w:rFonts w:hint="eastAsia" w:ascii="宋体" w:hAnsi="宋体" w:cs="仿宋"/>
          <w:sz w:val="24"/>
        </w:rPr>
      </w:pPr>
      <w:r>
        <w:rPr>
          <w:rFonts w:hint="eastAsia" w:ascii="宋体" w:hAnsi="宋体" w:cs="仿宋"/>
          <w:sz w:val="24"/>
        </w:rPr>
        <w:t>推广使用低挥发性有机化合物（VOCs）</w:t>
      </w:r>
    </w:p>
    <w:p w14:paraId="0E54438E">
      <w:pPr>
        <w:numPr>
          <w:ilvl w:val="2"/>
          <w:numId w:val="29"/>
        </w:numPr>
        <w:snapToGrid w:val="0"/>
        <w:spacing w:line="360" w:lineRule="auto"/>
        <w:rPr>
          <w:rFonts w:hint="eastAsia" w:ascii="宋体" w:hAnsi="宋体" w:cs="仿宋"/>
          <w:sz w:val="24"/>
        </w:rPr>
      </w:pPr>
      <w:r>
        <w:rPr>
          <w:rFonts w:hint="eastAsia" w:ascii="宋体" w:hAnsi="宋体" w:cs="仿宋"/>
          <w:sz w:val="24"/>
        </w:rPr>
        <w:t>为全面推进本市挥发性有机物（VOCs）治理，贯彻落实挥发性有机物污染治理专项行动有关要求，相关规定依据《北京市财政局北京市生态环境局关于政府采购推广使用低挥发性有机化合物（VOCs）有关事项的通知》（京财采购〔2020〕2381 号）。本项目中涉及涂料、胶黏剂、油墨、清洗剂等挥发性有机物产品的，属于强制性标准的，供应商应执行符合本市和国家的VOCs 含量限制标准（具体标准见第四章《采购需求》），</w:t>
      </w:r>
      <w:r>
        <w:rPr>
          <w:rFonts w:hint="eastAsia" w:ascii="宋体" w:hAnsi="宋体" w:cs="仿宋"/>
          <w:kern w:val="0"/>
          <w:sz w:val="24"/>
        </w:rPr>
        <w:t>否则</w:t>
      </w:r>
      <w:r>
        <w:rPr>
          <w:rFonts w:hint="eastAsia" w:ascii="宋体" w:hAnsi="宋体" w:cs="仿宋"/>
          <w:b/>
          <w:kern w:val="0"/>
          <w:sz w:val="24"/>
        </w:rPr>
        <w:t>响应无效</w:t>
      </w:r>
      <w:r>
        <w:rPr>
          <w:rFonts w:hint="eastAsia" w:ascii="宋体" w:hAnsi="宋体" w:cs="仿宋"/>
          <w:sz w:val="24"/>
        </w:rPr>
        <w:t>；属于推荐性标准的，优先采购，具体见第三章《评审方法和评审标准》。</w:t>
      </w:r>
    </w:p>
    <w:p w14:paraId="51B05C97">
      <w:pPr>
        <w:numPr>
          <w:ilvl w:val="1"/>
          <w:numId w:val="29"/>
        </w:numPr>
        <w:tabs>
          <w:tab w:val="left" w:pos="1080"/>
          <w:tab w:val="left" w:pos="2014"/>
        </w:tabs>
        <w:snapToGrid w:val="0"/>
        <w:spacing w:line="360" w:lineRule="auto"/>
        <w:ind w:left="1080" w:hanging="720"/>
        <w:rPr>
          <w:rFonts w:hint="eastAsia" w:ascii="宋体" w:hAnsi="宋体"/>
          <w:sz w:val="24"/>
        </w:rPr>
      </w:pPr>
      <w:r>
        <w:rPr>
          <w:rFonts w:hint="eastAsia" w:ascii="宋体" w:hAnsi="宋体"/>
          <w:sz w:val="24"/>
        </w:rPr>
        <w:t>采购需求标准</w:t>
      </w:r>
    </w:p>
    <w:p w14:paraId="75DCDF50">
      <w:pPr>
        <w:numPr>
          <w:ilvl w:val="2"/>
          <w:numId w:val="29"/>
        </w:numPr>
        <w:tabs>
          <w:tab w:val="left" w:pos="2014"/>
        </w:tabs>
        <w:snapToGrid w:val="0"/>
        <w:spacing w:line="360" w:lineRule="auto"/>
        <w:rPr>
          <w:rFonts w:hint="eastAsia" w:ascii="宋体" w:hAnsi="宋体"/>
          <w:sz w:val="24"/>
        </w:rPr>
      </w:pPr>
      <w:r>
        <w:rPr>
          <w:rFonts w:hint="eastAsia" w:ascii="宋体" w:hAnsi="宋体"/>
          <w:sz w:val="24"/>
        </w:rPr>
        <w:t>商品包装、快递包装政府采购需求标准（试行）</w:t>
      </w:r>
    </w:p>
    <w:p w14:paraId="356FE91D">
      <w:pPr>
        <w:tabs>
          <w:tab w:val="left" w:pos="900"/>
          <w:tab w:val="left" w:pos="1980"/>
        </w:tabs>
        <w:snapToGrid w:val="0"/>
        <w:spacing w:line="360" w:lineRule="auto"/>
        <w:ind w:left="1985"/>
        <w:rPr>
          <w:rFonts w:hint="eastAsia" w:ascii="宋体" w:hAnsi="宋体"/>
          <w:sz w:val="24"/>
        </w:rPr>
      </w:pPr>
      <w:r>
        <w:rPr>
          <w:rFonts w:hint="eastAsia" w:ascii="宋体" w:hAnsi="宋体"/>
          <w:sz w:val="24"/>
        </w:rPr>
        <w:t>为助力打好污染防治攻坚战，推广使用绿色包装，根据财政部关于印发《商品包装政府采购需求标准（试行）》、《快递包装政府采购需求标准（试行）》的通知（财办库〔2020〕123号），本项目如涉及商品包装和快递包装的，则其具体要求见第四章《采购需求》。</w:t>
      </w:r>
    </w:p>
    <w:p w14:paraId="214ECA7D">
      <w:pPr>
        <w:numPr>
          <w:ilvl w:val="2"/>
          <w:numId w:val="29"/>
        </w:numPr>
        <w:tabs>
          <w:tab w:val="left" w:pos="2014"/>
        </w:tabs>
        <w:snapToGrid w:val="0"/>
        <w:spacing w:line="360" w:lineRule="auto"/>
        <w:rPr>
          <w:rFonts w:hint="eastAsia" w:ascii="宋体" w:hAnsi="宋体"/>
          <w:sz w:val="24"/>
        </w:rPr>
      </w:pPr>
      <w:r>
        <w:rPr>
          <w:rFonts w:hint="eastAsia" w:ascii="宋体" w:hAnsi="宋体"/>
          <w:sz w:val="24"/>
        </w:rPr>
        <w:t>其他政府采购需求标准</w:t>
      </w:r>
    </w:p>
    <w:p w14:paraId="66BAE5CA">
      <w:pPr>
        <w:tabs>
          <w:tab w:val="left" w:pos="900"/>
          <w:tab w:val="left" w:pos="1980"/>
        </w:tabs>
        <w:snapToGrid w:val="0"/>
        <w:spacing w:line="360" w:lineRule="auto"/>
        <w:ind w:left="1980"/>
        <w:rPr>
          <w:rFonts w:hint="eastAsia" w:ascii="宋体" w:hAnsi="宋体"/>
          <w:sz w:val="24"/>
        </w:rPr>
      </w:pPr>
      <w:r>
        <w:rPr>
          <w:rFonts w:hint="eastAsia" w:ascii="宋体" w:hAnsi="宋体"/>
          <w:sz w:val="24"/>
        </w:rPr>
        <w:t>为</w:t>
      </w:r>
      <w:r>
        <w:rPr>
          <w:rFonts w:ascii="宋体" w:hAnsi="宋体"/>
          <w:sz w:val="24"/>
        </w:rPr>
        <w:t>贯彻落实《深化政府采购制度改革方案》有关要求，推动政府采购需求标准建设，财政部门会同有关部门制定发布的其他政府采购需求标准，本项目如涉及，</w:t>
      </w:r>
      <w:r>
        <w:rPr>
          <w:rFonts w:hint="eastAsia" w:ascii="宋体" w:hAnsi="宋体"/>
          <w:sz w:val="24"/>
        </w:rPr>
        <w:t>则具体要求见第四章《采购需求》。</w:t>
      </w:r>
    </w:p>
    <w:p w14:paraId="2B0E620E">
      <w:pPr>
        <w:numPr>
          <w:ilvl w:val="0"/>
          <w:numId w:val="29"/>
        </w:numPr>
        <w:tabs>
          <w:tab w:val="left" w:pos="360"/>
        </w:tabs>
        <w:snapToGrid w:val="0"/>
        <w:spacing w:line="360" w:lineRule="auto"/>
        <w:ind w:left="357" w:hanging="357"/>
        <w:outlineLvl w:val="1"/>
        <w:rPr>
          <w:rFonts w:hint="eastAsia" w:ascii="宋体" w:hAnsi="宋体" w:cs="仿宋"/>
          <w:sz w:val="24"/>
        </w:rPr>
      </w:pPr>
      <w:r>
        <w:rPr>
          <w:rFonts w:hint="eastAsia" w:ascii="宋体" w:hAnsi="宋体" w:cs="仿宋"/>
          <w:sz w:val="24"/>
        </w:rPr>
        <w:t>响应费用</w:t>
      </w:r>
    </w:p>
    <w:p w14:paraId="61D48D99">
      <w:pPr>
        <w:numPr>
          <w:ilvl w:val="1"/>
          <w:numId w:val="29"/>
        </w:numPr>
        <w:tabs>
          <w:tab w:val="left" w:pos="1080"/>
          <w:tab w:val="left" w:pos="2014"/>
        </w:tabs>
        <w:snapToGrid w:val="0"/>
        <w:spacing w:line="360" w:lineRule="auto"/>
        <w:ind w:left="1080" w:hanging="720"/>
        <w:rPr>
          <w:rFonts w:hint="eastAsia" w:ascii="宋体" w:hAnsi="宋体" w:cs="仿宋"/>
          <w:sz w:val="24"/>
        </w:rPr>
      </w:pPr>
      <w:r>
        <w:rPr>
          <w:rFonts w:hint="eastAsia" w:ascii="宋体" w:hAnsi="宋体" w:cs="仿宋"/>
          <w:sz w:val="24"/>
        </w:rPr>
        <w:t>供应商应自行承担所有与准备和参加磋商有关的费用，无论磋商的结果如何，采购人或采购代理机构在任何情况下均无承担这些费用的义务和责任。</w:t>
      </w:r>
    </w:p>
    <w:p w14:paraId="3249109B">
      <w:pPr>
        <w:pStyle w:val="4"/>
        <w:spacing w:before="0" w:line="360" w:lineRule="auto"/>
        <w:rPr>
          <w:rFonts w:hint="eastAsia" w:ascii="宋体" w:hAnsi="宋体" w:eastAsia="宋体" w:cs="仿宋"/>
          <w:sz w:val="28"/>
        </w:rPr>
      </w:pPr>
      <w:bookmarkStart w:id="167" w:name="_1.8_计量单位"/>
      <w:bookmarkEnd w:id="167"/>
      <w:r>
        <w:rPr>
          <w:rFonts w:hint="eastAsia" w:ascii="宋体" w:hAnsi="宋体" w:eastAsia="宋体" w:cs="仿宋"/>
          <w:sz w:val="28"/>
        </w:rPr>
        <w:t>二   竞争性磋商文件</w:t>
      </w:r>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p>
    <w:p w14:paraId="380EE4F9">
      <w:pPr>
        <w:numPr>
          <w:ilvl w:val="0"/>
          <w:numId w:val="29"/>
        </w:numPr>
        <w:tabs>
          <w:tab w:val="left" w:pos="360"/>
        </w:tabs>
        <w:snapToGrid w:val="0"/>
        <w:spacing w:line="360" w:lineRule="auto"/>
        <w:ind w:left="357" w:hanging="357"/>
        <w:outlineLvl w:val="1"/>
        <w:rPr>
          <w:rFonts w:hint="eastAsia" w:ascii="宋体" w:hAnsi="宋体" w:cs="仿宋"/>
          <w:sz w:val="24"/>
        </w:rPr>
      </w:pPr>
      <w:bookmarkStart w:id="168" w:name="_Toc150480761"/>
      <w:bookmarkStart w:id="169" w:name="_Toc265228361"/>
      <w:bookmarkStart w:id="170" w:name="_Toc149720816"/>
      <w:bookmarkStart w:id="171" w:name="_Toc151190150"/>
      <w:bookmarkStart w:id="172" w:name="_Toc226965713"/>
      <w:bookmarkStart w:id="173" w:name="_Toc226309767"/>
      <w:bookmarkStart w:id="174" w:name="_Toc195842888"/>
      <w:bookmarkStart w:id="175" w:name="_Toc127151523"/>
      <w:bookmarkStart w:id="176" w:name="_Toc142311025"/>
      <w:bookmarkStart w:id="177" w:name="_Toc164608792"/>
      <w:bookmarkStart w:id="178" w:name="_Toc164608637"/>
      <w:bookmarkStart w:id="179" w:name="_Toc305158865"/>
      <w:bookmarkStart w:id="180" w:name="_Toc150774623"/>
      <w:bookmarkStart w:id="181" w:name="_Toc151193621"/>
      <w:bookmarkStart w:id="182" w:name="_Toc226965796"/>
      <w:bookmarkStart w:id="183" w:name="_Toc151193765"/>
      <w:bookmarkStart w:id="184" w:name="_Toc127161437"/>
      <w:bookmarkStart w:id="185" w:name="_Toc151193837"/>
      <w:bookmarkStart w:id="186" w:name="_Toc164229364"/>
      <w:bookmarkStart w:id="187" w:name="_Toc226337219"/>
      <w:bookmarkStart w:id="188" w:name="_Toc520356147"/>
      <w:bookmarkStart w:id="189" w:name="_Toc264969213"/>
      <w:bookmarkStart w:id="190" w:name="_Toc150774728"/>
      <w:bookmarkStart w:id="191" w:name="_Toc127151724"/>
      <w:bookmarkStart w:id="192" w:name="_Toc151193693"/>
      <w:bookmarkStart w:id="193" w:name="_Toc164351617"/>
      <w:bookmarkStart w:id="194" w:name="_Toc150509274"/>
      <w:bookmarkStart w:id="195" w:name="_Toc305158791"/>
      <w:bookmarkStart w:id="196" w:name="_Toc151193911"/>
      <w:bookmarkStart w:id="197" w:name="_Toc164229218"/>
      <w:r>
        <w:rPr>
          <w:rFonts w:hint="eastAsia" w:ascii="宋体" w:hAnsi="宋体" w:cs="仿宋"/>
          <w:sz w:val="24"/>
        </w:rPr>
        <w:t>竞争性磋商文件构</w:t>
      </w:r>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r>
        <w:rPr>
          <w:rFonts w:hint="eastAsia" w:ascii="宋体" w:hAnsi="宋体" w:cs="仿宋"/>
          <w:sz w:val="24"/>
        </w:rPr>
        <w:t>成</w:t>
      </w:r>
    </w:p>
    <w:p w14:paraId="2E72F60E">
      <w:pPr>
        <w:numPr>
          <w:ilvl w:val="1"/>
          <w:numId w:val="29"/>
        </w:numPr>
        <w:tabs>
          <w:tab w:val="left" w:pos="1080"/>
          <w:tab w:val="left" w:pos="2014"/>
        </w:tabs>
        <w:snapToGrid w:val="0"/>
        <w:spacing w:line="360" w:lineRule="auto"/>
        <w:ind w:left="1080" w:hanging="720"/>
        <w:rPr>
          <w:rFonts w:hint="eastAsia" w:ascii="宋体" w:hAnsi="宋体" w:cs="仿宋"/>
          <w:sz w:val="24"/>
        </w:rPr>
      </w:pPr>
      <w:r>
        <w:rPr>
          <w:rFonts w:hint="eastAsia" w:ascii="宋体" w:hAnsi="宋体" w:cs="仿宋"/>
          <w:sz w:val="24"/>
        </w:rPr>
        <w:t>竞争性磋商文件包括以下部分：</w:t>
      </w:r>
    </w:p>
    <w:p w14:paraId="0B564983">
      <w:pPr>
        <w:numPr>
          <w:ilvl w:val="0"/>
          <w:numId w:val="30"/>
        </w:numPr>
        <w:spacing w:line="360" w:lineRule="auto"/>
        <w:ind w:left="1134" w:firstLine="5"/>
        <w:rPr>
          <w:rFonts w:hint="eastAsia" w:ascii="宋体" w:hAnsi="宋体" w:cs="仿宋"/>
          <w:sz w:val="24"/>
        </w:rPr>
      </w:pPr>
      <w:r>
        <w:rPr>
          <w:rFonts w:hint="eastAsia" w:ascii="宋体" w:hAnsi="宋体" w:cs="仿宋"/>
          <w:sz w:val="24"/>
        </w:rPr>
        <w:t>采购邀请</w:t>
      </w:r>
    </w:p>
    <w:p w14:paraId="084ED294">
      <w:pPr>
        <w:numPr>
          <w:ilvl w:val="0"/>
          <w:numId w:val="30"/>
        </w:numPr>
        <w:spacing w:line="360" w:lineRule="auto"/>
        <w:ind w:left="1134" w:firstLine="5"/>
        <w:rPr>
          <w:rFonts w:hint="eastAsia" w:ascii="宋体" w:hAnsi="宋体" w:cs="仿宋"/>
          <w:sz w:val="24"/>
        </w:rPr>
      </w:pPr>
      <w:r>
        <w:rPr>
          <w:rFonts w:hint="eastAsia" w:ascii="宋体" w:hAnsi="宋体" w:cs="仿宋"/>
          <w:sz w:val="24"/>
        </w:rPr>
        <w:t>供应商须知</w:t>
      </w:r>
    </w:p>
    <w:p w14:paraId="52F11CC8">
      <w:pPr>
        <w:numPr>
          <w:ilvl w:val="0"/>
          <w:numId w:val="30"/>
        </w:numPr>
        <w:spacing w:line="360" w:lineRule="auto"/>
        <w:ind w:left="1134" w:firstLine="5"/>
        <w:rPr>
          <w:rFonts w:hint="eastAsia" w:ascii="宋体" w:hAnsi="宋体" w:cs="仿宋"/>
          <w:sz w:val="24"/>
        </w:rPr>
      </w:pPr>
      <w:r>
        <w:rPr>
          <w:rFonts w:hint="eastAsia" w:ascii="宋体" w:hAnsi="宋体" w:cs="仿宋"/>
          <w:sz w:val="24"/>
        </w:rPr>
        <w:t>评审方法和评审标准</w:t>
      </w:r>
    </w:p>
    <w:p w14:paraId="06E9F429">
      <w:pPr>
        <w:numPr>
          <w:ilvl w:val="0"/>
          <w:numId w:val="30"/>
        </w:numPr>
        <w:spacing w:line="360" w:lineRule="auto"/>
        <w:ind w:left="1134" w:firstLine="5"/>
        <w:rPr>
          <w:rFonts w:hint="eastAsia" w:ascii="宋体" w:hAnsi="宋体" w:cs="仿宋"/>
          <w:sz w:val="24"/>
        </w:rPr>
      </w:pPr>
      <w:r>
        <w:rPr>
          <w:rFonts w:hint="eastAsia" w:ascii="宋体" w:hAnsi="宋体" w:cs="仿宋"/>
          <w:sz w:val="24"/>
        </w:rPr>
        <w:t>采购需求</w:t>
      </w:r>
    </w:p>
    <w:p w14:paraId="584871A8">
      <w:pPr>
        <w:numPr>
          <w:ilvl w:val="0"/>
          <w:numId w:val="30"/>
        </w:numPr>
        <w:spacing w:line="360" w:lineRule="auto"/>
        <w:ind w:left="1134" w:firstLine="5"/>
        <w:rPr>
          <w:rFonts w:hint="eastAsia" w:ascii="宋体" w:hAnsi="宋体" w:cs="仿宋"/>
          <w:sz w:val="24"/>
        </w:rPr>
      </w:pPr>
      <w:r>
        <w:rPr>
          <w:rFonts w:hint="eastAsia" w:ascii="宋体" w:hAnsi="宋体" w:cs="仿宋"/>
          <w:sz w:val="24"/>
        </w:rPr>
        <w:t>合同草案条款</w:t>
      </w:r>
    </w:p>
    <w:p w14:paraId="6E3D0CAD">
      <w:pPr>
        <w:numPr>
          <w:ilvl w:val="0"/>
          <w:numId w:val="30"/>
        </w:numPr>
        <w:spacing w:line="360" w:lineRule="auto"/>
        <w:ind w:left="1134" w:firstLine="5"/>
        <w:rPr>
          <w:rFonts w:hint="eastAsia" w:ascii="宋体" w:hAnsi="宋体" w:cs="仿宋"/>
          <w:sz w:val="24"/>
        </w:rPr>
      </w:pPr>
      <w:r>
        <w:rPr>
          <w:rFonts w:hint="eastAsia" w:ascii="宋体" w:hAnsi="宋体" w:cs="仿宋"/>
          <w:sz w:val="24"/>
        </w:rPr>
        <w:t>响应文件格式</w:t>
      </w:r>
    </w:p>
    <w:p w14:paraId="371C301A">
      <w:pPr>
        <w:numPr>
          <w:ilvl w:val="1"/>
          <w:numId w:val="29"/>
        </w:numPr>
        <w:tabs>
          <w:tab w:val="left" w:pos="1080"/>
          <w:tab w:val="left" w:pos="2014"/>
        </w:tabs>
        <w:snapToGrid w:val="0"/>
        <w:spacing w:line="360" w:lineRule="auto"/>
        <w:ind w:left="1080" w:hanging="720"/>
        <w:rPr>
          <w:rFonts w:hint="eastAsia" w:ascii="宋体" w:hAnsi="宋体" w:cs="仿宋"/>
          <w:sz w:val="24"/>
        </w:rPr>
      </w:pPr>
      <w:r>
        <w:rPr>
          <w:rFonts w:hint="eastAsia" w:ascii="宋体" w:hAnsi="宋体" w:cs="仿宋"/>
          <w:sz w:val="24"/>
        </w:rPr>
        <w:t>供应商应认真阅读竞争性磋商文件的全部内容。供应商应按照竞争性磋商文件要求提交响应文件并保证所提供的全部资料的真实性，并对竞争性磋商文件作出实质性响应，否则</w:t>
      </w:r>
      <w:r>
        <w:rPr>
          <w:rFonts w:hint="eastAsia" w:ascii="宋体" w:hAnsi="宋体" w:cs="仿宋"/>
          <w:b/>
          <w:sz w:val="24"/>
        </w:rPr>
        <w:t>响应无效</w:t>
      </w:r>
      <w:r>
        <w:rPr>
          <w:rFonts w:hint="eastAsia" w:ascii="宋体" w:hAnsi="宋体" w:cs="仿宋"/>
          <w:sz w:val="24"/>
        </w:rPr>
        <w:t>。</w:t>
      </w:r>
    </w:p>
    <w:p w14:paraId="4F6E149C">
      <w:pPr>
        <w:numPr>
          <w:ilvl w:val="0"/>
          <w:numId w:val="29"/>
        </w:numPr>
        <w:tabs>
          <w:tab w:val="left" w:pos="1080"/>
          <w:tab w:val="left" w:pos="2014"/>
        </w:tabs>
        <w:snapToGrid w:val="0"/>
        <w:spacing w:line="360" w:lineRule="auto"/>
        <w:ind w:left="357" w:hanging="357"/>
        <w:outlineLvl w:val="1"/>
        <w:rPr>
          <w:rFonts w:hint="eastAsia" w:ascii="宋体" w:hAnsi="宋体" w:cs="仿宋"/>
          <w:sz w:val="24"/>
        </w:rPr>
      </w:pPr>
      <w:r>
        <w:rPr>
          <w:rFonts w:hint="eastAsia" w:ascii="宋体" w:hAnsi="宋体" w:cs="仿宋"/>
          <w:sz w:val="24"/>
        </w:rPr>
        <w:t>对竞争性磋商文件的澄清或修改</w:t>
      </w:r>
    </w:p>
    <w:p w14:paraId="4D19833B">
      <w:pPr>
        <w:numPr>
          <w:ilvl w:val="1"/>
          <w:numId w:val="29"/>
        </w:numPr>
        <w:tabs>
          <w:tab w:val="left" w:pos="1080"/>
          <w:tab w:val="left" w:pos="2014"/>
        </w:tabs>
        <w:snapToGrid w:val="0"/>
        <w:spacing w:line="360" w:lineRule="auto"/>
        <w:ind w:left="1077" w:hanging="720"/>
        <w:rPr>
          <w:rFonts w:hint="eastAsia" w:ascii="宋体" w:hAnsi="宋体" w:cs="宋体"/>
          <w:sz w:val="24"/>
        </w:rPr>
      </w:pPr>
      <w:bookmarkStart w:id="198" w:name="_Toc516367020"/>
      <w:bookmarkStart w:id="199" w:name="_Toc226965716"/>
      <w:bookmarkStart w:id="200" w:name="_Toc150509277"/>
      <w:bookmarkStart w:id="201" w:name="_Toc142311028"/>
      <w:bookmarkStart w:id="202" w:name="_Toc265228364"/>
      <w:bookmarkStart w:id="203" w:name="_Toc150774626"/>
      <w:bookmarkStart w:id="204" w:name="_Toc151193696"/>
      <w:bookmarkStart w:id="205" w:name="_Toc151190153"/>
      <w:bookmarkStart w:id="206" w:name="_Toc151193914"/>
      <w:bookmarkStart w:id="207" w:name="_Toc520356150"/>
      <w:bookmarkStart w:id="208" w:name="_Toc151193840"/>
      <w:bookmarkStart w:id="209" w:name="_Toc151193768"/>
      <w:bookmarkStart w:id="210" w:name="_Toc305158868"/>
      <w:bookmarkStart w:id="211" w:name="_Toc305158794"/>
      <w:bookmarkStart w:id="212" w:name="_Toc151193624"/>
      <w:bookmarkStart w:id="213" w:name="_Toc226965799"/>
      <w:bookmarkStart w:id="214" w:name="_Toc150480764"/>
      <w:bookmarkStart w:id="215" w:name="_Toc127151526"/>
      <w:bookmarkStart w:id="216" w:name="_Toc264969216"/>
      <w:bookmarkStart w:id="217" w:name="_Toc226337222"/>
      <w:bookmarkStart w:id="218" w:name="_Toc150774731"/>
      <w:bookmarkStart w:id="219" w:name="_Toc226309770"/>
      <w:bookmarkStart w:id="220" w:name="_Toc195842891"/>
      <w:r>
        <w:rPr>
          <w:rFonts w:hint="eastAsia" w:ascii="宋体" w:hAnsi="宋体" w:cs="宋体"/>
          <w:sz w:val="24"/>
        </w:rPr>
        <w:t>采购人或采购代理机构对已发出的竞争性磋商文件进行必要澄清或者修改的，将以书面形式通知所有获取竞争性磋商文件的潜在供应商。采用公告方式邀请供应商参与的，还将在原公告发布媒体上发布更正公告。</w:t>
      </w:r>
    </w:p>
    <w:p w14:paraId="66CC511D">
      <w:pPr>
        <w:numPr>
          <w:ilvl w:val="1"/>
          <w:numId w:val="29"/>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上述书面通知，按照获取竞争性磋商文件的潜在供应商提供的联系方式发出，因提供的信息有误导致通知延迟或无法通知的，采购人或采购代理机构不承担责任。</w:t>
      </w:r>
    </w:p>
    <w:p w14:paraId="4750A7D7">
      <w:pPr>
        <w:numPr>
          <w:ilvl w:val="1"/>
          <w:numId w:val="29"/>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澄清或者修改的内容为竞争性磋商文件的组成部分，并对所有获取竞争性磋商文件的潜在供应商具有约束力。澄清或者修改的内容可能影响响应文件编制的，将在提交首次响应文件截止之日3个工作日前，以书面形式通知所有获取竞争性磋商文件的潜在供应商；不足上述时间的，将顺延提交首次响应文件的截止时间和开启时间。</w:t>
      </w:r>
    </w:p>
    <w:p w14:paraId="7C43C8EE">
      <w:pPr>
        <w:pStyle w:val="4"/>
        <w:spacing w:before="0" w:line="360" w:lineRule="auto"/>
        <w:rPr>
          <w:rFonts w:hint="eastAsia" w:ascii="宋体" w:hAnsi="宋体" w:eastAsia="宋体" w:cs="仿宋"/>
          <w:sz w:val="28"/>
        </w:rPr>
      </w:pPr>
      <w:r>
        <w:rPr>
          <w:rFonts w:hint="eastAsia" w:ascii="宋体" w:hAnsi="宋体" w:eastAsia="宋体" w:cs="仿宋"/>
          <w:sz w:val="28"/>
        </w:rPr>
        <w:t>三   响应文件</w:t>
      </w:r>
      <w:bookmarkEnd w:id="198"/>
      <w:r>
        <w:rPr>
          <w:rFonts w:hint="eastAsia" w:ascii="宋体" w:hAnsi="宋体" w:eastAsia="宋体" w:cs="仿宋"/>
          <w:sz w:val="28"/>
        </w:rPr>
        <w:t>的编制</w:t>
      </w:r>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p>
    <w:p w14:paraId="4F804CE5">
      <w:pPr>
        <w:numPr>
          <w:ilvl w:val="0"/>
          <w:numId w:val="29"/>
        </w:numPr>
        <w:tabs>
          <w:tab w:val="left" w:pos="360"/>
        </w:tabs>
        <w:snapToGrid w:val="0"/>
        <w:spacing w:line="360" w:lineRule="auto"/>
        <w:ind w:left="357" w:hanging="357"/>
        <w:outlineLvl w:val="1"/>
        <w:rPr>
          <w:rFonts w:hint="eastAsia" w:ascii="宋体" w:hAnsi="宋体" w:cs="仿宋"/>
          <w:sz w:val="24"/>
        </w:rPr>
      </w:pPr>
      <w:bookmarkStart w:id="221" w:name="_Toc226965800"/>
      <w:bookmarkStart w:id="222" w:name="_Toc164608796"/>
      <w:bookmarkStart w:id="223" w:name="_Toc226337223"/>
      <w:bookmarkStart w:id="224" w:name="_Toc520356151"/>
      <w:bookmarkStart w:id="225" w:name="_Toc149720820"/>
      <w:bookmarkStart w:id="226" w:name="_Toc151193769"/>
      <w:bookmarkStart w:id="227" w:name="_Toc151193625"/>
      <w:bookmarkStart w:id="228" w:name="_Toc164229368"/>
      <w:bookmarkStart w:id="229" w:name="_Toc127151728"/>
      <w:bookmarkStart w:id="230" w:name="_Toc164608641"/>
      <w:bookmarkStart w:id="231" w:name="_Toc151193841"/>
      <w:bookmarkStart w:id="232" w:name="_Toc150480765"/>
      <w:bookmarkStart w:id="233" w:name="_Toc150509278"/>
      <w:bookmarkStart w:id="234" w:name="_Toc164351621"/>
      <w:bookmarkStart w:id="235" w:name="_Toc265228365"/>
      <w:bookmarkStart w:id="236" w:name="_Toc226965717"/>
      <w:bookmarkStart w:id="237" w:name="_Toc195842892"/>
      <w:bookmarkStart w:id="238" w:name="_Toc142311029"/>
      <w:bookmarkStart w:id="239" w:name="_Toc226309771"/>
      <w:bookmarkStart w:id="240" w:name="_Toc127151527"/>
      <w:bookmarkStart w:id="241" w:name="_Toc151193697"/>
      <w:bookmarkStart w:id="242" w:name="_Toc127161441"/>
      <w:bookmarkStart w:id="243" w:name="_Toc305158795"/>
      <w:bookmarkStart w:id="244" w:name="_Toc150774732"/>
      <w:bookmarkStart w:id="245" w:name="_Toc264969217"/>
      <w:bookmarkStart w:id="246" w:name="_Toc305158869"/>
      <w:bookmarkStart w:id="247" w:name="_Toc150774627"/>
      <w:bookmarkStart w:id="248" w:name="_Toc164229222"/>
      <w:bookmarkStart w:id="249" w:name="_Toc151193915"/>
      <w:bookmarkStart w:id="250" w:name="_Toc151190154"/>
      <w:bookmarkStart w:id="251" w:name="_Toc516367021"/>
      <w:r>
        <w:rPr>
          <w:rFonts w:hint="eastAsia" w:ascii="宋体" w:hAnsi="宋体" w:cs="仿宋"/>
          <w:sz w:val="24"/>
        </w:rPr>
        <w:t>响应范围、竞争性磋商文件中计量单位的使用</w:t>
      </w:r>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r>
        <w:rPr>
          <w:rFonts w:hint="eastAsia" w:ascii="宋体" w:hAnsi="宋体" w:cs="仿宋"/>
          <w:sz w:val="24"/>
        </w:rPr>
        <w:t>及磋商语言</w:t>
      </w:r>
    </w:p>
    <w:p w14:paraId="0812BF8B">
      <w:pPr>
        <w:numPr>
          <w:ilvl w:val="1"/>
          <w:numId w:val="29"/>
        </w:numPr>
        <w:tabs>
          <w:tab w:val="left" w:pos="1080"/>
          <w:tab w:val="left" w:pos="2014"/>
        </w:tabs>
        <w:snapToGrid w:val="0"/>
        <w:spacing w:line="360" w:lineRule="auto"/>
        <w:ind w:left="1077" w:hanging="720"/>
        <w:rPr>
          <w:rFonts w:hint="eastAsia" w:ascii="宋体" w:hAnsi="宋体" w:cs="宋体"/>
          <w:sz w:val="24"/>
        </w:rPr>
      </w:pPr>
      <w:bookmarkStart w:id="252" w:name="_Ref467306195"/>
      <w:bookmarkStart w:id="253" w:name="_Ref467306676"/>
      <w:bookmarkStart w:id="254" w:name="_Toc516367022"/>
      <w:bookmarkStart w:id="255" w:name="_Toc151193916"/>
      <w:bookmarkStart w:id="256" w:name="_Toc226337224"/>
      <w:bookmarkStart w:id="257" w:name="_Toc151193842"/>
      <w:bookmarkStart w:id="258" w:name="_Toc149720821"/>
      <w:bookmarkStart w:id="259" w:name="_Toc195842893"/>
      <w:bookmarkStart w:id="260" w:name="_Toc127161442"/>
      <w:bookmarkStart w:id="261" w:name="_Toc151193698"/>
      <w:bookmarkStart w:id="262" w:name="_Toc164351622"/>
      <w:bookmarkStart w:id="263" w:name="_Toc150509279"/>
      <w:bookmarkStart w:id="264" w:name="_Toc150480766"/>
      <w:bookmarkStart w:id="265" w:name="_Toc520356152"/>
      <w:bookmarkStart w:id="266" w:name="_Toc164608642"/>
      <w:bookmarkStart w:id="267" w:name="_Toc264969218"/>
      <w:bookmarkStart w:id="268" w:name="_Toc305158870"/>
      <w:bookmarkStart w:id="269" w:name="_Toc305158796"/>
      <w:bookmarkStart w:id="270" w:name="_Toc226309772"/>
      <w:bookmarkStart w:id="271" w:name="_Toc164229369"/>
      <w:bookmarkStart w:id="272" w:name="_Toc164229223"/>
      <w:bookmarkStart w:id="273" w:name="_Toc164608797"/>
      <w:bookmarkStart w:id="274" w:name="_Toc142311030"/>
      <w:bookmarkStart w:id="275" w:name="_Toc265228366"/>
      <w:bookmarkStart w:id="276" w:name="_Toc127151729"/>
      <w:bookmarkStart w:id="277" w:name="_Toc226965801"/>
      <w:bookmarkStart w:id="278" w:name="_Toc151190155"/>
      <w:bookmarkStart w:id="279" w:name="_Toc226965718"/>
      <w:bookmarkStart w:id="280" w:name="_Toc150774733"/>
      <w:bookmarkStart w:id="281" w:name="_Toc150774628"/>
      <w:bookmarkStart w:id="282" w:name="_Toc151193770"/>
      <w:bookmarkStart w:id="283" w:name="_Toc151193626"/>
      <w:bookmarkStart w:id="284" w:name="_Toc127151528"/>
      <w:r>
        <w:rPr>
          <w:rFonts w:hint="eastAsia" w:ascii="宋体" w:hAnsi="宋体" w:cs="宋体"/>
          <w:sz w:val="24"/>
        </w:rPr>
        <w:t>本项目如划分采购包，供应商可以对本项目的其中一个采购包进行响应，也可同时对多个采购包进行响应。供应商应当对参与采购包对应第四章《采购需求》所列的全部内容进行响应，不得将一个采购包中的内容拆开响应，否则其对该采购包的响应将被认定为</w:t>
      </w:r>
      <w:r>
        <w:rPr>
          <w:rFonts w:hint="eastAsia" w:ascii="宋体" w:hAnsi="宋体" w:cs="宋体"/>
          <w:b/>
          <w:bCs/>
          <w:sz w:val="24"/>
        </w:rPr>
        <w:t>无效响应</w:t>
      </w:r>
      <w:r>
        <w:rPr>
          <w:rFonts w:hint="eastAsia" w:ascii="宋体" w:hAnsi="宋体" w:cs="宋体"/>
          <w:sz w:val="24"/>
        </w:rPr>
        <w:t>。</w:t>
      </w:r>
    </w:p>
    <w:p w14:paraId="524ADC83">
      <w:pPr>
        <w:numPr>
          <w:ilvl w:val="1"/>
          <w:numId w:val="29"/>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除竞争性磋商文件有特殊要求外，本项目磋商所使用的计量单位，应采用中华人民共和国法定计量单位。</w:t>
      </w:r>
    </w:p>
    <w:p w14:paraId="1CFA5D17">
      <w:pPr>
        <w:numPr>
          <w:ilvl w:val="1"/>
          <w:numId w:val="29"/>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除专用术语外，响应文件及来往函电均应使用中文书写。必要时专用术语应附有中文解释。供应商提交的支持资料和已印制的文献可以用外文，但相应内容应附有中文翻译本，在解释响应文件时以中文翻译本为准。未附中文翻译本或翻译本中文内容明显与外文内容不一致的，其不利后果由供应商自行承担。</w:t>
      </w:r>
    </w:p>
    <w:p w14:paraId="4BD20A7B">
      <w:pPr>
        <w:numPr>
          <w:ilvl w:val="0"/>
          <w:numId w:val="29"/>
        </w:numPr>
        <w:tabs>
          <w:tab w:val="left" w:pos="360"/>
        </w:tabs>
        <w:snapToGrid w:val="0"/>
        <w:spacing w:line="360" w:lineRule="auto"/>
        <w:ind w:left="357" w:hanging="357"/>
        <w:outlineLvl w:val="1"/>
        <w:rPr>
          <w:rFonts w:hint="eastAsia" w:ascii="宋体" w:hAnsi="宋体" w:cs="仿宋"/>
          <w:sz w:val="24"/>
        </w:rPr>
      </w:pPr>
      <w:r>
        <w:rPr>
          <w:rFonts w:hint="eastAsia" w:ascii="宋体" w:hAnsi="宋体" w:cs="仿宋"/>
          <w:sz w:val="24"/>
        </w:rPr>
        <w:t>响应文件</w:t>
      </w:r>
      <w:bookmarkEnd w:id="252"/>
      <w:bookmarkEnd w:id="253"/>
      <w:bookmarkEnd w:id="254"/>
      <w:r>
        <w:rPr>
          <w:rFonts w:hint="eastAsia" w:ascii="宋体" w:hAnsi="宋体" w:cs="仿宋"/>
          <w:sz w:val="24"/>
        </w:rPr>
        <w:t>构成</w:t>
      </w:r>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p>
    <w:p w14:paraId="53E8E354">
      <w:pPr>
        <w:numPr>
          <w:ilvl w:val="1"/>
          <w:numId w:val="29"/>
        </w:numPr>
        <w:tabs>
          <w:tab w:val="left" w:pos="1080"/>
          <w:tab w:val="left" w:pos="2014"/>
        </w:tabs>
        <w:snapToGrid w:val="0"/>
        <w:spacing w:line="360" w:lineRule="auto"/>
        <w:ind w:left="1077" w:hanging="720"/>
        <w:rPr>
          <w:rFonts w:hint="eastAsia" w:ascii="宋体" w:hAnsi="宋体" w:cs="宋体"/>
          <w:sz w:val="24"/>
        </w:rPr>
      </w:pPr>
      <w:bookmarkStart w:id="285" w:name="_Ref467052588"/>
      <w:bookmarkStart w:id="286" w:name="_Toc150774630"/>
      <w:bookmarkStart w:id="287" w:name="_Toc164229371"/>
      <w:bookmarkStart w:id="288" w:name="_Toc127161444"/>
      <w:bookmarkStart w:id="289" w:name="_Toc151193918"/>
      <w:bookmarkStart w:id="290" w:name="_Toc151193844"/>
      <w:bookmarkStart w:id="291" w:name="_Toc127151731"/>
      <w:bookmarkStart w:id="292" w:name="_Toc164608644"/>
      <w:bookmarkStart w:id="293" w:name="_Toc151190157"/>
      <w:bookmarkStart w:id="294" w:name="_Toc150480768"/>
      <w:bookmarkStart w:id="295" w:name="_Toc151193628"/>
      <w:bookmarkStart w:id="296" w:name="_Toc150509281"/>
      <w:bookmarkStart w:id="297" w:name="_Toc127151530"/>
      <w:bookmarkStart w:id="298" w:name="_Toc150774735"/>
      <w:bookmarkStart w:id="299" w:name="_Toc520356155"/>
      <w:bookmarkStart w:id="300" w:name="_Toc149720823"/>
      <w:bookmarkStart w:id="301" w:name="_Toc151193772"/>
      <w:bookmarkStart w:id="302" w:name="_Toc164608799"/>
      <w:bookmarkStart w:id="303" w:name="_Toc164351624"/>
      <w:bookmarkStart w:id="304" w:name="_Toc195842895"/>
      <w:bookmarkStart w:id="305" w:name="_Toc151193700"/>
      <w:bookmarkStart w:id="306" w:name="_Toc164229225"/>
      <w:bookmarkStart w:id="307" w:name="_Toc142311032"/>
      <w:r>
        <w:rPr>
          <w:rFonts w:hint="eastAsia" w:ascii="宋体" w:hAnsi="宋体" w:cs="宋体"/>
          <w:sz w:val="24"/>
        </w:rPr>
        <w:t>供应商应当按照竞争性磋商文件的要求编制响应文件，并对其提交的响应文件的真实性、合法性承担法律责任。响应文件的部分格式要求，见第六章《响应文件格式》。</w:t>
      </w:r>
    </w:p>
    <w:p w14:paraId="2865F4C5">
      <w:pPr>
        <w:numPr>
          <w:ilvl w:val="1"/>
          <w:numId w:val="29"/>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对于竞争性磋商文件中标记了“实质性格式”文件的，供应商不得改变格式中给定的文字所表达的含义，不得删减格式中的实质性内容，不得自行添加与格式中给定的文字内容相矛盾的内容，不实质性响应，否则</w:t>
      </w:r>
      <w:r>
        <w:rPr>
          <w:rFonts w:hint="eastAsia" w:ascii="宋体" w:hAnsi="宋体" w:cs="宋体"/>
          <w:b/>
          <w:bCs/>
          <w:sz w:val="24"/>
        </w:rPr>
        <w:t>响应无效</w:t>
      </w:r>
      <w:r>
        <w:rPr>
          <w:rFonts w:hint="eastAsia" w:ascii="宋体" w:hAnsi="宋体" w:cs="宋体"/>
          <w:sz w:val="24"/>
        </w:rPr>
        <w:t>。未标记“实质性格式”的文件和竞争性磋商文件未提供格式的内容，可由供应商自行编写。</w:t>
      </w:r>
    </w:p>
    <w:p w14:paraId="6A6BE894">
      <w:pPr>
        <w:numPr>
          <w:ilvl w:val="1"/>
          <w:numId w:val="29"/>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第三章《评审方法和评审标准》中涉及的证明文件。</w:t>
      </w:r>
    </w:p>
    <w:p w14:paraId="48C66CC0">
      <w:pPr>
        <w:numPr>
          <w:ilvl w:val="1"/>
          <w:numId w:val="29"/>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对照第四章《采购需求》，说明所提供货物和服务已对第四章《采购需求》做出了响应，或申明与第四章《采购需求》的偏差和例外。如第四章《采购需求》中要求提供证明文件的，供应商应当按具体要求提供证明文件。</w:t>
      </w:r>
    </w:p>
    <w:p w14:paraId="7F46ECAB">
      <w:pPr>
        <w:numPr>
          <w:ilvl w:val="1"/>
          <w:numId w:val="29"/>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供应商认为应附的其他材料。</w:t>
      </w:r>
      <w:bookmarkEnd w:id="285"/>
    </w:p>
    <w:p w14:paraId="5EF2640A">
      <w:pPr>
        <w:numPr>
          <w:ilvl w:val="0"/>
          <w:numId w:val="29"/>
        </w:numPr>
        <w:tabs>
          <w:tab w:val="left" w:pos="360"/>
        </w:tabs>
        <w:snapToGrid w:val="0"/>
        <w:spacing w:line="360" w:lineRule="auto"/>
        <w:ind w:left="357" w:hanging="357"/>
        <w:outlineLvl w:val="1"/>
        <w:rPr>
          <w:rFonts w:hint="eastAsia" w:ascii="宋体" w:hAnsi="宋体" w:cs="仿宋"/>
          <w:sz w:val="24"/>
        </w:rPr>
      </w:pPr>
      <w:r>
        <w:rPr>
          <w:rFonts w:hint="eastAsia" w:ascii="宋体" w:hAnsi="宋体" w:cs="仿宋"/>
          <w:sz w:val="24"/>
        </w:rPr>
        <w:t>报价</w:t>
      </w:r>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p>
    <w:p w14:paraId="13F4C0A8">
      <w:pPr>
        <w:numPr>
          <w:ilvl w:val="1"/>
          <w:numId w:val="29"/>
        </w:numPr>
        <w:tabs>
          <w:tab w:val="left" w:pos="1080"/>
          <w:tab w:val="left" w:pos="2014"/>
        </w:tabs>
        <w:snapToGrid w:val="0"/>
        <w:spacing w:line="360" w:lineRule="auto"/>
        <w:ind w:left="1077" w:hanging="720"/>
        <w:rPr>
          <w:rFonts w:hint="eastAsia" w:ascii="宋体" w:hAnsi="宋体" w:cs="宋体"/>
          <w:sz w:val="24"/>
        </w:rPr>
      </w:pPr>
      <w:r>
        <w:rPr>
          <w:rFonts w:ascii="宋体" w:hAnsi="宋体" w:cs="宋体"/>
          <w:sz w:val="24"/>
        </w:rPr>
        <w:t>所有响应均以人民币报价。</w:t>
      </w:r>
    </w:p>
    <w:p w14:paraId="2F8FAB86">
      <w:pPr>
        <w:numPr>
          <w:ilvl w:val="1"/>
          <w:numId w:val="29"/>
        </w:numPr>
        <w:tabs>
          <w:tab w:val="left" w:pos="1080"/>
          <w:tab w:val="left" w:pos="2014"/>
        </w:tabs>
        <w:snapToGrid w:val="0"/>
        <w:spacing w:line="360" w:lineRule="auto"/>
        <w:ind w:left="1077" w:hanging="720"/>
        <w:rPr>
          <w:rFonts w:hint="eastAsia" w:ascii="宋体" w:hAnsi="宋体" w:cs="宋体"/>
          <w:sz w:val="24"/>
        </w:rPr>
      </w:pPr>
      <w:r>
        <w:rPr>
          <w:rFonts w:ascii="宋体" w:hAnsi="宋体" w:cs="宋体"/>
          <w:sz w:val="24"/>
        </w:rPr>
        <w:t>供应商的报价应包括为完成本项目所发生的一切费用和税费，采购人将不再支付报价以外的任何费用。</w:t>
      </w:r>
      <w:r>
        <w:rPr>
          <w:rFonts w:hint="eastAsia" w:ascii="宋体" w:hAnsi="宋体" w:cs="宋体"/>
          <w:sz w:val="24"/>
        </w:rPr>
        <w:t>供应商的报价应包括但不限于下列内容，《供应商须知资料表》中有特殊规定的，从其规定。</w:t>
      </w:r>
    </w:p>
    <w:p w14:paraId="35B3F9E3">
      <w:pPr>
        <w:numPr>
          <w:ilvl w:val="2"/>
          <w:numId w:val="29"/>
        </w:numPr>
        <w:snapToGrid w:val="0"/>
        <w:spacing w:line="360" w:lineRule="auto"/>
        <w:rPr>
          <w:rFonts w:hint="eastAsia" w:ascii="宋体" w:hAnsi="宋体"/>
          <w:sz w:val="24"/>
        </w:rPr>
      </w:pPr>
      <w:r>
        <w:rPr>
          <w:rFonts w:hint="eastAsia" w:ascii="宋体" w:hAnsi="宋体"/>
          <w:sz w:val="24"/>
        </w:rPr>
        <w:t>响应</w:t>
      </w:r>
      <w:r>
        <w:rPr>
          <w:rFonts w:ascii="宋体" w:hAnsi="宋体"/>
          <w:sz w:val="24"/>
        </w:rPr>
        <w:t>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r>
        <w:rPr>
          <w:rFonts w:hint="eastAsia" w:ascii="宋体" w:hAnsi="宋体"/>
          <w:sz w:val="24"/>
        </w:rPr>
        <w:t>；</w:t>
      </w:r>
    </w:p>
    <w:p w14:paraId="54865ADF">
      <w:pPr>
        <w:numPr>
          <w:ilvl w:val="2"/>
          <w:numId w:val="29"/>
        </w:numPr>
        <w:snapToGrid w:val="0"/>
        <w:spacing w:line="360" w:lineRule="auto"/>
        <w:rPr>
          <w:rFonts w:hint="eastAsia" w:ascii="宋体" w:hAnsi="宋体"/>
          <w:sz w:val="24"/>
        </w:rPr>
      </w:pPr>
      <w:r>
        <w:rPr>
          <w:rFonts w:ascii="宋体" w:hAnsi="宋体"/>
          <w:sz w:val="24"/>
        </w:rPr>
        <w:t>按照竞争性磋商文件要求完成本项目的全部相关费用</w:t>
      </w:r>
      <w:r>
        <w:rPr>
          <w:rFonts w:hint="eastAsia" w:ascii="宋体" w:hAnsi="宋体"/>
          <w:sz w:val="24"/>
        </w:rPr>
        <w:t>。</w:t>
      </w:r>
    </w:p>
    <w:p w14:paraId="4158FBF2">
      <w:pPr>
        <w:numPr>
          <w:ilvl w:val="1"/>
          <w:numId w:val="29"/>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采购人不得向供应商索要或者接受其给予的赠品、回扣或者与采购无关的其他商品、服务。</w:t>
      </w:r>
    </w:p>
    <w:p w14:paraId="0DC65214">
      <w:pPr>
        <w:numPr>
          <w:ilvl w:val="1"/>
          <w:numId w:val="29"/>
        </w:numPr>
        <w:tabs>
          <w:tab w:val="left" w:pos="1080"/>
          <w:tab w:val="left" w:pos="2014"/>
        </w:tabs>
        <w:snapToGrid w:val="0"/>
        <w:spacing w:line="360" w:lineRule="auto"/>
        <w:ind w:left="1077" w:hanging="720"/>
        <w:rPr>
          <w:rFonts w:hint="eastAsia" w:ascii="宋体" w:hAnsi="宋体" w:cs="宋体"/>
          <w:sz w:val="24"/>
        </w:rPr>
      </w:pPr>
      <w:r>
        <w:rPr>
          <w:rFonts w:ascii="宋体" w:hAnsi="宋体" w:cs="宋体"/>
          <w:sz w:val="24"/>
        </w:rPr>
        <w:t>供应商不能提供任何有选择性或可调整的最后报价（竞争性磋商文件另有规定的除外），否则其</w:t>
      </w:r>
      <w:r>
        <w:rPr>
          <w:rFonts w:ascii="宋体" w:hAnsi="宋体" w:cs="宋体"/>
          <w:b/>
          <w:bCs/>
          <w:sz w:val="24"/>
        </w:rPr>
        <w:t>响应无效</w:t>
      </w:r>
      <w:r>
        <w:rPr>
          <w:rFonts w:ascii="宋体" w:hAnsi="宋体" w:cs="宋体"/>
          <w:sz w:val="24"/>
        </w:rPr>
        <w:t>。</w:t>
      </w:r>
    </w:p>
    <w:p w14:paraId="0C47709B">
      <w:pPr>
        <w:numPr>
          <w:ilvl w:val="0"/>
          <w:numId w:val="29"/>
        </w:numPr>
        <w:tabs>
          <w:tab w:val="left" w:pos="360"/>
        </w:tabs>
        <w:snapToGrid w:val="0"/>
        <w:spacing w:line="360" w:lineRule="auto"/>
        <w:ind w:left="357" w:hanging="357"/>
        <w:outlineLvl w:val="1"/>
        <w:rPr>
          <w:rFonts w:hint="eastAsia" w:ascii="宋体" w:hAnsi="宋体" w:cs="仿宋"/>
          <w:sz w:val="24"/>
        </w:rPr>
      </w:pPr>
      <w:r>
        <w:rPr>
          <w:rFonts w:hint="eastAsia" w:ascii="宋体" w:hAnsi="宋体" w:cs="仿宋"/>
          <w:sz w:val="24"/>
        </w:rPr>
        <w:t>磋商保证金</w:t>
      </w:r>
    </w:p>
    <w:p w14:paraId="2BB7ABA6">
      <w:pPr>
        <w:numPr>
          <w:ilvl w:val="1"/>
          <w:numId w:val="29"/>
        </w:numPr>
        <w:tabs>
          <w:tab w:val="left" w:pos="1080"/>
          <w:tab w:val="left" w:pos="2014"/>
        </w:tabs>
        <w:snapToGrid w:val="0"/>
        <w:spacing w:line="360" w:lineRule="auto"/>
        <w:ind w:left="1077" w:hanging="720"/>
        <w:rPr>
          <w:rFonts w:hint="eastAsia" w:ascii="宋体" w:hAnsi="宋体" w:cs="宋体"/>
          <w:sz w:val="24"/>
        </w:rPr>
      </w:pPr>
      <w:bookmarkStart w:id="308" w:name="_Ref467306302"/>
      <w:r>
        <w:rPr>
          <w:rFonts w:hint="eastAsia" w:ascii="宋体" w:hAnsi="宋体" w:cs="宋体"/>
          <w:sz w:val="24"/>
        </w:rPr>
        <w:t>供应商应按《供应商须知资料表》中规定的金额及要求交纳磋商保证金</w:t>
      </w:r>
      <w:bookmarkEnd w:id="308"/>
      <w:r>
        <w:rPr>
          <w:rFonts w:hint="eastAsia" w:ascii="宋体" w:hAnsi="宋体" w:cs="宋体"/>
          <w:sz w:val="24"/>
        </w:rPr>
        <w:t>，供应商自愿超额缴纳磋商保证金的，响应文件不做无效处理。</w:t>
      </w:r>
    </w:p>
    <w:p w14:paraId="4040C1C4">
      <w:pPr>
        <w:numPr>
          <w:ilvl w:val="1"/>
          <w:numId w:val="29"/>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缴纳磋商保证金可采用的形式：政府采购法律法规接受的支票、汇票、本票、网上银行支付或者金融机构、担保机构出具的保函等非现金形式。</w:t>
      </w:r>
    </w:p>
    <w:p w14:paraId="0F565A77">
      <w:pPr>
        <w:numPr>
          <w:ilvl w:val="1"/>
          <w:numId w:val="29"/>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磋商保证金到账（保函提交）截止时间同首次响应文件提交截止时间。以支票、汇票、本票、网上银行支付等形式提交磋商保证金的，应在首次响应文件提交截止时间前到账；以金融机构、担保机构出具的保函等形式提交磋商保证金的，应在首次响应文件提交截止时间前将原件提交至采购代理机构；</w:t>
      </w:r>
      <w:r>
        <w:rPr>
          <w:rFonts w:ascii="宋体" w:hAnsi="宋体" w:cs="宋体"/>
          <w:sz w:val="24"/>
        </w:rPr>
        <w:t>以电子保函形式提交</w:t>
      </w:r>
      <w:r>
        <w:rPr>
          <w:rFonts w:hint="eastAsia" w:ascii="宋体" w:hAnsi="宋体" w:cs="宋体"/>
          <w:sz w:val="24"/>
        </w:rPr>
        <w:t>磋商</w:t>
      </w:r>
      <w:r>
        <w:rPr>
          <w:rFonts w:ascii="宋体" w:hAnsi="宋体" w:cs="宋体"/>
          <w:sz w:val="24"/>
        </w:rPr>
        <w:t>保证金的，应在</w:t>
      </w:r>
      <w:r>
        <w:rPr>
          <w:rFonts w:hint="eastAsia" w:ascii="宋体" w:hAnsi="宋体" w:cs="宋体"/>
          <w:sz w:val="24"/>
        </w:rPr>
        <w:t>首次响应文件提交</w:t>
      </w:r>
      <w:r>
        <w:rPr>
          <w:rFonts w:ascii="宋体" w:hAnsi="宋体" w:cs="宋体"/>
          <w:sz w:val="24"/>
        </w:rPr>
        <w:t>截止时间前通过北京市政府采购电子交易平台完成电子保函在线办理。未按上述要求缴纳</w:t>
      </w:r>
      <w:r>
        <w:rPr>
          <w:rFonts w:hint="eastAsia" w:ascii="宋体" w:hAnsi="宋体" w:cs="宋体"/>
          <w:sz w:val="24"/>
        </w:rPr>
        <w:t>磋商</w:t>
      </w:r>
      <w:r>
        <w:rPr>
          <w:rFonts w:ascii="宋体" w:hAnsi="宋体" w:cs="宋体"/>
          <w:sz w:val="24"/>
        </w:rPr>
        <w:t>保证金的</w:t>
      </w:r>
      <w:r>
        <w:rPr>
          <w:rFonts w:hint="eastAsia" w:ascii="宋体" w:hAnsi="宋体" w:cs="宋体"/>
          <w:sz w:val="24"/>
        </w:rPr>
        <w:t>，其响应无效。</w:t>
      </w:r>
    </w:p>
    <w:p w14:paraId="7ED94E09">
      <w:pPr>
        <w:numPr>
          <w:ilvl w:val="1"/>
          <w:numId w:val="29"/>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供应商</w:t>
      </w:r>
      <w:r>
        <w:rPr>
          <w:rFonts w:ascii="宋体" w:hAnsi="宋体" w:cs="宋体"/>
          <w:sz w:val="24"/>
        </w:rPr>
        <w:t>除需在</w:t>
      </w:r>
      <w:r>
        <w:rPr>
          <w:rFonts w:hint="eastAsia" w:ascii="宋体" w:hAnsi="宋体" w:cs="宋体"/>
          <w:sz w:val="24"/>
        </w:rPr>
        <w:t>响应</w:t>
      </w:r>
      <w:r>
        <w:rPr>
          <w:rFonts w:ascii="宋体" w:hAnsi="宋体" w:cs="宋体"/>
          <w:sz w:val="24"/>
        </w:rPr>
        <w:t>文件中提供“</w:t>
      </w:r>
      <w:r>
        <w:rPr>
          <w:rFonts w:hint="eastAsia" w:ascii="宋体" w:hAnsi="宋体" w:cs="宋体"/>
          <w:sz w:val="24"/>
        </w:rPr>
        <w:t>磋商</w:t>
      </w:r>
      <w:r>
        <w:rPr>
          <w:rFonts w:ascii="宋体" w:hAnsi="宋体" w:cs="宋体"/>
          <w:sz w:val="24"/>
        </w:rPr>
        <w:t xml:space="preserve">保证金凭证/交款单据电子件”，还需在 </w:t>
      </w:r>
      <w:r>
        <w:rPr>
          <w:rFonts w:hint="eastAsia" w:ascii="宋体" w:hAnsi="宋体" w:cs="宋体"/>
          <w:sz w:val="24"/>
        </w:rPr>
        <w:t>首次响应文件提交</w:t>
      </w:r>
      <w:r>
        <w:rPr>
          <w:rFonts w:ascii="宋体" w:hAnsi="宋体" w:cs="宋体"/>
          <w:sz w:val="24"/>
        </w:rPr>
        <w:t>截止时间前，通过电子交易平台上传“</w:t>
      </w:r>
      <w:r>
        <w:rPr>
          <w:rFonts w:hint="eastAsia" w:ascii="宋体" w:hAnsi="宋体" w:cs="宋体"/>
          <w:sz w:val="24"/>
        </w:rPr>
        <w:t>磋商</w:t>
      </w:r>
      <w:r>
        <w:rPr>
          <w:rFonts w:ascii="宋体" w:hAnsi="宋体" w:cs="宋体"/>
          <w:sz w:val="24"/>
        </w:rPr>
        <w:t>保证金凭证/交款单据电子件”。</w:t>
      </w:r>
    </w:p>
    <w:p w14:paraId="7193A20F">
      <w:pPr>
        <w:numPr>
          <w:ilvl w:val="1"/>
          <w:numId w:val="29"/>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磋商保证金有效期同响应有效期。</w:t>
      </w:r>
    </w:p>
    <w:p w14:paraId="47BCFDC7">
      <w:pPr>
        <w:numPr>
          <w:ilvl w:val="1"/>
          <w:numId w:val="29"/>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供应商为联合体的，可以由联合体中的一方或者多方共同交纳磋商保证金，其交纳的保证金对联合体各方均具有约束力。</w:t>
      </w:r>
    </w:p>
    <w:p w14:paraId="38609D86">
      <w:pPr>
        <w:numPr>
          <w:ilvl w:val="1"/>
          <w:numId w:val="29"/>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采购人、采购代理机构将及时退还供应商的保证金，采用银行保函、担保机构担保函等形式递交的保证金，经供应商同意后采购人、采购代理机构可以不再退还，但因供应商自身原因导致无法及时退还的除外：</w:t>
      </w:r>
    </w:p>
    <w:p w14:paraId="6D87FC89">
      <w:pPr>
        <w:numPr>
          <w:ilvl w:val="2"/>
          <w:numId w:val="29"/>
        </w:numPr>
        <w:snapToGrid w:val="0"/>
        <w:spacing w:line="360" w:lineRule="auto"/>
        <w:rPr>
          <w:rFonts w:hint="eastAsia" w:ascii="宋体" w:hAnsi="宋体" w:cs="宋体"/>
          <w:sz w:val="24"/>
        </w:rPr>
      </w:pPr>
      <w:r>
        <w:rPr>
          <w:rFonts w:hint="eastAsia" w:ascii="宋体" w:hAnsi="宋体" w:cs="宋体"/>
          <w:snapToGrid w:val="0"/>
          <w:kern w:val="0"/>
          <w:sz w:val="24"/>
        </w:rPr>
        <w:t>已提交响应文件的供应商，在提交最后报价之前，可以根据磋商情况退出磋商。采购人、采购代理机构将退还退出磋商的供应商的磋商保证金；</w:t>
      </w:r>
    </w:p>
    <w:p w14:paraId="14F01254">
      <w:pPr>
        <w:numPr>
          <w:ilvl w:val="2"/>
          <w:numId w:val="29"/>
        </w:numPr>
        <w:snapToGrid w:val="0"/>
        <w:spacing w:line="360" w:lineRule="auto"/>
        <w:rPr>
          <w:rFonts w:hint="eastAsia" w:ascii="宋体" w:hAnsi="宋体" w:cs="宋体"/>
          <w:sz w:val="24"/>
        </w:rPr>
      </w:pPr>
      <w:r>
        <w:rPr>
          <w:rFonts w:hint="eastAsia" w:ascii="宋体" w:hAnsi="宋体" w:cs="宋体"/>
          <w:sz w:val="24"/>
        </w:rPr>
        <w:t>成交供应商的磋商保证金，在采购合同签订后5个工作日内退还成交供应商；</w:t>
      </w:r>
    </w:p>
    <w:p w14:paraId="58FBCC0C">
      <w:pPr>
        <w:numPr>
          <w:ilvl w:val="2"/>
          <w:numId w:val="29"/>
        </w:numPr>
        <w:snapToGrid w:val="0"/>
        <w:spacing w:line="360" w:lineRule="auto"/>
        <w:rPr>
          <w:rFonts w:hint="eastAsia" w:ascii="宋体" w:hAnsi="宋体" w:cs="宋体"/>
          <w:sz w:val="24"/>
        </w:rPr>
      </w:pPr>
      <w:r>
        <w:rPr>
          <w:rFonts w:hint="eastAsia" w:ascii="宋体" w:hAnsi="宋体" w:cs="宋体"/>
          <w:sz w:val="24"/>
        </w:rPr>
        <w:t>未成交供应商的磋商保证金，在成交通知书发出后5个工作日内退还。</w:t>
      </w:r>
    </w:p>
    <w:p w14:paraId="4ECFD6A7">
      <w:pPr>
        <w:numPr>
          <w:ilvl w:val="1"/>
          <w:numId w:val="29"/>
        </w:numPr>
        <w:tabs>
          <w:tab w:val="left" w:pos="1080"/>
          <w:tab w:val="left" w:pos="2014"/>
        </w:tabs>
        <w:snapToGrid w:val="0"/>
        <w:spacing w:line="360" w:lineRule="auto"/>
        <w:ind w:left="1077" w:hanging="720"/>
        <w:rPr>
          <w:rFonts w:hint="eastAsia" w:ascii="宋体" w:hAnsi="宋体" w:cs="仿宋"/>
          <w:sz w:val="24"/>
        </w:rPr>
      </w:pPr>
      <w:r>
        <w:rPr>
          <w:rFonts w:hint="eastAsia" w:ascii="宋体" w:hAnsi="宋体" w:cs="仿宋"/>
          <w:sz w:val="24"/>
        </w:rPr>
        <w:t>有下列情形之一的，采购人或采购代理机构不予退还磋商保证金：</w:t>
      </w:r>
    </w:p>
    <w:p w14:paraId="166AACE5">
      <w:pPr>
        <w:numPr>
          <w:ilvl w:val="2"/>
          <w:numId w:val="29"/>
        </w:numPr>
        <w:snapToGrid w:val="0"/>
        <w:spacing w:line="360" w:lineRule="auto"/>
        <w:rPr>
          <w:rFonts w:hint="eastAsia" w:ascii="宋体" w:hAnsi="宋体" w:cs="仿宋"/>
          <w:sz w:val="24"/>
        </w:rPr>
      </w:pPr>
      <w:r>
        <w:rPr>
          <w:rFonts w:hint="eastAsia" w:ascii="宋体" w:hAnsi="宋体" w:cs="仿宋"/>
          <w:sz w:val="24"/>
        </w:rPr>
        <w:t>供应商在提交响应文件截止时间后撤回响应文件的；</w:t>
      </w:r>
    </w:p>
    <w:p w14:paraId="15779A12">
      <w:pPr>
        <w:numPr>
          <w:ilvl w:val="2"/>
          <w:numId w:val="29"/>
        </w:numPr>
        <w:snapToGrid w:val="0"/>
        <w:spacing w:line="360" w:lineRule="auto"/>
        <w:rPr>
          <w:rFonts w:hint="eastAsia" w:ascii="宋体" w:hAnsi="宋体" w:cs="仿宋"/>
          <w:sz w:val="24"/>
        </w:rPr>
      </w:pPr>
      <w:r>
        <w:rPr>
          <w:rFonts w:hint="eastAsia" w:ascii="宋体" w:hAnsi="宋体" w:cs="仿宋"/>
          <w:sz w:val="24"/>
        </w:rPr>
        <w:t>供应商在响应文件中提供虚假材料的；</w:t>
      </w:r>
    </w:p>
    <w:p w14:paraId="285E65F4">
      <w:pPr>
        <w:numPr>
          <w:ilvl w:val="2"/>
          <w:numId w:val="29"/>
        </w:numPr>
        <w:snapToGrid w:val="0"/>
        <w:spacing w:line="360" w:lineRule="auto"/>
        <w:rPr>
          <w:rFonts w:hint="eastAsia" w:ascii="宋体" w:hAnsi="宋体" w:cs="仿宋"/>
          <w:sz w:val="24"/>
        </w:rPr>
      </w:pPr>
      <w:r>
        <w:rPr>
          <w:rFonts w:hint="eastAsia" w:ascii="宋体" w:hAnsi="宋体" w:cs="仿宋"/>
          <w:sz w:val="24"/>
        </w:rPr>
        <w:t>除因不可抗力或磋商文件认可的情形以外，成交供应商不与采购人签订合同的；</w:t>
      </w:r>
    </w:p>
    <w:p w14:paraId="487A0B12">
      <w:pPr>
        <w:numPr>
          <w:ilvl w:val="2"/>
          <w:numId w:val="29"/>
        </w:numPr>
        <w:snapToGrid w:val="0"/>
        <w:spacing w:line="360" w:lineRule="auto"/>
        <w:rPr>
          <w:rFonts w:hint="eastAsia" w:ascii="宋体" w:hAnsi="宋体" w:cs="仿宋"/>
          <w:sz w:val="24"/>
        </w:rPr>
      </w:pPr>
      <w:r>
        <w:rPr>
          <w:rFonts w:hint="eastAsia" w:ascii="宋体" w:hAnsi="宋体" w:cs="仿宋"/>
          <w:sz w:val="24"/>
        </w:rPr>
        <w:t>供应商与采购人、其他供应商或者采购代理机构恶意串通的；</w:t>
      </w:r>
    </w:p>
    <w:p w14:paraId="0D078BAE">
      <w:pPr>
        <w:numPr>
          <w:ilvl w:val="2"/>
          <w:numId w:val="29"/>
        </w:numPr>
        <w:snapToGrid w:val="0"/>
        <w:spacing w:line="360" w:lineRule="auto"/>
        <w:rPr>
          <w:rFonts w:hint="eastAsia" w:ascii="宋体" w:hAnsi="宋体" w:cs="仿宋"/>
          <w:sz w:val="24"/>
        </w:rPr>
      </w:pPr>
      <w:r>
        <w:rPr>
          <w:rFonts w:hint="eastAsia" w:ascii="宋体" w:hAnsi="宋体" w:cs="仿宋"/>
          <w:sz w:val="24"/>
        </w:rPr>
        <w:t>《供应商须知资料表》规定的其他情形。</w:t>
      </w:r>
    </w:p>
    <w:p w14:paraId="75865964">
      <w:pPr>
        <w:numPr>
          <w:ilvl w:val="0"/>
          <w:numId w:val="29"/>
        </w:numPr>
        <w:tabs>
          <w:tab w:val="left" w:pos="360"/>
        </w:tabs>
        <w:snapToGrid w:val="0"/>
        <w:spacing w:line="360" w:lineRule="auto"/>
        <w:ind w:left="357" w:hanging="357"/>
        <w:outlineLvl w:val="1"/>
        <w:rPr>
          <w:rFonts w:hint="eastAsia" w:ascii="宋体" w:hAnsi="宋体" w:cs="仿宋"/>
          <w:sz w:val="24"/>
        </w:rPr>
      </w:pPr>
      <w:r>
        <w:rPr>
          <w:rFonts w:hint="eastAsia" w:ascii="宋体" w:hAnsi="宋体" w:cs="仿宋"/>
          <w:sz w:val="24"/>
        </w:rPr>
        <w:t>响应有效期</w:t>
      </w:r>
    </w:p>
    <w:p w14:paraId="3E204099">
      <w:pPr>
        <w:numPr>
          <w:ilvl w:val="1"/>
          <w:numId w:val="29"/>
        </w:numPr>
        <w:tabs>
          <w:tab w:val="left" w:pos="1080"/>
          <w:tab w:val="left" w:pos="2014"/>
        </w:tabs>
        <w:snapToGrid w:val="0"/>
        <w:spacing w:line="360" w:lineRule="auto"/>
        <w:ind w:left="1077" w:hanging="720"/>
        <w:rPr>
          <w:rFonts w:hint="eastAsia" w:ascii="宋体" w:hAnsi="宋体" w:cs="仿宋"/>
          <w:sz w:val="24"/>
        </w:rPr>
      </w:pPr>
      <w:r>
        <w:rPr>
          <w:rFonts w:hint="eastAsia" w:ascii="宋体" w:hAnsi="宋体" w:cs="仿宋"/>
          <w:sz w:val="24"/>
        </w:rPr>
        <w:t>响应文件应在本竞争性磋商文件《供应商须知资料表》中规定的响应有效期内保持有效，响应有效期少于竞争性磋商文件规定期限的，其响应无效。</w:t>
      </w:r>
    </w:p>
    <w:p w14:paraId="765AFD61">
      <w:pPr>
        <w:numPr>
          <w:ilvl w:val="0"/>
          <w:numId w:val="29"/>
        </w:numPr>
        <w:tabs>
          <w:tab w:val="left" w:pos="360"/>
        </w:tabs>
        <w:snapToGrid w:val="0"/>
        <w:spacing w:line="360" w:lineRule="auto"/>
        <w:ind w:left="357" w:hanging="357"/>
        <w:outlineLvl w:val="1"/>
        <w:rPr>
          <w:rFonts w:hint="eastAsia" w:ascii="宋体" w:hAnsi="宋体" w:cs="仿宋"/>
          <w:sz w:val="24"/>
        </w:rPr>
      </w:pPr>
      <w:bookmarkStart w:id="309" w:name="_Toc164229228"/>
      <w:bookmarkStart w:id="310" w:name="_Toc151190160"/>
      <w:bookmarkStart w:id="311" w:name="_Toc127161447"/>
      <w:bookmarkStart w:id="312" w:name="_Toc520356158"/>
      <w:bookmarkStart w:id="313" w:name="_Toc151193847"/>
      <w:bookmarkStart w:id="314" w:name="_Toc226337229"/>
      <w:bookmarkStart w:id="315" w:name="_Toc127151533"/>
      <w:bookmarkStart w:id="316" w:name="_Toc226965806"/>
      <w:bookmarkStart w:id="317" w:name="_Toc142311035"/>
      <w:bookmarkStart w:id="318" w:name="_Toc151193631"/>
      <w:bookmarkStart w:id="319" w:name="_Toc150774738"/>
      <w:bookmarkStart w:id="320" w:name="_Toc150774633"/>
      <w:bookmarkStart w:id="321" w:name="_Toc151193703"/>
      <w:bookmarkStart w:id="322" w:name="_Toc150480771"/>
      <w:bookmarkStart w:id="323" w:name="_Toc264969223"/>
      <w:bookmarkStart w:id="324" w:name="_Toc195842898"/>
      <w:bookmarkStart w:id="325" w:name="_Toc164608802"/>
      <w:bookmarkStart w:id="326" w:name="_Toc151193921"/>
      <w:bookmarkStart w:id="327" w:name="_Toc305158801"/>
      <w:bookmarkStart w:id="328" w:name="_Toc150509284"/>
      <w:bookmarkStart w:id="329" w:name="_Toc149720826"/>
      <w:bookmarkStart w:id="330" w:name="_Toc127151734"/>
      <w:bookmarkStart w:id="331" w:name="_Toc164351627"/>
      <w:bookmarkStart w:id="332" w:name="_Toc151193775"/>
      <w:bookmarkStart w:id="333" w:name="_Toc226309777"/>
      <w:bookmarkStart w:id="334" w:name="_Toc265228371"/>
      <w:bookmarkStart w:id="335" w:name="_Toc164608647"/>
      <w:bookmarkStart w:id="336" w:name="_Toc164229374"/>
      <w:bookmarkStart w:id="337" w:name="_Toc305158875"/>
      <w:bookmarkStart w:id="338" w:name="_Toc226965723"/>
      <w:r>
        <w:rPr>
          <w:rFonts w:hint="eastAsia" w:ascii="宋体" w:hAnsi="宋体" w:cs="仿宋"/>
          <w:sz w:val="24"/>
        </w:rPr>
        <w:t>响应文件的签署</w:t>
      </w:r>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r>
        <w:rPr>
          <w:rFonts w:hint="eastAsia" w:ascii="宋体" w:hAnsi="宋体" w:cs="仿宋"/>
          <w:sz w:val="24"/>
        </w:rPr>
        <w:t>、盖章</w:t>
      </w:r>
    </w:p>
    <w:p w14:paraId="1BB75D3D">
      <w:pPr>
        <w:numPr>
          <w:ilvl w:val="1"/>
          <w:numId w:val="29"/>
        </w:numPr>
        <w:tabs>
          <w:tab w:val="left" w:pos="1080"/>
          <w:tab w:val="left" w:pos="2014"/>
        </w:tabs>
        <w:snapToGrid w:val="0"/>
        <w:spacing w:line="360" w:lineRule="auto"/>
        <w:ind w:left="1077" w:hanging="720"/>
        <w:rPr>
          <w:rFonts w:hint="eastAsia" w:ascii="宋体" w:hAnsi="宋体" w:cs="宋体"/>
          <w:sz w:val="24"/>
        </w:rPr>
      </w:pPr>
      <w:bookmarkStart w:id="339" w:name="_Hlk155360832"/>
      <w:bookmarkStart w:id="340" w:name="_Toc151190161"/>
      <w:bookmarkStart w:id="341" w:name="_Toc226309778"/>
      <w:bookmarkStart w:id="342" w:name="_Toc127151534"/>
      <w:bookmarkStart w:id="343" w:name="_Toc305158802"/>
      <w:bookmarkStart w:id="344" w:name="_Toc151193922"/>
      <w:bookmarkStart w:id="345" w:name="_Toc195842899"/>
      <w:bookmarkStart w:id="346" w:name="_Toc226965724"/>
      <w:bookmarkStart w:id="347" w:name="_Toc142311036"/>
      <w:bookmarkStart w:id="348" w:name="_Toc226965807"/>
      <w:bookmarkStart w:id="349" w:name="_Toc150774634"/>
      <w:bookmarkStart w:id="350" w:name="_Toc150774739"/>
      <w:bookmarkStart w:id="351" w:name="_Toc151193632"/>
      <w:bookmarkStart w:id="352" w:name="_Toc150509285"/>
      <w:bookmarkStart w:id="353" w:name="_Toc150480772"/>
      <w:bookmarkStart w:id="354" w:name="_Toc520356159"/>
      <w:bookmarkStart w:id="355" w:name="_Toc226337230"/>
      <w:bookmarkStart w:id="356" w:name="_Toc151193848"/>
      <w:bookmarkStart w:id="357" w:name="_Toc151193704"/>
      <w:bookmarkStart w:id="358" w:name="_Toc151193776"/>
      <w:bookmarkStart w:id="359" w:name="_Toc264969224"/>
      <w:bookmarkStart w:id="360" w:name="_Toc305158876"/>
      <w:bookmarkStart w:id="361" w:name="_Toc265228372"/>
      <w:r>
        <w:rPr>
          <w:rFonts w:hint="eastAsia" w:ascii="宋体" w:hAnsi="宋体" w:cs="宋体"/>
          <w:sz w:val="24"/>
        </w:rPr>
        <w:t>竞争性磋商</w:t>
      </w:r>
      <w:r>
        <w:rPr>
          <w:rFonts w:ascii="宋体" w:hAnsi="宋体" w:cs="宋体"/>
          <w:sz w:val="24"/>
        </w:rPr>
        <w:t>文件要求签字的内容（如授权委托书等），可以使用电子签章或</w:t>
      </w:r>
      <w:r>
        <w:rPr>
          <w:rFonts w:ascii="宋体" w:hAnsi="宋体" w:cs="宋体"/>
          <w:sz w:val="24"/>
          <w:u w:val="single"/>
        </w:rPr>
        <w:t>使用原件的电子件（电子件指</w:t>
      </w:r>
      <w:r>
        <w:rPr>
          <w:rFonts w:hint="eastAsia" w:ascii="宋体" w:hAnsi="宋体" w:cs="宋体"/>
          <w:sz w:val="24"/>
          <w:u w:val="single"/>
        </w:rPr>
        <w:t>扫描</w:t>
      </w:r>
      <w:r>
        <w:rPr>
          <w:rFonts w:ascii="宋体" w:hAnsi="宋体" w:cs="宋体"/>
          <w:sz w:val="24"/>
          <w:u w:val="single"/>
        </w:rPr>
        <w:t>件、照片等形式电子文件）</w:t>
      </w:r>
      <w:r>
        <w:rPr>
          <w:rFonts w:ascii="宋体" w:hAnsi="宋体" w:cs="宋体"/>
          <w:sz w:val="24"/>
        </w:rPr>
        <w:t>；要求第三方出具的盖章件原件（如联合协议、分包意向协议、制造商授权书等），</w:t>
      </w:r>
      <w:r>
        <w:rPr>
          <w:rFonts w:hint="eastAsia" w:ascii="宋体" w:hAnsi="宋体" w:cs="宋体"/>
          <w:sz w:val="24"/>
        </w:rPr>
        <w:t>响应</w:t>
      </w:r>
      <w:r>
        <w:rPr>
          <w:rFonts w:ascii="宋体" w:hAnsi="宋体" w:cs="宋体"/>
          <w:sz w:val="24"/>
        </w:rPr>
        <w:t>文件中应使用原件的电子件。</w:t>
      </w:r>
    </w:p>
    <w:bookmarkEnd w:id="339"/>
    <w:p w14:paraId="6480AF52">
      <w:pPr>
        <w:numPr>
          <w:ilvl w:val="1"/>
          <w:numId w:val="29"/>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竞争性磋商</w:t>
      </w:r>
      <w:r>
        <w:rPr>
          <w:rFonts w:ascii="宋体" w:hAnsi="宋体" w:cs="宋体"/>
          <w:sz w:val="24"/>
        </w:rPr>
        <w:t>文件要求盖章的内容，一般通过投标文件编制工具加盖电子签章。</w:t>
      </w:r>
    </w:p>
    <w:p w14:paraId="37D2C58A">
      <w:pPr>
        <w:pStyle w:val="4"/>
        <w:spacing w:before="0" w:line="360" w:lineRule="auto"/>
        <w:rPr>
          <w:rFonts w:hint="eastAsia" w:ascii="宋体" w:hAnsi="宋体" w:eastAsia="宋体" w:cs="仿宋"/>
          <w:sz w:val="28"/>
        </w:rPr>
      </w:pPr>
      <w:r>
        <w:rPr>
          <w:rFonts w:hint="eastAsia" w:ascii="宋体" w:hAnsi="宋体" w:eastAsia="宋体" w:cs="仿宋"/>
          <w:b w:val="0"/>
          <w:sz w:val="28"/>
        </w:rPr>
        <w:t xml:space="preserve">四   </w:t>
      </w:r>
      <w:r>
        <w:rPr>
          <w:rFonts w:hint="eastAsia" w:ascii="宋体" w:hAnsi="宋体" w:eastAsia="宋体" w:cs="仿宋"/>
          <w:sz w:val="28"/>
        </w:rPr>
        <w:t>响应文件的提交</w:t>
      </w:r>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p>
    <w:p w14:paraId="2BF1166D">
      <w:pPr>
        <w:numPr>
          <w:ilvl w:val="0"/>
          <w:numId w:val="29"/>
        </w:numPr>
        <w:tabs>
          <w:tab w:val="left" w:pos="360"/>
        </w:tabs>
        <w:snapToGrid w:val="0"/>
        <w:spacing w:line="360" w:lineRule="auto"/>
        <w:ind w:left="357" w:hanging="357"/>
        <w:outlineLvl w:val="1"/>
        <w:rPr>
          <w:rFonts w:hint="eastAsia" w:ascii="宋体" w:hAnsi="宋体" w:cs="仿宋"/>
          <w:sz w:val="24"/>
        </w:rPr>
      </w:pPr>
      <w:bookmarkStart w:id="362" w:name="_Toc335645054"/>
      <w:bookmarkStart w:id="363" w:name="_Toc520356160"/>
      <w:r>
        <w:rPr>
          <w:rFonts w:hint="eastAsia" w:ascii="宋体" w:hAnsi="宋体" w:cs="仿宋"/>
          <w:sz w:val="24"/>
        </w:rPr>
        <w:t xml:space="preserve"> 响应文件的</w:t>
      </w:r>
      <w:bookmarkEnd w:id="362"/>
      <w:bookmarkEnd w:id="363"/>
      <w:r>
        <w:rPr>
          <w:rFonts w:hint="eastAsia" w:ascii="宋体" w:hAnsi="宋体" w:cs="仿宋"/>
          <w:sz w:val="24"/>
        </w:rPr>
        <w:t>提交</w:t>
      </w:r>
    </w:p>
    <w:p w14:paraId="5AF61E86">
      <w:pPr>
        <w:numPr>
          <w:ilvl w:val="1"/>
          <w:numId w:val="29"/>
        </w:numPr>
        <w:tabs>
          <w:tab w:val="left" w:pos="1080"/>
          <w:tab w:val="left" w:pos="2014"/>
        </w:tabs>
        <w:snapToGrid w:val="0"/>
        <w:spacing w:line="360" w:lineRule="auto"/>
        <w:ind w:left="1077" w:hanging="720"/>
        <w:rPr>
          <w:rFonts w:hint="eastAsia" w:ascii="宋体" w:hAnsi="宋体" w:cs="宋体"/>
          <w:sz w:val="24"/>
        </w:rPr>
      </w:pPr>
      <w:bookmarkStart w:id="364" w:name="_Hlk184461313"/>
      <w:bookmarkStart w:id="365" w:name="_Toc335645056"/>
      <w:bookmarkStart w:id="366" w:name="_Toc520356162"/>
      <w:r>
        <w:rPr>
          <w:rFonts w:ascii="宋体" w:hAnsi="宋体" w:cs="宋体"/>
          <w:sz w:val="24"/>
        </w:rPr>
        <w:t>本项目使用北京市政府采购电子交易平台。</w:t>
      </w:r>
      <w:r>
        <w:rPr>
          <w:rFonts w:hint="eastAsia" w:ascii="宋体" w:hAnsi="宋体" w:cs="宋体"/>
          <w:sz w:val="24"/>
        </w:rPr>
        <w:t>供应商根据竞争性磋商</w:t>
      </w:r>
      <w:r>
        <w:rPr>
          <w:rFonts w:ascii="宋体" w:hAnsi="宋体" w:cs="宋体"/>
          <w:sz w:val="24"/>
        </w:rPr>
        <w:t>文件及电子交易平台供应商操作手册要求编制、生成并</w:t>
      </w:r>
      <w:r>
        <w:rPr>
          <w:rFonts w:hint="eastAsia" w:ascii="宋体" w:hAnsi="宋体" w:cs="Leelawadee UI"/>
          <w:sz w:val="24"/>
        </w:rPr>
        <w:t>提</w:t>
      </w:r>
      <w:r>
        <w:rPr>
          <w:rFonts w:ascii="宋体" w:hAnsi="宋体" w:cs="宋体"/>
          <w:sz w:val="24"/>
        </w:rPr>
        <w:t>交电子</w:t>
      </w:r>
      <w:r>
        <w:rPr>
          <w:rFonts w:hint="eastAsia" w:ascii="宋体" w:hAnsi="宋体" w:cs="宋体"/>
          <w:sz w:val="24"/>
        </w:rPr>
        <w:t>响应</w:t>
      </w:r>
      <w:r>
        <w:rPr>
          <w:rFonts w:ascii="宋体" w:hAnsi="宋体" w:cs="宋体"/>
          <w:sz w:val="24"/>
        </w:rPr>
        <w:t>文件。</w:t>
      </w:r>
    </w:p>
    <w:bookmarkEnd w:id="364"/>
    <w:p w14:paraId="2EFDED19">
      <w:pPr>
        <w:numPr>
          <w:ilvl w:val="1"/>
          <w:numId w:val="29"/>
        </w:numPr>
        <w:tabs>
          <w:tab w:val="left" w:pos="1080"/>
          <w:tab w:val="left" w:pos="2014"/>
        </w:tabs>
        <w:snapToGrid w:val="0"/>
        <w:spacing w:line="360" w:lineRule="auto"/>
        <w:ind w:left="1077" w:hanging="720"/>
        <w:rPr>
          <w:rFonts w:hint="eastAsia" w:ascii="宋体" w:hAnsi="宋体" w:cs="宋体"/>
          <w:sz w:val="24"/>
        </w:rPr>
      </w:pPr>
      <w:r>
        <w:rPr>
          <w:rFonts w:ascii="宋体" w:hAnsi="宋体" w:cs="宋体"/>
          <w:sz w:val="24"/>
        </w:rPr>
        <w:t>采购人及采购代理机构拒绝接受通过电子交易平台以外任何形式</w:t>
      </w:r>
      <w:r>
        <w:rPr>
          <w:rFonts w:hint="eastAsia" w:ascii="宋体" w:hAnsi="宋体" w:cs="Leelawadee UI"/>
          <w:sz w:val="24"/>
        </w:rPr>
        <w:t>提</w:t>
      </w:r>
      <w:r>
        <w:rPr>
          <w:rFonts w:ascii="宋体" w:hAnsi="宋体" w:cs="宋体"/>
          <w:sz w:val="24"/>
        </w:rPr>
        <w:t>交的</w:t>
      </w:r>
      <w:r>
        <w:rPr>
          <w:rFonts w:hint="eastAsia" w:ascii="宋体" w:hAnsi="宋体" w:cs="宋体"/>
          <w:sz w:val="24"/>
        </w:rPr>
        <w:t>首次响应</w:t>
      </w:r>
      <w:r>
        <w:rPr>
          <w:rFonts w:ascii="宋体" w:hAnsi="宋体" w:cs="宋体"/>
          <w:sz w:val="24"/>
        </w:rPr>
        <w:t>文件，</w:t>
      </w:r>
      <w:r>
        <w:rPr>
          <w:rFonts w:hint="eastAsia" w:ascii="宋体" w:hAnsi="宋体" w:cs="宋体"/>
          <w:sz w:val="24"/>
        </w:rPr>
        <w:t>磋商</w:t>
      </w:r>
      <w:r>
        <w:rPr>
          <w:rFonts w:ascii="宋体" w:hAnsi="宋体" w:cs="宋体"/>
          <w:sz w:val="24"/>
        </w:rPr>
        <w:t>保证金除外</w:t>
      </w:r>
      <w:r>
        <w:rPr>
          <w:rFonts w:hint="eastAsia" w:ascii="宋体" w:hAnsi="宋体" w:cs="宋体"/>
          <w:sz w:val="24"/>
        </w:rPr>
        <w:t>。</w:t>
      </w:r>
    </w:p>
    <w:p w14:paraId="5E7D9991">
      <w:pPr>
        <w:numPr>
          <w:ilvl w:val="0"/>
          <w:numId w:val="29"/>
        </w:numPr>
        <w:tabs>
          <w:tab w:val="left" w:pos="360"/>
        </w:tabs>
        <w:snapToGrid w:val="0"/>
        <w:spacing w:line="360" w:lineRule="auto"/>
        <w:ind w:left="357" w:hanging="357"/>
        <w:outlineLvl w:val="1"/>
        <w:rPr>
          <w:rFonts w:hint="eastAsia" w:ascii="宋体" w:hAnsi="宋体" w:cs="宋体"/>
          <w:sz w:val="24"/>
        </w:rPr>
      </w:pPr>
      <w:r>
        <w:rPr>
          <w:rFonts w:hint="eastAsia" w:ascii="宋体" w:hAnsi="宋体" w:cs="宋体"/>
          <w:sz w:val="24"/>
        </w:rPr>
        <w:t>响应文件递交截止时间</w:t>
      </w:r>
    </w:p>
    <w:p w14:paraId="13794671">
      <w:pPr>
        <w:numPr>
          <w:ilvl w:val="1"/>
          <w:numId w:val="29"/>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供应商应在竞争性磋商文件要求的首次响应文件提交截止时间前，将电子响应文件提交至电子交易平台。</w:t>
      </w:r>
    </w:p>
    <w:p w14:paraId="2E900CB5">
      <w:pPr>
        <w:numPr>
          <w:ilvl w:val="0"/>
          <w:numId w:val="29"/>
        </w:numPr>
        <w:tabs>
          <w:tab w:val="left" w:pos="360"/>
        </w:tabs>
        <w:snapToGrid w:val="0"/>
        <w:spacing w:line="360" w:lineRule="auto"/>
        <w:ind w:left="357" w:hanging="357"/>
        <w:outlineLvl w:val="1"/>
        <w:rPr>
          <w:rFonts w:hint="eastAsia" w:ascii="宋体" w:hAnsi="宋体" w:cs="仿宋"/>
          <w:sz w:val="24"/>
        </w:rPr>
      </w:pPr>
      <w:r>
        <w:rPr>
          <w:rFonts w:hint="eastAsia" w:ascii="宋体" w:hAnsi="宋体" w:cs="仿宋"/>
          <w:sz w:val="24"/>
        </w:rPr>
        <w:t xml:space="preserve"> 响应文件的修改与撤回</w:t>
      </w:r>
      <w:bookmarkEnd w:id="365"/>
      <w:bookmarkEnd w:id="366"/>
    </w:p>
    <w:p w14:paraId="6744434F">
      <w:pPr>
        <w:numPr>
          <w:ilvl w:val="1"/>
          <w:numId w:val="29"/>
        </w:numPr>
        <w:tabs>
          <w:tab w:val="left" w:pos="1080"/>
          <w:tab w:val="left" w:pos="2014"/>
        </w:tabs>
        <w:snapToGrid w:val="0"/>
        <w:spacing w:line="360" w:lineRule="auto"/>
        <w:ind w:left="1077" w:hanging="720"/>
        <w:rPr>
          <w:rFonts w:hint="eastAsia" w:ascii="宋体" w:hAnsi="宋体" w:cs="宋体"/>
          <w:sz w:val="24"/>
        </w:rPr>
      </w:pPr>
      <w:bookmarkStart w:id="367" w:name="_Toc151190165"/>
      <w:bookmarkStart w:id="368" w:name="_Toc151193852"/>
      <w:bookmarkStart w:id="369" w:name="_Toc305158806"/>
      <w:bookmarkStart w:id="370" w:name="_Toc520356163"/>
      <w:bookmarkStart w:id="371" w:name="_Toc150774638"/>
      <w:bookmarkStart w:id="372" w:name="_Toc226965811"/>
      <w:bookmarkStart w:id="373" w:name="_Toc151193926"/>
      <w:bookmarkStart w:id="374" w:name="_Toc150480776"/>
      <w:bookmarkStart w:id="375" w:name="_Toc142311040"/>
      <w:bookmarkStart w:id="376" w:name="_Toc127151538"/>
      <w:bookmarkStart w:id="377" w:name="_Toc150509289"/>
      <w:bookmarkStart w:id="378" w:name="_Toc226309782"/>
      <w:bookmarkStart w:id="379" w:name="_Toc265228376"/>
      <w:bookmarkStart w:id="380" w:name="_Toc195842903"/>
      <w:bookmarkStart w:id="381" w:name="_Toc151193636"/>
      <w:bookmarkStart w:id="382" w:name="_Toc150774743"/>
      <w:bookmarkStart w:id="383" w:name="_Toc151193780"/>
      <w:bookmarkStart w:id="384" w:name="_Toc264969228"/>
      <w:bookmarkStart w:id="385" w:name="_Toc226337234"/>
      <w:bookmarkStart w:id="386" w:name="_Toc305158880"/>
      <w:bookmarkStart w:id="387" w:name="_Toc151193708"/>
      <w:bookmarkStart w:id="388" w:name="_Toc226965728"/>
      <w:r>
        <w:rPr>
          <w:rFonts w:hint="eastAsia" w:ascii="宋体" w:hAnsi="宋体" w:cs="宋体"/>
          <w:sz w:val="24"/>
        </w:rPr>
        <w:t>在首次响应文件提交截止时间前，供应商可以</w:t>
      </w:r>
      <w:r>
        <w:rPr>
          <w:rFonts w:ascii="宋体" w:hAnsi="宋体" w:cs="宋体"/>
          <w:sz w:val="24"/>
        </w:rPr>
        <w:t>通过电子交易平台对所</w:t>
      </w:r>
      <w:r>
        <w:rPr>
          <w:rFonts w:hint="eastAsia" w:ascii="宋体" w:hAnsi="宋体" w:cs="Leelawadee UI"/>
          <w:sz w:val="24"/>
        </w:rPr>
        <w:t>提</w:t>
      </w:r>
      <w:r>
        <w:rPr>
          <w:rFonts w:ascii="宋体" w:hAnsi="宋体" w:cs="宋体"/>
          <w:sz w:val="24"/>
        </w:rPr>
        <w:t>交的</w:t>
      </w:r>
      <w:r>
        <w:rPr>
          <w:rFonts w:hint="eastAsia" w:ascii="宋体" w:hAnsi="宋体" w:cs="宋体"/>
          <w:sz w:val="24"/>
        </w:rPr>
        <w:t>响应</w:t>
      </w:r>
      <w:r>
        <w:rPr>
          <w:rFonts w:ascii="宋体" w:hAnsi="宋体" w:cs="宋体"/>
          <w:sz w:val="24"/>
        </w:rPr>
        <w:t>文件进行补充、修改或者撤回。</w:t>
      </w:r>
      <w:r>
        <w:rPr>
          <w:rFonts w:hint="eastAsia" w:ascii="宋体" w:hAnsi="宋体" w:cs="宋体"/>
          <w:sz w:val="24"/>
        </w:rPr>
        <w:t>磋商</w:t>
      </w:r>
      <w:r>
        <w:rPr>
          <w:rFonts w:ascii="宋体" w:hAnsi="宋体" w:cs="宋体"/>
          <w:sz w:val="24"/>
        </w:rPr>
        <w:t>保证金的补充、修改或者撤回无需通过电子交易平台，但应就其补充、修改或者撤回通知采购人或采购代理机构。</w:t>
      </w:r>
    </w:p>
    <w:p w14:paraId="40D71972">
      <w:pPr>
        <w:numPr>
          <w:ilvl w:val="1"/>
          <w:numId w:val="29"/>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供应商对响应文件的补充、修改的内容应当按照竞争性磋商文件要求签署、盖章，作为响应文件的组成部分。</w:t>
      </w:r>
      <w:r>
        <w:rPr>
          <w:rFonts w:ascii="宋体" w:hAnsi="宋体" w:cs="宋体"/>
          <w:sz w:val="24"/>
        </w:rPr>
        <w:t>补充、修改的内容与响应文件不一致的， 以补充、修改的内容为准</w:t>
      </w:r>
      <w:r>
        <w:rPr>
          <w:rFonts w:hint="eastAsia" w:ascii="宋体" w:hAnsi="宋体" w:cs="宋体"/>
          <w:sz w:val="24"/>
        </w:rPr>
        <w:t>。</w:t>
      </w:r>
    </w:p>
    <w:p w14:paraId="16F80BE6">
      <w:pPr>
        <w:pStyle w:val="4"/>
        <w:spacing w:before="0" w:line="360" w:lineRule="auto"/>
        <w:rPr>
          <w:rFonts w:hint="eastAsia" w:ascii="宋体" w:hAnsi="宋体" w:eastAsia="宋体" w:cs="仿宋"/>
          <w:sz w:val="28"/>
        </w:rPr>
      </w:pPr>
      <w:r>
        <w:rPr>
          <w:rFonts w:hint="eastAsia" w:ascii="宋体" w:hAnsi="宋体" w:eastAsia="宋体" w:cs="仿宋"/>
          <w:sz w:val="28"/>
        </w:rPr>
        <w:t xml:space="preserve">五   </w:t>
      </w:r>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r>
        <w:rPr>
          <w:rFonts w:hint="eastAsia" w:ascii="宋体" w:hAnsi="宋体" w:eastAsia="宋体" w:cs="仿宋"/>
          <w:sz w:val="28"/>
        </w:rPr>
        <w:t>评审</w:t>
      </w:r>
    </w:p>
    <w:p w14:paraId="44ED3618">
      <w:pPr>
        <w:numPr>
          <w:ilvl w:val="0"/>
          <w:numId w:val="29"/>
        </w:numPr>
        <w:tabs>
          <w:tab w:val="left" w:pos="360"/>
        </w:tabs>
        <w:snapToGrid w:val="0"/>
        <w:spacing w:line="360" w:lineRule="auto"/>
        <w:ind w:left="357" w:hanging="357"/>
        <w:outlineLvl w:val="1"/>
        <w:rPr>
          <w:rFonts w:hint="eastAsia" w:ascii="宋体" w:hAnsi="宋体" w:cs="宋体"/>
          <w:sz w:val="24"/>
        </w:rPr>
      </w:pPr>
      <w:bookmarkStart w:id="389" w:name="_Toc520356169"/>
      <w:r>
        <w:rPr>
          <w:rFonts w:hint="eastAsia" w:ascii="宋体" w:hAnsi="宋体" w:cs="宋体"/>
          <w:sz w:val="24"/>
        </w:rPr>
        <w:t>响应文件的解密与开启</w:t>
      </w:r>
    </w:p>
    <w:p w14:paraId="5B4111C1">
      <w:pPr>
        <w:numPr>
          <w:ilvl w:val="1"/>
          <w:numId w:val="29"/>
        </w:numPr>
        <w:tabs>
          <w:tab w:val="left" w:pos="1080"/>
          <w:tab w:val="left" w:pos="2014"/>
        </w:tabs>
        <w:snapToGrid w:val="0"/>
        <w:spacing w:line="360" w:lineRule="auto"/>
        <w:ind w:left="1077" w:hanging="720"/>
        <w:rPr>
          <w:rFonts w:hint="eastAsia" w:ascii="宋体" w:hAnsi="宋体" w:cs="宋体"/>
          <w:sz w:val="24"/>
        </w:rPr>
      </w:pPr>
      <w:bookmarkStart w:id="390" w:name="_Hlk155360977"/>
      <w:bookmarkStart w:id="391" w:name="_Toc520356165"/>
      <w:r>
        <w:rPr>
          <w:rFonts w:ascii="宋体" w:hAnsi="宋体" w:cs="宋体"/>
          <w:sz w:val="24"/>
        </w:rPr>
        <w:t>采购人或采购代理机构将按竞争性磋商文件的规定，在</w:t>
      </w:r>
      <w:r>
        <w:rPr>
          <w:rFonts w:hint="eastAsia" w:ascii="宋体" w:hAnsi="宋体" w:cs="宋体"/>
          <w:sz w:val="24"/>
        </w:rPr>
        <w:t>首次</w:t>
      </w:r>
      <w:r>
        <w:rPr>
          <w:rFonts w:ascii="宋体" w:hAnsi="宋体" w:cs="宋体"/>
          <w:sz w:val="24"/>
        </w:rPr>
        <w:t>响应文件</w:t>
      </w:r>
      <w:r>
        <w:rPr>
          <w:rFonts w:hint="eastAsia" w:ascii="Leelawadee UI" w:hAnsi="Leelawadee UI" w:cs="Leelawadee UI"/>
          <w:sz w:val="24"/>
        </w:rPr>
        <w:t>提交</w:t>
      </w:r>
      <w:r>
        <w:rPr>
          <w:rFonts w:ascii="宋体" w:hAnsi="宋体" w:cs="宋体"/>
          <w:sz w:val="24"/>
        </w:rPr>
        <w:t>截止时间的同一时间和竞争性磋商文件预先确定的地点开启响应文件。</w:t>
      </w:r>
    </w:p>
    <w:bookmarkEnd w:id="390"/>
    <w:p w14:paraId="6A530D8D">
      <w:pPr>
        <w:numPr>
          <w:ilvl w:val="1"/>
          <w:numId w:val="29"/>
        </w:numPr>
        <w:tabs>
          <w:tab w:val="left" w:pos="1080"/>
          <w:tab w:val="left" w:pos="2014"/>
        </w:tabs>
        <w:snapToGrid w:val="0"/>
        <w:spacing w:line="360" w:lineRule="auto"/>
        <w:ind w:left="1077" w:hanging="720"/>
        <w:rPr>
          <w:rFonts w:hint="eastAsia" w:ascii="宋体" w:hAnsi="宋体" w:cs="宋体"/>
          <w:sz w:val="24"/>
        </w:rPr>
      </w:pPr>
      <w:r>
        <w:rPr>
          <w:rFonts w:ascii="宋体" w:hAnsi="宋体" w:cs="宋体"/>
          <w:sz w:val="24"/>
        </w:rPr>
        <w:t>本项目解密使用北京市政府采购电子交易平台。供应商应在《供应商须知资料表》规定的时间内对响应文件进行解密，因非系统原因导致的解密失败，视为</w:t>
      </w:r>
      <w:r>
        <w:rPr>
          <w:rFonts w:ascii="宋体" w:hAnsi="宋体" w:cs="宋体"/>
          <w:b/>
          <w:bCs/>
          <w:sz w:val="24"/>
        </w:rPr>
        <w:t>无效响应</w:t>
      </w:r>
      <w:r>
        <w:rPr>
          <w:rFonts w:ascii="宋体" w:hAnsi="宋体" w:cs="宋体"/>
          <w:sz w:val="24"/>
        </w:rPr>
        <w:t>。</w:t>
      </w:r>
    </w:p>
    <w:p w14:paraId="0F3BBE68">
      <w:pPr>
        <w:numPr>
          <w:ilvl w:val="1"/>
          <w:numId w:val="29"/>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供</w:t>
      </w:r>
      <w:r>
        <w:rPr>
          <w:rFonts w:ascii="宋体" w:hAnsi="宋体" w:cs="宋体"/>
          <w:sz w:val="24"/>
        </w:rPr>
        <w:t>应商认为采购人员及相关人员与其他供应商有利害关系的，可以向采购人或采购代理机构书面提出回避申请，并说明理由。采购人或采购代理机构将及时询问被申请回避人员，有利害关系的被申请回避人员将回避。</w:t>
      </w:r>
    </w:p>
    <w:p w14:paraId="020449A4">
      <w:pPr>
        <w:numPr>
          <w:ilvl w:val="1"/>
          <w:numId w:val="29"/>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供应商不足3家的，不予解密。</w:t>
      </w:r>
    </w:p>
    <w:p w14:paraId="7989D258">
      <w:pPr>
        <w:numPr>
          <w:ilvl w:val="1"/>
          <w:numId w:val="29"/>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本项目不公开报价。</w:t>
      </w:r>
    </w:p>
    <w:bookmarkEnd w:id="391"/>
    <w:p w14:paraId="37577BE6">
      <w:pPr>
        <w:numPr>
          <w:ilvl w:val="0"/>
          <w:numId w:val="29"/>
        </w:numPr>
        <w:tabs>
          <w:tab w:val="left" w:pos="360"/>
        </w:tabs>
        <w:snapToGrid w:val="0"/>
        <w:spacing w:line="360" w:lineRule="auto"/>
        <w:ind w:left="357" w:hanging="357"/>
        <w:outlineLvl w:val="1"/>
        <w:rPr>
          <w:rFonts w:hint="eastAsia" w:ascii="宋体" w:hAnsi="宋体" w:cs="宋体"/>
          <w:sz w:val="24"/>
        </w:rPr>
      </w:pPr>
      <w:bookmarkStart w:id="392" w:name="_Toc335645059"/>
      <w:r>
        <w:rPr>
          <w:rFonts w:hint="eastAsia" w:ascii="宋体" w:hAnsi="宋体" w:cs="宋体"/>
          <w:sz w:val="24"/>
        </w:rPr>
        <w:t xml:space="preserve"> </w:t>
      </w:r>
      <w:bookmarkEnd w:id="392"/>
      <w:r>
        <w:rPr>
          <w:rFonts w:hint="eastAsia" w:ascii="宋体" w:hAnsi="宋体" w:cs="宋体"/>
          <w:sz w:val="24"/>
        </w:rPr>
        <w:t>磋商小组</w:t>
      </w:r>
    </w:p>
    <w:p w14:paraId="3238EFC3">
      <w:pPr>
        <w:numPr>
          <w:ilvl w:val="1"/>
          <w:numId w:val="29"/>
        </w:numPr>
        <w:tabs>
          <w:tab w:val="left" w:pos="1080"/>
          <w:tab w:val="left" w:pos="2014"/>
        </w:tabs>
        <w:snapToGrid w:val="0"/>
        <w:spacing w:line="360" w:lineRule="auto"/>
        <w:ind w:left="1077" w:hanging="720"/>
        <w:rPr>
          <w:rFonts w:hint="eastAsia" w:ascii="宋体" w:hAnsi="宋体"/>
          <w:sz w:val="24"/>
        </w:rPr>
      </w:pPr>
      <w:r>
        <w:rPr>
          <w:rFonts w:hint="eastAsia" w:ascii="宋体" w:hAnsi="宋体" w:cs="宋体"/>
          <w:sz w:val="24"/>
        </w:rPr>
        <w:t>磋商小组根据</w:t>
      </w:r>
      <w:r>
        <w:rPr>
          <w:rFonts w:ascii="宋体" w:hAnsi="宋体"/>
          <w:sz w:val="24"/>
        </w:rPr>
        <w:t>政府采购有关规定和本次采购项目的特点进行组建</w:t>
      </w:r>
      <w:r>
        <w:rPr>
          <w:rFonts w:hint="eastAsia" w:ascii="宋体" w:hAnsi="宋体" w:cs="宋体"/>
          <w:sz w:val="24"/>
        </w:rPr>
        <w:t>，</w:t>
      </w:r>
      <w:bookmarkStart w:id="393" w:name="_Toc520356166"/>
      <w:r>
        <w:rPr>
          <w:rFonts w:ascii="宋体" w:hAnsi="宋体"/>
          <w:sz w:val="24"/>
        </w:rPr>
        <w:t>并负责具体评审</w:t>
      </w:r>
      <w:r>
        <w:rPr>
          <w:rFonts w:hint="eastAsia" w:ascii="宋体" w:hAnsi="宋体"/>
          <w:sz w:val="24"/>
        </w:rPr>
        <w:t>与磋商</w:t>
      </w:r>
      <w:r>
        <w:rPr>
          <w:rFonts w:ascii="宋体" w:hAnsi="宋体"/>
          <w:sz w:val="24"/>
        </w:rPr>
        <w:t>事务，独立履行职责。</w:t>
      </w:r>
    </w:p>
    <w:p w14:paraId="4D52D113">
      <w:pPr>
        <w:numPr>
          <w:ilvl w:val="1"/>
          <w:numId w:val="29"/>
        </w:numPr>
        <w:tabs>
          <w:tab w:val="left" w:pos="1080"/>
          <w:tab w:val="left" w:pos="2014"/>
        </w:tabs>
        <w:snapToGrid w:val="0"/>
        <w:spacing w:line="360" w:lineRule="auto"/>
        <w:ind w:left="1077" w:hanging="720"/>
        <w:rPr>
          <w:rFonts w:hint="eastAsia" w:ascii="宋体" w:hAnsi="宋体"/>
          <w:sz w:val="24"/>
        </w:rPr>
      </w:pPr>
      <w:r>
        <w:rPr>
          <w:rFonts w:ascii="宋体" w:hAnsi="宋体"/>
          <w:sz w:val="24"/>
        </w:rPr>
        <w:t>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p>
    <w:p w14:paraId="7D2B9972">
      <w:pPr>
        <w:numPr>
          <w:ilvl w:val="0"/>
          <w:numId w:val="29"/>
        </w:numPr>
        <w:tabs>
          <w:tab w:val="left" w:pos="360"/>
        </w:tabs>
        <w:snapToGrid w:val="0"/>
        <w:spacing w:line="360" w:lineRule="auto"/>
        <w:ind w:left="357" w:hanging="357"/>
        <w:outlineLvl w:val="1"/>
        <w:rPr>
          <w:rFonts w:hint="eastAsia" w:ascii="宋体" w:hAnsi="宋体" w:cs="宋体"/>
          <w:sz w:val="24"/>
        </w:rPr>
      </w:pPr>
      <w:r>
        <w:rPr>
          <w:rFonts w:hint="eastAsia" w:ascii="宋体" w:hAnsi="宋体" w:cs="宋体"/>
          <w:sz w:val="24"/>
        </w:rPr>
        <w:t xml:space="preserve"> </w:t>
      </w:r>
      <w:r>
        <w:rPr>
          <w:rFonts w:ascii="宋体" w:hAnsi="宋体" w:cs="宋体"/>
          <w:sz w:val="24"/>
        </w:rPr>
        <w:t>评审方法和评审标准</w:t>
      </w:r>
    </w:p>
    <w:p w14:paraId="0CAA9890">
      <w:pPr>
        <w:numPr>
          <w:ilvl w:val="1"/>
          <w:numId w:val="29"/>
        </w:numPr>
        <w:tabs>
          <w:tab w:val="left" w:pos="1080"/>
          <w:tab w:val="left" w:pos="2014"/>
        </w:tabs>
        <w:snapToGrid w:val="0"/>
        <w:spacing w:line="360" w:lineRule="auto"/>
        <w:ind w:left="1080" w:hanging="720"/>
        <w:rPr>
          <w:rFonts w:hint="eastAsia" w:ascii="宋体" w:hAnsi="宋体" w:cs="仿宋"/>
          <w:sz w:val="24"/>
        </w:rPr>
      </w:pPr>
      <w:r>
        <w:rPr>
          <w:rFonts w:ascii="宋体" w:hAnsi="宋体" w:cs="宋体"/>
          <w:sz w:val="24"/>
        </w:rPr>
        <w:t xml:space="preserve"> 见第三章《评审方法和评审标准》。</w:t>
      </w:r>
      <w:bookmarkEnd w:id="393"/>
    </w:p>
    <w:p w14:paraId="07AB8064">
      <w:pPr>
        <w:pStyle w:val="4"/>
        <w:spacing w:before="0" w:line="360" w:lineRule="auto"/>
        <w:rPr>
          <w:rFonts w:hint="eastAsia" w:ascii="宋体" w:hAnsi="宋体" w:eastAsia="宋体" w:cs="仿宋"/>
          <w:sz w:val="28"/>
        </w:rPr>
      </w:pPr>
      <w:bookmarkStart w:id="394" w:name="_Toc226965735"/>
      <w:bookmarkStart w:id="395" w:name="_Toc151190172"/>
      <w:bookmarkStart w:id="396" w:name="_Toc150509296"/>
      <w:bookmarkStart w:id="397" w:name="_Toc151193933"/>
      <w:bookmarkStart w:id="398" w:name="_Toc305158813"/>
      <w:bookmarkStart w:id="399" w:name="_Toc151193787"/>
      <w:bookmarkStart w:id="400" w:name="_Toc226309789"/>
      <w:bookmarkStart w:id="401" w:name="_Toc151193643"/>
      <w:bookmarkStart w:id="402" w:name="_Toc151193715"/>
      <w:bookmarkStart w:id="403" w:name="_Toc150774645"/>
      <w:bookmarkStart w:id="404" w:name="_Toc150774750"/>
      <w:bookmarkStart w:id="405" w:name="_Toc127151545"/>
      <w:bookmarkStart w:id="406" w:name="_Toc226965818"/>
      <w:bookmarkStart w:id="407" w:name="_Toc264969235"/>
      <w:bookmarkStart w:id="408" w:name="_Toc226337241"/>
      <w:bookmarkStart w:id="409" w:name="_Toc150480783"/>
      <w:bookmarkStart w:id="410" w:name="_Toc195842910"/>
      <w:bookmarkStart w:id="411" w:name="_Toc151193859"/>
      <w:bookmarkStart w:id="412" w:name="_Toc142311047"/>
      <w:bookmarkStart w:id="413" w:name="_Toc265228383"/>
      <w:bookmarkStart w:id="414" w:name="_Toc305158887"/>
      <w:r>
        <w:rPr>
          <w:rFonts w:hint="eastAsia" w:ascii="宋体" w:hAnsi="宋体" w:eastAsia="宋体" w:cs="仿宋"/>
          <w:sz w:val="28"/>
        </w:rPr>
        <w:t xml:space="preserve">六   </w:t>
      </w:r>
      <w:bookmarkEnd w:id="389"/>
      <w:r>
        <w:rPr>
          <w:rFonts w:hint="eastAsia" w:ascii="宋体" w:hAnsi="宋体" w:eastAsia="宋体" w:cs="仿宋"/>
          <w:sz w:val="28"/>
        </w:rPr>
        <w:t>确定</w:t>
      </w:r>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r>
        <w:rPr>
          <w:rFonts w:hint="eastAsia" w:ascii="宋体" w:hAnsi="宋体" w:eastAsia="宋体" w:cs="仿宋"/>
          <w:sz w:val="28"/>
        </w:rPr>
        <w:t>成交</w:t>
      </w:r>
    </w:p>
    <w:p w14:paraId="59693905">
      <w:pPr>
        <w:numPr>
          <w:ilvl w:val="0"/>
          <w:numId w:val="29"/>
        </w:numPr>
        <w:tabs>
          <w:tab w:val="left" w:pos="360"/>
        </w:tabs>
        <w:snapToGrid w:val="0"/>
        <w:spacing w:line="360" w:lineRule="auto"/>
        <w:ind w:left="357" w:hanging="357"/>
        <w:outlineLvl w:val="1"/>
        <w:rPr>
          <w:rFonts w:hint="eastAsia" w:ascii="宋体" w:hAnsi="宋体"/>
          <w:sz w:val="24"/>
        </w:rPr>
      </w:pPr>
      <w:bookmarkStart w:id="415" w:name="_Toc150480785"/>
      <w:bookmarkStart w:id="416" w:name="_Toc264969237"/>
      <w:bookmarkStart w:id="417" w:name="_Toc164229242"/>
      <w:bookmarkStart w:id="418" w:name="_Toc151193789"/>
      <w:bookmarkStart w:id="419" w:name="_Toc226337243"/>
      <w:bookmarkStart w:id="420" w:name="_Toc127161461"/>
      <w:bookmarkStart w:id="421" w:name="_Toc226965820"/>
      <w:bookmarkStart w:id="422" w:name="_Toc151190174"/>
      <w:bookmarkStart w:id="423" w:name="_Toc150774752"/>
      <w:bookmarkStart w:id="424" w:name="_Toc151193861"/>
      <w:bookmarkStart w:id="425" w:name="_Toc164608661"/>
      <w:bookmarkStart w:id="426" w:name="_Toc265228385"/>
      <w:bookmarkStart w:id="427" w:name="_Toc151193645"/>
      <w:bookmarkStart w:id="428" w:name="_Toc164608816"/>
      <w:bookmarkStart w:id="429" w:name="_Toc164351641"/>
      <w:bookmarkStart w:id="430" w:name="_Toc305158889"/>
      <w:bookmarkStart w:id="431" w:name="_Toc151193935"/>
      <w:bookmarkStart w:id="432" w:name="_Toc195842912"/>
      <w:bookmarkStart w:id="433" w:name="_Toc164229388"/>
      <w:bookmarkStart w:id="434" w:name="_Toc127151748"/>
      <w:bookmarkStart w:id="435" w:name="_Toc149720840"/>
      <w:bookmarkStart w:id="436" w:name="_Toc305158815"/>
      <w:bookmarkStart w:id="437" w:name="_Toc226309791"/>
      <w:bookmarkStart w:id="438" w:name="_Toc142311049"/>
      <w:bookmarkStart w:id="439" w:name="_Toc150509298"/>
      <w:bookmarkStart w:id="440" w:name="_Toc127151547"/>
      <w:bookmarkStart w:id="441" w:name="_Toc226965737"/>
      <w:bookmarkStart w:id="442" w:name="_Toc150774647"/>
      <w:bookmarkStart w:id="443" w:name="_Toc151193717"/>
      <w:bookmarkStart w:id="444" w:name="_Toc520356175"/>
      <w:bookmarkStart w:id="445" w:name="_Ref467306978"/>
      <w:bookmarkStart w:id="446" w:name="_Ref467306377"/>
      <w:bookmarkStart w:id="447" w:name="_Ref467307204"/>
      <w:bookmarkStart w:id="448" w:name="_Toc335645069"/>
      <w:bookmarkStart w:id="449" w:name="_Ref467307062"/>
      <w:r>
        <w:rPr>
          <w:rFonts w:ascii="宋体" w:hAnsi="宋体"/>
          <w:sz w:val="24"/>
        </w:rPr>
        <w:t>确定成交供应商</w:t>
      </w:r>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p>
    <w:p w14:paraId="34BD539A">
      <w:pPr>
        <w:numPr>
          <w:ilvl w:val="1"/>
          <w:numId w:val="29"/>
        </w:numPr>
        <w:tabs>
          <w:tab w:val="left" w:pos="1080"/>
          <w:tab w:val="left" w:pos="2014"/>
        </w:tabs>
        <w:snapToGrid w:val="0"/>
        <w:spacing w:line="360" w:lineRule="auto"/>
        <w:ind w:left="1077" w:hanging="720"/>
        <w:rPr>
          <w:rFonts w:hint="eastAsia" w:ascii="宋体" w:hAnsi="宋体" w:cs="宋体"/>
          <w:sz w:val="24"/>
        </w:rPr>
      </w:pPr>
      <w:bookmarkStart w:id="450" w:name="_Hlk146867619"/>
      <w:bookmarkStart w:id="451" w:name="_Toc305158817"/>
      <w:bookmarkStart w:id="452" w:name="_Toc305158891"/>
      <w:bookmarkStart w:id="453" w:name="_Hlk146867702"/>
      <w:r>
        <w:rPr>
          <w:rFonts w:hint="eastAsia" w:ascii="宋体" w:hAnsi="宋体" w:cs="宋体"/>
          <w:sz w:val="24"/>
        </w:rPr>
        <w:t>采购人将在收到评审报告后，从评审报告提出的成交候选供应商中，按照排序由高到低的原则确定成交供应商。采购人是否授权磋商小组直接确定成交供应商，见《供应商须知资料表》。成交</w:t>
      </w:r>
      <w:r>
        <w:rPr>
          <w:rFonts w:ascii="宋体" w:hAnsi="宋体" w:cs="宋体"/>
          <w:sz w:val="24"/>
        </w:rPr>
        <w:t>候选人并列的，按照</w:t>
      </w:r>
      <w:r>
        <w:rPr>
          <w:rFonts w:hint="eastAsia" w:ascii="宋体" w:hAnsi="宋体" w:cs="宋体"/>
          <w:sz w:val="24"/>
        </w:rPr>
        <w:t>竞争性磋商文件的规定</w:t>
      </w:r>
      <w:r>
        <w:rPr>
          <w:rFonts w:ascii="宋体" w:hAnsi="宋体" w:cs="宋体"/>
          <w:sz w:val="24"/>
        </w:rPr>
        <w:t>确定</w:t>
      </w:r>
      <w:r>
        <w:rPr>
          <w:rFonts w:hint="eastAsia" w:ascii="宋体" w:hAnsi="宋体" w:cs="宋体"/>
          <w:sz w:val="24"/>
        </w:rPr>
        <w:t>成交供应商。</w:t>
      </w:r>
    </w:p>
    <w:bookmarkEnd w:id="450"/>
    <w:p w14:paraId="5E3D0C2B">
      <w:pPr>
        <w:numPr>
          <w:ilvl w:val="0"/>
          <w:numId w:val="29"/>
        </w:numPr>
        <w:tabs>
          <w:tab w:val="left" w:pos="360"/>
        </w:tabs>
        <w:snapToGrid w:val="0"/>
        <w:spacing w:line="360" w:lineRule="auto"/>
        <w:ind w:left="357" w:hanging="357"/>
        <w:outlineLvl w:val="1"/>
        <w:rPr>
          <w:rFonts w:hint="eastAsia" w:ascii="宋体" w:hAnsi="宋体"/>
          <w:sz w:val="24"/>
        </w:rPr>
      </w:pPr>
      <w:r>
        <w:rPr>
          <w:rFonts w:ascii="宋体" w:hAnsi="宋体"/>
          <w:sz w:val="24"/>
        </w:rPr>
        <w:t>成交公告与成交通知书</w:t>
      </w:r>
      <w:bookmarkEnd w:id="451"/>
      <w:bookmarkEnd w:id="452"/>
    </w:p>
    <w:p w14:paraId="6708A390">
      <w:pPr>
        <w:numPr>
          <w:ilvl w:val="1"/>
          <w:numId w:val="29"/>
        </w:numPr>
        <w:tabs>
          <w:tab w:val="left" w:pos="1080"/>
          <w:tab w:val="left" w:pos="2014"/>
        </w:tabs>
        <w:snapToGrid w:val="0"/>
        <w:spacing w:line="360" w:lineRule="auto"/>
        <w:ind w:left="1077" w:hanging="720"/>
        <w:rPr>
          <w:rFonts w:hint="eastAsia" w:ascii="宋体" w:hAnsi="宋体" w:cs="宋体"/>
          <w:sz w:val="24"/>
        </w:rPr>
      </w:pPr>
      <w:r>
        <w:rPr>
          <w:rFonts w:ascii="宋体" w:hAnsi="宋体" w:cs="宋体"/>
          <w:sz w:val="24"/>
        </w:rPr>
        <w:t>采购人或采购代理机构将在成交供应商确定后2个工作日内，在</w:t>
      </w:r>
      <w:bookmarkStart w:id="454" w:name="_Hlk155361160"/>
      <w:r>
        <w:rPr>
          <w:rFonts w:hint="eastAsia" w:ascii="宋体" w:hAnsi="宋体" w:cs="宋体"/>
          <w:sz w:val="24"/>
        </w:rPr>
        <w:t>北京市政府采购网</w:t>
      </w:r>
      <w:bookmarkEnd w:id="454"/>
      <w:r>
        <w:rPr>
          <w:rFonts w:ascii="宋体" w:hAnsi="宋体" w:cs="宋体"/>
          <w:sz w:val="24"/>
        </w:rPr>
        <w:t>公告成交结果，同时向成交供应商发出成交通知书，成交公告期限为1个工作日。</w:t>
      </w:r>
    </w:p>
    <w:bookmarkEnd w:id="453"/>
    <w:p w14:paraId="5177B243">
      <w:pPr>
        <w:numPr>
          <w:ilvl w:val="1"/>
          <w:numId w:val="29"/>
        </w:numPr>
        <w:tabs>
          <w:tab w:val="left" w:pos="1080"/>
          <w:tab w:val="left" w:pos="2014"/>
        </w:tabs>
        <w:snapToGrid w:val="0"/>
        <w:spacing w:line="360" w:lineRule="auto"/>
        <w:ind w:left="1077" w:hanging="720"/>
        <w:rPr>
          <w:rFonts w:hint="eastAsia" w:ascii="宋体" w:hAnsi="宋体" w:cs="宋体"/>
          <w:sz w:val="24"/>
        </w:rPr>
      </w:pPr>
      <w:r>
        <w:rPr>
          <w:rFonts w:ascii="宋体" w:hAnsi="宋体" w:cs="宋体"/>
          <w:sz w:val="24"/>
        </w:rPr>
        <w:t>成交通知书对采购人和成交供应商均具有法律效力。成交通知书发出后，采购人改变成交结果的，或者成交供应商放弃成交项目的，应当依法承担法律责任。</w:t>
      </w:r>
    </w:p>
    <w:p w14:paraId="77FEA434">
      <w:pPr>
        <w:numPr>
          <w:ilvl w:val="0"/>
          <w:numId w:val="29"/>
        </w:numPr>
        <w:tabs>
          <w:tab w:val="left" w:pos="360"/>
        </w:tabs>
        <w:snapToGrid w:val="0"/>
        <w:spacing w:line="360" w:lineRule="auto"/>
        <w:ind w:left="357" w:hanging="357"/>
        <w:outlineLvl w:val="1"/>
        <w:rPr>
          <w:rFonts w:hint="eastAsia" w:ascii="宋体" w:hAnsi="宋体"/>
          <w:sz w:val="24"/>
        </w:rPr>
      </w:pPr>
      <w:r>
        <w:rPr>
          <w:rFonts w:ascii="宋体" w:hAnsi="宋体"/>
          <w:sz w:val="24"/>
        </w:rPr>
        <w:t>终止</w:t>
      </w:r>
    </w:p>
    <w:p w14:paraId="7EEE665C">
      <w:pPr>
        <w:numPr>
          <w:ilvl w:val="1"/>
          <w:numId w:val="29"/>
        </w:numPr>
        <w:tabs>
          <w:tab w:val="left" w:pos="1080"/>
          <w:tab w:val="left" w:pos="2014"/>
        </w:tabs>
        <w:snapToGrid w:val="0"/>
        <w:spacing w:line="360" w:lineRule="auto"/>
        <w:ind w:left="1077" w:hanging="720"/>
        <w:rPr>
          <w:rFonts w:hint="eastAsia" w:ascii="宋体" w:hAnsi="宋体" w:cs="宋体"/>
          <w:sz w:val="24"/>
        </w:rPr>
      </w:pPr>
      <w:r>
        <w:rPr>
          <w:rFonts w:ascii="宋体" w:hAnsi="宋体" w:cs="宋体"/>
          <w:sz w:val="24"/>
        </w:rPr>
        <w:t>出现下列情形之一的，采购人或采购代理机构将终止竞争性磋商采购活动，发布项目终止公告并说明原因，重新开展采购活动：</w:t>
      </w:r>
    </w:p>
    <w:p w14:paraId="1AD9C0D9">
      <w:pPr>
        <w:numPr>
          <w:ilvl w:val="2"/>
          <w:numId w:val="29"/>
        </w:numPr>
        <w:snapToGrid w:val="0"/>
        <w:spacing w:line="360" w:lineRule="auto"/>
        <w:rPr>
          <w:rFonts w:hint="eastAsia" w:ascii="宋体" w:hAnsi="宋体"/>
          <w:sz w:val="24"/>
        </w:rPr>
      </w:pPr>
      <w:r>
        <w:rPr>
          <w:rFonts w:ascii="宋体" w:hAnsi="宋体"/>
          <w:sz w:val="24"/>
        </w:rPr>
        <w:t>因情况变化，不再符合规定的竞争性磋商采购方式适用情形的；</w:t>
      </w:r>
    </w:p>
    <w:p w14:paraId="2EC80E30">
      <w:pPr>
        <w:numPr>
          <w:ilvl w:val="2"/>
          <w:numId w:val="29"/>
        </w:numPr>
        <w:snapToGrid w:val="0"/>
        <w:spacing w:line="360" w:lineRule="auto"/>
        <w:rPr>
          <w:rFonts w:hint="eastAsia" w:ascii="宋体" w:hAnsi="宋体"/>
          <w:sz w:val="24"/>
        </w:rPr>
      </w:pPr>
      <w:r>
        <w:rPr>
          <w:rFonts w:ascii="宋体" w:hAnsi="宋体"/>
          <w:sz w:val="24"/>
        </w:rPr>
        <w:t>出现影响采购公正的违法、违规行为的；</w:t>
      </w:r>
    </w:p>
    <w:p w14:paraId="4BD51A9C">
      <w:pPr>
        <w:numPr>
          <w:ilvl w:val="2"/>
          <w:numId w:val="29"/>
        </w:numPr>
        <w:snapToGrid w:val="0"/>
        <w:spacing w:line="360" w:lineRule="auto"/>
        <w:rPr>
          <w:rFonts w:hint="eastAsia" w:ascii="宋体" w:hAnsi="宋体"/>
          <w:sz w:val="24"/>
        </w:rPr>
      </w:pPr>
      <w:r>
        <w:rPr>
          <w:rFonts w:ascii="宋体" w:hAnsi="宋体"/>
          <w:snapToGrid w:val="0"/>
          <w:kern w:val="0"/>
          <w:sz w:val="24"/>
          <w:szCs w:val="20"/>
        </w:rPr>
        <w:t>除了“市场竞争不充分的科研项目，以及需要扶持的科技成果转化项目，提交最后报价的供应商可以为2家；政府购买服务项目（含政府和社会资本合作项目），在采购过程中符合要求的供应商（社会资本）只有2家的，竞争性磋商采购活动可以继续进行”的情形外，在采购过程中符合要求的供应商或者报价未超过采购预算的供应商不足3家的。</w:t>
      </w:r>
    </w:p>
    <w:p w14:paraId="496A9DF9">
      <w:pPr>
        <w:numPr>
          <w:ilvl w:val="0"/>
          <w:numId w:val="29"/>
        </w:numPr>
        <w:tabs>
          <w:tab w:val="left" w:pos="360"/>
        </w:tabs>
        <w:snapToGrid w:val="0"/>
        <w:spacing w:line="360" w:lineRule="auto"/>
        <w:ind w:left="357" w:hanging="357"/>
        <w:outlineLvl w:val="1"/>
        <w:rPr>
          <w:rFonts w:hint="eastAsia" w:ascii="宋体" w:hAnsi="宋体"/>
          <w:sz w:val="24"/>
        </w:rPr>
      </w:pPr>
      <w:r>
        <w:rPr>
          <w:rFonts w:hint="eastAsia" w:ascii="宋体" w:hAnsi="宋体"/>
          <w:sz w:val="24"/>
        </w:rPr>
        <w:t>签订合同</w:t>
      </w:r>
      <w:bookmarkEnd w:id="444"/>
      <w:bookmarkEnd w:id="445"/>
      <w:bookmarkEnd w:id="446"/>
      <w:bookmarkEnd w:id="447"/>
      <w:bookmarkEnd w:id="448"/>
      <w:bookmarkEnd w:id="449"/>
    </w:p>
    <w:p w14:paraId="1A3B485B">
      <w:pPr>
        <w:numPr>
          <w:ilvl w:val="1"/>
          <w:numId w:val="29"/>
        </w:numPr>
        <w:tabs>
          <w:tab w:val="left" w:pos="1080"/>
          <w:tab w:val="left" w:pos="2014"/>
        </w:tabs>
        <w:snapToGrid w:val="0"/>
        <w:spacing w:line="360" w:lineRule="auto"/>
        <w:ind w:left="1077" w:hanging="720"/>
        <w:rPr>
          <w:rFonts w:hint="eastAsia" w:ascii="宋体" w:hAnsi="宋体" w:cs="宋体"/>
          <w:sz w:val="24"/>
        </w:rPr>
      </w:pPr>
      <w:bookmarkStart w:id="455" w:name="_Hlk146867922"/>
      <w:bookmarkStart w:id="456" w:name="_Ref467306425"/>
      <w:bookmarkStart w:id="457" w:name="_Ref467307090"/>
      <w:bookmarkStart w:id="458" w:name="_Toc520356176"/>
      <w:bookmarkStart w:id="459" w:name="_Toc335645070"/>
      <w:r>
        <w:rPr>
          <w:rFonts w:ascii="宋体" w:hAnsi="宋体" w:cs="宋体"/>
          <w:sz w:val="24"/>
        </w:rPr>
        <w:t>采购人与成交供应商</w:t>
      </w:r>
      <w:r>
        <w:rPr>
          <w:rFonts w:hint="eastAsia" w:ascii="宋体" w:hAnsi="宋体" w:cs="宋体"/>
          <w:sz w:val="24"/>
        </w:rPr>
        <w:t>应当</w:t>
      </w:r>
      <w:r>
        <w:rPr>
          <w:rFonts w:ascii="宋体" w:hAnsi="宋体" w:cs="宋体"/>
          <w:sz w:val="24"/>
        </w:rPr>
        <w:t>在成交通知书发出之日起30日内，按照磋商文件确定的合同文本以及采购标的、规格型号、采购金额、采购数量、技术和服务要求等事项签订政府采购合同。</w:t>
      </w:r>
    </w:p>
    <w:p w14:paraId="6F5377F0">
      <w:pPr>
        <w:numPr>
          <w:ilvl w:val="1"/>
          <w:numId w:val="29"/>
        </w:numPr>
        <w:tabs>
          <w:tab w:val="left" w:pos="1080"/>
          <w:tab w:val="left" w:pos="2014"/>
        </w:tabs>
        <w:snapToGrid w:val="0"/>
        <w:spacing w:line="360" w:lineRule="auto"/>
        <w:ind w:left="1077" w:hanging="720"/>
        <w:rPr>
          <w:rFonts w:hint="eastAsia" w:ascii="宋体" w:hAnsi="宋体" w:cs="宋体"/>
          <w:sz w:val="24"/>
        </w:rPr>
      </w:pPr>
      <w:r>
        <w:rPr>
          <w:rFonts w:ascii="宋体" w:hAnsi="宋体" w:cs="宋体"/>
          <w:sz w:val="24"/>
        </w:rPr>
        <w:t>成交供应商拒绝签订政府采购合同的，采购人可以按照评审报告推荐的成交候选人名单排序，确定下一候选人为成交供应商，也可以重新开展采购活动。拒绝签订政府采购合同的成交供应商不得参加对该项目重新开展的采购活动。</w:t>
      </w:r>
    </w:p>
    <w:p w14:paraId="702D2AD2">
      <w:pPr>
        <w:numPr>
          <w:ilvl w:val="1"/>
          <w:numId w:val="29"/>
        </w:numPr>
        <w:tabs>
          <w:tab w:val="left" w:pos="1080"/>
          <w:tab w:val="left" w:pos="2014"/>
        </w:tabs>
        <w:snapToGrid w:val="0"/>
        <w:spacing w:line="360" w:lineRule="auto"/>
        <w:ind w:left="1077" w:hanging="720"/>
        <w:rPr>
          <w:rFonts w:hint="eastAsia" w:ascii="宋体" w:hAnsi="宋体" w:cs="宋体"/>
          <w:sz w:val="24"/>
        </w:rPr>
      </w:pPr>
      <w:r>
        <w:rPr>
          <w:rFonts w:ascii="宋体" w:hAnsi="宋体" w:cs="宋体"/>
          <w:sz w:val="24"/>
        </w:rPr>
        <w:t>联合体成交的，联合体各方应当共同与采购人签订合同，就</w:t>
      </w:r>
      <w:r>
        <w:rPr>
          <w:rFonts w:hint="eastAsia" w:ascii="宋体" w:hAnsi="宋体" w:cs="宋体"/>
          <w:sz w:val="24"/>
        </w:rPr>
        <w:t>采购合同约定的事项</w:t>
      </w:r>
      <w:r>
        <w:rPr>
          <w:rFonts w:ascii="宋体" w:hAnsi="宋体" w:cs="宋体"/>
          <w:sz w:val="24"/>
        </w:rPr>
        <w:t>向采购人承担连带责任。</w:t>
      </w:r>
    </w:p>
    <w:p w14:paraId="0FD0A537">
      <w:pPr>
        <w:numPr>
          <w:ilvl w:val="1"/>
          <w:numId w:val="29"/>
        </w:numPr>
        <w:tabs>
          <w:tab w:val="left" w:pos="1080"/>
          <w:tab w:val="left" w:pos="2014"/>
        </w:tabs>
        <w:snapToGrid w:val="0"/>
        <w:spacing w:line="360" w:lineRule="auto"/>
        <w:ind w:left="1077" w:hanging="720"/>
        <w:rPr>
          <w:rFonts w:hint="eastAsia" w:ascii="宋体" w:hAnsi="宋体" w:cs="宋体"/>
          <w:sz w:val="24"/>
        </w:rPr>
      </w:pPr>
      <w:r>
        <w:rPr>
          <w:rFonts w:ascii="宋体" w:hAnsi="宋体" w:cs="宋体"/>
          <w:sz w:val="24"/>
        </w:rPr>
        <w:t>政府采购合同不能转包。</w:t>
      </w:r>
    </w:p>
    <w:p w14:paraId="525EEA3F">
      <w:pPr>
        <w:numPr>
          <w:ilvl w:val="1"/>
          <w:numId w:val="29"/>
        </w:numPr>
        <w:tabs>
          <w:tab w:val="left" w:pos="1080"/>
          <w:tab w:val="left" w:pos="2014"/>
        </w:tabs>
        <w:snapToGrid w:val="0"/>
        <w:spacing w:line="360" w:lineRule="auto"/>
        <w:ind w:left="1077" w:hanging="720"/>
        <w:rPr>
          <w:rFonts w:hint="eastAsia" w:ascii="宋体" w:hAnsi="宋体" w:cs="宋体"/>
          <w:sz w:val="24"/>
        </w:rPr>
      </w:pPr>
      <w:r>
        <w:rPr>
          <w:rFonts w:ascii="宋体" w:hAnsi="宋体" w:cs="宋体"/>
          <w:sz w:val="24"/>
        </w:rPr>
        <w:t>采购人允许采用分包方式履行合同的，成交供应商可以依法采取分包方式履行合同。本项目</w:t>
      </w:r>
      <w:r>
        <w:rPr>
          <w:rFonts w:hint="eastAsia" w:ascii="宋体" w:hAnsi="宋体" w:cs="宋体"/>
          <w:sz w:val="24"/>
        </w:rPr>
        <w:t>是</w:t>
      </w:r>
      <w:r>
        <w:rPr>
          <w:rFonts w:ascii="宋体" w:hAnsi="宋体" w:cs="宋体"/>
          <w:sz w:val="24"/>
        </w:rPr>
        <w:t>否允许分包，见《供应商须知资料表》。政府采购合同分包履行的，应当在响应文件中载明分包承担主体，分包承担主体应当具备相应资质条件且不得再次分包，否则</w:t>
      </w:r>
      <w:r>
        <w:rPr>
          <w:rFonts w:ascii="宋体" w:hAnsi="宋体" w:cs="宋体"/>
          <w:b/>
          <w:bCs/>
          <w:sz w:val="24"/>
        </w:rPr>
        <w:t>响应无效</w:t>
      </w:r>
      <w:r>
        <w:rPr>
          <w:rFonts w:ascii="宋体" w:hAnsi="宋体" w:cs="宋体"/>
          <w:sz w:val="24"/>
        </w:rPr>
        <w:t>。成交供应商就采购项目和分包项目向采购人负责，分包供应商就分包项目承担责任。</w:t>
      </w:r>
    </w:p>
    <w:p w14:paraId="1E4D66BA">
      <w:pPr>
        <w:numPr>
          <w:ilvl w:val="1"/>
          <w:numId w:val="29"/>
        </w:numPr>
        <w:tabs>
          <w:tab w:val="left" w:pos="1080"/>
          <w:tab w:val="left" w:pos="2014"/>
        </w:tabs>
        <w:snapToGrid w:val="0"/>
        <w:spacing w:line="360" w:lineRule="auto"/>
        <w:ind w:left="1077" w:hanging="720"/>
        <w:rPr>
          <w:rFonts w:hint="eastAsia" w:ascii="宋体" w:hAnsi="宋体" w:cs="宋体"/>
          <w:sz w:val="24"/>
        </w:rPr>
      </w:pPr>
      <w:bookmarkStart w:id="460" w:name="_Hlk183865168"/>
      <w:r>
        <w:rPr>
          <w:rFonts w:ascii="宋体" w:hAnsi="宋体" w:cs="宋体"/>
          <w:sz w:val="24"/>
        </w:rPr>
        <w:t>“政采贷”融资指引：详见《供应商须知资料表》。</w:t>
      </w:r>
    </w:p>
    <w:bookmarkEnd w:id="455"/>
    <w:bookmarkEnd w:id="460"/>
    <w:p w14:paraId="1A6AC05E">
      <w:pPr>
        <w:numPr>
          <w:ilvl w:val="0"/>
          <w:numId w:val="29"/>
        </w:numPr>
        <w:tabs>
          <w:tab w:val="left" w:pos="360"/>
        </w:tabs>
        <w:snapToGrid w:val="0"/>
        <w:spacing w:line="360" w:lineRule="auto"/>
        <w:ind w:left="357" w:hanging="357"/>
        <w:outlineLvl w:val="1"/>
        <w:rPr>
          <w:rFonts w:hint="eastAsia" w:ascii="宋体" w:hAnsi="宋体"/>
          <w:sz w:val="24"/>
        </w:rPr>
      </w:pPr>
      <w:r>
        <w:rPr>
          <w:rFonts w:hint="eastAsia" w:ascii="宋体" w:hAnsi="宋体"/>
          <w:sz w:val="24"/>
        </w:rPr>
        <w:t>询问与</w:t>
      </w:r>
      <w:r>
        <w:rPr>
          <w:rFonts w:ascii="宋体" w:hAnsi="宋体"/>
          <w:sz w:val="24"/>
        </w:rPr>
        <w:t>质疑</w:t>
      </w:r>
    </w:p>
    <w:p w14:paraId="0C62A4FA">
      <w:pPr>
        <w:numPr>
          <w:ilvl w:val="1"/>
          <w:numId w:val="29"/>
        </w:numPr>
        <w:tabs>
          <w:tab w:val="left" w:pos="1080"/>
          <w:tab w:val="left" w:pos="2014"/>
        </w:tabs>
        <w:snapToGrid w:val="0"/>
        <w:spacing w:line="360" w:lineRule="auto"/>
        <w:ind w:left="1077" w:hanging="720"/>
        <w:rPr>
          <w:rFonts w:hint="eastAsia" w:ascii="宋体" w:hAnsi="宋体"/>
          <w:sz w:val="24"/>
        </w:rPr>
      </w:pPr>
      <w:r>
        <w:rPr>
          <w:rFonts w:ascii="宋体" w:hAnsi="宋体"/>
          <w:sz w:val="24"/>
        </w:rPr>
        <w:t>询问</w:t>
      </w:r>
    </w:p>
    <w:p w14:paraId="3F5FC198">
      <w:pPr>
        <w:numPr>
          <w:ilvl w:val="2"/>
          <w:numId w:val="29"/>
        </w:numPr>
        <w:snapToGrid w:val="0"/>
        <w:spacing w:line="360" w:lineRule="auto"/>
        <w:rPr>
          <w:rFonts w:hint="eastAsia" w:ascii="宋体" w:hAnsi="宋体"/>
          <w:sz w:val="24"/>
        </w:rPr>
      </w:pPr>
      <w:r>
        <w:rPr>
          <w:rFonts w:ascii="宋体" w:hAnsi="宋体"/>
          <w:sz w:val="24"/>
        </w:rPr>
        <w:t>供应商对政府采购活动事项有疑问的，可依法提出询问，并按《供应商须知资料表》载明的形式送达采购人或采购代理机构。</w:t>
      </w:r>
    </w:p>
    <w:p w14:paraId="5792B597">
      <w:pPr>
        <w:numPr>
          <w:ilvl w:val="2"/>
          <w:numId w:val="29"/>
        </w:numPr>
        <w:snapToGrid w:val="0"/>
        <w:spacing w:line="360" w:lineRule="auto"/>
        <w:rPr>
          <w:rFonts w:hint="eastAsia" w:ascii="宋体" w:hAnsi="宋体"/>
          <w:sz w:val="24"/>
        </w:rPr>
      </w:pPr>
      <w:r>
        <w:rPr>
          <w:rFonts w:ascii="宋体" w:hAnsi="宋体"/>
          <w:sz w:val="24"/>
        </w:rPr>
        <w:t>采购人或采购代理机构对供应商依法提出的询问，在3个工作日内作出答复，但答复的内容不得涉及商业秘密。</w:t>
      </w:r>
    </w:p>
    <w:p w14:paraId="324D45BC">
      <w:pPr>
        <w:numPr>
          <w:ilvl w:val="1"/>
          <w:numId w:val="29"/>
        </w:numPr>
        <w:tabs>
          <w:tab w:val="left" w:pos="1080"/>
          <w:tab w:val="left" w:pos="2014"/>
        </w:tabs>
        <w:snapToGrid w:val="0"/>
        <w:spacing w:line="360" w:lineRule="auto"/>
        <w:ind w:left="1077" w:hanging="720"/>
        <w:rPr>
          <w:rFonts w:hint="eastAsia" w:ascii="宋体" w:hAnsi="宋体" w:cs="宋体"/>
          <w:sz w:val="24"/>
        </w:rPr>
      </w:pPr>
      <w:r>
        <w:rPr>
          <w:rFonts w:ascii="宋体" w:hAnsi="宋体" w:cs="宋体"/>
          <w:sz w:val="24"/>
        </w:rPr>
        <w:t>质疑</w:t>
      </w:r>
    </w:p>
    <w:p w14:paraId="59791C01">
      <w:pPr>
        <w:numPr>
          <w:ilvl w:val="2"/>
          <w:numId w:val="29"/>
        </w:numPr>
        <w:snapToGrid w:val="0"/>
        <w:spacing w:line="360" w:lineRule="auto"/>
        <w:rPr>
          <w:rFonts w:hint="eastAsia" w:ascii="宋体" w:hAnsi="宋体"/>
          <w:sz w:val="24"/>
        </w:rPr>
      </w:pPr>
      <w:r>
        <w:rPr>
          <w:rFonts w:ascii="宋体" w:hAnsi="宋体"/>
          <w:sz w:val="24"/>
        </w:rPr>
        <w:t>供应商认为竞争性磋商文件、采购过程、成交结果使自己的权益受到损害的，可以在知道或者应知其权益受到损害之日起7个工作日内，以书面形式向采购人、采购代理机构提出质疑。采购人、采购代理机构在收到质疑函后7个工作日内作出答复。</w:t>
      </w:r>
    </w:p>
    <w:p w14:paraId="163442FC">
      <w:pPr>
        <w:numPr>
          <w:ilvl w:val="2"/>
          <w:numId w:val="29"/>
        </w:numPr>
        <w:snapToGrid w:val="0"/>
        <w:spacing w:line="360" w:lineRule="auto"/>
        <w:rPr>
          <w:rFonts w:hint="eastAsia" w:ascii="宋体" w:hAnsi="宋体"/>
          <w:sz w:val="24"/>
        </w:rPr>
      </w:pPr>
      <w:r>
        <w:rPr>
          <w:rFonts w:ascii="宋体" w:hAnsi="宋体"/>
          <w:sz w:val="24"/>
        </w:rPr>
        <w:t>质疑函须使用财政部制定的范本文件。供应商为自然人的，</w:t>
      </w:r>
      <w:r>
        <w:rPr>
          <w:rFonts w:hint="eastAsia" w:ascii="宋体" w:hAnsi="宋体"/>
          <w:sz w:val="24"/>
        </w:rPr>
        <w:t>质疑函</w:t>
      </w:r>
      <w:r>
        <w:rPr>
          <w:rFonts w:ascii="宋体" w:hAnsi="宋体"/>
          <w:sz w:val="24"/>
        </w:rPr>
        <w:t>应当由本人签字；供应商为法人或者其他组织的，应当由法定代表人、主要负责人，或者其授权代表签字或者盖章，并加盖公章。</w:t>
      </w:r>
    </w:p>
    <w:p w14:paraId="6DFA713F">
      <w:pPr>
        <w:numPr>
          <w:ilvl w:val="2"/>
          <w:numId w:val="29"/>
        </w:numPr>
        <w:snapToGrid w:val="0"/>
        <w:spacing w:line="360" w:lineRule="auto"/>
        <w:rPr>
          <w:rFonts w:hint="eastAsia" w:hAnsi="宋体"/>
        </w:rPr>
      </w:pPr>
      <w:r>
        <w:rPr>
          <w:rFonts w:hint="eastAsia" w:ascii="宋体" w:hAnsi="宋体"/>
          <w:sz w:val="24"/>
        </w:rPr>
        <w:t>供应商委托代理人进行质疑的，应当随质疑函同时</w:t>
      </w:r>
      <w:r>
        <w:rPr>
          <w:rFonts w:hint="eastAsia" w:ascii="Leelawadee UI" w:hAnsi="Leelawadee UI" w:cs="Leelawadee UI"/>
          <w:sz w:val="24"/>
        </w:rPr>
        <w:t>提</w:t>
      </w:r>
      <w:r>
        <w:rPr>
          <w:rFonts w:hint="eastAsia" w:ascii="宋体" w:hAnsi="宋体"/>
          <w:sz w:val="24"/>
        </w:rPr>
        <w:t>交供应商签署的授权委托书。授权委托书应当载明代理人的姓名或者名称、代理事项、</w:t>
      </w:r>
      <w:r>
        <w:rPr>
          <w:rFonts w:ascii="宋体" w:hAnsi="宋体"/>
          <w:sz w:val="24"/>
        </w:rPr>
        <w:t xml:space="preserve"> </w:t>
      </w:r>
      <w:r>
        <w:rPr>
          <w:rFonts w:hint="eastAsia" w:ascii="宋体" w:hAnsi="宋体"/>
          <w:sz w:val="24"/>
        </w:rPr>
        <w:t>具体权限、期限和相关事项。供应商为自然人的，应当由本人签字；供应商为法人或者其他组织的，应当由法定代表人、主要负责人签字或者盖章，并加盖公章。</w:t>
      </w:r>
    </w:p>
    <w:p w14:paraId="3BD76477">
      <w:pPr>
        <w:numPr>
          <w:ilvl w:val="2"/>
          <w:numId w:val="29"/>
        </w:numPr>
        <w:snapToGrid w:val="0"/>
        <w:spacing w:line="360" w:lineRule="auto"/>
        <w:rPr>
          <w:rFonts w:hint="eastAsia" w:ascii="宋体" w:hAnsi="宋体"/>
          <w:sz w:val="24"/>
        </w:rPr>
      </w:pPr>
      <w:r>
        <w:rPr>
          <w:rFonts w:ascii="宋体" w:hAnsi="宋体"/>
          <w:sz w:val="24"/>
        </w:rPr>
        <w:t>供应商应在法定质疑期内一次性提出针对同一采购程序环节的质疑，法定质疑期内针对同一采购程序环节再次提出的质疑，采购人、采购代理机构有权不予答复。</w:t>
      </w:r>
    </w:p>
    <w:p w14:paraId="5135F655">
      <w:pPr>
        <w:numPr>
          <w:ilvl w:val="1"/>
          <w:numId w:val="29"/>
        </w:numPr>
        <w:tabs>
          <w:tab w:val="left" w:pos="1080"/>
          <w:tab w:val="left" w:pos="2014"/>
        </w:tabs>
        <w:snapToGrid w:val="0"/>
        <w:spacing w:line="360" w:lineRule="auto"/>
        <w:ind w:left="1077" w:hanging="720"/>
        <w:rPr>
          <w:rFonts w:hint="eastAsia" w:ascii="宋体" w:hAnsi="宋体" w:cs="宋体"/>
          <w:sz w:val="24"/>
        </w:rPr>
      </w:pPr>
      <w:r>
        <w:rPr>
          <w:rFonts w:ascii="宋体" w:hAnsi="宋体" w:cs="宋体"/>
          <w:sz w:val="24"/>
        </w:rPr>
        <w:t>接收询问和质疑的联系部门、联系电话和通讯地址见《供应商须知资料表》</w:t>
      </w:r>
      <w:r>
        <w:rPr>
          <w:rFonts w:hint="eastAsia" w:ascii="宋体" w:hAnsi="宋体" w:cs="宋体"/>
          <w:sz w:val="24"/>
        </w:rPr>
        <w:t>。</w:t>
      </w:r>
    </w:p>
    <w:bookmarkEnd w:id="456"/>
    <w:bookmarkEnd w:id="457"/>
    <w:bookmarkEnd w:id="458"/>
    <w:bookmarkEnd w:id="459"/>
    <w:p w14:paraId="1E37F133">
      <w:pPr>
        <w:numPr>
          <w:ilvl w:val="0"/>
          <w:numId w:val="29"/>
        </w:numPr>
        <w:tabs>
          <w:tab w:val="left" w:pos="360"/>
        </w:tabs>
        <w:snapToGrid w:val="0"/>
        <w:spacing w:line="360" w:lineRule="auto"/>
        <w:ind w:left="357" w:hanging="357"/>
        <w:outlineLvl w:val="1"/>
        <w:rPr>
          <w:rFonts w:hint="eastAsia" w:ascii="宋体" w:hAnsi="宋体"/>
          <w:sz w:val="24"/>
        </w:rPr>
      </w:pPr>
      <w:bookmarkStart w:id="461" w:name="_Toc331685696"/>
      <w:r>
        <w:rPr>
          <w:rFonts w:ascii="宋体" w:hAnsi="宋体"/>
          <w:sz w:val="24"/>
        </w:rPr>
        <w:t>代理费</w:t>
      </w:r>
    </w:p>
    <w:p w14:paraId="632CEE98">
      <w:pPr>
        <w:numPr>
          <w:ilvl w:val="1"/>
          <w:numId w:val="29"/>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收费对象、收费标准及缴纳时间见《供应商须知资料表》。</w:t>
      </w:r>
      <w:r>
        <w:rPr>
          <w:sz w:val="24"/>
        </w:rPr>
        <w:t>由成交供应商支付的，成交供应商须一次性向采购代理机构缴纳代理费，报价应包含代理费用</w:t>
      </w:r>
      <w:r>
        <w:rPr>
          <w:rFonts w:hint="eastAsia"/>
          <w:sz w:val="24"/>
        </w:rPr>
        <w:t>。</w:t>
      </w:r>
    </w:p>
    <w:p w14:paraId="4DCA187B">
      <w:pPr>
        <w:tabs>
          <w:tab w:val="left" w:pos="900"/>
          <w:tab w:val="left" w:pos="1080"/>
          <w:tab w:val="left" w:pos="1589"/>
          <w:tab w:val="left" w:pos="2014"/>
        </w:tabs>
        <w:snapToGrid w:val="0"/>
        <w:spacing w:line="360" w:lineRule="auto"/>
        <w:rPr>
          <w:rFonts w:hint="eastAsia" w:ascii="宋体" w:hAnsi="宋体" w:cs="宋体"/>
          <w:sz w:val="24"/>
        </w:rPr>
        <w:sectPr>
          <w:footerReference r:id="rId15" w:type="default"/>
          <w:headerReference r:id="rId14" w:type="even"/>
          <w:footerReference r:id="rId16" w:type="even"/>
          <w:pgSz w:w="11905" w:h="16838"/>
          <w:pgMar w:top="1247" w:right="1361" w:bottom="1247" w:left="1361" w:header="851" w:footer="992" w:gutter="0"/>
          <w:cols w:space="0" w:num="1"/>
          <w:docGrid w:linePitch="462" w:charSpace="0"/>
        </w:sectPr>
      </w:pPr>
    </w:p>
    <w:bookmarkEnd w:id="461"/>
    <w:p w14:paraId="5D1A09AA">
      <w:pPr>
        <w:spacing w:line="360" w:lineRule="auto"/>
        <w:jc w:val="center"/>
        <w:outlineLvl w:val="0"/>
        <w:rPr>
          <w:rFonts w:hint="eastAsia" w:ascii="宋体" w:hAnsi="宋体" w:cs="仿宋"/>
          <w:b/>
          <w:sz w:val="36"/>
          <w:szCs w:val="36"/>
        </w:rPr>
      </w:pPr>
      <w:bookmarkStart w:id="462" w:name="_Toc127151554"/>
      <w:bookmarkStart w:id="463" w:name="_Toc150774759"/>
      <w:bookmarkStart w:id="464" w:name="_Toc305158896"/>
      <w:bookmarkStart w:id="465" w:name="_Toc142311056"/>
      <w:bookmarkStart w:id="466" w:name="_Toc305158822"/>
      <w:bookmarkStart w:id="467" w:name="_Toc226965827"/>
      <w:bookmarkStart w:id="468" w:name="_Toc265228392"/>
      <w:bookmarkStart w:id="469" w:name="_Toc353825544"/>
      <w:bookmarkStart w:id="470" w:name="_Toc353873664"/>
      <w:bookmarkStart w:id="471" w:name="_Toc353873934"/>
      <w:bookmarkStart w:id="472" w:name="_Toc264969244"/>
      <w:bookmarkStart w:id="473" w:name="_Toc150480792"/>
      <w:bookmarkStart w:id="474" w:name="_Toc226337250"/>
      <w:bookmarkStart w:id="475" w:name="_Toc97371943"/>
      <w:bookmarkStart w:id="476" w:name="_Toc965"/>
      <w:r>
        <w:rPr>
          <w:rFonts w:hint="eastAsia" w:ascii="宋体" w:hAnsi="宋体" w:cs="仿宋"/>
          <w:b/>
          <w:sz w:val="36"/>
          <w:szCs w:val="36"/>
        </w:rPr>
        <w:t>第三章</w:t>
      </w:r>
      <w:bookmarkEnd w:id="462"/>
      <w:bookmarkEnd w:id="463"/>
      <w:bookmarkEnd w:id="464"/>
      <w:bookmarkEnd w:id="465"/>
      <w:bookmarkEnd w:id="466"/>
      <w:bookmarkEnd w:id="467"/>
      <w:bookmarkEnd w:id="468"/>
      <w:bookmarkEnd w:id="469"/>
      <w:bookmarkEnd w:id="470"/>
      <w:bookmarkEnd w:id="471"/>
      <w:bookmarkEnd w:id="472"/>
      <w:bookmarkEnd w:id="473"/>
      <w:bookmarkEnd w:id="474"/>
      <w:r>
        <w:rPr>
          <w:rFonts w:hint="eastAsia" w:ascii="宋体" w:hAnsi="宋体" w:cs="仿宋"/>
          <w:b/>
          <w:sz w:val="36"/>
          <w:szCs w:val="36"/>
        </w:rPr>
        <w:t xml:space="preserve"> 评审方法和评审标准</w:t>
      </w:r>
      <w:bookmarkEnd w:id="475"/>
      <w:bookmarkEnd w:id="476"/>
      <w:bookmarkStart w:id="477" w:name="_Toc487900382"/>
    </w:p>
    <w:p w14:paraId="4AF19693">
      <w:pPr>
        <w:pStyle w:val="4"/>
        <w:spacing w:before="0" w:line="360" w:lineRule="auto"/>
        <w:rPr>
          <w:rFonts w:hint="eastAsia" w:ascii="宋体" w:hAnsi="宋体" w:eastAsia="宋体" w:cs="仿宋"/>
          <w:sz w:val="24"/>
          <w:szCs w:val="24"/>
        </w:rPr>
      </w:pPr>
      <w:r>
        <w:rPr>
          <w:rFonts w:hint="eastAsia" w:ascii="宋体" w:hAnsi="宋体" w:eastAsia="宋体" w:cs="仿宋"/>
          <w:sz w:val="24"/>
          <w:szCs w:val="24"/>
        </w:rPr>
        <w:t>一、资格审查程序</w:t>
      </w:r>
    </w:p>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477"/>
    <w:p w14:paraId="312A5ABF">
      <w:pPr>
        <w:numPr>
          <w:ilvl w:val="0"/>
          <w:numId w:val="31"/>
        </w:numPr>
        <w:tabs>
          <w:tab w:val="left" w:pos="360"/>
        </w:tabs>
        <w:snapToGrid w:val="0"/>
        <w:spacing w:line="360" w:lineRule="auto"/>
        <w:outlineLvl w:val="1"/>
        <w:rPr>
          <w:rFonts w:hint="eastAsia" w:ascii="宋体" w:hAnsi="宋体" w:cs="宋体"/>
          <w:sz w:val="24"/>
        </w:rPr>
      </w:pPr>
      <w:bookmarkStart w:id="478" w:name="_Toc151193711"/>
      <w:bookmarkStart w:id="479" w:name="_Toc164351635"/>
      <w:bookmarkStart w:id="480" w:name="_Toc305158809"/>
      <w:bookmarkStart w:id="481" w:name="_Toc226337237"/>
      <w:bookmarkStart w:id="482" w:name="_Toc305158883"/>
      <w:bookmarkStart w:id="483" w:name="_Toc164608810"/>
      <w:bookmarkStart w:id="484" w:name="_Toc151193639"/>
      <w:bookmarkStart w:id="485" w:name="_Toc150774746"/>
      <w:bookmarkStart w:id="486" w:name="_Toc226965731"/>
      <w:bookmarkStart w:id="487" w:name="_Toc164608655"/>
      <w:bookmarkStart w:id="488" w:name="_Toc151193855"/>
      <w:bookmarkStart w:id="489" w:name="_Toc150509292"/>
      <w:bookmarkStart w:id="490" w:name="_Toc127151742"/>
      <w:bookmarkStart w:id="491" w:name="_Toc151193783"/>
      <w:bookmarkStart w:id="492" w:name="_Toc149720834"/>
      <w:bookmarkStart w:id="493" w:name="_Toc195842906"/>
      <w:bookmarkStart w:id="494" w:name="_Toc164229382"/>
      <w:bookmarkStart w:id="495" w:name="_Toc127161455"/>
      <w:bookmarkStart w:id="496" w:name="_Toc150480779"/>
      <w:bookmarkStart w:id="497" w:name="_Toc142311043"/>
      <w:bookmarkStart w:id="498" w:name="_Toc150774641"/>
      <w:bookmarkStart w:id="499" w:name="_Toc265228379"/>
      <w:bookmarkStart w:id="500" w:name="_Toc164229236"/>
      <w:bookmarkStart w:id="501" w:name="_Toc127151541"/>
      <w:bookmarkStart w:id="502" w:name="_Toc226309785"/>
      <w:bookmarkStart w:id="503" w:name="_Toc151193929"/>
      <w:bookmarkStart w:id="504" w:name="_Toc264969231"/>
      <w:bookmarkStart w:id="505" w:name="_Toc226965814"/>
      <w:bookmarkStart w:id="506" w:name="_Toc151190168"/>
      <w:bookmarkStart w:id="507" w:name="_Toc353873941"/>
      <w:bookmarkStart w:id="508" w:name="_Toc353825551"/>
      <w:bookmarkStart w:id="509" w:name="_Toc226337251"/>
      <w:bookmarkStart w:id="510" w:name="_Toc264969245"/>
      <w:bookmarkStart w:id="511" w:name="_Toc127151555"/>
      <w:bookmarkStart w:id="512" w:name="_Toc305158897"/>
      <w:bookmarkStart w:id="513" w:name="_Toc353873935"/>
      <w:bookmarkStart w:id="514" w:name="_Toc142311057"/>
      <w:bookmarkStart w:id="515" w:name="_Toc150774760"/>
      <w:bookmarkStart w:id="516" w:name="_Toc305158823"/>
      <w:bookmarkStart w:id="517" w:name="_Toc150480793"/>
      <w:bookmarkStart w:id="518" w:name="_Toc353825545"/>
      <w:bookmarkStart w:id="519" w:name="_Toc353873665"/>
      <w:bookmarkStart w:id="520" w:name="_Toc195842920"/>
      <w:bookmarkStart w:id="521" w:name="_Toc265228393"/>
      <w:bookmarkStart w:id="522" w:name="_Toc226965828"/>
      <w:r>
        <w:rPr>
          <w:rFonts w:hint="eastAsia" w:ascii="宋体" w:hAnsi="宋体" w:cs="宋体"/>
          <w:sz w:val="24"/>
        </w:rPr>
        <w:t>响应文件的</w:t>
      </w:r>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r>
        <w:rPr>
          <w:rFonts w:hint="eastAsia" w:ascii="宋体" w:hAnsi="宋体" w:cs="宋体"/>
          <w:sz w:val="24"/>
        </w:rPr>
        <w:t>资格性审查和符合性审查</w:t>
      </w:r>
    </w:p>
    <w:p w14:paraId="40E826F5">
      <w:pPr>
        <w:numPr>
          <w:ilvl w:val="1"/>
          <w:numId w:val="31"/>
        </w:numPr>
        <w:tabs>
          <w:tab w:val="left" w:pos="1080"/>
        </w:tabs>
        <w:snapToGrid w:val="0"/>
        <w:spacing w:line="360" w:lineRule="auto"/>
        <w:ind w:left="1077" w:hanging="720"/>
        <w:rPr>
          <w:rFonts w:hint="eastAsia" w:ascii="宋体" w:hAnsi="宋体" w:cs="宋体"/>
          <w:sz w:val="24"/>
        </w:rPr>
      </w:pPr>
      <w:r>
        <w:rPr>
          <w:rFonts w:hint="eastAsia" w:ascii="宋体" w:hAnsi="宋体" w:cs="宋体"/>
          <w:sz w:val="24"/>
        </w:rPr>
        <w:t>磋商小组将根据《资格性审查要求》和《符合性审查要求》中规定的内容，对供应商进行审查，并形成审查结果。供应商《响应文件》有任何一项不符合《资格性审查要求》和《符合性审查要求》要求的，视为未实质性响应磋商文件。未实质性响应磋商文件的响应文件按</w:t>
      </w:r>
      <w:r>
        <w:rPr>
          <w:rFonts w:hint="eastAsia" w:ascii="宋体" w:hAnsi="宋体" w:cs="宋体"/>
          <w:b/>
          <w:sz w:val="24"/>
        </w:rPr>
        <w:t>无效响应</w:t>
      </w:r>
      <w:r>
        <w:rPr>
          <w:rFonts w:hint="eastAsia" w:ascii="宋体" w:hAnsi="宋体" w:cs="宋体"/>
          <w:sz w:val="24"/>
        </w:rPr>
        <w:t>处理，磋商小组应当告知提交响应文件的供应商。</w:t>
      </w:r>
    </w:p>
    <w:p w14:paraId="252B491E">
      <w:pPr>
        <w:numPr>
          <w:ilvl w:val="1"/>
          <w:numId w:val="31"/>
        </w:numPr>
        <w:tabs>
          <w:tab w:val="left" w:pos="1080"/>
        </w:tabs>
        <w:snapToGrid w:val="0"/>
        <w:spacing w:line="360" w:lineRule="auto"/>
        <w:ind w:left="1077" w:hanging="720"/>
        <w:rPr>
          <w:rFonts w:hint="eastAsia" w:ascii="宋体" w:hAnsi="宋体" w:cs="宋体"/>
          <w:sz w:val="24"/>
        </w:rPr>
      </w:pPr>
      <w:r>
        <w:rPr>
          <w:rFonts w:hint="eastAsia" w:ascii="宋体" w:hAnsi="宋体" w:cs="宋体"/>
          <w:sz w:val="24"/>
        </w:rPr>
        <w:t>《资格性审查要求》中对格式有要求的，除竞争性磋商文件另有规定外，均为“实质性格式”文件。</w:t>
      </w:r>
    </w:p>
    <w:p w14:paraId="08A0BBA6">
      <w:pPr>
        <w:numPr>
          <w:ilvl w:val="1"/>
          <w:numId w:val="31"/>
        </w:numPr>
        <w:tabs>
          <w:tab w:val="left" w:pos="1080"/>
        </w:tabs>
        <w:snapToGrid w:val="0"/>
        <w:spacing w:line="360" w:lineRule="auto"/>
        <w:ind w:left="1077" w:hanging="720"/>
        <w:rPr>
          <w:rFonts w:hint="eastAsia" w:ascii="宋体" w:hAnsi="宋体" w:cs="宋体"/>
          <w:sz w:val="24"/>
        </w:rPr>
      </w:pPr>
      <w:r>
        <w:rPr>
          <w:rFonts w:hint="eastAsia" w:ascii="宋体" w:hAnsi="宋体" w:cs="宋体"/>
          <w:sz w:val="24"/>
        </w:rPr>
        <w:t>《资格性审查要求》见下表：</w:t>
      </w:r>
    </w:p>
    <w:p w14:paraId="194B882E">
      <w:pPr>
        <w:tabs>
          <w:tab w:val="left" w:pos="900"/>
          <w:tab w:val="left" w:pos="1080"/>
        </w:tabs>
        <w:snapToGrid w:val="0"/>
        <w:spacing w:line="360" w:lineRule="auto"/>
        <w:ind w:left="1077" w:firstLine="2650" w:firstLineChars="1100"/>
        <w:rPr>
          <w:rFonts w:hint="eastAsia" w:ascii="宋体" w:hAnsi="宋体" w:cs="仿宋"/>
          <w:b/>
          <w:sz w:val="24"/>
        </w:rPr>
      </w:pPr>
      <w:r>
        <w:rPr>
          <w:rFonts w:hint="eastAsia" w:ascii="宋体" w:hAnsi="宋体" w:cs="仿宋"/>
          <w:b/>
          <w:sz w:val="24"/>
        </w:rPr>
        <w:t>资格性检查要求</w:t>
      </w:r>
    </w:p>
    <w:tbl>
      <w:tblPr>
        <w:tblStyle w:val="88"/>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37"/>
        <w:gridCol w:w="1917"/>
        <w:gridCol w:w="5230"/>
        <w:gridCol w:w="1415"/>
      </w:tblGrid>
      <w:tr w14:paraId="487711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blHeader/>
          <w:jc w:val="center"/>
        </w:trPr>
        <w:tc>
          <w:tcPr>
            <w:tcW w:w="445" w:type="pct"/>
            <w:vAlign w:val="center"/>
          </w:tcPr>
          <w:p w14:paraId="01B3FB05">
            <w:pPr>
              <w:tabs>
                <w:tab w:val="left" w:pos="1080"/>
              </w:tabs>
              <w:snapToGrid w:val="0"/>
              <w:jc w:val="center"/>
              <w:rPr>
                <w:rFonts w:hint="eastAsia" w:ascii="宋体" w:hAnsi="宋体" w:cs="仿宋"/>
                <w:b/>
                <w:sz w:val="24"/>
              </w:rPr>
            </w:pPr>
            <w:bookmarkStart w:id="523" w:name="_Hlt487972895"/>
            <w:bookmarkEnd w:id="523"/>
            <w:r>
              <w:rPr>
                <w:rFonts w:hint="eastAsia" w:ascii="宋体" w:hAnsi="宋体" w:cs="仿宋"/>
                <w:b/>
                <w:sz w:val="24"/>
              </w:rPr>
              <w:t>序号</w:t>
            </w:r>
          </w:p>
        </w:tc>
        <w:tc>
          <w:tcPr>
            <w:tcW w:w="1020" w:type="pct"/>
            <w:vAlign w:val="center"/>
          </w:tcPr>
          <w:p w14:paraId="70B1AC08">
            <w:pPr>
              <w:tabs>
                <w:tab w:val="left" w:pos="1080"/>
              </w:tabs>
              <w:snapToGrid w:val="0"/>
              <w:jc w:val="center"/>
              <w:rPr>
                <w:rFonts w:hint="eastAsia" w:ascii="宋体" w:hAnsi="宋体" w:cs="仿宋"/>
                <w:b/>
                <w:sz w:val="24"/>
              </w:rPr>
            </w:pPr>
            <w:r>
              <w:rPr>
                <w:rFonts w:hint="eastAsia" w:ascii="宋体" w:hAnsi="宋体" w:cs="仿宋"/>
                <w:b/>
                <w:sz w:val="24"/>
              </w:rPr>
              <w:t>审查因素</w:t>
            </w:r>
          </w:p>
        </w:tc>
        <w:tc>
          <w:tcPr>
            <w:tcW w:w="2782" w:type="pct"/>
            <w:vAlign w:val="center"/>
          </w:tcPr>
          <w:p w14:paraId="6B21981B">
            <w:pPr>
              <w:tabs>
                <w:tab w:val="left" w:pos="1080"/>
              </w:tabs>
              <w:snapToGrid w:val="0"/>
              <w:jc w:val="center"/>
              <w:rPr>
                <w:rFonts w:hint="eastAsia" w:ascii="宋体" w:hAnsi="宋体" w:cs="仿宋"/>
                <w:b/>
                <w:sz w:val="24"/>
              </w:rPr>
            </w:pPr>
            <w:r>
              <w:rPr>
                <w:rFonts w:hint="eastAsia" w:ascii="宋体" w:hAnsi="宋体" w:cs="仿宋"/>
                <w:b/>
                <w:sz w:val="24"/>
              </w:rPr>
              <w:t>审查内容</w:t>
            </w:r>
          </w:p>
        </w:tc>
        <w:tc>
          <w:tcPr>
            <w:tcW w:w="753" w:type="pct"/>
            <w:vAlign w:val="center"/>
          </w:tcPr>
          <w:p w14:paraId="02D535A1">
            <w:pPr>
              <w:tabs>
                <w:tab w:val="left" w:pos="1080"/>
              </w:tabs>
              <w:snapToGrid w:val="0"/>
              <w:jc w:val="center"/>
              <w:rPr>
                <w:rFonts w:hint="eastAsia" w:ascii="宋体" w:hAnsi="宋体" w:cs="仿宋"/>
                <w:b/>
                <w:sz w:val="24"/>
              </w:rPr>
            </w:pPr>
            <w:r>
              <w:rPr>
                <w:rFonts w:hint="eastAsia" w:ascii="宋体" w:hAnsi="宋体" w:cs="仿宋"/>
                <w:b/>
                <w:sz w:val="24"/>
              </w:rPr>
              <w:t>格式要求</w:t>
            </w:r>
          </w:p>
        </w:tc>
      </w:tr>
      <w:tr w14:paraId="60D270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jc w:val="center"/>
        </w:trPr>
        <w:tc>
          <w:tcPr>
            <w:tcW w:w="445" w:type="pct"/>
            <w:vAlign w:val="center"/>
          </w:tcPr>
          <w:p w14:paraId="1AED9F19">
            <w:pPr>
              <w:tabs>
                <w:tab w:val="left" w:pos="1080"/>
              </w:tabs>
              <w:snapToGrid w:val="0"/>
              <w:jc w:val="center"/>
              <w:rPr>
                <w:rFonts w:hint="eastAsia" w:ascii="宋体" w:hAnsi="宋体" w:cs="宋体"/>
                <w:sz w:val="24"/>
              </w:rPr>
            </w:pPr>
            <w:r>
              <w:rPr>
                <w:rFonts w:hint="eastAsia" w:ascii="宋体" w:hAnsi="宋体" w:cs="宋体"/>
                <w:sz w:val="24"/>
              </w:rPr>
              <w:t>1</w:t>
            </w:r>
          </w:p>
        </w:tc>
        <w:tc>
          <w:tcPr>
            <w:tcW w:w="1020" w:type="pct"/>
            <w:vAlign w:val="center"/>
          </w:tcPr>
          <w:p w14:paraId="28FD419F">
            <w:pPr>
              <w:tabs>
                <w:tab w:val="left" w:pos="1080"/>
              </w:tabs>
              <w:snapToGrid w:val="0"/>
              <w:jc w:val="left"/>
              <w:rPr>
                <w:rFonts w:hint="eastAsia" w:ascii="宋体" w:hAnsi="宋体" w:cs="宋体"/>
                <w:sz w:val="24"/>
              </w:rPr>
            </w:pPr>
            <w:r>
              <w:rPr>
                <w:rFonts w:hint="eastAsia" w:ascii="宋体" w:hAnsi="宋体" w:cs="宋体"/>
                <w:sz w:val="24"/>
              </w:rPr>
              <w:t>满足《中华人民共和国政府采购法》第二十二条规定及法律法规的其他规定</w:t>
            </w:r>
          </w:p>
        </w:tc>
        <w:tc>
          <w:tcPr>
            <w:tcW w:w="2782" w:type="pct"/>
            <w:vAlign w:val="center"/>
          </w:tcPr>
          <w:p w14:paraId="16CB4BCD">
            <w:pPr>
              <w:tabs>
                <w:tab w:val="left" w:pos="1080"/>
              </w:tabs>
              <w:snapToGrid w:val="0"/>
              <w:jc w:val="left"/>
              <w:rPr>
                <w:rFonts w:hint="eastAsia" w:ascii="宋体" w:hAnsi="宋体" w:cs="宋体"/>
                <w:sz w:val="24"/>
              </w:rPr>
            </w:pPr>
            <w:r>
              <w:rPr>
                <w:rFonts w:hint="eastAsia" w:ascii="宋体" w:hAnsi="宋体" w:cs="宋体"/>
                <w:sz w:val="24"/>
              </w:rPr>
              <w:t>具体规定见第一章《采购邀请》</w:t>
            </w:r>
          </w:p>
        </w:tc>
        <w:tc>
          <w:tcPr>
            <w:tcW w:w="753" w:type="pct"/>
            <w:vAlign w:val="center"/>
          </w:tcPr>
          <w:p w14:paraId="1027C58D">
            <w:pPr>
              <w:tabs>
                <w:tab w:val="left" w:pos="1080"/>
              </w:tabs>
              <w:snapToGrid w:val="0"/>
              <w:jc w:val="left"/>
              <w:rPr>
                <w:rFonts w:hint="eastAsia" w:ascii="宋体" w:hAnsi="宋体" w:cs="宋体"/>
                <w:sz w:val="24"/>
              </w:rPr>
            </w:pPr>
          </w:p>
        </w:tc>
      </w:tr>
      <w:tr w14:paraId="6D7479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033" w:hRule="atLeast"/>
          <w:jc w:val="center"/>
        </w:trPr>
        <w:tc>
          <w:tcPr>
            <w:tcW w:w="445" w:type="pct"/>
            <w:vAlign w:val="center"/>
          </w:tcPr>
          <w:p w14:paraId="042103DB">
            <w:pPr>
              <w:tabs>
                <w:tab w:val="left" w:pos="1080"/>
              </w:tabs>
              <w:snapToGrid w:val="0"/>
              <w:jc w:val="center"/>
              <w:rPr>
                <w:rFonts w:hint="eastAsia" w:ascii="宋体" w:hAnsi="宋体" w:cs="宋体"/>
                <w:sz w:val="24"/>
              </w:rPr>
            </w:pPr>
            <w:r>
              <w:rPr>
                <w:rFonts w:hint="eastAsia" w:ascii="宋体" w:hAnsi="宋体" w:cs="宋体"/>
                <w:sz w:val="24"/>
              </w:rPr>
              <w:t>1-1</w:t>
            </w:r>
          </w:p>
        </w:tc>
        <w:tc>
          <w:tcPr>
            <w:tcW w:w="1020" w:type="pct"/>
            <w:vAlign w:val="center"/>
          </w:tcPr>
          <w:p w14:paraId="019DA255">
            <w:pPr>
              <w:tabs>
                <w:tab w:val="left" w:pos="1080"/>
              </w:tabs>
              <w:snapToGrid w:val="0"/>
              <w:jc w:val="left"/>
              <w:rPr>
                <w:rFonts w:hint="eastAsia" w:ascii="宋体" w:hAnsi="宋体" w:cs="宋体"/>
                <w:sz w:val="24"/>
              </w:rPr>
            </w:pPr>
            <w:r>
              <w:rPr>
                <w:rFonts w:hint="eastAsia" w:ascii="宋体" w:hAnsi="宋体" w:cs="宋体"/>
                <w:sz w:val="24"/>
              </w:rPr>
              <w:t>营业执照等证明文件</w:t>
            </w:r>
          </w:p>
        </w:tc>
        <w:tc>
          <w:tcPr>
            <w:tcW w:w="2782" w:type="pct"/>
            <w:vAlign w:val="center"/>
          </w:tcPr>
          <w:p w14:paraId="17694C15">
            <w:pPr>
              <w:tabs>
                <w:tab w:val="left" w:pos="1080"/>
              </w:tabs>
              <w:snapToGrid w:val="0"/>
              <w:jc w:val="left"/>
              <w:rPr>
                <w:rFonts w:hint="eastAsia" w:ascii="宋体" w:hAnsi="宋体" w:cs="宋体"/>
                <w:sz w:val="24"/>
              </w:rPr>
            </w:pPr>
            <w:bookmarkStart w:id="524" w:name="OLE_LINK1"/>
            <w:r>
              <w:rPr>
                <w:rFonts w:hint="eastAsia" w:ascii="宋体" w:hAnsi="宋体" w:cs="宋体"/>
                <w:sz w:val="24"/>
              </w:rPr>
              <w:t>供应商为企业（包括合伙企业）的，应提供有效的“营业执照”；</w:t>
            </w:r>
          </w:p>
          <w:p w14:paraId="3D9873C2">
            <w:pPr>
              <w:tabs>
                <w:tab w:val="left" w:pos="1080"/>
              </w:tabs>
              <w:snapToGrid w:val="0"/>
              <w:jc w:val="left"/>
              <w:rPr>
                <w:rFonts w:hint="eastAsia" w:ascii="宋体" w:hAnsi="宋体" w:cs="宋体"/>
                <w:sz w:val="24"/>
              </w:rPr>
            </w:pPr>
            <w:r>
              <w:rPr>
                <w:rFonts w:hint="eastAsia" w:ascii="宋体" w:hAnsi="宋体" w:cs="宋体"/>
                <w:sz w:val="24"/>
              </w:rPr>
              <w:t>供应商为事业单位的，应提供有效的“事业单位法人证书”；</w:t>
            </w:r>
          </w:p>
          <w:p w14:paraId="1C9DAC50">
            <w:pPr>
              <w:tabs>
                <w:tab w:val="left" w:pos="1080"/>
              </w:tabs>
              <w:snapToGrid w:val="0"/>
              <w:jc w:val="left"/>
              <w:rPr>
                <w:rFonts w:hint="eastAsia" w:ascii="宋体" w:hAnsi="宋体" w:cs="宋体"/>
                <w:sz w:val="24"/>
              </w:rPr>
            </w:pPr>
            <w:r>
              <w:rPr>
                <w:rFonts w:hint="eastAsia" w:ascii="宋体" w:hAnsi="宋体" w:cs="宋体"/>
                <w:sz w:val="24"/>
              </w:rPr>
              <w:t>供应商是非企业机构的，应提供有效的“执业许可证”“登记证书”等证明文件；</w:t>
            </w:r>
          </w:p>
          <w:p w14:paraId="67E83826">
            <w:pPr>
              <w:tabs>
                <w:tab w:val="left" w:pos="1080"/>
              </w:tabs>
              <w:snapToGrid w:val="0"/>
              <w:jc w:val="left"/>
              <w:rPr>
                <w:rFonts w:hint="eastAsia" w:ascii="宋体" w:hAnsi="宋体" w:cs="宋体"/>
                <w:sz w:val="24"/>
              </w:rPr>
            </w:pPr>
            <w:r>
              <w:rPr>
                <w:rFonts w:hint="eastAsia" w:ascii="宋体" w:hAnsi="宋体" w:cs="宋体"/>
                <w:sz w:val="24"/>
              </w:rPr>
              <w:t>供应商是个体工商户的，应提供有效的“个体工商户营业执照”；</w:t>
            </w:r>
          </w:p>
          <w:p w14:paraId="52BF07C2">
            <w:pPr>
              <w:tabs>
                <w:tab w:val="left" w:pos="1080"/>
              </w:tabs>
              <w:snapToGrid w:val="0"/>
              <w:jc w:val="left"/>
              <w:rPr>
                <w:rFonts w:hint="eastAsia" w:ascii="宋体" w:hAnsi="宋体" w:cs="宋体"/>
                <w:sz w:val="24"/>
              </w:rPr>
            </w:pPr>
            <w:r>
              <w:rPr>
                <w:rFonts w:hint="eastAsia" w:ascii="宋体" w:hAnsi="宋体" w:cs="宋体"/>
                <w:sz w:val="24"/>
              </w:rPr>
              <w:t>供应商是自然人的，应提供有效的自然人身份证明。</w:t>
            </w:r>
            <w:bookmarkEnd w:id="524"/>
          </w:p>
        </w:tc>
        <w:tc>
          <w:tcPr>
            <w:tcW w:w="753" w:type="pct"/>
            <w:vAlign w:val="center"/>
          </w:tcPr>
          <w:p w14:paraId="05998448">
            <w:pPr>
              <w:tabs>
                <w:tab w:val="left" w:pos="1080"/>
              </w:tabs>
              <w:snapToGrid w:val="0"/>
              <w:jc w:val="left"/>
              <w:rPr>
                <w:rFonts w:hint="eastAsia" w:ascii="宋体" w:hAnsi="宋体" w:cs="宋体"/>
                <w:sz w:val="24"/>
              </w:rPr>
            </w:pPr>
            <w:r>
              <w:rPr>
                <w:rFonts w:hint="eastAsia" w:ascii="宋体" w:hAnsi="宋体" w:cs="宋体"/>
                <w:sz w:val="24"/>
              </w:rPr>
              <w:t>提供证明文件的电子件或电子证照</w:t>
            </w:r>
          </w:p>
        </w:tc>
      </w:tr>
      <w:tr w14:paraId="2574FA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48" w:hRule="atLeast"/>
          <w:jc w:val="center"/>
        </w:trPr>
        <w:tc>
          <w:tcPr>
            <w:tcW w:w="445" w:type="pct"/>
            <w:vAlign w:val="center"/>
          </w:tcPr>
          <w:p w14:paraId="286E978F">
            <w:pPr>
              <w:tabs>
                <w:tab w:val="left" w:pos="1080"/>
              </w:tabs>
              <w:snapToGrid w:val="0"/>
              <w:jc w:val="center"/>
              <w:rPr>
                <w:rFonts w:hint="eastAsia" w:ascii="宋体" w:hAnsi="宋体" w:cs="宋体"/>
                <w:sz w:val="24"/>
              </w:rPr>
            </w:pPr>
            <w:r>
              <w:rPr>
                <w:rFonts w:hint="eastAsia" w:ascii="宋体" w:hAnsi="宋体" w:cs="宋体"/>
                <w:sz w:val="24"/>
              </w:rPr>
              <w:t>1-2</w:t>
            </w:r>
          </w:p>
        </w:tc>
        <w:tc>
          <w:tcPr>
            <w:tcW w:w="1020" w:type="pct"/>
            <w:vAlign w:val="center"/>
          </w:tcPr>
          <w:p w14:paraId="35B90B69">
            <w:pPr>
              <w:tabs>
                <w:tab w:val="left" w:pos="1080"/>
              </w:tabs>
              <w:snapToGrid w:val="0"/>
              <w:jc w:val="left"/>
              <w:rPr>
                <w:rFonts w:hint="eastAsia" w:ascii="宋体" w:hAnsi="宋体" w:cs="宋体"/>
                <w:sz w:val="24"/>
              </w:rPr>
            </w:pPr>
            <w:r>
              <w:rPr>
                <w:rFonts w:hint="eastAsia" w:ascii="宋体" w:hAnsi="宋体" w:cs="宋体"/>
                <w:sz w:val="24"/>
              </w:rPr>
              <w:t>供应商资格声明书</w:t>
            </w:r>
          </w:p>
        </w:tc>
        <w:tc>
          <w:tcPr>
            <w:tcW w:w="2782" w:type="pct"/>
            <w:vAlign w:val="center"/>
          </w:tcPr>
          <w:p w14:paraId="16F79968">
            <w:pPr>
              <w:tabs>
                <w:tab w:val="left" w:pos="1080"/>
              </w:tabs>
              <w:snapToGrid w:val="0"/>
              <w:jc w:val="left"/>
              <w:rPr>
                <w:rFonts w:hint="eastAsia" w:ascii="宋体" w:hAnsi="宋体" w:cs="宋体"/>
                <w:sz w:val="24"/>
              </w:rPr>
            </w:pPr>
            <w:r>
              <w:rPr>
                <w:rFonts w:hint="eastAsia" w:ascii="宋体" w:hAnsi="宋体" w:cs="宋体"/>
                <w:sz w:val="24"/>
              </w:rPr>
              <w:t>提供了符合竞争性磋商文件要求的《供应商资格声明书》。</w:t>
            </w:r>
          </w:p>
        </w:tc>
        <w:tc>
          <w:tcPr>
            <w:tcW w:w="753" w:type="pct"/>
            <w:vAlign w:val="center"/>
          </w:tcPr>
          <w:p w14:paraId="33C4F197">
            <w:pPr>
              <w:tabs>
                <w:tab w:val="left" w:pos="1080"/>
              </w:tabs>
              <w:snapToGrid w:val="0"/>
              <w:jc w:val="left"/>
              <w:rPr>
                <w:rFonts w:hint="eastAsia" w:ascii="宋体" w:hAnsi="宋体" w:cs="宋体"/>
                <w:sz w:val="24"/>
              </w:rPr>
            </w:pPr>
            <w:r>
              <w:rPr>
                <w:rFonts w:hint="eastAsia" w:ascii="宋体" w:hAnsi="宋体" w:cs="宋体"/>
                <w:sz w:val="24"/>
              </w:rPr>
              <w:t>详见《响应文件格式》</w:t>
            </w:r>
          </w:p>
        </w:tc>
      </w:tr>
      <w:tr w14:paraId="6D101D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48" w:hRule="atLeast"/>
          <w:jc w:val="center"/>
        </w:trPr>
        <w:tc>
          <w:tcPr>
            <w:tcW w:w="445" w:type="pct"/>
            <w:vAlign w:val="center"/>
          </w:tcPr>
          <w:p w14:paraId="13B2807D">
            <w:pPr>
              <w:tabs>
                <w:tab w:val="left" w:pos="1080"/>
              </w:tabs>
              <w:snapToGrid w:val="0"/>
              <w:jc w:val="center"/>
              <w:rPr>
                <w:rFonts w:hint="eastAsia" w:ascii="宋体" w:hAnsi="宋体" w:cs="宋体"/>
                <w:sz w:val="24"/>
              </w:rPr>
            </w:pPr>
            <w:r>
              <w:rPr>
                <w:rFonts w:hint="eastAsia" w:ascii="宋体" w:hAnsi="宋体" w:cs="宋体"/>
                <w:sz w:val="24"/>
              </w:rPr>
              <w:t>1-3</w:t>
            </w:r>
          </w:p>
        </w:tc>
        <w:tc>
          <w:tcPr>
            <w:tcW w:w="1020" w:type="pct"/>
            <w:vAlign w:val="center"/>
          </w:tcPr>
          <w:p w14:paraId="41F7F734">
            <w:pPr>
              <w:tabs>
                <w:tab w:val="left" w:pos="1080"/>
              </w:tabs>
              <w:snapToGrid w:val="0"/>
              <w:jc w:val="left"/>
              <w:rPr>
                <w:rFonts w:hint="eastAsia" w:ascii="宋体" w:hAnsi="宋体" w:cs="宋体"/>
                <w:sz w:val="24"/>
              </w:rPr>
            </w:pPr>
            <w:r>
              <w:rPr>
                <w:rFonts w:hint="eastAsia" w:ascii="宋体" w:hAnsi="宋体" w:cs="宋体"/>
                <w:sz w:val="24"/>
              </w:rPr>
              <w:t>供应商信用记录</w:t>
            </w:r>
          </w:p>
        </w:tc>
        <w:tc>
          <w:tcPr>
            <w:tcW w:w="2782" w:type="pct"/>
            <w:vAlign w:val="center"/>
          </w:tcPr>
          <w:p w14:paraId="60D35DC8">
            <w:pPr>
              <w:tabs>
                <w:tab w:val="left" w:pos="1080"/>
              </w:tabs>
              <w:snapToGrid w:val="0"/>
              <w:rPr>
                <w:rFonts w:hint="eastAsia" w:ascii="宋体" w:hAnsi="宋体" w:cs="宋体"/>
                <w:sz w:val="24"/>
              </w:rPr>
            </w:pPr>
            <w:bookmarkStart w:id="525" w:name="OLE_LINK2"/>
            <w:bookmarkStart w:id="526" w:name="OLE_LINK3"/>
            <w:r>
              <w:rPr>
                <w:rFonts w:hint="eastAsia" w:ascii="宋体" w:hAnsi="宋体" w:cs="宋体"/>
                <w:sz w:val="24"/>
              </w:rPr>
              <w:t>查询渠道：信用中国网站和中国政府采购网(www.creditchina.gov.cn、www.ccgp.gov.cn）；</w:t>
            </w:r>
          </w:p>
          <w:p w14:paraId="27C19DF8">
            <w:pPr>
              <w:tabs>
                <w:tab w:val="left" w:pos="900"/>
                <w:tab w:val="left" w:pos="1980"/>
              </w:tabs>
              <w:snapToGrid w:val="0"/>
              <w:rPr>
                <w:rFonts w:hint="eastAsia" w:ascii="宋体" w:hAnsi="宋体" w:cs="宋体"/>
                <w:sz w:val="24"/>
              </w:rPr>
            </w:pPr>
            <w:r>
              <w:rPr>
                <w:rFonts w:hint="eastAsia" w:ascii="宋体" w:hAnsi="宋体" w:cs="宋体"/>
                <w:sz w:val="24"/>
              </w:rPr>
              <w:t>截止时点：</w:t>
            </w:r>
            <w:r>
              <w:rPr>
                <w:rFonts w:hint="eastAsia" w:ascii="宋体" w:hAnsi="宋体" w:cs="宋体"/>
                <w:kern w:val="0"/>
                <w:sz w:val="24"/>
              </w:rPr>
              <w:t>首次响应文件提交截止时间以后</w:t>
            </w:r>
            <w:r>
              <w:rPr>
                <w:rFonts w:hint="eastAsia" w:ascii="宋体" w:hAnsi="宋体" w:cs="宋体"/>
                <w:sz w:val="24"/>
              </w:rPr>
              <w:t>、资格性检查阶段采购人或采购代理机构的实际查询时间为准；</w:t>
            </w:r>
          </w:p>
          <w:p w14:paraId="49D6048A">
            <w:pPr>
              <w:tabs>
                <w:tab w:val="left" w:pos="900"/>
                <w:tab w:val="left" w:pos="1980"/>
              </w:tabs>
              <w:snapToGrid w:val="0"/>
              <w:jc w:val="left"/>
              <w:rPr>
                <w:rFonts w:hint="eastAsia" w:ascii="宋体" w:hAnsi="宋体" w:cs="宋体"/>
                <w:sz w:val="24"/>
              </w:rPr>
            </w:pPr>
            <w:r>
              <w:rPr>
                <w:rFonts w:hint="eastAsia" w:ascii="宋体" w:hAnsi="宋体" w:cs="宋体"/>
                <w:sz w:val="24"/>
              </w:rPr>
              <w:t>信用信息查询记录和证据留存具体方式：查询结果网页打印页作为查询记录和证据，与其他竞争性磋商文件一并保存；</w:t>
            </w:r>
          </w:p>
          <w:p w14:paraId="32790CFB">
            <w:pPr>
              <w:tabs>
                <w:tab w:val="left" w:pos="1080"/>
              </w:tabs>
              <w:snapToGrid w:val="0"/>
              <w:jc w:val="left"/>
              <w:rPr>
                <w:rFonts w:hint="eastAsia" w:ascii="宋体" w:hAnsi="宋体" w:cs="宋体"/>
                <w:sz w:val="24"/>
              </w:rPr>
            </w:pPr>
            <w:r>
              <w:rPr>
                <w:rFonts w:hint="eastAsia" w:ascii="宋体" w:hAnsi="宋体" w:cs="宋体"/>
                <w:sz w:val="24"/>
              </w:rPr>
              <w:t>信用信息的使用原则：经认定的被列入失信被执行人、重大税收违法案件当事人名单、政府采购严重违法失信行为记录名单的供应商，其</w:t>
            </w:r>
            <w:r>
              <w:rPr>
                <w:rFonts w:hint="eastAsia" w:ascii="宋体" w:hAnsi="宋体" w:cs="宋体"/>
                <w:b/>
                <w:sz w:val="24"/>
              </w:rPr>
              <w:t>响应无</w:t>
            </w:r>
            <w:r>
              <w:rPr>
                <w:rFonts w:hint="eastAsia" w:ascii="宋体" w:hAnsi="宋体" w:cs="宋体"/>
                <w:b/>
                <w:bCs/>
                <w:sz w:val="24"/>
              </w:rPr>
              <w:t>效</w:t>
            </w:r>
            <w:r>
              <w:rPr>
                <w:rFonts w:hint="eastAsia" w:ascii="宋体" w:hAnsi="宋体" w:cs="宋体"/>
                <w:sz w:val="24"/>
              </w:rPr>
              <w:t>。</w:t>
            </w:r>
            <w:bookmarkEnd w:id="525"/>
            <w:bookmarkEnd w:id="526"/>
          </w:p>
        </w:tc>
        <w:tc>
          <w:tcPr>
            <w:tcW w:w="753" w:type="pct"/>
            <w:vAlign w:val="center"/>
          </w:tcPr>
          <w:p w14:paraId="68F3D3C5">
            <w:pPr>
              <w:tabs>
                <w:tab w:val="left" w:pos="1080"/>
              </w:tabs>
              <w:snapToGrid w:val="0"/>
              <w:rPr>
                <w:rFonts w:hint="eastAsia" w:ascii="宋体" w:hAnsi="宋体" w:cs="宋体"/>
                <w:sz w:val="24"/>
              </w:rPr>
            </w:pPr>
            <w:r>
              <w:rPr>
                <w:rFonts w:hint="eastAsia" w:ascii="宋体" w:hAnsi="宋体" w:cs="宋体"/>
                <w:sz w:val="24"/>
              </w:rPr>
              <w:t>无需供应商提供，由采购人或采购代理机构查询。</w:t>
            </w:r>
          </w:p>
        </w:tc>
      </w:tr>
      <w:tr w14:paraId="435155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48" w:hRule="atLeast"/>
          <w:jc w:val="center"/>
        </w:trPr>
        <w:tc>
          <w:tcPr>
            <w:tcW w:w="445" w:type="pct"/>
            <w:vAlign w:val="center"/>
          </w:tcPr>
          <w:p w14:paraId="1E4ACD7E">
            <w:pPr>
              <w:tabs>
                <w:tab w:val="left" w:pos="1080"/>
              </w:tabs>
              <w:snapToGrid w:val="0"/>
              <w:jc w:val="center"/>
              <w:rPr>
                <w:rFonts w:hint="eastAsia" w:ascii="宋体" w:hAnsi="宋体" w:cs="宋体"/>
                <w:sz w:val="24"/>
              </w:rPr>
            </w:pPr>
            <w:r>
              <w:rPr>
                <w:rFonts w:hint="eastAsia" w:ascii="宋体" w:hAnsi="宋体" w:cs="宋体"/>
                <w:sz w:val="24"/>
              </w:rPr>
              <w:t>1-4</w:t>
            </w:r>
          </w:p>
        </w:tc>
        <w:tc>
          <w:tcPr>
            <w:tcW w:w="1020" w:type="pct"/>
            <w:vAlign w:val="center"/>
          </w:tcPr>
          <w:p w14:paraId="36BA2CD2">
            <w:pPr>
              <w:tabs>
                <w:tab w:val="left" w:pos="1080"/>
              </w:tabs>
              <w:snapToGrid w:val="0"/>
              <w:jc w:val="left"/>
              <w:rPr>
                <w:rFonts w:hint="eastAsia" w:ascii="宋体" w:hAnsi="宋体" w:cs="宋体"/>
                <w:sz w:val="24"/>
              </w:rPr>
            </w:pPr>
            <w:r>
              <w:rPr>
                <w:rFonts w:hint="eastAsia" w:ascii="宋体" w:hAnsi="宋体" w:cs="宋体"/>
                <w:sz w:val="24"/>
              </w:rPr>
              <w:t>法律、行政法规规定的其他条件</w:t>
            </w:r>
          </w:p>
        </w:tc>
        <w:tc>
          <w:tcPr>
            <w:tcW w:w="2782" w:type="pct"/>
            <w:vAlign w:val="center"/>
          </w:tcPr>
          <w:p w14:paraId="1F564A29">
            <w:pPr>
              <w:tabs>
                <w:tab w:val="left" w:pos="1080"/>
              </w:tabs>
              <w:snapToGrid w:val="0"/>
              <w:jc w:val="left"/>
              <w:rPr>
                <w:rFonts w:hint="eastAsia" w:ascii="宋体" w:hAnsi="宋体" w:cs="宋体"/>
                <w:sz w:val="24"/>
              </w:rPr>
            </w:pPr>
            <w:r>
              <w:rPr>
                <w:rFonts w:hint="eastAsia" w:ascii="宋体" w:hAnsi="宋体" w:cs="宋体"/>
                <w:sz w:val="24"/>
              </w:rPr>
              <w:t>法律、行政法规规定的其他条件</w:t>
            </w:r>
          </w:p>
        </w:tc>
        <w:tc>
          <w:tcPr>
            <w:tcW w:w="753" w:type="pct"/>
            <w:vAlign w:val="center"/>
          </w:tcPr>
          <w:p w14:paraId="4C67C084">
            <w:pPr>
              <w:tabs>
                <w:tab w:val="left" w:pos="1080"/>
              </w:tabs>
              <w:snapToGrid w:val="0"/>
              <w:jc w:val="center"/>
              <w:rPr>
                <w:rFonts w:hint="eastAsia" w:ascii="宋体" w:hAnsi="宋体" w:cs="宋体"/>
                <w:sz w:val="24"/>
              </w:rPr>
            </w:pPr>
            <w:r>
              <w:rPr>
                <w:rFonts w:hint="eastAsia" w:ascii="宋体" w:hAnsi="宋体" w:cs="宋体"/>
                <w:sz w:val="24"/>
              </w:rPr>
              <w:t>/</w:t>
            </w:r>
          </w:p>
        </w:tc>
      </w:tr>
      <w:tr w14:paraId="5D64D8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jc w:val="center"/>
        </w:trPr>
        <w:tc>
          <w:tcPr>
            <w:tcW w:w="445" w:type="pct"/>
            <w:vAlign w:val="center"/>
          </w:tcPr>
          <w:p w14:paraId="224CEF80">
            <w:pPr>
              <w:tabs>
                <w:tab w:val="left" w:pos="1080"/>
              </w:tabs>
              <w:snapToGrid w:val="0"/>
              <w:jc w:val="center"/>
              <w:rPr>
                <w:rFonts w:hint="eastAsia" w:ascii="宋体" w:hAnsi="宋体" w:cs="宋体"/>
                <w:sz w:val="24"/>
              </w:rPr>
            </w:pPr>
            <w:r>
              <w:rPr>
                <w:rFonts w:hint="eastAsia" w:ascii="宋体" w:hAnsi="宋体" w:cs="宋体"/>
                <w:sz w:val="24"/>
              </w:rPr>
              <w:t>2</w:t>
            </w:r>
          </w:p>
        </w:tc>
        <w:tc>
          <w:tcPr>
            <w:tcW w:w="1020" w:type="pct"/>
            <w:vAlign w:val="center"/>
          </w:tcPr>
          <w:p w14:paraId="7C8CC814">
            <w:pPr>
              <w:tabs>
                <w:tab w:val="left" w:pos="1080"/>
              </w:tabs>
              <w:snapToGrid w:val="0"/>
              <w:jc w:val="left"/>
              <w:rPr>
                <w:rFonts w:hint="eastAsia" w:ascii="宋体" w:hAnsi="宋体" w:cs="宋体"/>
                <w:sz w:val="24"/>
              </w:rPr>
            </w:pPr>
            <w:r>
              <w:rPr>
                <w:rFonts w:hint="eastAsia" w:ascii="宋体" w:hAnsi="宋体" w:cs="宋体"/>
                <w:sz w:val="24"/>
              </w:rPr>
              <w:t>落实政府采购政策需满足的资格要求</w:t>
            </w:r>
          </w:p>
        </w:tc>
        <w:tc>
          <w:tcPr>
            <w:tcW w:w="2782" w:type="pct"/>
            <w:vAlign w:val="center"/>
          </w:tcPr>
          <w:p w14:paraId="3FE4AB84">
            <w:pPr>
              <w:tabs>
                <w:tab w:val="left" w:pos="1080"/>
              </w:tabs>
              <w:snapToGrid w:val="0"/>
              <w:jc w:val="left"/>
              <w:rPr>
                <w:rFonts w:hint="eastAsia" w:ascii="宋体" w:hAnsi="宋体" w:cs="宋体"/>
                <w:sz w:val="24"/>
              </w:rPr>
            </w:pPr>
            <w:r>
              <w:rPr>
                <w:rFonts w:hint="eastAsia" w:ascii="宋体" w:hAnsi="宋体" w:cs="宋体"/>
                <w:sz w:val="24"/>
              </w:rPr>
              <w:t>具体要求见第一章《采购邀请》</w:t>
            </w:r>
          </w:p>
        </w:tc>
        <w:tc>
          <w:tcPr>
            <w:tcW w:w="753" w:type="pct"/>
            <w:vAlign w:val="center"/>
          </w:tcPr>
          <w:p w14:paraId="4294B15B">
            <w:pPr>
              <w:tabs>
                <w:tab w:val="left" w:pos="1080"/>
              </w:tabs>
              <w:snapToGrid w:val="0"/>
              <w:jc w:val="left"/>
              <w:rPr>
                <w:rFonts w:hint="eastAsia" w:ascii="宋体" w:hAnsi="宋体" w:cs="宋体"/>
                <w:sz w:val="24"/>
              </w:rPr>
            </w:pPr>
          </w:p>
        </w:tc>
      </w:tr>
      <w:tr w14:paraId="6D7C68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jc w:val="center"/>
        </w:trPr>
        <w:tc>
          <w:tcPr>
            <w:tcW w:w="445" w:type="pct"/>
            <w:vAlign w:val="center"/>
          </w:tcPr>
          <w:p w14:paraId="00C195CA">
            <w:pPr>
              <w:tabs>
                <w:tab w:val="left" w:pos="1080"/>
              </w:tabs>
              <w:snapToGrid w:val="0"/>
              <w:jc w:val="center"/>
              <w:rPr>
                <w:rFonts w:hint="eastAsia" w:ascii="宋体" w:hAnsi="宋体" w:cs="宋体"/>
                <w:sz w:val="24"/>
              </w:rPr>
            </w:pPr>
            <w:r>
              <w:rPr>
                <w:rFonts w:hint="eastAsia" w:ascii="宋体" w:hAnsi="宋体" w:cs="宋体"/>
                <w:sz w:val="24"/>
              </w:rPr>
              <w:t>2-1</w:t>
            </w:r>
          </w:p>
        </w:tc>
        <w:tc>
          <w:tcPr>
            <w:tcW w:w="1020" w:type="pct"/>
            <w:vAlign w:val="center"/>
          </w:tcPr>
          <w:p w14:paraId="1D9C0DCC">
            <w:pPr>
              <w:tabs>
                <w:tab w:val="left" w:pos="1080"/>
              </w:tabs>
              <w:snapToGrid w:val="0"/>
              <w:jc w:val="left"/>
              <w:rPr>
                <w:rFonts w:hint="eastAsia" w:ascii="宋体" w:hAnsi="宋体" w:cs="宋体"/>
                <w:sz w:val="24"/>
              </w:rPr>
            </w:pPr>
            <w:r>
              <w:rPr>
                <w:rFonts w:hint="eastAsia" w:ascii="宋体" w:hAnsi="宋体" w:cs="宋体"/>
                <w:sz w:val="24"/>
              </w:rPr>
              <w:t>中小企业政策</w:t>
            </w:r>
          </w:p>
        </w:tc>
        <w:tc>
          <w:tcPr>
            <w:tcW w:w="2782" w:type="pct"/>
            <w:vAlign w:val="center"/>
          </w:tcPr>
          <w:p w14:paraId="06CA136C">
            <w:pPr>
              <w:tabs>
                <w:tab w:val="left" w:pos="1080"/>
              </w:tabs>
              <w:snapToGrid w:val="0"/>
              <w:rPr>
                <w:rFonts w:hint="eastAsia" w:ascii="宋体" w:hAnsi="宋体" w:cs="宋体"/>
                <w:sz w:val="24"/>
              </w:rPr>
            </w:pPr>
            <w:r>
              <w:rPr>
                <w:rFonts w:hint="eastAsia" w:ascii="宋体" w:hAnsi="宋体" w:cs="宋体"/>
                <w:sz w:val="24"/>
              </w:rPr>
              <w:t>具体要求见第一章《</w:t>
            </w:r>
            <w:r>
              <w:rPr>
                <w:rFonts w:hint="eastAsia" w:ascii="宋体" w:hAnsi="宋体" w:cs="宋体"/>
                <w:sz w:val="24"/>
                <w:lang w:val="en-US" w:eastAsia="zh-CN"/>
              </w:rPr>
              <w:t>采购</w:t>
            </w:r>
            <w:r>
              <w:rPr>
                <w:rFonts w:hint="eastAsia" w:ascii="宋体" w:hAnsi="宋体" w:cs="宋体"/>
                <w:sz w:val="24"/>
              </w:rPr>
              <w:t>邀请》</w:t>
            </w:r>
          </w:p>
        </w:tc>
        <w:tc>
          <w:tcPr>
            <w:tcW w:w="753" w:type="pct"/>
            <w:vAlign w:val="center"/>
          </w:tcPr>
          <w:p w14:paraId="1157B9B7">
            <w:pPr>
              <w:tabs>
                <w:tab w:val="left" w:pos="1080"/>
              </w:tabs>
              <w:snapToGrid w:val="0"/>
              <w:jc w:val="left"/>
              <w:rPr>
                <w:rFonts w:hint="eastAsia" w:ascii="宋体" w:hAnsi="宋体" w:cs="宋体"/>
                <w:sz w:val="24"/>
              </w:rPr>
            </w:pPr>
          </w:p>
        </w:tc>
      </w:tr>
      <w:tr w14:paraId="082097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071" w:hRule="atLeast"/>
          <w:jc w:val="center"/>
        </w:trPr>
        <w:tc>
          <w:tcPr>
            <w:tcW w:w="445" w:type="pct"/>
            <w:vAlign w:val="center"/>
          </w:tcPr>
          <w:p w14:paraId="58BDFB1D">
            <w:pPr>
              <w:tabs>
                <w:tab w:val="left" w:pos="1080"/>
              </w:tabs>
              <w:snapToGrid w:val="0"/>
              <w:jc w:val="center"/>
              <w:rPr>
                <w:rFonts w:hint="eastAsia" w:ascii="宋体" w:hAnsi="宋体" w:cs="宋体"/>
                <w:sz w:val="24"/>
              </w:rPr>
            </w:pPr>
            <w:r>
              <w:rPr>
                <w:rFonts w:hint="eastAsia" w:ascii="宋体" w:hAnsi="宋体" w:cs="宋体"/>
                <w:sz w:val="24"/>
              </w:rPr>
              <w:t>2-1-1</w:t>
            </w:r>
          </w:p>
        </w:tc>
        <w:tc>
          <w:tcPr>
            <w:tcW w:w="1020" w:type="pct"/>
            <w:vAlign w:val="center"/>
          </w:tcPr>
          <w:p w14:paraId="0B5778E8">
            <w:pPr>
              <w:tabs>
                <w:tab w:val="left" w:pos="1080"/>
              </w:tabs>
              <w:snapToGrid w:val="0"/>
              <w:jc w:val="left"/>
              <w:rPr>
                <w:rFonts w:hint="eastAsia" w:ascii="宋体" w:hAnsi="宋体" w:cs="宋体"/>
                <w:sz w:val="24"/>
              </w:rPr>
            </w:pPr>
            <w:r>
              <w:rPr>
                <w:rFonts w:hint="eastAsia" w:ascii="宋体" w:hAnsi="宋体" w:cs="宋体"/>
                <w:sz w:val="24"/>
              </w:rPr>
              <w:t>中小企业证明文件</w:t>
            </w:r>
          </w:p>
        </w:tc>
        <w:tc>
          <w:tcPr>
            <w:tcW w:w="2782" w:type="pct"/>
            <w:vAlign w:val="center"/>
          </w:tcPr>
          <w:p w14:paraId="35C608F1">
            <w:pPr>
              <w:tabs>
                <w:tab w:val="left" w:pos="1080"/>
              </w:tabs>
              <w:snapToGrid w:val="0"/>
              <w:rPr>
                <w:rFonts w:hint="eastAsia" w:ascii="宋体" w:hAnsi="宋体" w:cs="宋体"/>
                <w:sz w:val="24"/>
              </w:rPr>
            </w:pPr>
            <w:bookmarkStart w:id="527" w:name="OLE_LINK5"/>
            <w:bookmarkStart w:id="528" w:name="OLE_LINK4"/>
            <w:r>
              <w:rPr>
                <w:rFonts w:hint="eastAsia" w:ascii="宋体" w:hAnsi="宋体" w:cs="宋体"/>
                <w:sz w:val="24"/>
              </w:rPr>
              <w:t xml:space="preserve">本项目涉及预留份额专门面向中小/小微企业采购。 </w:t>
            </w:r>
          </w:p>
          <w:p w14:paraId="0951C2EC">
            <w:pPr>
              <w:tabs>
                <w:tab w:val="left" w:pos="1080"/>
              </w:tabs>
              <w:snapToGrid w:val="0"/>
              <w:rPr>
                <w:rFonts w:hint="eastAsia" w:ascii="宋体" w:hAnsi="宋体" w:cs="宋体"/>
                <w:sz w:val="24"/>
              </w:rPr>
            </w:pPr>
            <w:r>
              <w:rPr>
                <w:rFonts w:hint="eastAsia" w:ascii="宋体" w:hAnsi="宋体" w:cs="宋体"/>
                <w:sz w:val="24"/>
              </w:rPr>
              <w:t>供应商应提供《中小企业声明函》或《残疾人福利性单位声明函》或由省级以上监狱管理局、戒毒管理局（含新疆生产建设兵团）出具的属于监狱企业的证明文件。</w:t>
            </w:r>
            <w:bookmarkEnd w:id="527"/>
            <w:bookmarkEnd w:id="528"/>
          </w:p>
        </w:tc>
        <w:tc>
          <w:tcPr>
            <w:tcW w:w="753" w:type="pct"/>
            <w:vAlign w:val="center"/>
          </w:tcPr>
          <w:p w14:paraId="20AF8225">
            <w:pPr>
              <w:tabs>
                <w:tab w:val="left" w:pos="1080"/>
              </w:tabs>
              <w:snapToGrid w:val="0"/>
              <w:rPr>
                <w:rFonts w:hint="eastAsia" w:ascii="宋体" w:hAnsi="宋体" w:cs="宋体"/>
                <w:sz w:val="24"/>
              </w:rPr>
            </w:pPr>
            <w:r>
              <w:rPr>
                <w:rFonts w:hint="eastAsia" w:ascii="宋体" w:hAnsi="宋体" w:cs="宋体"/>
                <w:sz w:val="24"/>
              </w:rPr>
              <w:t>格式见《响应文件格式》</w:t>
            </w:r>
          </w:p>
        </w:tc>
      </w:tr>
      <w:tr w14:paraId="2C52AD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094" w:hRule="atLeast"/>
          <w:jc w:val="center"/>
        </w:trPr>
        <w:tc>
          <w:tcPr>
            <w:tcW w:w="445" w:type="pct"/>
            <w:vAlign w:val="center"/>
          </w:tcPr>
          <w:p w14:paraId="6571AB80">
            <w:pPr>
              <w:tabs>
                <w:tab w:val="left" w:pos="1080"/>
              </w:tabs>
              <w:snapToGrid w:val="0"/>
              <w:jc w:val="center"/>
              <w:rPr>
                <w:rFonts w:hint="eastAsia" w:ascii="宋体" w:hAnsi="宋体" w:cs="宋体"/>
                <w:sz w:val="24"/>
              </w:rPr>
            </w:pPr>
            <w:r>
              <w:rPr>
                <w:rFonts w:hint="eastAsia" w:ascii="宋体" w:hAnsi="宋体" w:cs="宋体"/>
                <w:sz w:val="24"/>
              </w:rPr>
              <w:t>2-2</w:t>
            </w:r>
          </w:p>
        </w:tc>
        <w:tc>
          <w:tcPr>
            <w:tcW w:w="1020" w:type="pct"/>
            <w:vAlign w:val="center"/>
          </w:tcPr>
          <w:p w14:paraId="54CD3B1F">
            <w:pPr>
              <w:tabs>
                <w:tab w:val="left" w:pos="1080"/>
              </w:tabs>
              <w:snapToGrid w:val="0"/>
              <w:jc w:val="left"/>
              <w:rPr>
                <w:rFonts w:hint="eastAsia" w:ascii="宋体" w:hAnsi="宋体" w:cs="宋体"/>
                <w:sz w:val="24"/>
              </w:rPr>
            </w:pPr>
            <w:bookmarkStart w:id="529" w:name="OLE_LINK8"/>
            <w:bookmarkStart w:id="530" w:name="OLE_LINK6"/>
            <w:r>
              <w:rPr>
                <w:rFonts w:hint="eastAsia" w:ascii="宋体" w:hAnsi="宋体" w:cs="宋体"/>
                <w:sz w:val="24"/>
              </w:rPr>
              <w:t>其它落实政府采购政策的资格要求</w:t>
            </w:r>
            <w:bookmarkEnd w:id="529"/>
            <w:bookmarkEnd w:id="530"/>
          </w:p>
        </w:tc>
        <w:tc>
          <w:tcPr>
            <w:tcW w:w="2782" w:type="pct"/>
            <w:vAlign w:val="center"/>
          </w:tcPr>
          <w:p w14:paraId="6061E422">
            <w:pPr>
              <w:tabs>
                <w:tab w:val="left" w:pos="1080"/>
              </w:tabs>
              <w:snapToGrid w:val="0"/>
              <w:jc w:val="left"/>
              <w:rPr>
                <w:rFonts w:hint="eastAsia" w:ascii="宋体" w:hAnsi="宋体" w:cs="宋体"/>
                <w:sz w:val="24"/>
              </w:rPr>
            </w:pPr>
            <w:r>
              <w:rPr>
                <w:rFonts w:hint="eastAsia" w:ascii="宋体" w:hAnsi="宋体" w:cs="宋体"/>
                <w:sz w:val="24"/>
              </w:rPr>
              <w:t>如有，见第一章《采购邀请》</w:t>
            </w:r>
          </w:p>
        </w:tc>
        <w:tc>
          <w:tcPr>
            <w:tcW w:w="753" w:type="pct"/>
            <w:vAlign w:val="center"/>
          </w:tcPr>
          <w:p w14:paraId="2679DE52">
            <w:pPr>
              <w:tabs>
                <w:tab w:val="left" w:pos="1080"/>
              </w:tabs>
              <w:snapToGrid w:val="0"/>
              <w:rPr>
                <w:rFonts w:hint="eastAsia" w:ascii="宋体" w:hAnsi="宋体" w:cs="宋体"/>
                <w:sz w:val="24"/>
              </w:rPr>
            </w:pPr>
            <w:r>
              <w:rPr>
                <w:rFonts w:hint="eastAsia" w:ascii="宋体" w:hAnsi="宋体" w:cs="宋体"/>
                <w:sz w:val="24"/>
              </w:rPr>
              <w:t>提供证明文件的电子件或电子证照</w:t>
            </w:r>
          </w:p>
        </w:tc>
      </w:tr>
      <w:tr w14:paraId="0EDAB8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98" w:hRule="atLeast"/>
          <w:jc w:val="center"/>
        </w:trPr>
        <w:tc>
          <w:tcPr>
            <w:tcW w:w="445" w:type="pct"/>
            <w:vAlign w:val="center"/>
          </w:tcPr>
          <w:p w14:paraId="7AE38723">
            <w:pPr>
              <w:tabs>
                <w:tab w:val="left" w:pos="1080"/>
              </w:tabs>
              <w:snapToGrid w:val="0"/>
              <w:jc w:val="center"/>
              <w:rPr>
                <w:rFonts w:hint="eastAsia" w:ascii="宋体" w:hAnsi="宋体" w:cs="宋体"/>
                <w:sz w:val="24"/>
              </w:rPr>
            </w:pPr>
            <w:r>
              <w:rPr>
                <w:rFonts w:hint="eastAsia" w:ascii="宋体" w:hAnsi="宋体" w:cs="宋体"/>
                <w:sz w:val="24"/>
              </w:rPr>
              <w:t>3</w:t>
            </w:r>
          </w:p>
        </w:tc>
        <w:tc>
          <w:tcPr>
            <w:tcW w:w="1020" w:type="pct"/>
            <w:vAlign w:val="center"/>
          </w:tcPr>
          <w:p w14:paraId="05C443DA">
            <w:pPr>
              <w:tabs>
                <w:tab w:val="left" w:pos="1080"/>
              </w:tabs>
              <w:snapToGrid w:val="0"/>
              <w:jc w:val="left"/>
              <w:rPr>
                <w:rFonts w:hint="eastAsia" w:ascii="宋体" w:hAnsi="宋体" w:cs="宋体"/>
                <w:sz w:val="24"/>
              </w:rPr>
            </w:pPr>
            <w:bookmarkStart w:id="531" w:name="OLE_LINK10"/>
            <w:bookmarkStart w:id="532" w:name="OLE_LINK11"/>
            <w:r>
              <w:rPr>
                <w:rFonts w:hint="eastAsia" w:ascii="宋体" w:hAnsi="宋体" w:cs="宋体"/>
                <w:sz w:val="24"/>
              </w:rPr>
              <w:t>本项目的特定资格要求</w:t>
            </w:r>
            <w:bookmarkEnd w:id="531"/>
            <w:bookmarkEnd w:id="532"/>
          </w:p>
        </w:tc>
        <w:tc>
          <w:tcPr>
            <w:tcW w:w="2782" w:type="pct"/>
            <w:vAlign w:val="center"/>
          </w:tcPr>
          <w:p w14:paraId="556BB8AB">
            <w:pPr>
              <w:tabs>
                <w:tab w:val="left" w:pos="1080"/>
              </w:tabs>
              <w:snapToGrid w:val="0"/>
              <w:jc w:val="left"/>
              <w:rPr>
                <w:rFonts w:hint="eastAsia" w:ascii="宋体" w:hAnsi="宋体" w:cs="宋体"/>
                <w:sz w:val="24"/>
              </w:rPr>
            </w:pPr>
            <w:r>
              <w:rPr>
                <w:rFonts w:hint="eastAsia" w:ascii="宋体" w:hAnsi="宋体" w:cs="宋体"/>
                <w:sz w:val="24"/>
              </w:rPr>
              <w:t>如有，见第一章《采购邀请》</w:t>
            </w:r>
          </w:p>
        </w:tc>
        <w:tc>
          <w:tcPr>
            <w:tcW w:w="753" w:type="pct"/>
            <w:vAlign w:val="center"/>
          </w:tcPr>
          <w:p w14:paraId="209853FC">
            <w:pPr>
              <w:tabs>
                <w:tab w:val="left" w:pos="1080"/>
              </w:tabs>
              <w:snapToGrid w:val="0"/>
              <w:jc w:val="left"/>
              <w:rPr>
                <w:rFonts w:hint="eastAsia" w:ascii="宋体" w:hAnsi="宋体" w:cs="宋体"/>
                <w:sz w:val="24"/>
              </w:rPr>
            </w:pPr>
          </w:p>
        </w:tc>
      </w:tr>
      <w:tr w14:paraId="238F97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817" w:hRule="atLeast"/>
          <w:jc w:val="center"/>
        </w:trPr>
        <w:tc>
          <w:tcPr>
            <w:tcW w:w="445" w:type="pct"/>
            <w:vAlign w:val="center"/>
          </w:tcPr>
          <w:p w14:paraId="77E6B011">
            <w:pPr>
              <w:tabs>
                <w:tab w:val="left" w:pos="1080"/>
              </w:tabs>
              <w:snapToGrid w:val="0"/>
              <w:jc w:val="center"/>
              <w:rPr>
                <w:rFonts w:hint="eastAsia" w:ascii="宋体" w:hAnsi="宋体" w:cs="宋体"/>
                <w:sz w:val="24"/>
              </w:rPr>
            </w:pPr>
            <w:r>
              <w:rPr>
                <w:rFonts w:hint="eastAsia" w:ascii="宋体" w:hAnsi="宋体" w:cs="宋体"/>
                <w:sz w:val="24"/>
              </w:rPr>
              <w:t>3-1</w:t>
            </w:r>
          </w:p>
        </w:tc>
        <w:tc>
          <w:tcPr>
            <w:tcW w:w="1020" w:type="pct"/>
            <w:vAlign w:val="center"/>
          </w:tcPr>
          <w:p w14:paraId="67FD7AE1">
            <w:pPr>
              <w:tabs>
                <w:tab w:val="left" w:pos="1080"/>
              </w:tabs>
              <w:snapToGrid w:val="0"/>
              <w:jc w:val="left"/>
              <w:rPr>
                <w:rFonts w:hint="eastAsia" w:ascii="宋体" w:hAnsi="宋体" w:cs="宋体"/>
                <w:sz w:val="24"/>
              </w:rPr>
            </w:pPr>
            <w:r>
              <w:rPr>
                <w:rFonts w:hint="eastAsia" w:ascii="宋体" w:hAnsi="宋体" w:cs="宋体"/>
                <w:sz w:val="24"/>
              </w:rPr>
              <w:t>本项目对于联合体的要求</w:t>
            </w:r>
          </w:p>
        </w:tc>
        <w:tc>
          <w:tcPr>
            <w:tcW w:w="2782" w:type="pct"/>
            <w:vAlign w:val="center"/>
          </w:tcPr>
          <w:p w14:paraId="025FE993">
            <w:pPr>
              <w:tabs>
                <w:tab w:val="left" w:pos="1080"/>
              </w:tabs>
              <w:snapToGrid w:val="0"/>
              <w:rPr>
                <w:rFonts w:hint="eastAsia" w:ascii="宋体" w:hAnsi="宋体" w:cs="宋体"/>
                <w:sz w:val="24"/>
              </w:rPr>
            </w:pPr>
            <w:r>
              <w:rPr>
                <w:rFonts w:hint="eastAsia" w:ascii="宋体" w:hAnsi="宋体" w:cs="宋体"/>
                <w:sz w:val="24"/>
              </w:rPr>
              <w:t xml:space="preserve">本项目不接受联合体响应，供应商不得为联合体。 </w:t>
            </w:r>
          </w:p>
        </w:tc>
        <w:tc>
          <w:tcPr>
            <w:tcW w:w="753" w:type="pct"/>
            <w:vAlign w:val="center"/>
          </w:tcPr>
          <w:p w14:paraId="34906C18">
            <w:pPr>
              <w:tabs>
                <w:tab w:val="left" w:pos="1080"/>
              </w:tabs>
              <w:snapToGrid w:val="0"/>
              <w:jc w:val="left"/>
              <w:rPr>
                <w:rFonts w:hint="eastAsia" w:ascii="宋体" w:hAnsi="宋体" w:cs="宋体"/>
                <w:sz w:val="24"/>
              </w:rPr>
            </w:pPr>
          </w:p>
        </w:tc>
      </w:tr>
      <w:tr w14:paraId="7EFEA9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214" w:hRule="atLeast"/>
          <w:jc w:val="center"/>
        </w:trPr>
        <w:tc>
          <w:tcPr>
            <w:tcW w:w="445" w:type="pct"/>
            <w:vAlign w:val="center"/>
          </w:tcPr>
          <w:p w14:paraId="56AD74B7">
            <w:pPr>
              <w:tabs>
                <w:tab w:val="left" w:pos="1080"/>
              </w:tabs>
              <w:snapToGrid w:val="0"/>
              <w:jc w:val="center"/>
              <w:rPr>
                <w:rFonts w:hint="eastAsia" w:ascii="宋体" w:hAnsi="宋体" w:cs="宋体"/>
                <w:sz w:val="24"/>
              </w:rPr>
            </w:pPr>
            <w:r>
              <w:rPr>
                <w:rFonts w:hint="eastAsia" w:ascii="宋体" w:hAnsi="宋体" w:cs="宋体"/>
                <w:sz w:val="24"/>
              </w:rPr>
              <w:t>3-2</w:t>
            </w:r>
          </w:p>
        </w:tc>
        <w:tc>
          <w:tcPr>
            <w:tcW w:w="1020" w:type="pct"/>
            <w:vAlign w:val="center"/>
          </w:tcPr>
          <w:p w14:paraId="57636C57">
            <w:pPr>
              <w:tabs>
                <w:tab w:val="left" w:pos="1080"/>
              </w:tabs>
              <w:snapToGrid w:val="0"/>
              <w:rPr>
                <w:rFonts w:hint="eastAsia" w:ascii="宋体" w:hAnsi="宋体" w:cs="宋体"/>
                <w:sz w:val="24"/>
              </w:rPr>
            </w:pPr>
            <w:r>
              <w:rPr>
                <w:rFonts w:hint="eastAsia" w:ascii="宋体" w:hAnsi="宋体" w:cs="宋体"/>
                <w:sz w:val="24"/>
              </w:rPr>
              <w:t>其他特定资格要求</w:t>
            </w:r>
          </w:p>
        </w:tc>
        <w:tc>
          <w:tcPr>
            <w:tcW w:w="2782" w:type="pct"/>
            <w:vAlign w:val="center"/>
          </w:tcPr>
          <w:p w14:paraId="1C4039F9">
            <w:pPr>
              <w:rPr>
                <w:rFonts w:hint="eastAsia" w:ascii="宋体" w:hAnsi="宋体" w:cs="宋体"/>
                <w:sz w:val="24"/>
              </w:rPr>
            </w:pPr>
            <w:r>
              <w:rPr>
                <w:rFonts w:hint="eastAsia" w:ascii="宋体" w:hAnsi="宋体" w:cs="宋体"/>
                <w:sz w:val="24"/>
              </w:rPr>
              <w:t>（1）供应商须具备防水防腐保温工程专业承包二级（含）以上资质；</w:t>
            </w:r>
          </w:p>
          <w:p w14:paraId="66FCBC4D">
            <w:pPr>
              <w:rPr>
                <w:rFonts w:hint="eastAsia" w:ascii="宋体" w:hAnsi="宋体" w:cs="宋体"/>
                <w:sz w:val="24"/>
              </w:rPr>
            </w:pPr>
            <w:r>
              <w:rPr>
                <w:rFonts w:hint="eastAsia" w:ascii="宋体" w:hAnsi="宋体" w:cs="宋体"/>
                <w:sz w:val="24"/>
              </w:rPr>
              <w:t>（2）供应商须提供在有效期内的安全生产许可证；</w:t>
            </w:r>
          </w:p>
          <w:p w14:paraId="08D0D4AE">
            <w:pPr>
              <w:rPr>
                <w:rFonts w:hint="eastAsia" w:ascii="宋体" w:hAnsi="宋体" w:cs="宋体"/>
                <w:sz w:val="24"/>
              </w:rPr>
            </w:pPr>
            <w:r>
              <w:rPr>
                <w:rFonts w:hint="eastAsia" w:ascii="宋体" w:hAnsi="宋体" w:cs="宋体"/>
                <w:sz w:val="24"/>
              </w:rPr>
              <w:t>（3）项目经理须具备须具备建筑工程专业二级及以上注册建造师执业资格，并具备有效的安全生产考核合格证书（B证）。</w:t>
            </w:r>
          </w:p>
        </w:tc>
        <w:tc>
          <w:tcPr>
            <w:tcW w:w="753" w:type="pct"/>
            <w:vAlign w:val="center"/>
          </w:tcPr>
          <w:p w14:paraId="4E7BD09B">
            <w:pPr>
              <w:tabs>
                <w:tab w:val="left" w:pos="1080"/>
              </w:tabs>
              <w:snapToGrid w:val="0"/>
              <w:rPr>
                <w:rFonts w:hint="eastAsia" w:ascii="宋体" w:hAnsi="宋体" w:cs="宋体"/>
                <w:sz w:val="24"/>
              </w:rPr>
            </w:pPr>
            <w:r>
              <w:rPr>
                <w:rFonts w:hint="eastAsia" w:ascii="宋体" w:hAnsi="宋体" w:cs="宋体"/>
                <w:sz w:val="24"/>
              </w:rPr>
              <w:t>提供证明文件的电子件或电子证照</w:t>
            </w:r>
          </w:p>
        </w:tc>
      </w:tr>
      <w:tr w14:paraId="73701F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63" w:hRule="atLeast"/>
          <w:jc w:val="center"/>
        </w:trPr>
        <w:tc>
          <w:tcPr>
            <w:tcW w:w="445" w:type="pct"/>
            <w:vAlign w:val="center"/>
          </w:tcPr>
          <w:p w14:paraId="0AB54E6D">
            <w:pPr>
              <w:tabs>
                <w:tab w:val="left" w:pos="1080"/>
              </w:tabs>
              <w:snapToGrid w:val="0"/>
              <w:jc w:val="center"/>
              <w:rPr>
                <w:rFonts w:hint="eastAsia" w:ascii="宋体" w:hAnsi="宋体" w:cs="宋体"/>
                <w:sz w:val="24"/>
              </w:rPr>
            </w:pPr>
            <w:r>
              <w:rPr>
                <w:rFonts w:hint="eastAsia" w:ascii="宋体" w:hAnsi="宋体" w:cs="宋体"/>
                <w:sz w:val="24"/>
              </w:rPr>
              <w:t>4</w:t>
            </w:r>
          </w:p>
        </w:tc>
        <w:tc>
          <w:tcPr>
            <w:tcW w:w="1020" w:type="pct"/>
            <w:vAlign w:val="center"/>
          </w:tcPr>
          <w:p w14:paraId="688E710E">
            <w:pPr>
              <w:tabs>
                <w:tab w:val="left" w:pos="1080"/>
              </w:tabs>
              <w:snapToGrid w:val="0"/>
              <w:jc w:val="left"/>
              <w:rPr>
                <w:rFonts w:hint="eastAsia" w:ascii="宋体" w:hAnsi="宋体" w:cs="宋体"/>
                <w:sz w:val="24"/>
              </w:rPr>
            </w:pPr>
            <w:r>
              <w:rPr>
                <w:rFonts w:hint="eastAsia" w:ascii="宋体" w:hAnsi="宋体" w:cs="宋体"/>
                <w:sz w:val="24"/>
              </w:rPr>
              <w:t>磋商保证金</w:t>
            </w:r>
          </w:p>
        </w:tc>
        <w:tc>
          <w:tcPr>
            <w:tcW w:w="2782" w:type="pct"/>
            <w:vAlign w:val="center"/>
          </w:tcPr>
          <w:p w14:paraId="3B940E89">
            <w:pPr>
              <w:tabs>
                <w:tab w:val="left" w:pos="1080"/>
              </w:tabs>
              <w:snapToGrid w:val="0"/>
              <w:jc w:val="left"/>
              <w:rPr>
                <w:rFonts w:hint="eastAsia" w:ascii="宋体" w:hAnsi="宋体" w:cs="宋体"/>
                <w:sz w:val="24"/>
              </w:rPr>
            </w:pPr>
            <w:r>
              <w:rPr>
                <w:rFonts w:hint="eastAsia" w:ascii="宋体" w:hAnsi="宋体" w:cs="宋体"/>
                <w:sz w:val="24"/>
              </w:rPr>
              <w:t>按照竞争性磋商文件的要求提交了磋商保证金。</w:t>
            </w:r>
          </w:p>
        </w:tc>
        <w:tc>
          <w:tcPr>
            <w:tcW w:w="753" w:type="pct"/>
            <w:vAlign w:val="center"/>
          </w:tcPr>
          <w:p w14:paraId="39FE7F8D">
            <w:pPr>
              <w:tabs>
                <w:tab w:val="left" w:pos="1080"/>
              </w:tabs>
              <w:snapToGrid w:val="0"/>
              <w:rPr>
                <w:rFonts w:hint="eastAsia" w:ascii="宋体" w:hAnsi="宋体" w:cs="宋体"/>
                <w:sz w:val="24"/>
              </w:rPr>
            </w:pPr>
          </w:p>
        </w:tc>
      </w:tr>
      <w:tr w14:paraId="04CB57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889" w:hRule="atLeast"/>
          <w:jc w:val="center"/>
        </w:trPr>
        <w:tc>
          <w:tcPr>
            <w:tcW w:w="445" w:type="pct"/>
            <w:vAlign w:val="center"/>
          </w:tcPr>
          <w:p w14:paraId="2F7A7AC5">
            <w:pPr>
              <w:tabs>
                <w:tab w:val="left" w:pos="1080"/>
              </w:tabs>
              <w:snapToGrid w:val="0"/>
              <w:jc w:val="center"/>
              <w:rPr>
                <w:rFonts w:hint="eastAsia" w:ascii="宋体" w:hAnsi="宋体" w:cs="宋体"/>
                <w:sz w:val="24"/>
              </w:rPr>
            </w:pPr>
            <w:r>
              <w:rPr>
                <w:rFonts w:hint="eastAsia" w:ascii="宋体" w:hAnsi="宋体" w:cs="宋体"/>
                <w:sz w:val="24"/>
              </w:rPr>
              <w:t>5</w:t>
            </w:r>
          </w:p>
        </w:tc>
        <w:tc>
          <w:tcPr>
            <w:tcW w:w="1020" w:type="pct"/>
            <w:vAlign w:val="center"/>
          </w:tcPr>
          <w:p w14:paraId="08C4A738">
            <w:pPr>
              <w:tabs>
                <w:tab w:val="left" w:pos="1080"/>
              </w:tabs>
              <w:snapToGrid w:val="0"/>
              <w:jc w:val="left"/>
              <w:rPr>
                <w:rFonts w:hint="eastAsia" w:ascii="宋体" w:hAnsi="宋体" w:cs="宋体"/>
                <w:sz w:val="24"/>
              </w:rPr>
            </w:pPr>
            <w:r>
              <w:rPr>
                <w:rFonts w:hint="eastAsia" w:ascii="宋体" w:hAnsi="宋体" w:cs="宋体"/>
                <w:sz w:val="24"/>
              </w:rPr>
              <w:t>获取竞争性磋商文件</w:t>
            </w:r>
          </w:p>
        </w:tc>
        <w:tc>
          <w:tcPr>
            <w:tcW w:w="2782" w:type="pct"/>
            <w:vAlign w:val="center"/>
          </w:tcPr>
          <w:p w14:paraId="7B4FC60A">
            <w:pPr>
              <w:tabs>
                <w:tab w:val="left" w:pos="1080"/>
              </w:tabs>
              <w:snapToGrid w:val="0"/>
              <w:jc w:val="left"/>
              <w:rPr>
                <w:rFonts w:hint="eastAsia" w:ascii="宋体" w:hAnsi="宋体" w:cs="宋体"/>
                <w:sz w:val="24"/>
              </w:rPr>
            </w:pPr>
            <w:bookmarkStart w:id="533" w:name="OLE_LINK13"/>
            <w:bookmarkStart w:id="534" w:name="OLE_LINK14"/>
            <w:r>
              <w:rPr>
                <w:rFonts w:hint="eastAsia" w:ascii="宋体" w:hAnsi="宋体" w:cs="宋体"/>
                <w:kern w:val="0"/>
                <w:sz w:val="24"/>
              </w:rPr>
              <w:t>在规定期限内通过北京市政府采购电子交易平台获取所参与项目的竞争性磋商文件。</w:t>
            </w:r>
            <w:bookmarkEnd w:id="533"/>
            <w:bookmarkEnd w:id="534"/>
          </w:p>
        </w:tc>
        <w:tc>
          <w:tcPr>
            <w:tcW w:w="753" w:type="pct"/>
            <w:vAlign w:val="center"/>
          </w:tcPr>
          <w:p w14:paraId="3E6D5E66">
            <w:pPr>
              <w:tabs>
                <w:tab w:val="left" w:pos="1080"/>
              </w:tabs>
              <w:snapToGrid w:val="0"/>
              <w:rPr>
                <w:rFonts w:hint="eastAsia" w:ascii="宋体" w:hAnsi="宋体" w:cs="宋体"/>
                <w:sz w:val="24"/>
              </w:rPr>
            </w:pPr>
          </w:p>
        </w:tc>
      </w:tr>
    </w:tbl>
    <w:p w14:paraId="07DA724C">
      <w:pPr>
        <w:numPr>
          <w:ilvl w:val="1"/>
          <w:numId w:val="31"/>
        </w:numPr>
        <w:tabs>
          <w:tab w:val="left" w:pos="1080"/>
        </w:tabs>
        <w:snapToGrid w:val="0"/>
        <w:spacing w:line="360" w:lineRule="auto"/>
        <w:ind w:left="1077" w:hanging="720"/>
        <w:rPr>
          <w:rFonts w:hint="eastAsia" w:ascii="宋体" w:hAnsi="宋体" w:cs="仿宋"/>
          <w:sz w:val="24"/>
        </w:rPr>
      </w:pPr>
      <w:r>
        <w:rPr>
          <w:rFonts w:hint="eastAsia" w:ascii="宋体" w:hAnsi="宋体" w:cs="仿宋"/>
          <w:sz w:val="24"/>
        </w:rPr>
        <w:t>《符合性审查要求》见下表：</w:t>
      </w:r>
    </w:p>
    <w:p w14:paraId="625F70E6">
      <w:pPr>
        <w:widowControl/>
        <w:spacing w:line="360" w:lineRule="auto"/>
        <w:jc w:val="center"/>
        <w:rPr>
          <w:rFonts w:hint="eastAsia" w:ascii="宋体" w:hAnsi="宋体" w:cs="仿宋"/>
          <w:b/>
          <w:kern w:val="0"/>
          <w:sz w:val="24"/>
        </w:rPr>
      </w:pPr>
      <w:r>
        <w:rPr>
          <w:rFonts w:hint="eastAsia" w:ascii="宋体" w:hAnsi="宋体" w:cs="仿宋"/>
          <w:b/>
          <w:kern w:val="0"/>
          <w:sz w:val="24"/>
        </w:rPr>
        <w:t>符合性审查要求</w:t>
      </w:r>
    </w:p>
    <w:tbl>
      <w:tblPr>
        <w:tblStyle w:val="8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0"/>
        <w:gridCol w:w="1615"/>
        <w:gridCol w:w="4889"/>
        <w:gridCol w:w="2045"/>
      </w:tblGrid>
      <w:tr w14:paraId="52B0A2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52" w:type="pct"/>
            <w:shd w:val="clear" w:color="000000" w:fill="FFFFFF"/>
            <w:vAlign w:val="center"/>
          </w:tcPr>
          <w:p w14:paraId="027B169A">
            <w:pPr>
              <w:widowControl/>
              <w:jc w:val="center"/>
              <w:rPr>
                <w:rFonts w:hint="eastAsia" w:ascii="宋体" w:hAnsi="宋体" w:cs="仿宋"/>
                <w:b/>
                <w:kern w:val="0"/>
                <w:sz w:val="24"/>
              </w:rPr>
            </w:pPr>
            <w:r>
              <w:rPr>
                <w:rFonts w:hint="eastAsia" w:ascii="宋体" w:hAnsi="宋体" w:cs="仿宋"/>
                <w:b/>
                <w:kern w:val="0"/>
                <w:sz w:val="24"/>
              </w:rPr>
              <w:t>序号</w:t>
            </w:r>
          </w:p>
        </w:tc>
        <w:tc>
          <w:tcPr>
            <w:tcW w:w="859" w:type="pct"/>
            <w:shd w:val="clear" w:color="000000" w:fill="FFFFFF"/>
            <w:vAlign w:val="center"/>
          </w:tcPr>
          <w:p w14:paraId="471ECCC4">
            <w:pPr>
              <w:widowControl/>
              <w:jc w:val="center"/>
              <w:rPr>
                <w:rFonts w:hint="eastAsia" w:ascii="宋体" w:hAnsi="宋体" w:cs="仿宋"/>
                <w:b/>
                <w:kern w:val="0"/>
                <w:sz w:val="24"/>
              </w:rPr>
            </w:pPr>
            <w:r>
              <w:rPr>
                <w:rFonts w:hint="eastAsia" w:ascii="宋体" w:hAnsi="宋体" w:cs="仿宋"/>
                <w:b/>
                <w:sz w:val="24"/>
              </w:rPr>
              <w:t>检查</w:t>
            </w:r>
            <w:r>
              <w:rPr>
                <w:rFonts w:hint="eastAsia" w:ascii="宋体" w:hAnsi="宋体" w:cs="仿宋"/>
                <w:b/>
                <w:kern w:val="0"/>
                <w:sz w:val="24"/>
              </w:rPr>
              <w:t>因素</w:t>
            </w:r>
          </w:p>
        </w:tc>
        <w:tc>
          <w:tcPr>
            <w:tcW w:w="2601" w:type="pct"/>
            <w:shd w:val="clear" w:color="000000" w:fill="FFFFFF"/>
            <w:vAlign w:val="center"/>
          </w:tcPr>
          <w:p w14:paraId="03A2453D">
            <w:pPr>
              <w:widowControl/>
              <w:jc w:val="center"/>
              <w:rPr>
                <w:rFonts w:hint="eastAsia" w:ascii="宋体" w:hAnsi="宋体" w:cs="仿宋"/>
                <w:b/>
                <w:kern w:val="0"/>
                <w:sz w:val="24"/>
              </w:rPr>
            </w:pPr>
            <w:r>
              <w:rPr>
                <w:rFonts w:hint="eastAsia" w:ascii="宋体" w:hAnsi="宋体" w:cs="仿宋"/>
                <w:b/>
                <w:sz w:val="24"/>
              </w:rPr>
              <w:t>检查</w:t>
            </w:r>
            <w:r>
              <w:rPr>
                <w:rFonts w:hint="eastAsia" w:ascii="宋体" w:hAnsi="宋体" w:cs="仿宋"/>
                <w:b/>
                <w:kern w:val="0"/>
                <w:sz w:val="24"/>
              </w:rPr>
              <w:t>内容</w:t>
            </w:r>
          </w:p>
        </w:tc>
        <w:tc>
          <w:tcPr>
            <w:tcW w:w="1088" w:type="pct"/>
            <w:shd w:val="clear" w:color="000000" w:fill="FFFFFF"/>
            <w:vAlign w:val="center"/>
          </w:tcPr>
          <w:p w14:paraId="0346EAF6">
            <w:pPr>
              <w:widowControl/>
              <w:jc w:val="center"/>
              <w:rPr>
                <w:rFonts w:hint="eastAsia" w:ascii="宋体" w:hAnsi="宋体" w:cs="仿宋"/>
                <w:b/>
                <w:kern w:val="0"/>
                <w:sz w:val="24"/>
              </w:rPr>
            </w:pPr>
            <w:r>
              <w:rPr>
                <w:rFonts w:hint="eastAsia" w:ascii="宋体" w:hAnsi="宋体" w:cs="仿宋"/>
                <w:b/>
                <w:kern w:val="0"/>
                <w:sz w:val="24"/>
              </w:rPr>
              <w:t>是否允许澄清、说明或者更正</w:t>
            </w:r>
          </w:p>
        </w:tc>
      </w:tr>
      <w:tr w14:paraId="377AA3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52" w:type="pct"/>
            <w:shd w:val="clear" w:color="000000" w:fill="FFFFFF"/>
            <w:vAlign w:val="center"/>
          </w:tcPr>
          <w:p w14:paraId="5D655E77">
            <w:pPr>
              <w:widowControl/>
              <w:jc w:val="center"/>
              <w:rPr>
                <w:rFonts w:hint="eastAsia" w:ascii="宋体" w:hAnsi="宋体" w:cs="仿宋"/>
                <w:kern w:val="0"/>
                <w:sz w:val="24"/>
              </w:rPr>
            </w:pPr>
            <w:r>
              <w:rPr>
                <w:rFonts w:hint="eastAsia" w:ascii="宋体" w:hAnsi="宋体"/>
                <w:sz w:val="24"/>
              </w:rPr>
              <w:t>1</w:t>
            </w:r>
          </w:p>
        </w:tc>
        <w:tc>
          <w:tcPr>
            <w:tcW w:w="859" w:type="pct"/>
            <w:shd w:val="clear" w:color="000000" w:fill="FFFFFF"/>
            <w:vAlign w:val="center"/>
          </w:tcPr>
          <w:p w14:paraId="14E5EC13">
            <w:pPr>
              <w:widowControl/>
              <w:jc w:val="center"/>
              <w:rPr>
                <w:rFonts w:hint="eastAsia" w:ascii="宋体" w:hAnsi="宋体" w:cs="仿宋"/>
                <w:kern w:val="0"/>
                <w:sz w:val="24"/>
              </w:rPr>
            </w:pPr>
            <w:r>
              <w:rPr>
                <w:rFonts w:hint="eastAsia" w:ascii="宋体" w:hAnsi="宋体" w:cs="宋体"/>
                <w:kern w:val="0"/>
                <w:sz w:val="24"/>
              </w:rPr>
              <w:t>授权委托书</w:t>
            </w:r>
          </w:p>
        </w:tc>
        <w:tc>
          <w:tcPr>
            <w:tcW w:w="2601" w:type="pct"/>
            <w:shd w:val="clear" w:color="000000" w:fill="FFFFFF"/>
            <w:vAlign w:val="center"/>
          </w:tcPr>
          <w:p w14:paraId="539E5D82">
            <w:pPr>
              <w:rPr>
                <w:rFonts w:hint="eastAsia" w:ascii="宋体" w:hAnsi="宋体" w:cs="仿宋"/>
                <w:sz w:val="24"/>
              </w:rPr>
            </w:pPr>
            <w:r>
              <w:rPr>
                <w:rFonts w:hint="eastAsia" w:ascii="宋体" w:hAnsi="宋体" w:cs="宋体"/>
                <w:kern w:val="0"/>
                <w:sz w:val="24"/>
              </w:rPr>
              <w:t>按竞争性磋商文件要求提供授权委托书；</w:t>
            </w:r>
          </w:p>
        </w:tc>
        <w:tc>
          <w:tcPr>
            <w:tcW w:w="1088" w:type="pct"/>
            <w:shd w:val="clear" w:color="000000" w:fill="FFFFFF"/>
            <w:vAlign w:val="center"/>
          </w:tcPr>
          <w:p w14:paraId="7D761E70">
            <w:pPr>
              <w:widowControl/>
              <w:jc w:val="center"/>
              <w:rPr>
                <w:rFonts w:hint="eastAsia" w:ascii="宋体" w:hAnsi="宋体" w:cs="仿宋"/>
                <w:kern w:val="0"/>
                <w:sz w:val="24"/>
              </w:rPr>
            </w:pPr>
            <w:bookmarkStart w:id="535" w:name="OLE_LINK16"/>
            <w:bookmarkStart w:id="536" w:name="OLE_LINK15"/>
            <w:r>
              <w:rPr>
                <w:rFonts w:hint="eastAsia" w:ascii="宋体" w:hAnsi="宋体" w:cs="宋体"/>
                <w:kern w:val="0"/>
                <w:sz w:val="24"/>
              </w:rPr>
              <w:t>不允许澄清、说明或者更正</w:t>
            </w:r>
            <w:bookmarkEnd w:id="535"/>
            <w:bookmarkEnd w:id="536"/>
          </w:p>
        </w:tc>
      </w:tr>
      <w:tr w14:paraId="5A3433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52" w:type="pct"/>
            <w:shd w:val="clear" w:color="000000" w:fill="FFFFFF"/>
            <w:vAlign w:val="center"/>
          </w:tcPr>
          <w:p w14:paraId="76D3C6BF">
            <w:pPr>
              <w:widowControl/>
              <w:jc w:val="center"/>
              <w:rPr>
                <w:rFonts w:hint="eastAsia" w:ascii="宋体" w:hAnsi="宋体" w:cs="仿宋"/>
                <w:kern w:val="0"/>
                <w:sz w:val="24"/>
              </w:rPr>
            </w:pPr>
            <w:r>
              <w:rPr>
                <w:rFonts w:hint="eastAsia" w:ascii="宋体" w:hAnsi="宋体" w:cs="宋体"/>
                <w:kern w:val="0"/>
                <w:sz w:val="24"/>
              </w:rPr>
              <w:t>2</w:t>
            </w:r>
          </w:p>
        </w:tc>
        <w:tc>
          <w:tcPr>
            <w:tcW w:w="859" w:type="pct"/>
            <w:shd w:val="clear" w:color="000000" w:fill="FFFFFF"/>
            <w:vAlign w:val="center"/>
          </w:tcPr>
          <w:p w14:paraId="357C8AD1">
            <w:pPr>
              <w:widowControl/>
              <w:jc w:val="center"/>
              <w:rPr>
                <w:rFonts w:hint="eastAsia" w:ascii="宋体" w:hAnsi="宋体" w:cs="仿宋"/>
                <w:kern w:val="0"/>
                <w:sz w:val="24"/>
              </w:rPr>
            </w:pPr>
            <w:r>
              <w:rPr>
                <w:rFonts w:hint="eastAsia" w:ascii="宋体" w:hAnsi="宋体" w:cs="宋体"/>
                <w:kern w:val="0"/>
                <w:sz w:val="24"/>
              </w:rPr>
              <w:t>响应完整性</w:t>
            </w:r>
          </w:p>
        </w:tc>
        <w:tc>
          <w:tcPr>
            <w:tcW w:w="2601" w:type="pct"/>
            <w:shd w:val="clear" w:color="000000" w:fill="FFFFFF"/>
            <w:vAlign w:val="center"/>
          </w:tcPr>
          <w:p w14:paraId="05E65077">
            <w:pPr>
              <w:tabs>
                <w:tab w:val="left" w:pos="1080"/>
              </w:tabs>
              <w:snapToGrid w:val="0"/>
              <w:rPr>
                <w:rFonts w:hint="eastAsia" w:ascii="宋体" w:hAnsi="宋体" w:cs="仿宋"/>
                <w:kern w:val="0"/>
                <w:sz w:val="24"/>
              </w:rPr>
            </w:pPr>
            <w:r>
              <w:rPr>
                <w:rFonts w:hint="eastAsia" w:ascii="宋体" w:hAnsi="宋体" w:cs="宋体"/>
                <w:sz w:val="24"/>
              </w:rPr>
              <w:t>未将一个采购包中的内容拆开响应；</w:t>
            </w:r>
            <w:r>
              <w:rPr>
                <w:rFonts w:ascii="宋体" w:hAnsi="宋体" w:cs="宋体"/>
                <w:kern w:val="0"/>
                <w:sz w:val="24"/>
              </w:rPr>
              <w:t xml:space="preserve"> </w:t>
            </w:r>
          </w:p>
        </w:tc>
        <w:tc>
          <w:tcPr>
            <w:tcW w:w="1088" w:type="pct"/>
            <w:shd w:val="clear" w:color="000000" w:fill="FFFFFF"/>
            <w:vAlign w:val="center"/>
          </w:tcPr>
          <w:p w14:paraId="6FA9A537">
            <w:pPr>
              <w:widowControl/>
              <w:jc w:val="center"/>
              <w:rPr>
                <w:rFonts w:hint="eastAsia" w:ascii="宋体" w:hAnsi="宋体" w:cs="仿宋"/>
                <w:kern w:val="0"/>
                <w:sz w:val="24"/>
              </w:rPr>
            </w:pPr>
            <w:r>
              <w:rPr>
                <w:rFonts w:hint="eastAsia" w:ascii="宋体" w:hAnsi="宋体" w:cs="宋体"/>
                <w:kern w:val="0"/>
                <w:sz w:val="24"/>
              </w:rPr>
              <w:t>不允许澄清、说明或者更正</w:t>
            </w:r>
          </w:p>
        </w:tc>
      </w:tr>
      <w:tr w14:paraId="42A933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52" w:type="pct"/>
            <w:shd w:val="clear" w:color="000000" w:fill="FFFFFF"/>
            <w:vAlign w:val="center"/>
          </w:tcPr>
          <w:p w14:paraId="1FB527CE">
            <w:pPr>
              <w:widowControl/>
              <w:jc w:val="center"/>
              <w:rPr>
                <w:rFonts w:hint="eastAsia" w:ascii="宋体" w:hAnsi="宋体" w:cs="仿宋"/>
                <w:kern w:val="0"/>
                <w:sz w:val="24"/>
              </w:rPr>
            </w:pPr>
            <w:r>
              <w:rPr>
                <w:rFonts w:ascii="宋体" w:hAnsi="宋体"/>
                <w:sz w:val="24"/>
              </w:rPr>
              <w:t>3</w:t>
            </w:r>
          </w:p>
        </w:tc>
        <w:tc>
          <w:tcPr>
            <w:tcW w:w="859" w:type="pct"/>
            <w:shd w:val="clear" w:color="000000" w:fill="FFFFFF"/>
            <w:vAlign w:val="center"/>
          </w:tcPr>
          <w:p w14:paraId="03C4D0DF">
            <w:pPr>
              <w:widowControl/>
              <w:jc w:val="center"/>
              <w:rPr>
                <w:rFonts w:hint="eastAsia" w:ascii="宋体" w:hAnsi="宋体" w:cs="仿宋"/>
                <w:kern w:val="0"/>
                <w:sz w:val="24"/>
              </w:rPr>
            </w:pPr>
            <w:r>
              <w:rPr>
                <w:rFonts w:hint="eastAsia" w:ascii="宋体" w:hAnsi="宋体" w:cs="宋体"/>
                <w:kern w:val="0"/>
                <w:sz w:val="24"/>
              </w:rPr>
              <w:t>报价</w:t>
            </w:r>
          </w:p>
        </w:tc>
        <w:tc>
          <w:tcPr>
            <w:tcW w:w="2601" w:type="pct"/>
            <w:shd w:val="clear" w:color="000000" w:fill="FFFFFF"/>
            <w:vAlign w:val="center"/>
          </w:tcPr>
          <w:p w14:paraId="308DB5FB">
            <w:pPr>
              <w:tabs>
                <w:tab w:val="left" w:pos="1080"/>
              </w:tabs>
              <w:snapToGrid w:val="0"/>
              <w:rPr>
                <w:rFonts w:hint="eastAsia" w:ascii="宋体" w:hAnsi="宋体" w:cs="仿宋"/>
                <w:kern w:val="0"/>
                <w:sz w:val="24"/>
              </w:rPr>
            </w:pPr>
            <w:r>
              <w:rPr>
                <w:rFonts w:ascii="宋体" w:hAnsi="宋体"/>
                <w:kern w:val="0"/>
                <w:sz w:val="24"/>
              </w:rPr>
              <w:t>报价</w:t>
            </w:r>
            <w:r>
              <w:rPr>
                <w:rFonts w:hint="eastAsia" w:ascii="宋体" w:hAnsi="宋体"/>
                <w:kern w:val="0"/>
                <w:sz w:val="24"/>
              </w:rPr>
              <w:t>未</w:t>
            </w:r>
            <w:r>
              <w:rPr>
                <w:rFonts w:ascii="宋体" w:hAnsi="宋体"/>
                <w:sz w:val="24"/>
              </w:rPr>
              <w:t>超过</w:t>
            </w:r>
            <w:r>
              <w:rPr>
                <w:rFonts w:hint="eastAsia" w:ascii="宋体" w:hAnsi="宋体"/>
                <w:sz w:val="24"/>
              </w:rPr>
              <w:t>竞争性磋商</w:t>
            </w:r>
            <w:r>
              <w:rPr>
                <w:rFonts w:ascii="宋体" w:hAnsi="宋体"/>
                <w:sz w:val="24"/>
              </w:rPr>
              <w:t>文件中规定的项目最高限价</w:t>
            </w:r>
            <w:r>
              <w:rPr>
                <w:rFonts w:ascii="宋体" w:hAnsi="宋体"/>
                <w:kern w:val="0"/>
                <w:sz w:val="24"/>
              </w:rPr>
              <w:t>；</w:t>
            </w:r>
          </w:p>
        </w:tc>
        <w:tc>
          <w:tcPr>
            <w:tcW w:w="1088" w:type="pct"/>
            <w:shd w:val="clear" w:color="000000" w:fill="FFFFFF"/>
            <w:vAlign w:val="center"/>
          </w:tcPr>
          <w:p w14:paraId="478B3626">
            <w:pPr>
              <w:widowControl/>
              <w:jc w:val="center"/>
              <w:rPr>
                <w:rFonts w:hint="eastAsia" w:ascii="宋体" w:hAnsi="宋体" w:cs="仿宋"/>
                <w:kern w:val="0"/>
                <w:sz w:val="24"/>
              </w:rPr>
            </w:pPr>
            <w:r>
              <w:rPr>
                <w:rFonts w:hint="eastAsia" w:ascii="宋体" w:hAnsi="宋体" w:cs="宋体"/>
                <w:kern w:val="0"/>
                <w:sz w:val="24"/>
              </w:rPr>
              <w:t>不允许澄清、说明或者更正</w:t>
            </w:r>
          </w:p>
        </w:tc>
      </w:tr>
      <w:tr w14:paraId="124E07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452" w:type="pct"/>
            <w:shd w:val="clear" w:color="000000" w:fill="FFFFFF"/>
            <w:vAlign w:val="center"/>
          </w:tcPr>
          <w:p w14:paraId="7019A051">
            <w:pPr>
              <w:widowControl/>
              <w:jc w:val="center"/>
              <w:rPr>
                <w:rFonts w:hint="eastAsia" w:ascii="宋体" w:hAnsi="宋体" w:cs="仿宋"/>
                <w:kern w:val="0"/>
                <w:sz w:val="24"/>
              </w:rPr>
            </w:pPr>
            <w:r>
              <w:rPr>
                <w:rFonts w:ascii="宋体" w:hAnsi="宋体"/>
                <w:sz w:val="24"/>
              </w:rPr>
              <w:t>4</w:t>
            </w:r>
          </w:p>
        </w:tc>
        <w:tc>
          <w:tcPr>
            <w:tcW w:w="859" w:type="pct"/>
            <w:shd w:val="clear" w:color="000000" w:fill="FFFFFF"/>
            <w:vAlign w:val="center"/>
          </w:tcPr>
          <w:p w14:paraId="22282EA6">
            <w:pPr>
              <w:widowControl/>
              <w:jc w:val="center"/>
              <w:rPr>
                <w:rFonts w:hint="eastAsia" w:ascii="宋体" w:hAnsi="宋体" w:cs="仿宋"/>
                <w:kern w:val="0"/>
                <w:sz w:val="24"/>
              </w:rPr>
            </w:pPr>
            <w:r>
              <w:rPr>
                <w:rFonts w:hint="eastAsia" w:ascii="宋体" w:hAnsi="宋体" w:cs="宋体"/>
                <w:kern w:val="0"/>
                <w:sz w:val="24"/>
              </w:rPr>
              <w:t>响应有效期</w:t>
            </w:r>
          </w:p>
        </w:tc>
        <w:tc>
          <w:tcPr>
            <w:tcW w:w="2601" w:type="pct"/>
            <w:shd w:val="clear" w:color="000000" w:fill="FFFFFF"/>
            <w:vAlign w:val="center"/>
          </w:tcPr>
          <w:p w14:paraId="7A926D71">
            <w:pPr>
              <w:jc w:val="left"/>
              <w:rPr>
                <w:rFonts w:hint="eastAsia" w:ascii="宋体" w:hAnsi="宋体" w:cs="仿宋"/>
                <w:sz w:val="24"/>
              </w:rPr>
            </w:pPr>
            <w:r>
              <w:rPr>
                <w:rFonts w:hint="eastAsia" w:ascii="宋体" w:hAnsi="宋体" w:cs="宋体"/>
                <w:kern w:val="0"/>
                <w:sz w:val="24"/>
              </w:rPr>
              <w:t>响应文件中承诺的响应有效期满足竞争性磋商文件中载明的响应有效期的；</w:t>
            </w:r>
          </w:p>
        </w:tc>
        <w:tc>
          <w:tcPr>
            <w:tcW w:w="1088" w:type="pct"/>
            <w:shd w:val="clear" w:color="000000" w:fill="FFFFFF"/>
            <w:vAlign w:val="center"/>
          </w:tcPr>
          <w:p w14:paraId="5E7D91C4">
            <w:pPr>
              <w:widowControl/>
              <w:jc w:val="center"/>
              <w:rPr>
                <w:rFonts w:hint="eastAsia" w:ascii="宋体" w:hAnsi="宋体" w:cs="仿宋"/>
                <w:kern w:val="0"/>
                <w:sz w:val="24"/>
              </w:rPr>
            </w:pPr>
            <w:r>
              <w:rPr>
                <w:rFonts w:hint="eastAsia" w:ascii="宋体" w:hAnsi="宋体" w:cs="宋体"/>
                <w:kern w:val="0"/>
                <w:sz w:val="24"/>
              </w:rPr>
              <w:t>不允许澄清、说明或者更正</w:t>
            </w:r>
          </w:p>
        </w:tc>
      </w:tr>
      <w:tr w14:paraId="1AA700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52" w:type="pct"/>
            <w:vAlign w:val="center"/>
          </w:tcPr>
          <w:p w14:paraId="566FCCC3">
            <w:pPr>
              <w:widowControl/>
              <w:jc w:val="center"/>
              <w:rPr>
                <w:rFonts w:hint="eastAsia" w:ascii="宋体" w:hAnsi="宋体" w:cs="仿宋"/>
                <w:kern w:val="0"/>
                <w:sz w:val="24"/>
              </w:rPr>
            </w:pPr>
            <w:r>
              <w:rPr>
                <w:rFonts w:ascii="宋体" w:hAnsi="宋体"/>
                <w:sz w:val="24"/>
              </w:rPr>
              <w:t>5</w:t>
            </w:r>
          </w:p>
        </w:tc>
        <w:tc>
          <w:tcPr>
            <w:tcW w:w="859" w:type="pct"/>
            <w:vAlign w:val="center"/>
          </w:tcPr>
          <w:p w14:paraId="1A0F4A68">
            <w:pPr>
              <w:widowControl/>
              <w:jc w:val="center"/>
              <w:rPr>
                <w:rFonts w:hint="eastAsia" w:ascii="宋体" w:hAnsi="宋体" w:cs="仿宋"/>
                <w:kern w:val="0"/>
                <w:sz w:val="24"/>
              </w:rPr>
            </w:pPr>
            <w:r>
              <w:rPr>
                <w:rFonts w:hint="eastAsia" w:ascii="宋体" w:hAnsi="宋体" w:cs="宋体"/>
                <w:kern w:val="0"/>
                <w:sz w:val="24"/>
              </w:rPr>
              <w:t>实质性格式</w:t>
            </w:r>
          </w:p>
        </w:tc>
        <w:tc>
          <w:tcPr>
            <w:tcW w:w="2601" w:type="pct"/>
            <w:vAlign w:val="center"/>
          </w:tcPr>
          <w:p w14:paraId="57A62B08">
            <w:pPr>
              <w:jc w:val="left"/>
              <w:rPr>
                <w:rFonts w:hint="eastAsia" w:ascii="宋体" w:hAnsi="宋体" w:cs="仿宋"/>
                <w:sz w:val="24"/>
              </w:rPr>
            </w:pPr>
            <w:r>
              <w:rPr>
                <w:rFonts w:hint="eastAsia" w:ascii="宋体" w:hAnsi="宋体" w:cs="宋体"/>
                <w:kern w:val="0"/>
                <w:sz w:val="24"/>
              </w:rPr>
              <w:t>标记为“实质性格式”的文件均按竞争性磋商文件要求提供且签署、盖章的；</w:t>
            </w:r>
          </w:p>
        </w:tc>
        <w:tc>
          <w:tcPr>
            <w:tcW w:w="1088" w:type="pct"/>
            <w:vAlign w:val="center"/>
          </w:tcPr>
          <w:p w14:paraId="1CCDB50A">
            <w:pPr>
              <w:widowControl/>
              <w:jc w:val="center"/>
              <w:rPr>
                <w:rFonts w:hint="eastAsia" w:ascii="宋体" w:hAnsi="宋体" w:cs="仿宋"/>
                <w:kern w:val="0"/>
                <w:sz w:val="24"/>
              </w:rPr>
            </w:pPr>
            <w:r>
              <w:rPr>
                <w:rFonts w:hint="eastAsia" w:ascii="宋体" w:hAnsi="宋体" w:cs="宋体"/>
                <w:kern w:val="0"/>
                <w:sz w:val="24"/>
              </w:rPr>
              <w:t>不允许澄清、说明或者更正</w:t>
            </w:r>
          </w:p>
        </w:tc>
      </w:tr>
      <w:tr w14:paraId="23BC11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52" w:type="pct"/>
            <w:vAlign w:val="center"/>
          </w:tcPr>
          <w:p w14:paraId="13B8B349">
            <w:pPr>
              <w:widowControl/>
              <w:jc w:val="center"/>
              <w:rPr>
                <w:rFonts w:hint="eastAsia" w:ascii="宋体" w:hAnsi="宋体"/>
                <w:sz w:val="24"/>
              </w:rPr>
            </w:pPr>
            <w:r>
              <w:rPr>
                <w:rFonts w:hint="eastAsia" w:ascii="宋体" w:hAnsi="宋体"/>
                <w:sz w:val="24"/>
              </w:rPr>
              <w:t>6</w:t>
            </w:r>
          </w:p>
        </w:tc>
        <w:tc>
          <w:tcPr>
            <w:tcW w:w="859" w:type="pct"/>
            <w:vAlign w:val="center"/>
          </w:tcPr>
          <w:p w14:paraId="2FC2A77A">
            <w:pPr>
              <w:jc w:val="center"/>
              <w:rPr>
                <w:rFonts w:hint="eastAsia" w:ascii="宋体" w:hAnsi="宋体" w:cs="宋体"/>
                <w:kern w:val="0"/>
                <w:sz w:val="24"/>
              </w:rPr>
            </w:pPr>
            <w:r>
              <w:rPr>
                <w:rFonts w:ascii="宋体" w:hAnsi="宋体" w:cs="宋体"/>
                <w:kern w:val="0"/>
                <w:sz w:val="24"/>
              </w:rPr>
              <w:t>报价合理性</w:t>
            </w:r>
          </w:p>
        </w:tc>
        <w:tc>
          <w:tcPr>
            <w:tcW w:w="2601" w:type="pct"/>
            <w:vAlign w:val="center"/>
          </w:tcPr>
          <w:p w14:paraId="599FB063">
            <w:pPr>
              <w:jc w:val="left"/>
              <w:rPr>
                <w:rFonts w:hint="eastAsia" w:ascii="宋体" w:hAnsi="宋体" w:cs="宋体"/>
                <w:kern w:val="0"/>
                <w:sz w:val="24"/>
              </w:rPr>
            </w:pPr>
            <w:r>
              <w:rPr>
                <w:rFonts w:ascii="宋体" w:hAnsi="宋体" w:cs="宋体"/>
                <w:kern w:val="0"/>
                <w:sz w:val="24"/>
              </w:rPr>
              <w:t>报价合理</w:t>
            </w:r>
            <w:r>
              <w:rPr>
                <w:rFonts w:hint="eastAsia" w:ascii="宋体" w:hAnsi="宋体" w:cs="宋体"/>
                <w:kern w:val="0"/>
                <w:sz w:val="24"/>
              </w:rPr>
              <w:t>。响应报价低于（不含）项目最高限价6%限度或供应商的报价明显低于其他通过符合性审查供应商的报价，</w:t>
            </w:r>
            <w:r>
              <w:rPr>
                <w:rFonts w:ascii="宋体" w:hAnsi="宋体" w:cs="宋体"/>
                <w:kern w:val="0"/>
                <w:sz w:val="24"/>
              </w:rPr>
              <w:t>有可能影响产品质量或者不能诚信履约的</w:t>
            </w:r>
            <w:r>
              <w:rPr>
                <w:rFonts w:hint="eastAsia" w:ascii="宋体" w:hAnsi="宋体" w:cs="宋体"/>
                <w:kern w:val="0"/>
                <w:sz w:val="24"/>
              </w:rPr>
              <w:t>，磋商小组将对响应报价启动质疑程序，要求供应商在规定时间内证明其报价的合理性。供应商未在规定时间内提供或无法证明其报价合理的，响应报价无效。</w:t>
            </w:r>
          </w:p>
        </w:tc>
        <w:tc>
          <w:tcPr>
            <w:tcW w:w="1088" w:type="pct"/>
            <w:vAlign w:val="center"/>
          </w:tcPr>
          <w:p w14:paraId="5E3EA13A">
            <w:pPr>
              <w:jc w:val="center"/>
              <w:rPr>
                <w:rFonts w:hint="eastAsia" w:ascii="宋体" w:hAnsi="宋体" w:cs="宋体"/>
                <w:kern w:val="0"/>
                <w:sz w:val="24"/>
              </w:rPr>
            </w:pPr>
            <w:r>
              <w:rPr>
                <w:rFonts w:hint="eastAsia" w:ascii="宋体" w:hAnsi="宋体" w:cs="宋体"/>
                <w:kern w:val="0"/>
                <w:sz w:val="24"/>
              </w:rPr>
              <w:t>允许</w:t>
            </w:r>
          </w:p>
        </w:tc>
      </w:tr>
      <w:tr w14:paraId="141012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52" w:type="pct"/>
            <w:vAlign w:val="center"/>
          </w:tcPr>
          <w:p w14:paraId="00E6F78B">
            <w:pPr>
              <w:widowControl/>
              <w:jc w:val="center"/>
              <w:rPr>
                <w:rFonts w:hint="eastAsia" w:ascii="宋体" w:hAnsi="宋体" w:cs="仿宋"/>
                <w:kern w:val="0"/>
                <w:sz w:val="24"/>
              </w:rPr>
            </w:pPr>
            <w:r>
              <w:rPr>
                <w:rFonts w:hint="eastAsia" w:ascii="宋体" w:hAnsi="宋体" w:cs="宋体"/>
                <w:kern w:val="0"/>
                <w:sz w:val="24"/>
              </w:rPr>
              <w:t>7</w:t>
            </w:r>
          </w:p>
        </w:tc>
        <w:tc>
          <w:tcPr>
            <w:tcW w:w="859" w:type="pct"/>
            <w:vAlign w:val="center"/>
          </w:tcPr>
          <w:p w14:paraId="37B33E7A">
            <w:pPr>
              <w:tabs>
                <w:tab w:val="left" w:pos="1080"/>
              </w:tabs>
              <w:snapToGrid w:val="0"/>
              <w:jc w:val="center"/>
              <w:rPr>
                <w:rFonts w:hint="eastAsia" w:ascii="宋体" w:hAnsi="宋体" w:cs="仿宋"/>
                <w:color w:val="FF0000"/>
                <w:kern w:val="0"/>
                <w:sz w:val="24"/>
              </w:rPr>
            </w:pPr>
            <w:r>
              <w:rPr>
                <w:rFonts w:ascii="宋体" w:hAnsi="宋体" w:cs="宋体"/>
                <w:kern w:val="0"/>
                <w:sz w:val="24"/>
              </w:rPr>
              <w:t>公平竞争</w:t>
            </w:r>
          </w:p>
        </w:tc>
        <w:tc>
          <w:tcPr>
            <w:tcW w:w="2601" w:type="pct"/>
            <w:vAlign w:val="center"/>
          </w:tcPr>
          <w:p w14:paraId="7270A3E3">
            <w:pPr>
              <w:jc w:val="left"/>
              <w:rPr>
                <w:rFonts w:hint="eastAsia" w:ascii="宋体" w:hAnsi="宋体" w:cs="仿宋"/>
                <w:color w:val="FF0000"/>
                <w:sz w:val="24"/>
              </w:rPr>
            </w:pPr>
            <w:r>
              <w:rPr>
                <w:rFonts w:hint="eastAsia" w:ascii="宋体" w:hAnsi="宋体" w:cs="宋体"/>
                <w:kern w:val="0"/>
                <w:sz w:val="24"/>
              </w:rPr>
              <w:t>供应商</w:t>
            </w:r>
            <w:r>
              <w:rPr>
                <w:rFonts w:ascii="宋体" w:hAnsi="宋体" w:cs="宋体"/>
                <w:kern w:val="0"/>
                <w:sz w:val="24"/>
              </w:rPr>
              <w:t>遵循公平竞争的原则，不存在恶意串通，妨碍其他</w:t>
            </w:r>
            <w:r>
              <w:rPr>
                <w:rFonts w:hint="eastAsia" w:ascii="宋体" w:hAnsi="宋体" w:cs="宋体"/>
                <w:kern w:val="0"/>
                <w:sz w:val="24"/>
              </w:rPr>
              <w:t>供应商</w:t>
            </w:r>
            <w:r>
              <w:rPr>
                <w:rFonts w:ascii="宋体" w:hAnsi="宋体" w:cs="宋体"/>
                <w:kern w:val="0"/>
                <w:sz w:val="24"/>
              </w:rPr>
              <w:t>的竞争行为，不存在损害采购人或者其他</w:t>
            </w:r>
            <w:r>
              <w:rPr>
                <w:rFonts w:hint="eastAsia" w:ascii="宋体" w:hAnsi="宋体" w:cs="宋体"/>
                <w:kern w:val="0"/>
                <w:sz w:val="24"/>
              </w:rPr>
              <w:t>供应商</w:t>
            </w:r>
            <w:r>
              <w:rPr>
                <w:rFonts w:ascii="宋体" w:hAnsi="宋体" w:cs="宋体"/>
                <w:kern w:val="0"/>
                <w:sz w:val="24"/>
              </w:rPr>
              <w:t>的合法权益情形的；</w:t>
            </w:r>
          </w:p>
        </w:tc>
        <w:tc>
          <w:tcPr>
            <w:tcW w:w="1088" w:type="pct"/>
            <w:vAlign w:val="center"/>
          </w:tcPr>
          <w:p w14:paraId="664C3166">
            <w:pPr>
              <w:widowControl/>
              <w:jc w:val="center"/>
              <w:rPr>
                <w:rFonts w:hint="eastAsia" w:ascii="宋体" w:hAnsi="宋体" w:cs="仿宋"/>
                <w:color w:val="FF0000"/>
                <w:kern w:val="0"/>
                <w:sz w:val="24"/>
              </w:rPr>
            </w:pPr>
            <w:r>
              <w:rPr>
                <w:rFonts w:hint="eastAsia" w:ascii="宋体" w:hAnsi="宋体" w:cs="宋体"/>
                <w:kern w:val="0"/>
                <w:sz w:val="24"/>
              </w:rPr>
              <w:t>不允许澄清、说明或者更正</w:t>
            </w:r>
          </w:p>
        </w:tc>
      </w:tr>
      <w:tr w14:paraId="10487C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52" w:type="pct"/>
            <w:vAlign w:val="center"/>
          </w:tcPr>
          <w:p w14:paraId="47A8B9DB">
            <w:pPr>
              <w:widowControl/>
              <w:jc w:val="center"/>
              <w:rPr>
                <w:rFonts w:hint="eastAsia" w:ascii="宋体" w:hAnsi="宋体" w:cs="宋体"/>
                <w:kern w:val="0"/>
                <w:sz w:val="24"/>
              </w:rPr>
            </w:pPr>
            <w:r>
              <w:rPr>
                <w:rFonts w:hint="eastAsia" w:ascii="宋体" w:hAnsi="宋体" w:cs="宋体"/>
                <w:kern w:val="0"/>
                <w:sz w:val="24"/>
              </w:rPr>
              <w:t>8</w:t>
            </w:r>
          </w:p>
        </w:tc>
        <w:tc>
          <w:tcPr>
            <w:tcW w:w="859" w:type="pct"/>
            <w:vAlign w:val="center"/>
          </w:tcPr>
          <w:p w14:paraId="2EEEE5F2">
            <w:pPr>
              <w:tabs>
                <w:tab w:val="left" w:pos="1080"/>
              </w:tabs>
              <w:snapToGrid w:val="0"/>
              <w:jc w:val="center"/>
              <w:rPr>
                <w:rFonts w:hint="eastAsia" w:ascii="宋体" w:hAnsi="宋体" w:cs="宋体"/>
                <w:color w:val="FF0000"/>
                <w:kern w:val="0"/>
                <w:sz w:val="24"/>
              </w:rPr>
            </w:pPr>
            <w:r>
              <w:rPr>
                <w:rFonts w:hint="eastAsia" w:ascii="宋体" w:hAnsi="宋体" w:cs="宋体"/>
                <w:kern w:val="0"/>
                <w:sz w:val="24"/>
              </w:rPr>
              <w:t>附加条件</w:t>
            </w:r>
          </w:p>
        </w:tc>
        <w:tc>
          <w:tcPr>
            <w:tcW w:w="2601" w:type="pct"/>
            <w:vAlign w:val="center"/>
          </w:tcPr>
          <w:p w14:paraId="1DF83129">
            <w:pPr>
              <w:jc w:val="left"/>
              <w:rPr>
                <w:rFonts w:hint="eastAsia" w:ascii="宋体" w:hAnsi="宋体" w:cs="宋体"/>
                <w:color w:val="FF0000"/>
                <w:kern w:val="0"/>
                <w:sz w:val="24"/>
              </w:rPr>
            </w:pPr>
            <w:r>
              <w:rPr>
                <w:rFonts w:hint="eastAsia" w:ascii="宋体" w:hAnsi="宋体" w:cs="宋体"/>
                <w:kern w:val="0"/>
                <w:sz w:val="24"/>
              </w:rPr>
              <w:t>响应文件未含有采购人不能接受的附加条件的；</w:t>
            </w:r>
          </w:p>
        </w:tc>
        <w:tc>
          <w:tcPr>
            <w:tcW w:w="1088" w:type="pct"/>
            <w:vAlign w:val="center"/>
          </w:tcPr>
          <w:p w14:paraId="5582A6DE">
            <w:pPr>
              <w:widowControl/>
              <w:jc w:val="center"/>
              <w:rPr>
                <w:rFonts w:hint="eastAsia" w:ascii="宋体" w:hAnsi="宋体" w:cs="宋体"/>
                <w:color w:val="FF0000"/>
                <w:kern w:val="0"/>
                <w:sz w:val="24"/>
              </w:rPr>
            </w:pPr>
            <w:r>
              <w:rPr>
                <w:rFonts w:hint="eastAsia" w:ascii="宋体" w:hAnsi="宋体" w:cs="宋体"/>
                <w:kern w:val="0"/>
                <w:sz w:val="24"/>
              </w:rPr>
              <w:t>不允许澄清、说明或者更正</w:t>
            </w:r>
          </w:p>
        </w:tc>
      </w:tr>
      <w:tr w14:paraId="67EC61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52" w:type="pct"/>
            <w:vAlign w:val="center"/>
          </w:tcPr>
          <w:p w14:paraId="47E0CD47">
            <w:pPr>
              <w:widowControl/>
              <w:jc w:val="center"/>
              <w:rPr>
                <w:rFonts w:hint="eastAsia" w:ascii="宋体" w:hAnsi="宋体" w:cs="宋体"/>
                <w:kern w:val="0"/>
                <w:sz w:val="24"/>
              </w:rPr>
            </w:pPr>
            <w:r>
              <w:rPr>
                <w:rFonts w:hint="eastAsia" w:ascii="宋体" w:hAnsi="宋体" w:cs="宋体"/>
                <w:kern w:val="0"/>
                <w:sz w:val="24"/>
              </w:rPr>
              <w:t>9</w:t>
            </w:r>
          </w:p>
        </w:tc>
        <w:tc>
          <w:tcPr>
            <w:tcW w:w="859" w:type="pct"/>
            <w:vAlign w:val="center"/>
          </w:tcPr>
          <w:p w14:paraId="162FF284">
            <w:pPr>
              <w:tabs>
                <w:tab w:val="left" w:pos="1080"/>
              </w:tabs>
              <w:snapToGrid w:val="0"/>
              <w:jc w:val="center"/>
              <w:rPr>
                <w:rFonts w:hint="eastAsia" w:ascii="宋体" w:hAnsi="宋体" w:cs="宋体"/>
                <w:kern w:val="0"/>
                <w:sz w:val="24"/>
              </w:rPr>
            </w:pPr>
            <w:r>
              <w:rPr>
                <w:rFonts w:hint="eastAsia" w:ascii="宋体" w:hAnsi="宋体" w:cs="宋体"/>
                <w:kern w:val="0"/>
                <w:sz w:val="24"/>
              </w:rPr>
              <w:t>其他无效情形</w:t>
            </w:r>
          </w:p>
        </w:tc>
        <w:tc>
          <w:tcPr>
            <w:tcW w:w="2601" w:type="pct"/>
            <w:vAlign w:val="center"/>
          </w:tcPr>
          <w:p w14:paraId="48775DA3">
            <w:pPr>
              <w:jc w:val="left"/>
              <w:rPr>
                <w:rFonts w:hint="eastAsia" w:ascii="宋体" w:hAnsi="宋体" w:cs="宋体"/>
                <w:kern w:val="0"/>
                <w:sz w:val="24"/>
              </w:rPr>
            </w:pPr>
            <w:r>
              <w:rPr>
                <w:rFonts w:hint="eastAsia" w:ascii="宋体" w:hAnsi="宋体" w:cs="宋体"/>
                <w:sz w:val="24"/>
              </w:rPr>
              <w:t>供应商、响应文件不存在不符合法律、法规和竞争性磋商文件规定的其他无效情形。</w:t>
            </w:r>
          </w:p>
        </w:tc>
        <w:tc>
          <w:tcPr>
            <w:tcW w:w="1088" w:type="pct"/>
            <w:vAlign w:val="center"/>
          </w:tcPr>
          <w:p w14:paraId="26500C16">
            <w:pPr>
              <w:widowControl/>
              <w:jc w:val="center"/>
              <w:rPr>
                <w:rFonts w:hint="eastAsia" w:ascii="宋体" w:hAnsi="宋体" w:cs="宋体"/>
                <w:kern w:val="0"/>
                <w:sz w:val="24"/>
              </w:rPr>
            </w:pPr>
            <w:r>
              <w:rPr>
                <w:rFonts w:hint="eastAsia" w:ascii="宋体" w:hAnsi="宋体" w:cs="宋体"/>
                <w:kern w:val="0"/>
                <w:sz w:val="24"/>
              </w:rPr>
              <w:t>不允许澄清、说明或者更正</w:t>
            </w:r>
          </w:p>
        </w:tc>
      </w:tr>
    </w:tbl>
    <w:p w14:paraId="726991A8">
      <w:pPr>
        <w:numPr>
          <w:ilvl w:val="0"/>
          <w:numId w:val="31"/>
        </w:numPr>
        <w:tabs>
          <w:tab w:val="left" w:pos="360"/>
        </w:tabs>
        <w:snapToGrid w:val="0"/>
        <w:spacing w:line="360" w:lineRule="auto"/>
        <w:outlineLvl w:val="1"/>
        <w:rPr>
          <w:rFonts w:hint="eastAsia" w:ascii="宋体" w:hAnsi="宋体" w:cs="仿宋"/>
          <w:sz w:val="24"/>
        </w:rPr>
      </w:pPr>
      <w:r>
        <w:rPr>
          <w:rFonts w:hint="eastAsia" w:ascii="宋体" w:hAnsi="宋体" w:cs="仿宋"/>
          <w:sz w:val="24"/>
        </w:rPr>
        <w:t>磋商、响应文件有关事项的澄清、说明或者更正和最后报价</w:t>
      </w:r>
    </w:p>
    <w:p w14:paraId="5705E120">
      <w:pPr>
        <w:numPr>
          <w:ilvl w:val="1"/>
          <w:numId w:val="31"/>
        </w:numPr>
        <w:tabs>
          <w:tab w:val="left" w:pos="1080"/>
        </w:tabs>
        <w:snapToGrid w:val="0"/>
        <w:spacing w:line="360" w:lineRule="auto"/>
        <w:ind w:left="1077" w:hanging="720"/>
        <w:rPr>
          <w:rFonts w:hint="eastAsia" w:ascii="宋体" w:hAnsi="宋体" w:cs="宋体"/>
          <w:sz w:val="24"/>
        </w:rPr>
      </w:pPr>
      <w:r>
        <w:rPr>
          <w:rFonts w:hint="eastAsia" w:ascii="宋体" w:hAnsi="宋体" w:cs="宋体"/>
          <w:sz w:val="24"/>
        </w:rPr>
        <w:t>磋商小组所有成员应当集中与单一供应商分别进行磋商，并给予所有参加磋商的供应商平等的磋商机会。</w:t>
      </w:r>
    </w:p>
    <w:p w14:paraId="179A75A6">
      <w:pPr>
        <w:numPr>
          <w:ilvl w:val="1"/>
          <w:numId w:val="31"/>
        </w:numPr>
        <w:tabs>
          <w:tab w:val="left" w:pos="1080"/>
          <w:tab w:val="left" w:pos="1872"/>
        </w:tabs>
        <w:snapToGrid w:val="0"/>
        <w:spacing w:line="360" w:lineRule="auto"/>
        <w:ind w:left="1077" w:hanging="720"/>
        <w:rPr>
          <w:rFonts w:hint="eastAsia" w:ascii="宋体" w:hAnsi="宋体" w:cs="宋体"/>
          <w:sz w:val="24"/>
        </w:rPr>
      </w:pPr>
      <w:r>
        <w:rPr>
          <w:rFonts w:hint="eastAsia" w:ascii="宋体" w:hAnsi="宋体" w:cs="宋体"/>
          <w:kern w:val="0"/>
          <w:sz w:val="24"/>
        </w:rPr>
        <w:t>在磋商过程中，磋商小组可以根据磋商文件和磋商情况实质性变动采购需求中的技术、服务要求以及合同草案条款，但不得变动磋商文件中的其他内容。实质性变动的内容，须经采购人代表确认。</w:t>
      </w:r>
    </w:p>
    <w:p w14:paraId="1BA01FCC">
      <w:pPr>
        <w:numPr>
          <w:ilvl w:val="1"/>
          <w:numId w:val="31"/>
        </w:numPr>
        <w:tabs>
          <w:tab w:val="left" w:pos="1080"/>
          <w:tab w:val="left" w:pos="1872"/>
        </w:tabs>
        <w:snapToGrid w:val="0"/>
        <w:spacing w:line="360" w:lineRule="auto"/>
        <w:ind w:left="1077" w:hanging="720"/>
        <w:rPr>
          <w:rFonts w:hint="eastAsia" w:ascii="宋体" w:hAnsi="宋体" w:cs="宋体"/>
          <w:kern w:val="0"/>
          <w:sz w:val="24"/>
        </w:rPr>
      </w:pPr>
      <w:r>
        <w:rPr>
          <w:rFonts w:hint="eastAsia" w:ascii="宋体" w:hAnsi="宋体" w:cs="宋体"/>
          <w:kern w:val="0"/>
          <w:sz w:val="24"/>
        </w:rPr>
        <w:t>对磋商文件作出的实质性变动是磋商文件的有效组成部分，磋商小组应当及时以书面形式同时通知所有参加磋商的供应商。</w:t>
      </w:r>
    </w:p>
    <w:p w14:paraId="68F09B51">
      <w:pPr>
        <w:numPr>
          <w:ilvl w:val="1"/>
          <w:numId w:val="31"/>
        </w:numPr>
        <w:tabs>
          <w:tab w:val="left" w:pos="1080"/>
          <w:tab w:val="left" w:pos="1872"/>
        </w:tabs>
        <w:snapToGrid w:val="0"/>
        <w:spacing w:line="360" w:lineRule="auto"/>
        <w:ind w:left="1077" w:hanging="720"/>
        <w:rPr>
          <w:rFonts w:hint="eastAsia" w:ascii="宋体" w:hAnsi="宋体" w:cs="宋体"/>
          <w:kern w:val="0"/>
          <w:sz w:val="24"/>
        </w:rPr>
      </w:pPr>
      <w:r>
        <w:rPr>
          <w:rFonts w:hint="eastAsia" w:ascii="宋体" w:hAnsi="宋体" w:cs="宋体"/>
          <w:kern w:val="0"/>
          <w:sz w:val="24"/>
        </w:rPr>
        <w:t>供应商应当按照竞争性磋商文件的变动情况和磋商小组的要求重新提交响应文件，并由其法定代表人</w:t>
      </w:r>
      <w:r>
        <w:rPr>
          <w:rFonts w:ascii="宋体" w:hAnsi="宋体" w:cs="宋体"/>
          <w:sz w:val="24"/>
        </w:rPr>
        <w:t>（若</w:t>
      </w:r>
      <w:r>
        <w:rPr>
          <w:rFonts w:hint="eastAsia" w:ascii="宋体" w:hAnsi="宋体" w:cs="宋体"/>
          <w:sz w:val="24"/>
        </w:rPr>
        <w:t>供应商</w:t>
      </w:r>
      <w:r>
        <w:rPr>
          <w:rFonts w:ascii="宋体" w:hAnsi="宋体" w:cs="宋体"/>
          <w:sz w:val="24"/>
        </w:rPr>
        <w:t>为事业单位或其他组织或分支机构，可为单位负责人）</w:t>
      </w:r>
      <w:r>
        <w:rPr>
          <w:rFonts w:hint="eastAsia" w:ascii="宋体" w:hAnsi="宋体" w:cs="宋体"/>
          <w:kern w:val="0"/>
          <w:sz w:val="24"/>
        </w:rPr>
        <w:t>或授权代表签字或者加盖公章。由授权代表签字的，应当附授权委托书。供应商为自然人的，应当由本人签字并附身份证明。</w:t>
      </w:r>
    </w:p>
    <w:p w14:paraId="718353D4">
      <w:pPr>
        <w:numPr>
          <w:ilvl w:val="1"/>
          <w:numId w:val="31"/>
        </w:numPr>
        <w:tabs>
          <w:tab w:val="left" w:pos="1080"/>
          <w:tab w:val="left" w:pos="1872"/>
        </w:tabs>
        <w:snapToGrid w:val="0"/>
        <w:spacing w:line="360" w:lineRule="auto"/>
        <w:ind w:left="1077" w:hanging="720"/>
        <w:rPr>
          <w:rFonts w:hint="eastAsia" w:ascii="宋体" w:hAnsi="宋体" w:cs="仿宋"/>
          <w:sz w:val="24"/>
        </w:rPr>
      </w:pPr>
      <w:r>
        <w:rPr>
          <w:rFonts w:hint="eastAsia" w:ascii="宋体" w:hAnsi="宋体" w:cs="仿宋"/>
          <w:sz w:val="24"/>
        </w:rPr>
        <w:t>响应文件的澄清、说明或者更正：</w:t>
      </w:r>
    </w:p>
    <w:p w14:paraId="5633F150">
      <w:pPr>
        <w:numPr>
          <w:ilvl w:val="2"/>
          <w:numId w:val="31"/>
        </w:numPr>
        <w:snapToGrid w:val="0"/>
        <w:spacing w:line="360" w:lineRule="auto"/>
        <w:rPr>
          <w:rFonts w:hint="eastAsia" w:ascii="宋体" w:hAnsi="宋体" w:cs="宋体"/>
          <w:sz w:val="24"/>
        </w:rPr>
      </w:pPr>
      <w:r>
        <w:rPr>
          <w:rFonts w:hint="eastAsia" w:ascii="宋体" w:hAnsi="宋体" w:cs="仿宋"/>
          <w:sz w:val="24"/>
        </w:rPr>
        <w:t>磋</w:t>
      </w:r>
      <w:r>
        <w:rPr>
          <w:rFonts w:hint="eastAsia" w:ascii="宋体" w:hAnsi="宋体" w:cs="宋体"/>
          <w:sz w:val="24"/>
        </w:rPr>
        <w:t>磋商小组在对响应文件的有效性、完整性和响应程度进行审查时，可以要求供应商对响应文件中含义不明确、同类问题表述不一致或者有明显文字和计算错误的内容等作出必要的澄清、说明或者更正。</w:t>
      </w:r>
    </w:p>
    <w:p w14:paraId="21BD694C">
      <w:pPr>
        <w:numPr>
          <w:ilvl w:val="2"/>
          <w:numId w:val="31"/>
        </w:numPr>
        <w:snapToGrid w:val="0"/>
        <w:spacing w:line="360" w:lineRule="auto"/>
        <w:rPr>
          <w:rFonts w:hint="eastAsia" w:ascii="宋体" w:hAnsi="宋体" w:cs="宋体"/>
          <w:sz w:val="24"/>
        </w:rPr>
      </w:pPr>
      <w:r>
        <w:rPr>
          <w:rFonts w:hint="eastAsia" w:ascii="宋体" w:hAnsi="宋体" w:cs="宋体"/>
          <w:sz w:val="24"/>
        </w:rPr>
        <w:t>磋商小组对响应文件进行审查，如发现供应商提交的响应文件存在不满足《符合性审查要求》的内容，如属于表中“不允许”澄清、说明或者更正的内容，则供应商响应文件按</w:t>
      </w:r>
      <w:r>
        <w:rPr>
          <w:rFonts w:hint="eastAsia" w:ascii="宋体" w:hAnsi="宋体" w:cs="宋体"/>
          <w:b/>
          <w:sz w:val="24"/>
        </w:rPr>
        <w:t>无效处理</w:t>
      </w:r>
      <w:r>
        <w:rPr>
          <w:rFonts w:hint="eastAsia" w:ascii="宋体" w:hAnsi="宋体" w:cs="宋体"/>
          <w:sz w:val="24"/>
        </w:rPr>
        <w:t>；如属于表中的“允许”澄清、说明或更正的内容，磋商小组将要求供应商在规定的时间内对响应文件进行澄清、说明或者更正。如供应商在磋商小组规定的时间内未作出必要的澄清、说明或者更正，或澄清、说明或者更正后仍不能满足采购文件要求的，则供应商的响应文件按</w:t>
      </w:r>
      <w:r>
        <w:rPr>
          <w:rFonts w:hint="eastAsia" w:ascii="宋体" w:hAnsi="宋体" w:cs="宋体"/>
          <w:b/>
          <w:sz w:val="24"/>
        </w:rPr>
        <w:t>无效处理</w:t>
      </w:r>
      <w:r>
        <w:rPr>
          <w:rFonts w:hint="eastAsia" w:ascii="宋体" w:hAnsi="宋体" w:cs="宋体"/>
          <w:sz w:val="24"/>
        </w:rPr>
        <w:t>。</w:t>
      </w:r>
    </w:p>
    <w:p w14:paraId="7A7D5D46">
      <w:pPr>
        <w:numPr>
          <w:ilvl w:val="2"/>
          <w:numId w:val="31"/>
        </w:numPr>
        <w:snapToGrid w:val="0"/>
        <w:spacing w:line="360" w:lineRule="auto"/>
        <w:rPr>
          <w:rFonts w:hint="eastAsia" w:ascii="宋体" w:hAnsi="宋体" w:cs="宋体"/>
          <w:sz w:val="24"/>
        </w:rPr>
      </w:pPr>
      <w:r>
        <w:rPr>
          <w:rFonts w:hint="eastAsia" w:ascii="宋体" w:hAnsi="宋体" w:cs="宋体"/>
          <w:sz w:val="24"/>
        </w:rPr>
        <w:t>供应商的澄清、说明或者更正不得超出响应文件的范围或者改变响应文件的实质性内容。磋商小组要求供应商澄清、说明或者更正响应文件应当以书面形式作出。供应商的澄清、说明或者更正应当由法定代表人</w:t>
      </w:r>
      <w:r>
        <w:rPr>
          <w:rFonts w:ascii="宋体" w:hAnsi="宋体" w:cs="宋体"/>
          <w:sz w:val="24"/>
        </w:rPr>
        <w:t>（若</w:t>
      </w:r>
      <w:r>
        <w:rPr>
          <w:rFonts w:hint="eastAsia" w:ascii="宋体" w:hAnsi="宋体" w:cs="宋体"/>
          <w:sz w:val="24"/>
        </w:rPr>
        <w:t>供应商</w:t>
      </w:r>
      <w:r>
        <w:rPr>
          <w:rFonts w:ascii="宋体" w:hAnsi="宋体" w:cs="宋体"/>
          <w:sz w:val="24"/>
        </w:rPr>
        <w:t>为事业单位或其他组织或分支机构，可为单位负责人）</w:t>
      </w:r>
      <w:r>
        <w:rPr>
          <w:rFonts w:hint="eastAsia" w:ascii="宋体" w:hAnsi="宋体" w:cs="宋体"/>
          <w:sz w:val="24"/>
        </w:rPr>
        <w:t>或其授权代表签字或者加盖公章。由授权代表签字的，应当附授权委托书。供应商为自然人的，应当由本人签字并附身份证明。澄清文件将作为响应文件内容的一部分。</w:t>
      </w:r>
    </w:p>
    <w:p w14:paraId="36705060">
      <w:pPr>
        <w:numPr>
          <w:ilvl w:val="1"/>
          <w:numId w:val="31"/>
        </w:numPr>
        <w:tabs>
          <w:tab w:val="left" w:pos="1080"/>
          <w:tab w:val="left" w:pos="1872"/>
        </w:tabs>
        <w:snapToGrid w:val="0"/>
        <w:spacing w:line="360" w:lineRule="auto"/>
        <w:ind w:left="1077" w:hanging="720"/>
        <w:rPr>
          <w:rFonts w:hint="eastAsia" w:ascii="宋体" w:hAnsi="宋体" w:cs="宋体"/>
          <w:sz w:val="24"/>
        </w:rPr>
      </w:pPr>
      <w:r>
        <w:rPr>
          <w:rFonts w:hint="eastAsia" w:ascii="宋体" w:hAnsi="宋体" w:cs="宋体"/>
          <w:sz w:val="24"/>
        </w:rPr>
        <w:t>磋商结束后，磋商小组将要求所有实质性响应的供应商在规定时间内提交最后报价。最后报价时间为磋商小组指定的时间，具体时间根据磋商进度另行通知。</w:t>
      </w:r>
    </w:p>
    <w:p w14:paraId="0DC835CA">
      <w:pPr>
        <w:numPr>
          <w:ilvl w:val="1"/>
          <w:numId w:val="31"/>
        </w:numPr>
        <w:tabs>
          <w:tab w:val="left" w:pos="1080"/>
        </w:tabs>
        <w:snapToGrid w:val="0"/>
        <w:spacing w:line="360" w:lineRule="auto"/>
        <w:ind w:left="1077" w:hanging="720"/>
        <w:rPr>
          <w:rFonts w:hint="eastAsia" w:ascii="宋体" w:hAnsi="宋体" w:cs="宋体"/>
          <w:sz w:val="24"/>
        </w:rPr>
      </w:pPr>
      <w:r>
        <w:rPr>
          <w:rFonts w:hint="eastAsia" w:ascii="宋体" w:hAnsi="宋体" w:cs="宋体"/>
          <w:sz w:val="24"/>
        </w:rPr>
        <w:t>本项目执行《</w:t>
      </w:r>
      <w:bookmarkStart w:id="537" w:name="OLE_LINK7"/>
      <w:r>
        <w:rPr>
          <w:rFonts w:hint="eastAsia" w:ascii="宋体" w:hAnsi="宋体" w:cs="宋体"/>
          <w:sz w:val="24"/>
        </w:rPr>
        <w:t>关于在相关自由贸易试验区和自由贸易港开展推动解决政府采购异常低价问题试点工作的通知财办库</w:t>
      </w:r>
      <w:bookmarkEnd w:id="537"/>
      <w:r>
        <w:rPr>
          <w:rFonts w:hint="eastAsia" w:ascii="宋体" w:hAnsi="宋体" w:cs="宋体"/>
          <w:sz w:val="24"/>
        </w:rPr>
        <w:t>》〔2024〕265号</w:t>
      </w:r>
    </w:p>
    <w:p w14:paraId="54C441BA">
      <w:pPr>
        <w:numPr>
          <w:ilvl w:val="2"/>
          <w:numId w:val="31"/>
        </w:numPr>
        <w:tabs>
          <w:tab w:val="left" w:pos="1080"/>
          <w:tab w:val="left" w:pos="1589"/>
          <w:tab w:val="left" w:pos="2035"/>
        </w:tabs>
        <w:snapToGrid w:val="0"/>
        <w:spacing w:line="360" w:lineRule="auto"/>
        <w:ind w:left="2035"/>
        <w:rPr>
          <w:rFonts w:hint="eastAsia" w:ascii="宋体" w:hAnsi="宋体" w:cs="宋体"/>
          <w:sz w:val="24"/>
        </w:rPr>
      </w:pPr>
      <w:r>
        <w:rPr>
          <w:rFonts w:ascii="宋体" w:hAnsi="宋体" w:cs="宋体"/>
          <w:sz w:val="24"/>
        </w:rPr>
        <w:t>政府采购评审中出现下列情形之一的，评审委员会应当启动异常低价投标（响应）审查程序：（一）投标（响应）报价低于全部通过符合性审查供应商投标（响应）报价平均值50%的，即投标（响应）报价&lt;全部通过符合性审查供应商投标（响应）报价平均值×50%；（二）投标（响应）报价低于通过符合性审查且报价次低供应商投标（响应）报价50%的，即投标（响应）报价&lt;通过符合性审查且报价次低供应商投标（响应）报价×50%；（三）投标（响应）报价低于采购项目最高限价45%的，即投标（响应）报价&lt;采购项目最高限价×45%；（四）其他评审委员会认为供应商报价过低，有可能影响产品质量或者不能诚信履约的情形。</w:t>
      </w:r>
    </w:p>
    <w:p w14:paraId="081A5105">
      <w:pPr>
        <w:numPr>
          <w:ilvl w:val="2"/>
          <w:numId w:val="31"/>
        </w:numPr>
        <w:tabs>
          <w:tab w:val="left" w:pos="1080"/>
          <w:tab w:val="left" w:pos="1589"/>
          <w:tab w:val="left" w:pos="2035"/>
        </w:tabs>
        <w:snapToGrid w:val="0"/>
        <w:spacing w:line="360" w:lineRule="auto"/>
        <w:ind w:left="2035"/>
        <w:rPr>
          <w:rFonts w:hint="eastAsia" w:ascii="宋体" w:hAnsi="宋体" w:cs="宋体"/>
          <w:sz w:val="24"/>
        </w:rPr>
      </w:pPr>
      <w:r>
        <w:rPr>
          <w:rFonts w:ascii="宋体" w:hAnsi="宋体" w:cs="宋体"/>
          <w:sz w:val="24"/>
        </w:rPr>
        <w:t>评审委员会启动异常低价投标（响应）审查后，应当要求相关供应商在评审现场合理的时间内提供书面说明及必要的证明材料，对投标（响应）价格作出解释。书面说明、证明材料主要是项目具体成本测算等与报价合理性相关的说明、材料。</w:t>
      </w:r>
    </w:p>
    <w:p w14:paraId="74A2D520">
      <w:pPr>
        <w:numPr>
          <w:ilvl w:val="2"/>
          <w:numId w:val="31"/>
        </w:numPr>
        <w:tabs>
          <w:tab w:val="left" w:pos="1080"/>
          <w:tab w:val="left" w:pos="1589"/>
          <w:tab w:val="left" w:pos="2035"/>
        </w:tabs>
        <w:snapToGrid w:val="0"/>
        <w:spacing w:line="360" w:lineRule="auto"/>
        <w:ind w:left="2035"/>
        <w:rPr>
          <w:rFonts w:hint="eastAsia" w:ascii="宋体" w:hAnsi="宋体" w:cs="宋体"/>
          <w:sz w:val="24"/>
        </w:rPr>
      </w:pPr>
      <w:r>
        <w:rPr>
          <w:rFonts w:ascii="宋体" w:hAnsi="宋体" w:cs="宋体"/>
          <w:sz w:val="24"/>
        </w:rPr>
        <w:t>评审委员会应当结合同类产品在主要电商平台的价格、该行业当地薪资水平等情况，依据专业经验对报价合理性进行判断。如果投标（响应）供应商不提供书面说明、证明材料，或者提供的书面说明、证明材料不能证明其报价合理性的，应当将其作为无效投标（响应）处理。审查相关情况应当在评审报告中记录。</w:t>
      </w:r>
    </w:p>
    <w:p w14:paraId="25D72230">
      <w:pPr>
        <w:numPr>
          <w:ilvl w:val="1"/>
          <w:numId w:val="31"/>
        </w:numPr>
        <w:tabs>
          <w:tab w:val="left" w:pos="1080"/>
          <w:tab w:val="left" w:pos="1872"/>
        </w:tabs>
        <w:snapToGrid w:val="0"/>
        <w:spacing w:line="360" w:lineRule="auto"/>
        <w:ind w:left="1077" w:hanging="720"/>
        <w:rPr>
          <w:rFonts w:hint="eastAsia" w:ascii="宋体" w:hAnsi="宋体" w:cs="宋体"/>
          <w:sz w:val="24"/>
        </w:rPr>
      </w:pPr>
      <w:r>
        <w:rPr>
          <w:rFonts w:hint="eastAsia" w:ascii="宋体" w:hAnsi="宋体" w:cs="宋体"/>
          <w:snapToGrid w:val="0"/>
          <w:sz w:val="24"/>
        </w:rPr>
        <w:t>磋商文件能够详细列明采购标的的技术、服务要求的，磋商结束后，磋商小组应当要求所有实质性响应的供应商在规定时间内提交最后报价，提交最后报价的供应商不得少于3家。磋商文件不能详细列明采购标的的技术、服务要求，需经磋商由供应商提供最终设计方案或解决方案的，磋商结束后，磋商小组应当按照少数服从多数的原则投票推荐3家以上供应商的设计方案或者解决方案，并要求其在规定时间内提交最后报价。</w:t>
      </w:r>
    </w:p>
    <w:p w14:paraId="49476520">
      <w:pPr>
        <w:numPr>
          <w:ilvl w:val="1"/>
          <w:numId w:val="31"/>
        </w:numPr>
        <w:tabs>
          <w:tab w:val="left" w:pos="1080"/>
          <w:tab w:val="left" w:pos="1872"/>
        </w:tabs>
        <w:snapToGrid w:val="0"/>
        <w:spacing w:line="360" w:lineRule="auto"/>
        <w:ind w:left="1077" w:hanging="720"/>
        <w:rPr>
          <w:rFonts w:hint="eastAsia" w:ascii="宋体" w:hAnsi="宋体" w:cs="宋体"/>
          <w:sz w:val="24"/>
        </w:rPr>
      </w:pPr>
      <w:r>
        <w:rPr>
          <w:rFonts w:hint="eastAsia" w:ascii="宋体" w:hAnsi="宋体" w:cs="宋体"/>
          <w:sz w:val="24"/>
        </w:rPr>
        <w:t>最后报价是供应商响应文件的有效组成部分。</w:t>
      </w:r>
    </w:p>
    <w:p w14:paraId="52FF66B9">
      <w:pPr>
        <w:numPr>
          <w:ilvl w:val="1"/>
          <w:numId w:val="31"/>
        </w:numPr>
        <w:tabs>
          <w:tab w:val="left" w:pos="1080"/>
          <w:tab w:val="left" w:pos="1872"/>
        </w:tabs>
        <w:snapToGrid w:val="0"/>
        <w:spacing w:line="360" w:lineRule="auto"/>
        <w:ind w:left="1077" w:hanging="720"/>
        <w:rPr>
          <w:rFonts w:hint="eastAsia" w:ascii="宋体" w:hAnsi="宋体" w:cs="宋体"/>
          <w:sz w:val="24"/>
        </w:rPr>
      </w:pPr>
      <w:r>
        <w:rPr>
          <w:rFonts w:hint="eastAsia" w:ascii="宋体" w:hAnsi="宋体" w:cs="宋体"/>
          <w:sz w:val="24"/>
        </w:rPr>
        <w:t>已提交响应文件的供应商，在提交最后报价之前，可以根据磋商情况退出磋商。</w:t>
      </w:r>
    </w:p>
    <w:p w14:paraId="2B14A8D7">
      <w:pPr>
        <w:numPr>
          <w:ilvl w:val="0"/>
          <w:numId w:val="31"/>
        </w:numPr>
        <w:tabs>
          <w:tab w:val="left" w:pos="360"/>
        </w:tabs>
        <w:snapToGrid w:val="0"/>
        <w:spacing w:line="360" w:lineRule="auto"/>
        <w:outlineLvl w:val="1"/>
        <w:rPr>
          <w:rFonts w:hint="eastAsia" w:ascii="宋体" w:hAnsi="宋体" w:cs="仿宋"/>
          <w:sz w:val="24"/>
        </w:rPr>
      </w:pPr>
      <w:r>
        <w:rPr>
          <w:rFonts w:hint="eastAsia" w:ascii="宋体" w:hAnsi="宋体" w:cs="仿宋"/>
          <w:sz w:val="24"/>
        </w:rPr>
        <w:t>最后报价的算术修正及政策调整</w:t>
      </w:r>
    </w:p>
    <w:p w14:paraId="529E0D95">
      <w:pPr>
        <w:numPr>
          <w:ilvl w:val="1"/>
          <w:numId w:val="31"/>
        </w:numPr>
        <w:tabs>
          <w:tab w:val="left" w:pos="1080"/>
        </w:tabs>
        <w:snapToGrid w:val="0"/>
        <w:spacing w:line="360" w:lineRule="auto"/>
        <w:ind w:left="1077" w:hanging="720"/>
        <w:rPr>
          <w:rFonts w:hint="eastAsia" w:ascii="宋体" w:hAnsi="宋体" w:cs="宋体"/>
          <w:sz w:val="24"/>
        </w:rPr>
      </w:pPr>
      <w:r>
        <w:rPr>
          <w:rFonts w:hint="eastAsia" w:ascii="宋体" w:hAnsi="宋体" w:cs="宋体"/>
          <w:sz w:val="24"/>
        </w:rPr>
        <w:t>最后报价须包含竞争性磋商文件全部内容，如最后分项报价表有缺漏视为已含在其他各项报价中，将不对最后报价总价进行调整。磋商小组有权要求供应商在评审现场合理的时间内对此进行书面确认，供应商不确认的，视为将一个采购包中的内容拆开响应，其</w:t>
      </w:r>
      <w:r>
        <w:rPr>
          <w:rFonts w:hint="eastAsia" w:ascii="宋体" w:hAnsi="宋体" w:cs="宋体"/>
          <w:b/>
          <w:sz w:val="24"/>
        </w:rPr>
        <w:t>响应无效</w:t>
      </w:r>
      <w:r>
        <w:rPr>
          <w:rFonts w:hint="eastAsia" w:ascii="宋体" w:hAnsi="宋体" w:cs="宋体"/>
          <w:sz w:val="24"/>
        </w:rPr>
        <w:t>。</w:t>
      </w:r>
    </w:p>
    <w:p w14:paraId="147BDFED">
      <w:pPr>
        <w:numPr>
          <w:ilvl w:val="1"/>
          <w:numId w:val="31"/>
        </w:numPr>
        <w:tabs>
          <w:tab w:val="left" w:pos="1080"/>
          <w:tab w:val="left" w:pos="1872"/>
        </w:tabs>
        <w:snapToGrid w:val="0"/>
        <w:spacing w:line="360" w:lineRule="auto"/>
        <w:ind w:left="1077" w:hanging="720"/>
        <w:rPr>
          <w:rFonts w:hint="eastAsia" w:ascii="宋体" w:hAnsi="宋体" w:cs="仿宋"/>
          <w:sz w:val="24"/>
        </w:rPr>
      </w:pPr>
      <w:r>
        <w:rPr>
          <w:rFonts w:hint="eastAsia" w:ascii="宋体" w:hAnsi="宋体" w:cs="仿宋"/>
          <w:sz w:val="24"/>
        </w:rPr>
        <w:t>最后报价出现前后不一致的，按照下列规定修正：</w:t>
      </w:r>
    </w:p>
    <w:p w14:paraId="6F4A55EB">
      <w:pPr>
        <w:numPr>
          <w:ilvl w:val="2"/>
          <w:numId w:val="31"/>
        </w:numPr>
        <w:tabs>
          <w:tab w:val="left" w:pos="1080"/>
          <w:tab w:val="left" w:pos="1589"/>
          <w:tab w:val="left" w:pos="2035"/>
          <w:tab w:val="left" w:pos="2114"/>
        </w:tabs>
        <w:snapToGrid w:val="0"/>
        <w:spacing w:line="360" w:lineRule="auto"/>
        <w:ind w:left="2035"/>
        <w:rPr>
          <w:rFonts w:hint="eastAsia" w:ascii="宋体" w:hAnsi="宋体" w:cs="宋体"/>
          <w:sz w:val="24"/>
        </w:rPr>
      </w:pPr>
      <w:r>
        <w:rPr>
          <w:rFonts w:hint="eastAsia" w:ascii="宋体" w:hAnsi="宋体" w:cs="宋体"/>
          <w:sz w:val="24"/>
        </w:rPr>
        <w:t>竞争性磋商文件对于报价修正是否另有规定：</w:t>
      </w:r>
    </w:p>
    <w:p w14:paraId="11CF1BE0">
      <w:pPr>
        <w:tabs>
          <w:tab w:val="left" w:pos="1080"/>
          <w:tab w:val="left" w:pos="1589"/>
          <w:tab w:val="left" w:pos="2035"/>
          <w:tab w:val="left" w:pos="2114"/>
        </w:tabs>
        <w:snapToGrid w:val="0"/>
        <w:spacing w:line="360" w:lineRule="auto"/>
        <w:ind w:left="2035"/>
        <w:rPr>
          <w:rFonts w:hint="eastAsia" w:ascii="宋体" w:hAnsi="宋体" w:cs="宋体"/>
          <w:sz w:val="24"/>
          <w:u w:val="single"/>
        </w:rPr>
      </w:pPr>
      <w:r>
        <w:rPr>
          <w:rFonts w:hint="eastAsia" w:ascii="宋体" w:hAnsi="宋体" w:cs="宋体"/>
          <w:sz w:val="24"/>
        </w:rPr>
        <w:t>□有，具体规定为：</w:t>
      </w:r>
      <w:r>
        <w:rPr>
          <w:rFonts w:hint="eastAsia" w:ascii="宋体" w:hAnsi="宋体" w:cs="宋体"/>
          <w:sz w:val="24"/>
          <w:u w:val="single"/>
        </w:rPr>
        <w:t xml:space="preserve"> </w:t>
      </w:r>
      <w:r>
        <w:rPr>
          <w:rFonts w:ascii="宋体" w:hAnsi="宋体" w:cs="宋体"/>
          <w:sz w:val="24"/>
          <w:u w:val="single"/>
        </w:rPr>
        <w:t>/</w:t>
      </w:r>
      <w:r>
        <w:rPr>
          <w:rFonts w:hint="eastAsia" w:ascii="宋体" w:hAnsi="宋体" w:cs="宋体"/>
          <w:sz w:val="24"/>
          <w:u w:val="single"/>
        </w:rPr>
        <w:t xml:space="preserve"> </w:t>
      </w:r>
      <w:r>
        <w:rPr>
          <w:rFonts w:hint="eastAsia" w:ascii="宋体" w:hAnsi="宋体" w:cs="宋体"/>
          <w:sz w:val="24"/>
        </w:rPr>
        <w:t>。</w:t>
      </w:r>
    </w:p>
    <w:p w14:paraId="516D0B75">
      <w:pPr>
        <w:tabs>
          <w:tab w:val="left" w:pos="1080"/>
          <w:tab w:val="left" w:pos="1589"/>
          <w:tab w:val="left" w:pos="2035"/>
          <w:tab w:val="left" w:pos="2114"/>
        </w:tabs>
        <w:snapToGrid w:val="0"/>
        <w:spacing w:line="360" w:lineRule="auto"/>
        <w:ind w:left="2035"/>
        <w:rPr>
          <w:rFonts w:hint="eastAsia" w:ascii="宋体" w:hAnsi="宋体" w:cs="宋体"/>
          <w:sz w:val="24"/>
        </w:rPr>
      </w:pPr>
      <w:bookmarkStart w:id="538" w:name="_Hlk149838253"/>
      <w:r>
        <w:rPr>
          <w:rFonts w:ascii="宋体" w:hAnsi="宋体" w:cs="宋体"/>
          <w:sz w:val="24"/>
        </w:rPr>
        <w:t>■</w:t>
      </w:r>
      <w:bookmarkEnd w:id="538"/>
      <w:r>
        <w:rPr>
          <w:rFonts w:hint="eastAsia" w:ascii="宋体" w:hAnsi="宋体" w:cs="宋体"/>
          <w:sz w:val="24"/>
        </w:rPr>
        <w:t>无，按下述3.2.2-3.2.6项规定修正。</w:t>
      </w:r>
    </w:p>
    <w:p w14:paraId="5F5D725A">
      <w:pPr>
        <w:numPr>
          <w:ilvl w:val="2"/>
          <w:numId w:val="31"/>
        </w:numPr>
        <w:tabs>
          <w:tab w:val="left" w:pos="2035"/>
          <w:tab w:val="left" w:pos="2114"/>
          <w:tab w:val="left" w:pos="2977"/>
        </w:tabs>
        <w:snapToGrid w:val="0"/>
        <w:spacing w:line="360" w:lineRule="auto"/>
        <w:ind w:left="2035"/>
        <w:rPr>
          <w:rFonts w:hint="eastAsia" w:ascii="宋体" w:hAnsi="宋体" w:cs="宋体"/>
          <w:sz w:val="24"/>
        </w:rPr>
      </w:pPr>
      <w:r>
        <w:rPr>
          <w:rFonts w:hint="eastAsia" w:ascii="宋体" w:hAnsi="宋体" w:cs="宋体"/>
          <w:sz w:val="24"/>
        </w:rPr>
        <w:t>大写金额和小写金额不一致的，以大写金额为准；</w:t>
      </w:r>
    </w:p>
    <w:p w14:paraId="1EF8C149">
      <w:pPr>
        <w:numPr>
          <w:ilvl w:val="2"/>
          <w:numId w:val="31"/>
        </w:numPr>
        <w:tabs>
          <w:tab w:val="left" w:pos="1080"/>
          <w:tab w:val="left" w:pos="1589"/>
          <w:tab w:val="left" w:pos="2035"/>
          <w:tab w:val="left" w:pos="2114"/>
        </w:tabs>
        <w:snapToGrid w:val="0"/>
        <w:spacing w:line="360" w:lineRule="auto"/>
        <w:ind w:left="2035"/>
        <w:rPr>
          <w:rFonts w:hint="eastAsia" w:ascii="宋体" w:hAnsi="宋体" w:cs="宋体"/>
          <w:sz w:val="24"/>
        </w:rPr>
      </w:pPr>
      <w:r>
        <w:rPr>
          <w:rFonts w:hint="eastAsia" w:ascii="宋体" w:hAnsi="宋体" w:cs="宋体"/>
          <w:sz w:val="24"/>
        </w:rPr>
        <w:t>单价金额小数点或者百分比有明显错位的，以总价为准，并修改单价；</w:t>
      </w:r>
    </w:p>
    <w:p w14:paraId="481BD826">
      <w:pPr>
        <w:numPr>
          <w:ilvl w:val="2"/>
          <w:numId w:val="31"/>
        </w:numPr>
        <w:tabs>
          <w:tab w:val="left" w:pos="2035"/>
          <w:tab w:val="left" w:pos="2114"/>
          <w:tab w:val="left" w:pos="2977"/>
        </w:tabs>
        <w:snapToGrid w:val="0"/>
        <w:spacing w:line="360" w:lineRule="auto"/>
        <w:ind w:left="2035"/>
        <w:rPr>
          <w:rFonts w:hint="eastAsia" w:ascii="宋体" w:hAnsi="宋体" w:cs="宋体"/>
          <w:sz w:val="24"/>
        </w:rPr>
      </w:pPr>
      <w:r>
        <w:rPr>
          <w:rFonts w:hint="eastAsia" w:ascii="宋体" w:hAnsi="宋体" w:cs="宋体"/>
          <w:sz w:val="24"/>
        </w:rPr>
        <w:t>总价金额与按单价汇总金额不一致的，以单价金额计算结果为准。</w:t>
      </w:r>
    </w:p>
    <w:p w14:paraId="6F400058">
      <w:pPr>
        <w:numPr>
          <w:ilvl w:val="2"/>
          <w:numId w:val="31"/>
        </w:numPr>
        <w:tabs>
          <w:tab w:val="left" w:pos="1080"/>
          <w:tab w:val="left" w:pos="1589"/>
          <w:tab w:val="left" w:pos="2035"/>
          <w:tab w:val="left" w:pos="2114"/>
        </w:tabs>
        <w:snapToGrid w:val="0"/>
        <w:spacing w:line="360" w:lineRule="auto"/>
        <w:ind w:left="2035"/>
        <w:rPr>
          <w:rFonts w:hint="eastAsia" w:ascii="宋体" w:hAnsi="宋体" w:cs="宋体"/>
          <w:sz w:val="24"/>
        </w:rPr>
      </w:pPr>
      <w:r>
        <w:rPr>
          <w:rFonts w:hint="eastAsia" w:ascii="宋体" w:hAnsi="宋体" w:cs="宋体"/>
          <w:sz w:val="24"/>
        </w:rPr>
        <w:t>同时出现两种以上不一致的，按照前款规定的顺序修正。</w:t>
      </w:r>
    </w:p>
    <w:p w14:paraId="055A284F">
      <w:pPr>
        <w:numPr>
          <w:ilvl w:val="2"/>
          <w:numId w:val="31"/>
        </w:numPr>
        <w:tabs>
          <w:tab w:val="left" w:pos="1080"/>
          <w:tab w:val="left" w:pos="1589"/>
          <w:tab w:val="left" w:pos="2035"/>
          <w:tab w:val="left" w:pos="2114"/>
        </w:tabs>
        <w:snapToGrid w:val="0"/>
        <w:spacing w:line="360" w:lineRule="auto"/>
        <w:ind w:left="2035"/>
        <w:rPr>
          <w:rFonts w:hint="eastAsia" w:ascii="宋体" w:hAnsi="宋体" w:cs="宋体"/>
          <w:sz w:val="24"/>
        </w:rPr>
      </w:pPr>
      <w:r>
        <w:rPr>
          <w:rFonts w:hint="eastAsia" w:ascii="宋体" w:hAnsi="宋体" w:cs="宋体"/>
          <w:sz w:val="24"/>
        </w:rPr>
        <w:t>修正后的报价经供应商书面确认后产生约束力，供应商不确认的，</w:t>
      </w:r>
      <w:r>
        <w:rPr>
          <w:rFonts w:hint="eastAsia" w:ascii="宋体" w:hAnsi="宋体" w:cs="宋体"/>
          <w:b/>
          <w:sz w:val="24"/>
        </w:rPr>
        <w:t>其响应无效</w:t>
      </w:r>
      <w:r>
        <w:rPr>
          <w:rFonts w:hint="eastAsia" w:ascii="宋体" w:hAnsi="宋体" w:cs="宋体"/>
          <w:sz w:val="24"/>
        </w:rPr>
        <w:t>。</w:t>
      </w:r>
    </w:p>
    <w:p w14:paraId="6EC90762">
      <w:pPr>
        <w:numPr>
          <w:ilvl w:val="1"/>
          <w:numId w:val="31"/>
        </w:numPr>
        <w:tabs>
          <w:tab w:val="left" w:pos="1080"/>
          <w:tab w:val="left" w:pos="1872"/>
        </w:tabs>
        <w:snapToGrid w:val="0"/>
        <w:spacing w:line="360" w:lineRule="auto"/>
        <w:ind w:left="1077" w:hanging="720"/>
        <w:rPr>
          <w:rFonts w:hint="eastAsia" w:ascii="宋体" w:hAnsi="宋体" w:cs="仿宋"/>
          <w:sz w:val="24"/>
        </w:rPr>
      </w:pPr>
      <w:r>
        <w:rPr>
          <w:rFonts w:hint="eastAsia" w:ascii="宋体" w:hAnsi="宋体" w:cs="仿宋"/>
          <w:sz w:val="24"/>
        </w:rPr>
        <w:t>落实政府采购政策的价格调整：只有符合第二章《供应商须知》4.2条规定情形的，可以享受中小企业扶持政策，用扣除后的价格参加评审；否则，评审时价格不予扣除。</w:t>
      </w:r>
    </w:p>
    <w:p w14:paraId="312D2CA5">
      <w:pPr>
        <w:numPr>
          <w:ilvl w:val="2"/>
          <w:numId w:val="31"/>
        </w:numPr>
        <w:tabs>
          <w:tab w:val="left" w:pos="1080"/>
          <w:tab w:val="left" w:pos="1589"/>
          <w:tab w:val="left" w:pos="2035"/>
        </w:tabs>
        <w:snapToGrid w:val="0"/>
        <w:spacing w:line="360" w:lineRule="auto"/>
        <w:ind w:left="2035"/>
        <w:rPr>
          <w:rFonts w:hint="eastAsia" w:ascii="宋体" w:hAnsi="宋体" w:cs="宋体"/>
          <w:sz w:val="24"/>
        </w:rPr>
      </w:pPr>
      <w:r>
        <w:rPr>
          <w:rFonts w:hint="eastAsia" w:ascii="宋体" w:hAnsi="宋体" w:cs="仿宋"/>
          <w:sz w:val="24"/>
        </w:rPr>
        <w:t>对于未预留份额专门面向中小企业采购的采购项目，以及预留份额项目中的非预留部分采购包，</w:t>
      </w:r>
      <w:r>
        <w:rPr>
          <w:rFonts w:hint="eastAsia" w:ascii="宋体" w:hAnsi="宋体" w:cs="宋体"/>
          <w:sz w:val="24"/>
        </w:rPr>
        <w:t>对小微企业报价给予</w:t>
      </w:r>
      <w:r>
        <w:rPr>
          <w:rFonts w:hint="eastAsia" w:ascii="宋体" w:hAnsi="宋体" w:cs="宋体"/>
          <w:sz w:val="24"/>
          <w:u w:val="single"/>
        </w:rPr>
        <w:t xml:space="preserve"> / </w:t>
      </w:r>
      <w:r>
        <w:rPr>
          <w:rFonts w:hint="eastAsia" w:ascii="宋体" w:hAnsi="宋体" w:cs="宋体"/>
          <w:sz w:val="24"/>
        </w:rPr>
        <w:t>%的扣除，用扣除后的价格参加评审。</w:t>
      </w:r>
    </w:p>
    <w:p w14:paraId="2D167B1A">
      <w:pPr>
        <w:numPr>
          <w:ilvl w:val="2"/>
          <w:numId w:val="31"/>
        </w:numPr>
        <w:tabs>
          <w:tab w:val="left" w:pos="1080"/>
          <w:tab w:val="left" w:pos="1589"/>
          <w:tab w:val="left" w:pos="2035"/>
        </w:tabs>
        <w:snapToGrid w:val="0"/>
        <w:spacing w:line="360" w:lineRule="auto"/>
        <w:ind w:left="2035"/>
        <w:rPr>
          <w:rFonts w:hint="eastAsia" w:ascii="宋体" w:hAnsi="宋体" w:cs="仿宋"/>
          <w:sz w:val="24"/>
        </w:rPr>
      </w:pPr>
      <w:r>
        <w:rPr>
          <w:rFonts w:hint="eastAsia" w:ascii="宋体" w:hAnsi="宋体" w:cs="仿宋"/>
          <w:sz w:val="24"/>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30%以上的联合体或者大中型企业的报价给予</w:t>
      </w:r>
      <w:r>
        <w:rPr>
          <w:rFonts w:hint="eastAsia" w:ascii="宋体" w:hAnsi="宋体" w:cs="仿宋"/>
          <w:sz w:val="24"/>
          <w:u w:val="single"/>
        </w:rPr>
        <w:t xml:space="preserve"> </w:t>
      </w:r>
      <w:bookmarkStart w:id="539" w:name="OLE_LINK23"/>
      <w:r>
        <w:rPr>
          <w:rFonts w:hint="eastAsia" w:ascii="宋体" w:hAnsi="宋体" w:cs="仿宋"/>
          <w:sz w:val="24"/>
          <w:u w:val="single"/>
        </w:rPr>
        <w:t>/</w:t>
      </w:r>
      <w:bookmarkEnd w:id="539"/>
      <w:r>
        <w:rPr>
          <w:rFonts w:ascii="宋体" w:hAnsi="宋体" w:cs="仿宋"/>
          <w:sz w:val="24"/>
          <w:u w:val="single"/>
        </w:rPr>
        <w:t xml:space="preserve"> </w:t>
      </w:r>
      <w:r>
        <w:rPr>
          <w:rFonts w:hint="eastAsia" w:ascii="宋体" w:hAnsi="宋体" w:cs="仿宋"/>
          <w:sz w:val="24"/>
        </w:rPr>
        <w:t>%的扣除，用扣除后的价格参加评审。</w:t>
      </w:r>
    </w:p>
    <w:p w14:paraId="527D6105">
      <w:pPr>
        <w:numPr>
          <w:ilvl w:val="2"/>
          <w:numId w:val="31"/>
        </w:numPr>
        <w:tabs>
          <w:tab w:val="left" w:pos="1080"/>
          <w:tab w:val="left" w:pos="1589"/>
          <w:tab w:val="left" w:pos="2035"/>
        </w:tabs>
        <w:snapToGrid w:val="0"/>
        <w:spacing w:line="360" w:lineRule="auto"/>
        <w:ind w:left="2035"/>
        <w:rPr>
          <w:rFonts w:hint="eastAsia" w:ascii="宋体" w:hAnsi="宋体" w:cs="宋体"/>
          <w:sz w:val="24"/>
        </w:rPr>
      </w:pPr>
      <w:r>
        <w:rPr>
          <w:rFonts w:hint="eastAsia" w:ascii="宋体" w:hAnsi="宋体" w:cs="宋体"/>
          <w:sz w:val="24"/>
        </w:rPr>
        <w:t>组成联合体或者接受分包的小微企业与联合体内其他企业、分包企业之间存在直接控股、管理关系的，不享受价格扣除优惠政策。</w:t>
      </w:r>
    </w:p>
    <w:p w14:paraId="2EFFEF15">
      <w:pPr>
        <w:numPr>
          <w:ilvl w:val="2"/>
          <w:numId w:val="31"/>
        </w:numPr>
        <w:tabs>
          <w:tab w:val="left" w:pos="1080"/>
          <w:tab w:val="left" w:pos="1589"/>
          <w:tab w:val="left" w:pos="2035"/>
        </w:tabs>
        <w:snapToGrid w:val="0"/>
        <w:spacing w:line="360" w:lineRule="auto"/>
        <w:ind w:left="2035"/>
        <w:rPr>
          <w:rFonts w:hint="eastAsia" w:ascii="宋体" w:hAnsi="宋体" w:cs="宋体"/>
          <w:sz w:val="24"/>
        </w:rPr>
      </w:pPr>
      <w:r>
        <w:rPr>
          <w:rFonts w:hint="eastAsia" w:ascii="宋体" w:hAnsi="宋体" w:cs="宋体"/>
          <w:sz w:val="24"/>
        </w:rPr>
        <w:t>价格扣除比例对小型企业和微型企业同等对待，不作区分。</w:t>
      </w:r>
    </w:p>
    <w:p w14:paraId="2B83D28B">
      <w:pPr>
        <w:numPr>
          <w:ilvl w:val="2"/>
          <w:numId w:val="31"/>
        </w:numPr>
        <w:tabs>
          <w:tab w:val="left" w:pos="1080"/>
          <w:tab w:val="left" w:pos="1589"/>
          <w:tab w:val="left" w:pos="2035"/>
        </w:tabs>
        <w:snapToGrid w:val="0"/>
        <w:spacing w:line="360" w:lineRule="auto"/>
        <w:ind w:left="2035"/>
        <w:rPr>
          <w:rFonts w:hint="eastAsia" w:ascii="宋体" w:hAnsi="宋体" w:cs="宋体"/>
          <w:sz w:val="24"/>
        </w:rPr>
      </w:pPr>
      <w:r>
        <w:rPr>
          <w:rFonts w:hint="eastAsia" w:ascii="宋体" w:hAnsi="宋体" w:cs="宋体"/>
          <w:sz w:val="24"/>
        </w:rPr>
        <w:t>中小企业参加政府采购活动，应当按照竞争性磋商文件给定的格式出具《中小企业声明函》，否则不得享受相关中小企业扶持政策。</w:t>
      </w:r>
    </w:p>
    <w:p w14:paraId="7B30F722">
      <w:pPr>
        <w:numPr>
          <w:ilvl w:val="2"/>
          <w:numId w:val="31"/>
        </w:numPr>
        <w:tabs>
          <w:tab w:val="left" w:pos="1080"/>
          <w:tab w:val="left" w:pos="1589"/>
          <w:tab w:val="left" w:pos="2035"/>
        </w:tabs>
        <w:snapToGrid w:val="0"/>
        <w:spacing w:line="360" w:lineRule="auto"/>
        <w:ind w:left="2035"/>
        <w:rPr>
          <w:rFonts w:hint="eastAsia" w:ascii="宋体" w:hAnsi="宋体" w:cs="宋体"/>
          <w:sz w:val="24"/>
        </w:rPr>
      </w:pPr>
      <w:r>
        <w:rPr>
          <w:rFonts w:hint="eastAsia" w:ascii="宋体" w:hAnsi="宋体" w:cs="宋体"/>
          <w:sz w:val="24"/>
        </w:rPr>
        <w:t>监狱企业提供了由省级以上监狱管理局、戒毒管理局（含新疆生产建设兵团）出具的属于监狱企业的证明文件的，视同小微企业。</w:t>
      </w:r>
    </w:p>
    <w:p w14:paraId="2085CEFC">
      <w:pPr>
        <w:numPr>
          <w:ilvl w:val="2"/>
          <w:numId w:val="31"/>
        </w:numPr>
        <w:tabs>
          <w:tab w:val="left" w:pos="1080"/>
          <w:tab w:val="left" w:pos="1589"/>
          <w:tab w:val="left" w:pos="2035"/>
        </w:tabs>
        <w:snapToGrid w:val="0"/>
        <w:spacing w:line="360" w:lineRule="auto"/>
        <w:ind w:left="2035"/>
        <w:rPr>
          <w:rFonts w:hint="eastAsia" w:ascii="宋体" w:hAnsi="宋体" w:cs="宋体"/>
          <w:sz w:val="24"/>
        </w:rPr>
      </w:pPr>
      <w:r>
        <w:rPr>
          <w:rFonts w:hint="eastAsia" w:ascii="宋体" w:hAnsi="宋体" w:cs="宋体"/>
          <w:sz w:val="24"/>
        </w:rPr>
        <w:t>残疾人福利性单位按竞争性磋商文件要求提供了《残疾人福利性单位声明函》的，视同小微企业。</w:t>
      </w:r>
    </w:p>
    <w:p w14:paraId="4862684C">
      <w:pPr>
        <w:numPr>
          <w:ilvl w:val="2"/>
          <w:numId w:val="31"/>
        </w:numPr>
        <w:tabs>
          <w:tab w:val="left" w:pos="1080"/>
          <w:tab w:val="left" w:pos="1589"/>
          <w:tab w:val="left" w:pos="2014"/>
        </w:tabs>
        <w:snapToGrid w:val="0"/>
        <w:spacing w:line="360" w:lineRule="auto"/>
        <w:ind w:left="2035"/>
        <w:rPr>
          <w:rFonts w:hint="eastAsia" w:ascii="宋体" w:hAnsi="宋体" w:cs="宋体"/>
          <w:sz w:val="24"/>
        </w:rPr>
      </w:pPr>
      <w:r>
        <w:rPr>
          <w:rFonts w:hint="eastAsia" w:ascii="宋体" w:hAnsi="宋体" w:cs="宋体"/>
          <w:sz w:val="24"/>
        </w:rPr>
        <w:t>若供应商同时属于小型或微型企业、监狱企业、残疾人福利性单位中的两种及以上，将不重复享受小微企业价格扣减的优惠政策。</w:t>
      </w:r>
    </w:p>
    <w:p w14:paraId="024801C8">
      <w:pPr>
        <w:numPr>
          <w:ilvl w:val="2"/>
          <w:numId w:val="31"/>
        </w:numPr>
        <w:tabs>
          <w:tab w:val="left" w:pos="1080"/>
          <w:tab w:val="left" w:pos="1589"/>
          <w:tab w:val="left" w:pos="2014"/>
        </w:tabs>
        <w:snapToGrid w:val="0"/>
        <w:spacing w:line="360" w:lineRule="auto"/>
        <w:ind w:left="2035"/>
        <w:rPr>
          <w:rFonts w:hint="eastAsia" w:ascii="宋体" w:hAnsi="宋体" w:cs="仿宋"/>
          <w:sz w:val="24"/>
        </w:rPr>
      </w:pPr>
      <w:r>
        <w:rPr>
          <w:rFonts w:hint="eastAsia" w:ascii="宋体" w:hAnsi="宋体" w:cs="仿宋"/>
          <w:sz w:val="24"/>
        </w:rPr>
        <w:t>其他为落实政府采购政策实施的优先采购：</w:t>
      </w:r>
      <w:r>
        <w:rPr>
          <w:rFonts w:hint="eastAsia" w:ascii="宋体" w:hAnsi="宋体" w:cs="仿宋"/>
          <w:sz w:val="24"/>
          <w:u w:val="single"/>
        </w:rPr>
        <w:t xml:space="preserve"> / </w:t>
      </w:r>
      <w:r>
        <w:rPr>
          <w:rFonts w:hint="eastAsia" w:ascii="宋体" w:hAnsi="宋体" w:cs="仿宋"/>
          <w:sz w:val="24"/>
        </w:rPr>
        <w:t>。</w:t>
      </w:r>
    </w:p>
    <w:p w14:paraId="1F7904CA">
      <w:pPr>
        <w:numPr>
          <w:ilvl w:val="0"/>
          <w:numId w:val="31"/>
        </w:numPr>
        <w:tabs>
          <w:tab w:val="left" w:pos="360"/>
        </w:tabs>
        <w:snapToGrid w:val="0"/>
        <w:spacing w:line="360" w:lineRule="auto"/>
        <w:outlineLvl w:val="1"/>
        <w:rPr>
          <w:rFonts w:hint="eastAsia" w:ascii="宋体" w:hAnsi="宋体" w:cs="仿宋"/>
          <w:sz w:val="24"/>
        </w:rPr>
      </w:pPr>
      <w:r>
        <w:rPr>
          <w:rFonts w:hint="eastAsia" w:ascii="宋体" w:hAnsi="宋体" w:cs="仿宋"/>
          <w:sz w:val="24"/>
        </w:rPr>
        <w:t>磋商环节及提交最后报价后如出现以下情况的，供应商的</w:t>
      </w:r>
      <w:r>
        <w:rPr>
          <w:rFonts w:hint="eastAsia" w:ascii="宋体" w:hAnsi="宋体" w:cs="仿宋"/>
          <w:b/>
          <w:sz w:val="24"/>
        </w:rPr>
        <w:t>响应文件无效</w:t>
      </w:r>
      <w:r>
        <w:rPr>
          <w:rFonts w:hint="eastAsia" w:ascii="宋体" w:hAnsi="宋体" w:cs="仿宋"/>
          <w:sz w:val="24"/>
        </w:rPr>
        <w:t>：</w:t>
      </w:r>
    </w:p>
    <w:bookmarkEnd w:id="507"/>
    <w:bookmarkEnd w:id="508"/>
    <w:p w14:paraId="00B97688">
      <w:pPr>
        <w:numPr>
          <w:ilvl w:val="1"/>
          <w:numId w:val="31"/>
        </w:numPr>
        <w:tabs>
          <w:tab w:val="left" w:pos="1080"/>
        </w:tabs>
        <w:snapToGrid w:val="0"/>
        <w:spacing w:line="360" w:lineRule="auto"/>
        <w:ind w:left="1077" w:hanging="720"/>
        <w:rPr>
          <w:rFonts w:hint="eastAsia" w:ascii="宋体" w:hAnsi="宋体" w:cs="宋体"/>
          <w:sz w:val="24"/>
        </w:rPr>
      </w:pPr>
      <w:r>
        <w:rPr>
          <w:rFonts w:hint="eastAsia" w:ascii="宋体" w:hAnsi="宋体" w:cs="宋体"/>
          <w:sz w:val="24"/>
        </w:rPr>
        <w:t>供应商对实质性变动不予确认的；</w:t>
      </w:r>
    </w:p>
    <w:p w14:paraId="6604EBE9">
      <w:pPr>
        <w:numPr>
          <w:ilvl w:val="1"/>
          <w:numId w:val="31"/>
        </w:numPr>
        <w:tabs>
          <w:tab w:val="left" w:pos="1080"/>
        </w:tabs>
        <w:snapToGrid w:val="0"/>
        <w:spacing w:line="360" w:lineRule="auto"/>
        <w:ind w:left="1077" w:hanging="720"/>
        <w:rPr>
          <w:rFonts w:hint="eastAsia" w:ascii="宋体" w:hAnsi="宋体" w:cs="宋体"/>
          <w:sz w:val="24"/>
        </w:rPr>
      </w:pPr>
      <w:r>
        <w:rPr>
          <w:rFonts w:hint="eastAsia" w:ascii="宋体" w:hAnsi="宋体" w:cs="宋体"/>
          <w:sz w:val="24"/>
        </w:rPr>
        <w:t>不满足磋商文件★号条款或磋商文件技术指标超出磋商文件《采购需求》中主要技术参数允许偏差的最大范围的（如有）；</w:t>
      </w:r>
    </w:p>
    <w:p w14:paraId="65DB45CD">
      <w:pPr>
        <w:numPr>
          <w:ilvl w:val="1"/>
          <w:numId w:val="31"/>
        </w:numPr>
        <w:tabs>
          <w:tab w:val="left" w:pos="1080"/>
        </w:tabs>
        <w:snapToGrid w:val="0"/>
        <w:spacing w:line="360" w:lineRule="auto"/>
        <w:ind w:left="1077" w:hanging="720"/>
        <w:rPr>
          <w:rFonts w:hint="eastAsia" w:ascii="宋体" w:hAnsi="宋体" w:cs="宋体"/>
          <w:sz w:val="24"/>
        </w:rPr>
      </w:pPr>
      <w:r>
        <w:rPr>
          <w:rFonts w:hint="eastAsia" w:ascii="宋体" w:hAnsi="宋体" w:cs="宋体"/>
          <w:sz w:val="24"/>
        </w:rPr>
        <w:t>未按照磋商小组规定的时间、逾期提交最后报价的；</w:t>
      </w:r>
    </w:p>
    <w:p w14:paraId="2811ADF4">
      <w:pPr>
        <w:numPr>
          <w:ilvl w:val="1"/>
          <w:numId w:val="31"/>
        </w:numPr>
        <w:tabs>
          <w:tab w:val="left" w:pos="1080"/>
        </w:tabs>
        <w:snapToGrid w:val="0"/>
        <w:spacing w:line="360" w:lineRule="auto"/>
        <w:ind w:left="1077" w:hanging="720"/>
        <w:rPr>
          <w:rFonts w:hint="eastAsia" w:ascii="宋体" w:hAnsi="宋体" w:cs="宋体"/>
          <w:sz w:val="24"/>
        </w:rPr>
      </w:pPr>
      <w:r>
        <w:rPr>
          <w:rFonts w:hint="eastAsia" w:ascii="宋体" w:hAnsi="宋体" w:cs="宋体"/>
          <w:sz w:val="24"/>
        </w:rPr>
        <w:t>如供应商的最后报价超过竞争性磋商文件中规定的项目/采购包预算金额或者项目/采购包最高限价的；</w:t>
      </w:r>
    </w:p>
    <w:p w14:paraId="494B335F">
      <w:pPr>
        <w:numPr>
          <w:ilvl w:val="1"/>
          <w:numId w:val="31"/>
        </w:numPr>
        <w:tabs>
          <w:tab w:val="left" w:pos="1080"/>
        </w:tabs>
        <w:snapToGrid w:val="0"/>
        <w:spacing w:line="360" w:lineRule="auto"/>
        <w:ind w:left="1077" w:hanging="720"/>
        <w:rPr>
          <w:rFonts w:hint="eastAsia" w:ascii="宋体" w:hAnsi="宋体" w:cs="宋体"/>
          <w:sz w:val="24"/>
        </w:rPr>
      </w:pPr>
      <w:r>
        <w:rPr>
          <w:rFonts w:hint="eastAsia" w:ascii="宋体" w:hAnsi="宋体" w:cs="宋体"/>
          <w:sz w:val="24"/>
        </w:rPr>
        <w:t>响应文件中出现可选择性或可调整的报价的（竞争性磋商文件另有规定的除外）；</w:t>
      </w:r>
    </w:p>
    <w:p w14:paraId="64FE9329">
      <w:pPr>
        <w:numPr>
          <w:ilvl w:val="1"/>
          <w:numId w:val="31"/>
        </w:numPr>
        <w:tabs>
          <w:tab w:val="left" w:pos="1080"/>
        </w:tabs>
        <w:snapToGrid w:val="0"/>
        <w:spacing w:line="360" w:lineRule="auto"/>
        <w:ind w:left="1077" w:hanging="720"/>
        <w:rPr>
          <w:rFonts w:hint="eastAsia" w:ascii="宋体" w:hAnsi="宋体" w:cs="宋体"/>
          <w:sz w:val="24"/>
        </w:rPr>
      </w:pPr>
      <w:r>
        <w:rPr>
          <w:rFonts w:hint="eastAsia" w:ascii="宋体" w:hAnsi="宋体" w:cs="宋体"/>
          <w:sz w:val="24"/>
        </w:rPr>
        <w:t>最后报价出现前后不一致，供应商对修正后的报价不予确认的；</w:t>
      </w:r>
    </w:p>
    <w:p w14:paraId="156068F5">
      <w:pPr>
        <w:numPr>
          <w:ilvl w:val="0"/>
          <w:numId w:val="31"/>
        </w:numPr>
        <w:tabs>
          <w:tab w:val="left" w:pos="360"/>
        </w:tabs>
        <w:snapToGrid w:val="0"/>
        <w:spacing w:line="360" w:lineRule="auto"/>
        <w:outlineLvl w:val="1"/>
        <w:rPr>
          <w:rFonts w:hint="eastAsia" w:ascii="宋体" w:hAnsi="宋体" w:cs="仿宋"/>
          <w:sz w:val="24"/>
        </w:rPr>
      </w:pPr>
      <w:r>
        <w:rPr>
          <w:rFonts w:hint="eastAsia" w:ascii="宋体" w:hAnsi="宋体" w:cs="仿宋"/>
          <w:sz w:val="24"/>
        </w:rPr>
        <w:t>评审方法和评审标准</w:t>
      </w:r>
    </w:p>
    <w:p w14:paraId="2EA74969">
      <w:pPr>
        <w:numPr>
          <w:ilvl w:val="1"/>
          <w:numId w:val="31"/>
        </w:numPr>
        <w:tabs>
          <w:tab w:val="left" w:pos="1080"/>
          <w:tab w:val="left" w:pos="1872"/>
        </w:tabs>
        <w:snapToGrid w:val="0"/>
        <w:spacing w:line="360" w:lineRule="auto"/>
        <w:ind w:left="1077" w:hanging="720"/>
        <w:rPr>
          <w:rFonts w:hint="eastAsia" w:ascii="宋体" w:hAnsi="宋体" w:cs="宋体"/>
          <w:sz w:val="24"/>
        </w:rPr>
      </w:pPr>
      <w:r>
        <w:rPr>
          <w:rFonts w:hint="eastAsia" w:ascii="宋体" w:hAnsi="宋体" w:cs="宋体"/>
          <w:sz w:val="24"/>
        </w:rPr>
        <w:t xml:space="preserve">本项目采用的评审方法为：本项目的评审采用综合评分法。综合评分法，是指响应文件满足磋商文件全部实质性要求且按评审因素的量化指标评审得分最高的供应商为成交候选供应商的评审方法。  </w:t>
      </w:r>
    </w:p>
    <w:p w14:paraId="62B802C8">
      <w:pPr>
        <w:numPr>
          <w:ilvl w:val="1"/>
          <w:numId w:val="31"/>
        </w:numPr>
        <w:tabs>
          <w:tab w:val="left" w:pos="1080"/>
          <w:tab w:val="left" w:pos="1872"/>
        </w:tabs>
        <w:snapToGrid w:val="0"/>
        <w:spacing w:line="360" w:lineRule="auto"/>
        <w:ind w:left="1077" w:hanging="720"/>
        <w:rPr>
          <w:rFonts w:hint="eastAsia" w:ascii="宋体" w:hAnsi="宋体" w:cs="宋体"/>
          <w:sz w:val="24"/>
        </w:rPr>
      </w:pPr>
      <w:r>
        <w:rPr>
          <w:rFonts w:hint="eastAsia" w:ascii="宋体" w:hAnsi="宋体" w:cs="宋体"/>
          <w:sz w:val="24"/>
        </w:rPr>
        <w:t>竞争性磋商文件中没有规定的评审标准不得作为评审依据。</w:t>
      </w:r>
    </w:p>
    <w:p w14:paraId="484F90FE">
      <w:pPr>
        <w:numPr>
          <w:ilvl w:val="1"/>
          <w:numId w:val="31"/>
        </w:numPr>
        <w:tabs>
          <w:tab w:val="left" w:pos="1080"/>
          <w:tab w:val="left" w:pos="1872"/>
        </w:tabs>
        <w:snapToGrid w:val="0"/>
        <w:spacing w:line="360" w:lineRule="auto"/>
        <w:ind w:left="1077" w:hanging="720"/>
        <w:rPr>
          <w:rFonts w:hint="eastAsia" w:ascii="宋体" w:hAnsi="宋体" w:cs="宋体"/>
          <w:sz w:val="24"/>
        </w:rPr>
      </w:pPr>
      <w:r>
        <w:rPr>
          <w:rFonts w:hint="eastAsia" w:ascii="宋体" w:hAnsi="宋体" w:cs="宋体"/>
          <w:sz w:val="24"/>
        </w:rPr>
        <w:t>非政府强制采购的节能产品或环境标志产品，依据品目清单和认证证书实施政府优先采购</w:t>
      </w:r>
      <w:r>
        <w:rPr>
          <w:rFonts w:hint="eastAsia" w:ascii="宋体" w:hAnsi="宋体" w:cs="宋体"/>
          <w:sz w:val="24"/>
          <w:u w:val="single"/>
        </w:rPr>
        <w:t>/</w:t>
      </w:r>
      <w:r>
        <w:rPr>
          <w:rFonts w:hint="eastAsia" w:ascii="宋体" w:hAnsi="宋体" w:cs="宋体"/>
          <w:sz w:val="24"/>
        </w:rPr>
        <w:t>。</w:t>
      </w:r>
    </w:p>
    <w:p w14:paraId="2F7A2E0D">
      <w:pPr>
        <w:numPr>
          <w:ilvl w:val="1"/>
          <w:numId w:val="31"/>
        </w:numPr>
        <w:tabs>
          <w:tab w:val="left" w:pos="1080"/>
          <w:tab w:val="left" w:pos="1872"/>
        </w:tabs>
        <w:snapToGrid w:val="0"/>
        <w:spacing w:line="360" w:lineRule="auto"/>
        <w:ind w:left="1077" w:hanging="720"/>
        <w:rPr>
          <w:rFonts w:hint="eastAsia" w:ascii="宋体" w:hAnsi="宋体" w:cs="宋体"/>
          <w:sz w:val="24"/>
        </w:rPr>
      </w:pPr>
      <w:r>
        <w:rPr>
          <w:rFonts w:hint="eastAsia" w:ascii="宋体" w:hAnsi="宋体" w:cs="宋体"/>
          <w:sz w:val="24"/>
        </w:rPr>
        <w:t>关于无线局域网认证产品政府采购清单中的产品，优先采购的具体规定（如涉及）</w:t>
      </w:r>
      <w:r>
        <w:rPr>
          <w:rFonts w:hint="eastAsia" w:ascii="宋体" w:hAnsi="宋体" w:cs="宋体"/>
          <w:sz w:val="24"/>
          <w:u w:val="single"/>
        </w:rPr>
        <w:t>/</w:t>
      </w:r>
      <w:r>
        <w:rPr>
          <w:rFonts w:hint="eastAsia" w:ascii="宋体" w:hAnsi="宋体" w:cs="宋体"/>
          <w:sz w:val="24"/>
        </w:rPr>
        <w:t>。</w:t>
      </w:r>
    </w:p>
    <w:p w14:paraId="7D457106">
      <w:pPr>
        <w:numPr>
          <w:ilvl w:val="0"/>
          <w:numId w:val="31"/>
        </w:numPr>
        <w:tabs>
          <w:tab w:val="left" w:pos="360"/>
        </w:tabs>
        <w:snapToGrid w:val="0"/>
        <w:spacing w:line="360" w:lineRule="auto"/>
        <w:outlineLvl w:val="1"/>
        <w:rPr>
          <w:rFonts w:hint="eastAsia" w:ascii="宋体" w:hAnsi="宋体" w:cs="仿宋"/>
          <w:sz w:val="24"/>
        </w:rPr>
      </w:pPr>
      <w:r>
        <w:rPr>
          <w:rFonts w:hint="eastAsia" w:ascii="宋体" w:hAnsi="宋体" w:cs="仿宋"/>
          <w:sz w:val="24"/>
        </w:rPr>
        <w:t>确定</w:t>
      </w:r>
      <w:bookmarkStart w:id="540" w:name="_Toc151193934"/>
      <w:bookmarkStart w:id="541" w:name="_Toc226337242"/>
      <w:bookmarkStart w:id="542" w:name="_Toc127161460"/>
      <w:bookmarkStart w:id="543" w:name="_Toc305158888"/>
      <w:bookmarkStart w:id="544" w:name="_Toc164351640"/>
      <w:bookmarkStart w:id="545" w:name="_Toc127151747"/>
      <w:bookmarkStart w:id="546" w:name="_Toc164229387"/>
      <w:bookmarkStart w:id="547" w:name="_Toc149720839"/>
      <w:bookmarkStart w:id="548" w:name="_Toc150509297"/>
      <w:bookmarkStart w:id="549" w:name="_Ref467307010"/>
      <w:bookmarkStart w:id="550" w:name="_Toc151193644"/>
      <w:bookmarkStart w:id="551" w:name="_Toc150774646"/>
      <w:bookmarkStart w:id="552" w:name="_Toc151193860"/>
      <w:bookmarkStart w:id="553" w:name="_Toc264969236"/>
      <w:bookmarkStart w:id="554" w:name="_Toc151193788"/>
      <w:bookmarkStart w:id="555" w:name="_Toc265228384"/>
      <w:bookmarkStart w:id="556" w:name="_Toc226965819"/>
      <w:bookmarkStart w:id="557" w:name="_Toc151193716"/>
      <w:bookmarkStart w:id="558" w:name="_Toc164608815"/>
      <w:bookmarkStart w:id="559" w:name="_Toc520356170"/>
      <w:bookmarkStart w:id="560" w:name="_Toc305158814"/>
      <w:bookmarkStart w:id="561" w:name="_Toc142311048"/>
      <w:bookmarkStart w:id="562" w:name="_Toc164229241"/>
      <w:bookmarkStart w:id="563" w:name="_Toc164608660"/>
      <w:bookmarkStart w:id="564" w:name="_Toc151190173"/>
      <w:bookmarkStart w:id="565" w:name="_Toc150774751"/>
      <w:bookmarkStart w:id="566" w:name="_Toc150480784"/>
      <w:bookmarkStart w:id="567" w:name="_Toc127151546"/>
      <w:bookmarkStart w:id="568" w:name="_Toc226309790"/>
      <w:bookmarkStart w:id="569" w:name="_Toc195842911"/>
      <w:bookmarkStart w:id="570" w:name="_Toc226965736"/>
      <w:r>
        <w:rPr>
          <w:rFonts w:hint="eastAsia" w:ascii="宋体" w:hAnsi="宋体" w:cs="仿宋"/>
          <w:sz w:val="24"/>
        </w:rPr>
        <w:t>成交候选人名单</w:t>
      </w:r>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p>
    <w:p w14:paraId="6C0DFE3F">
      <w:pPr>
        <w:numPr>
          <w:ilvl w:val="1"/>
          <w:numId w:val="31"/>
        </w:numPr>
        <w:tabs>
          <w:tab w:val="left" w:pos="1080"/>
          <w:tab w:val="left" w:pos="1872"/>
        </w:tabs>
        <w:snapToGrid w:val="0"/>
        <w:spacing w:line="360" w:lineRule="auto"/>
        <w:ind w:left="1077" w:hanging="720"/>
        <w:rPr>
          <w:rFonts w:hint="eastAsia" w:ascii="宋体" w:hAnsi="宋体" w:cs="宋体"/>
          <w:kern w:val="0"/>
          <w:sz w:val="24"/>
          <w:szCs w:val="20"/>
        </w:rPr>
      </w:pPr>
      <w:bookmarkStart w:id="571" w:name="_Hlk184910255"/>
      <w:r>
        <w:rPr>
          <w:rFonts w:hint="eastAsia" w:ascii="宋体" w:hAnsi="宋体" w:cs="宋体"/>
          <w:kern w:val="0"/>
          <w:sz w:val="24"/>
          <w:szCs w:val="20"/>
        </w:rPr>
        <w:t>磋商小组将根据各供应商的评审排序以及磋商文件中关于成交候选人的相关规定，确定本项目成交候选人名单，按照评审综合得分由高到低顺序推荐成交候选人的排名顺序。</w:t>
      </w:r>
      <w:r>
        <w:rPr>
          <w:rFonts w:hint="eastAsia" w:ascii="宋体" w:hAnsi="宋体" w:cs="宋体"/>
          <w:sz w:val="24"/>
        </w:rPr>
        <w:t>综合得分相同的，按最后报价由低到高的顺序排列。综合得分且最后报价相同的，</w:t>
      </w:r>
      <w:r>
        <w:rPr>
          <w:rFonts w:hint="eastAsia" w:ascii="宋体" w:hAnsi="宋体"/>
          <w:bCs/>
          <w:sz w:val="24"/>
          <w:szCs w:val="21"/>
        </w:rPr>
        <w:t>按照技术部分得分</w:t>
      </w:r>
      <w:r>
        <w:rPr>
          <w:rFonts w:hint="eastAsia" w:ascii="宋体" w:hAnsi="宋体" w:cs="宋体"/>
          <w:sz w:val="24"/>
        </w:rPr>
        <w:t>由高到低的</w:t>
      </w:r>
      <w:r>
        <w:rPr>
          <w:rFonts w:hint="eastAsia" w:ascii="宋体" w:hAnsi="宋体"/>
          <w:bCs/>
          <w:sz w:val="24"/>
          <w:szCs w:val="21"/>
        </w:rPr>
        <w:t>顺序排列</w:t>
      </w:r>
      <w:r>
        <w:rPr>
          <w:rFonts w:hint="eastAsia" w:ascii="宋体" w:hAnsi="宋体" w:cs="宋体"/>
          <w:sz w:val="24"/>
        </w:rPr>
        <w:t>。综合得分、最后报价且</w:t>
      </w:r>
      <w:r>
        <w:rPr>
          <w:rFonts w:hint="eastAsia" w:ascii="宋体" w:hAnsi="宋体"/>
          <w:bCs/>
          <w:sz w:val="24"/>
          <w:szCs w:val="21"/>
        </w:rPr>
        <w:t>技术部分得分相同的，按技术部分第一项得分</w:t>
      </w:r>
      <w:r>
        <w:rPr>
          <w:rFonts w:hint="eastAsia" w:ascii="宋体" w:hAnsi="宋体" w:cs="宋体"/>
          <w:sz w:val="24"/>
        </w:rPr>
        <w:t>由高到低的</w:t>
      </w:r>
      <w:r>
        <w:rPr>
          <w:rFonts w:hint="eastAsia" w:ascii="宋体" w:hAnsi="宋体"/>
          <w:bCs/>
          <w:sz w:val="24"/>
          <w:szCs w:val="21"/>
        </w:rPr>
        <w:t>顺序排列，以此类推</w:t>
      </w:r>
      <w:r>
        <w:rPr>
          <w:rFonts w:hint="eastAsia" w:ascii="宋体" w:hAnsi="宋体" w:cs="宋体"/>
          <w:sz w:val="24"/>
        </w:rPr>
        <w:t>。</w:t>
      </w:r>
      <w:r>
        <w:rPr>
          <w:rFonts w:hint="eastAsia" w:ascii="宋体" w:hAnsi="宋体" w:cs="宋体"/>
          <w:kern w:val="0"/>
          <w:sz w:val="24"/>
          <w:szCs w:val="20"/>
        </w:rPr>
        <w:t>响应文件满足竞争性磋商文件全部实质性要求，且按照评审因素的量化指标评审得分最高的供应商为排名第一的成交候选人。评分分值计算保留小数点后两位，第三位四舍五入。</w:t>
      </w:r>
    </w:p>
    <w:bookmarkEnd w:id="571"/>
    <w:p w14:paraId="6FDF9585">
      <w:pPr>
        <w:numPr>
          <w:ilvl w:val="1"/>
          <w:numId w:val="31"/>
        </w:numPr>
        <w:tabs>
          <w:tab w:val="left" w:pos="1080"/>
          <w:tab w:val="left" w:pos="1872"/>
        </w:tabs>
        <w:snapToGrid w:val="0"/>
        <w:spacing w:line="360" w:lineRule="auto"/>
        <w:ind w:left="1077" w:hanging="720"/>
        <w:rPr>
          <w:rFonts w:hint="eastAsia" w:ascii="宋体" w:hAnsi="宋体" w:cs="宋体"/>
          <w:sz w:val="24"/>
        </w:rPr>
      </w:pPr>
      <w:r>
        <w:rPr>
          <w:rFonts w:hint="eastAsia" w:ascii="宋体" w:hAnsi="宋体" w:cs="宋体"/>
          <w:kern w:val="0"/>
          <w:sz w:val="24"/>
          <w:szCs w:val="20"/>
        </w:rPr>
        <w:t>磋商小组根据上述供应商排序，依次推荐排序前</w:t>
      </w:r>
      <w:r>
        <w:rPr>
          <w:rFonts w:hint="eastAsia" w:ascii="宋体" w:hAnsi="宋体" w:cs="宋体"/>
          <w:kern w:val="0"/>
          <w:sz w:val="24"/>
          <w:szCs w:val="20"/>
          <w:u w:val="single"/>
        </w:rPr>
        <w:t xml:space="preserve"> 3 </w:t>
      </w:r>
      <w:r>
        <w:rPr>
          <w:rFonts w:hint="eastAsia" w:ascii="宋体" w:hAnsi="宋体" w:cs="宋体"/>
          <w:sz w:val="24"/>
        </w:rPr>
        <w:t>名</w:t>
      </w:r>
      <w:r>
        <w:rPr>
          <w:rFonts w:hint="eastAsia" w:ascii="宋体" w:hAnsi="宋体" w:cs="宋体"/>
          <w:kern w:val="0"/>
          <w:sz w:val="24"/>
          <w:szCs w:val="20"/>
        </w:rPr>
        <w:t>的供应商为</w:t>
      </w:r>
      <w:r>
        <w:rPr>
          <w:rFonts w:hint="eastAsia" w:ascii="宋体" w:hAnsi="宋体" w:cs="宋体"/>
          <w:snapToGrid w:val="0"/>
          <w:kern w:val="0"/>
          <w:sz w:val="24"/>
          <w:szCs w:val="21"/>
        </w:rPr>
        <w:t>成交候选供应商</w:t>
      </w:r>
      <w:r>
        <w:rPr>
          <w:rFonts w:hint="eastAsia" w:ascii="宋体" w:hAnsi="宋体" w:cs="宋体"/>
          <w:kern w:val="0"/>
          <w:sz w:val="24"/>
          <w:szCs w:val="20"/>
        </w:rPr>
        <w:t>（若在磋商文件允许的情形下提交最后报价的供应商为两家，则依次推荐两名供应商为成交候选供应商），并编写评审报告。</w:t>
      </w:r>
    </w:p>
    <w:p w14:paraId="6F77F90A">
      <w:pPr>
        <w:numPr>
          <w:ilvl w:val="1"/>
          <w:numId w:val="31"/>
        </w:numPr>
        <w:tabs>
          <w:tab w:val="left" w:pos="1080"/>
        </w:tabs>
        <w:snapToGrid w:val="0"/>
        <w:spacing w:line="360" w:lineRule="auto"/>
        <w:ind w:left="1077" w:hanging="720"/>
      </w:pPr>
      <w:r>
        <w:rPr>
          <w:rFonts w:hint="eastAsia" w:ascii="宋体" w:hAnsi="宋体" w:cs="宋体"/>
          <w:sz w:val="24"/>
        </w:rPr>
        <w:t>磋商小组要对评分汇总情况进行复核，特别是对排名第一的、报价最低的、响应文件被认定为无效的情形进行重点复核。</w:t>
      </w:r>
    </w:p>
    <w:p w14:paraId="6899D9DC">
      <w:pPr>
        <w:numPr>
          <w:ilvl w:val="0"/>
          <w:numId w:val="31"/>
        </w:numPr>
        <w:tabs>
          <w:tab w:val="left" w:pos="360"/>
        </w:tabs>
        <w:snapToGrid w:val="0"/>
        <w:spacing w:line="360" w:lineRule="auto"/>
        <w:outlineLvl w:val="1"/>
        <w:rPr>
          <w:rFonts w:hint="eastAsia" w:ascii="宋体" w:hAnsi="宋体" w:cs="仿宋"/>
          <w:sz w:val="24"/>
        </w:rPr>
      </w:pPr>
      <w:r>
        <w:rPr>
          <w:rFonts w:hint="eastAsia" w:ascii="宋体" w:hAnsi="宋体" w:cs="仿宋"/>
          <w:sz w:val="24"/>
        </w:rPr>
        <w:t>报告违法行为</w:t>
      </w:r>
    </w:p>
    <w:p w14:paraId="7147B60B">
      <w:pPr>
        <w:widowControl/>
        <w:numPr>
          <w:ilvl w:val="1"/>
          <w:numId w:val="31"/>
        </w:numPr>
        <w:tabs>
          <w:tab w:val="left" w:pos="1080"/>
          <w:tab w:val="left" w:pos="1872"/>
        </w:tabs>
        <w:snapToGrid w:val="0"/>
        <w:spacing w:line="360" w:lineRule="auto"/>
        <w:ind w:left="1077" w:hanging="720"/>
        <w:jc w:val="left"/>
        <w:rPr>
          <w:rFonts w:hint="eastAsia" w:ascii="宋体" w:hAnsi="宋体" w:cs="仿宋"/>
          <w:b/>
          <w:sz w:val="24"/>
        </w:rPr>
      </w:pPr>
      <w:r>
        <w:rPr>
          <w:rFonts w:hint="eastAsia" w:ascii="宋体" w:hAnsi="宋体" w:cs="仿宋"/>
          <w:sz w:val="24"/>
        </w:rPr>
        <w:t>磋商小组在评审过程中发现供应商有行贿、提供虚假材料或者串通等违法行为时，有向采购人、采购代理机构或者有关部门报告的职责。</w:t>
      </w:r>
      <w:r>
        <w:rPr>
          <w:rFonts w:hint="eastAsia" w:ascii="宋体" w:hAnsi="宋体" w:cs="仿宋"/>
          <w:b/>
          <w:sz w:val="24"/>
        </w:rPr>
        <w:br w:type="page"/>
      </w:r>
    </w:p>
    <w:p w14:paraId="671FBE21">
      <w:pPr>
        <w:pStyle w:val="4"/>
        <w:spacing w:before="0" w:line="360" w:lineRule="auto"/>
        <w:rPr>
          <w:rFonts w:hint="eastAsia" w:ascii="宋体" w:hAnsi="宋体" w:eastAsia="宋体" w:cs="仿宋"/>
          <w:sz w:val="24"/>
          <w:szCs w:val="24"/>
        </w:rPr>
      </w:pPr>
      <w:r>
        <w:rPr>
          <w:rFonts w:hint="eastAsia" w:ascii="宋体" w:hAnsi="宋体" w:eastAsia="宋体" w:cs="仿宋"/>
          <w:sz w:val="24"/>
          <w:szCs w:val="24"/>
        </w:rPr>
        <w:t>二、评审标准</w:t>
      </w:r>
      <w:r>
        <w:rPr>
          <w:rFonts w:hint="eastAsia" w:ascii="宋体" w:hAnsi="宋体" w:eastAsia="宋体" w:cs="仿宋"/>
          <w:sz w:val="24"/>
          <w:szCs w:val="24"/>
        </w:rPr>
        <w:fldChar w:fldCharType="begin"/>
      </w:r>
      <w:r>
        <w:rPr>
          <w:rFonts w:hint="eastAsia" w:ascii="宋体" w:hAnsi="宋体" w:eastAsia="宋体" w:cs="仿宋"/>
          <w:sz w:val="24"/>
          <w:szCs w:val="24"/>
        </w:rPr>
        <w:instrText xml:space="preserve"> DOCVARIABLE var评审项目 \* MERGEFORMAT </w:instrText>
      </w:r>
      <w:r>
        <w:rPr>
          <w:rFonts w:hint="eastAsia" w:ascii="宋体" w:hAnsi="宋体" w:eastAsia="宋体" w:cs="仿宋"/>
          <w:sz w:val="24"/>
          <w:szCs w:val="24"/>
        </w:rPr>
        <w:fldChar w:fldCharType="separate"/>
      </w:r>
      <w:r>
        <w:rPr>
          <w:rFonts w:hint="eastAsia" w:ascii="宋体" w:hAnsi="宋体" w:eastAsia="宋体" w:cs="仿宋"/>
          <w:sz w:val="24"/>
          <w:szCs w:val="24"/>
        </w:rPr>
        <w:fldChar w:fldCharType="end"/>
      </w:r>
      <w:bookmarkStart w:id="572" w:name="评审项目同步文档"/>
    </w:p>
    <w:p w14:paraId="47CDD4D3">
      <w:pPr>
        <w:spacing w:line="440" w:lineRule="atLeast"/>
        <w:rPr>
          <w:rFonts w:hint="eastAsia" w:asciiTheme="minorEastAsia" w:hAnsiTheme="minorEastAsia" w:eastAsiaTheme="minorEastAsia"/>
          <w:b/>
          <w:bCs/>
          <w:sz w:val="24"/>
        </w:rPr>
      </w:pPr>
      <w:r>
        <w:rPr>
          <w:rFonts w:hint="eastAsia" w:asciiTheme="minorEastAsia" w:hAnsiTheme="minorEastAsia" w:eastAsiaTheme="minorEastAsia"/>
          <w:b/>
          <w:bCs/>
          <w:sz w:val="24"/>
        </w:rPr>
        <w:t>（一）</w:t>
      </w:r>
      <w:r>
        <w:rPr>
          <w:rFonts w:asciiTheme="minorEastAsia" w:hAnsiTheme="minorEastAsia" w:eastAsiaTheme="minorEastAsia"/>
          <w:b/>
          <w:bCs/>
          <w:sz w:val="24"/>
        </w:rPr>
        <w:t>商务部分：</w:t>
      </w:r>
      <w:r>
        <w:rPr>
          <w:rFonts w:hint="eastAsia" w:asciiTheme="minorEastAsia" w:hAnsiTheme="minorEastAsia" w:eastAsiaTheme="minorEastAsia"/>
          <w:b/>
          <w:bCs/>
          <w:sz w:val="24"/>
        </w:rPr>
        <w:t>15</w:t>
      </w:r>
      <w:r>
        <w:rPr>
          <w:rFonts w:asciiTheme="minorEastAsia" w:hAnsiTheme="minorEastAsia" w:eastAsiaTheme="minorEastAsia"/>
          <w:b/>
          <w:bCs/>
          <w:sz w:val="24"/>
        </w:rPr>
        <w:t>分</w:t>
      </w:r>
    </w:p>
    <w:tbl>
      <w:tblPr>
        <w:tblStyle w:val="88"/>
        <w:tblW w:w="93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1701"/>
        <w:gridCol w:w="5812"/>
        <w:gridCol w:w="997"/>
      </w:tblGrid>
      <w:tr w14:paraId="3F115A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846" w:type="dxa"/>
            <w:vAlign w:val="center"/>
          </w:tcPr>
          <w:p w14:paraId="3E6A7E84">
            <w:pPr>
              <w:widowControl/>
              <w:jc w:val="center"/>
              <w:rPr>
                <w:rFonts w:hint="eastAsia" w:cs="宋体" w:asciiTheme="minorEastAsia" w:hAnsiTheme="minorEastAsia" w:eastAsiaTheme="minorEastAsia"/>
                <w:b/>
                <w:bCs/>
                <w:kern w:val="0"/>
                <w:sz w:val="24"/>
              </w:rPr>
            </w:pPr>
            <w:r>
              <w:rPr>
                <w:rFonts w:hint="eastAsia" w:cs="宋体" w:asciiTheme="minorEastAsia" w:hAnsiTheme="minorEastAsia" w:eastAsiaTheme="minorEastAsia"/>
                <w:b/>
                <w:bCs/>
                <w:kern w:val="0"/>
                <w:sz w:val="24"/>
              </w:rPr>
              <w:t>序号</w:t>
            </w:r>
          </w:p>
        </w:tc>
        <w:tc>
          <w:tcPr>
            <w:tcW w:w="1701" w:type="dxa"/>
            <w:vAlign w:val="center"/>
          </w:tcPr>
          <w:p w14:paraId="16845BF5">
            <w:pPr>
              <w:widowControl/>
              <w:jc w:val="center"/>
              <w:rPr>
                <w:rFonts w:hint="eastAsia" w:cs="宋体" w:asciiTheme="minorEastAsia" w:hAnsiTheme="minorEastAsia" w:eastAsiaTheme="minorEastAsia"/>
                <w:b/>
                <w:bCs/>
                <w:kern w:val="0"/>
                <w:sz w:val="24"/>
              </w:rPr>
            </w:pPr>
            <w:r>
              <w:rPr>
                <w:rFonts w:hint="eastAsia" w:cs="宋体" w:asciiTheme="minorEastAsia" w:hAnsiTheme="minorEastAsia" w:eastAsiaTheme="minorEastAsia"/>
                <w:b/>
                <w:bCs/>
                <w:kern w:val="0"/>
                <w:sz w:val="24"/>
              </w:rPr>
              <w:t>评审因素</w:t>
            </w:r>
          </w:p>
        </w:tc>
        <w:tc>
          <w:tcPr>
            <w:tcW w:w="5812" w:type="dxa"/>
            <w:vAlign w:val="center"/>
          </w:tcPr>
          <w:p w14:paraId="6EC87CD9">
            <w:pPr>
              <w:widowControl/>
              <w:jc w:val="center"/>
              <w:rPr>
                <w:rFonts w:hint="eastAsia" w:cs="宋体" w:asciiTheme="minorEastAsia" w:hAnsiTheme="minorEastAsia" w:eastAsiaTheme="minorEastAsia"/>
                <w:b/>
                <w:bCs/>
                <w:kern w:val="0"/>
                <w:sz w:val="24"/>
              </w:rPr>
            </w:pPr>
            <w:r>
              <w:rPr>
                <w:rFonts w:hint="eastAsia" w:cs="宋体" w:asciiTheme="minorEastAsia" w:hAnsiTheme="minorEastAsia" w:eastAsiaTheme="minorEastAsia"/>
                <w:b/>
                <w:bCs/>
                <w:kern w:val="0"/>
                <w:sz w:val="24"/>
              </w:rPr>
              <w:t>评分标准</w:t>
            </w:r>
          </w:p>
        </w:tc>
        <w:tc>
          <w:tcPr>
            <w:tcW w:w="997" w:type="dxa"/>
            <w:vAlign w:val="center"/>
          </w:tcPr>
          <w:p w14:paraId="1C6A8F8A">
            <w:pPr>
              <w:widowControl/>
              <w:jc w:val="center"/>
              <w:rPr>
                <w:rFonts w:hint="eastAsia" w:cs="宋体" w:asciiTheme="minorEastAsia" w:hAnsiTheme="minorEastAsia" w:eastAsiaTheme="minorEastAsia"/>
                <w:b/>
                <w:bCs/>
                <w:kern w:val="0"/>
                <w:sz w:val="24"/>
              </w:rPr>
            </w:pPr>
            <w:r>
              <w:rPr>
                <w:rFonts w:cs="宋体" w:asciiTheme="minorEastAsia" w:hAnsiTheme="minorEastAsia" w:eastAsiaTheme="minorEastAsia"/>
                <w:b/>
                <w:bCs/>
                <w:kern w:val="0"/>
                <w:sz w:val="24"/>
              </w:rPr>
              <w:t>分值</w:t>
            </w:r>
          </w:p>
        </w:tc>
      </w:tr>
      <w:tr w14:paraId="24CB17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8" w:hRule="atLeast"/>
          <w:jc w:val="center"/>
        </w:trPr>
        <w:tc>
          <w:tcPr>
            <w:tcW w:w="846" w:type="dxa"/>
            <w:vAlign w:val="center"/>
          </w:tcPr>
          <w:p w14:paraId="17CDAC00">
            <w:pPr>
              <w:jc w:val="center"/>
              <w:rPr>
                <w:rFonts w:hint="eastAsia" w:cs="Arial" w:asciiTheme="minorEastAsia" w:hAnsiTheme="minorEastAsia" w:eastAsiaTheme="minorEastAsia"/>
                <w:color w:val="000000"/>
                <w:sz w:val="24"/>
              </w:rPr>
            </w:pPr>
            <w:r>
              <w:rPr>
                <w:rFonts w:hint="eastAsia" w:cs="Arial" w:asciiTheme="minorEastAsia" w:hAnsiTheme="minorEastAsia" w:eastAsiaTheme="minorEastAsia"/>
                <w:color w:val="000000"/>
                <w:sz w:val="24"/>
              </w:rPr>
              <w:t>1</w:t>
            </w:r>
          </w:p>
        </w:tc>
        <w:tc>
          <w:tcPr>
            <w:tcW w:w="1701" w:type="dxa"/>
            <w:vAlign w:val="center"/>
          </w:tcPr>
          <w:p w14:paraId="484C3E9C">
            <w:pPr>
              <w:jc w:val="center"/>
              <w:rPr>
                <w:rFonts w:hint="eastAsia" w:asciiTheme="minorEastAsia" w:hAnsiTheme="minorEastAsia" w:eastAsiaTheme="minorEastAsia"/>
                <w:sz w:val="24"/>
              </w:rPr>
            </w:pPr>
            <w:r>
              <w:rPr>
                <w:rFonts w:cs="Arial" w:asciiTheme="minorEastAsia" w:hAnsiTheme="minorEastAsia" w:eastAsiaTheme="minorEastAsia"/>
                <w:sz w:val="24"/>
              </w:rPr>
              <w:t>类似</w:t>
            </w:r>
            <w:r>
              <w:rPr>
                <w:rFonts w:hint="eastAsia" w:cs="Arial" w:asciiTheme="minorEastAsia" w:hAnsiTheme="minorEastAsia" w:eastAsiaTheme="minorEastAsia"/>
                <w:sz w:val="24"/>
              </w:rPr>
              <w:t>项目</w:t>
            </w:r>
            <w:r>
              <w:rPr>
                <w:rFonts w:cs="Arial" w:asciiTheme="minorEastAsia" w:hAnsiTheme="minorEastAsia" w:eastAsiaTheme="minorEastAsia"/>
                <w:sz w:val="24"/>
              </w:rPr>
              <w:t>业绩</w:t>
            </w:r>
          </w:p>
        </w:tc>
        <w:tc>
          <w:tcPr>
            <w:tcW w:w="5812" w:type="dxa"/>
            <w:vAlign w:val="center"/>
          </w:tcPr>
          <w:p w14:paraId="300AD2DF">
            <w:pPr>
              <w:jc w:val="left"/>
              <w:rPr>
                <w:rFonts w:hint="eastAsia" w:asciiTheme="minorEastAsia" w:hAnsiTheme="minorEastAsia" w:eastAsiaTheme="minorEastAsia"/>
                <w:sz w:val="24"/>
              </w:rPr>
            </w:pPr>
            <w:r>
              <w:rPr>
                <w:rFonts w:hint="eastAsia" w:asciiTheme="minorEastAsia" w:hAnsiTheme="minorEastAsia" w:eastAsiaTheme="minorEastAsia"/>
                <w:sz w:val="24"/>
              </w:rPr>
              <w:t>提供近三年（2023</w:t>
            </w:r>
            <w:r>
              <w:rPr>
                <w:rFonts w:asciiTheme="minorEastAsia" w:hAnsiTheme="minorEastAsia" w:eastAsiaTheme="minorEastAsia"/>
                <w:sz w:val="24"/>
              </w:rPr>
              <w:t>年</w:t>
            </w:r>
            <w:r>
              <w:rPr>
                <w:rFonts w:hint="eastAsia" w:asciiTheme="minorEastAsia" w:hAnsiTheme="minorEastAsia" w:eastAsiaTheme="minorEastAsia"/>
                <w:sz w:val="24"/>
              </w:rPr>
              <w:t>04</w:t>
            </w:r>
            <w:r>
              <w:rPr>
                <w:rFonts w:asciiTheme="minorEastAsia" w:hAnsiTheme="minorEastAsia" w:eastAsiaTheme="minorEastAsia"/>
                <w:sz w:val="24"/>
              </w:rPr>
              <w:t>月</w:t>
            </w:r>
            <w:r>
              <w:rPr>
                <w:rFonts w:hint="eastAsia" w:asciiTheme="minorEastAsia" w:hAnsiTheme="minorEastAsia" w:eastAsiaTheme="minorEastAsia"/>
                <w:sz w:val="24"/>
              </w:rPr>
              <w:t>0</w:t>
            </w:r>
            <w:r>
              <w:rPr>
                <w:rFonts w:asciiTheme="minorEastAsia" w:hAnsiTheme="minorEastAsia" w:eastAsiaTheme="minorEastAsia"/>
                <w:sz w:val="24"/>
              </w:rPr>
              <w:t>1日至</w:t>
            </w:r>
            <w:r>
              <w:rPr>
                <w:rFonts w:hint="eastAsia" w:ascii="宋体" w:hAnsi="宋体" w:cs="仿宋"/>
                <w:sz w:val="24"/>
              </w:rPr>
              <w:t>递交响应文件截止时间）</w:t>
            </w:r>
            <w:r>
              <w:rPr>
                <w:rFonts w:hint="eastAsia" w:asciiTheme="minorEastAsia" w:hAnsiTheme="minorEastAsia" w:eastAsiaTheme="minorEastAsia"/>
                <w:sz w:val="24"/>
                <w:highlight w:val="none"/>
              </w:rPr>
              <w:t>承接的防水工程</w:t>
            </w:r>
            <w:r>
              <w:rPr>
                <w:rFonts w:hint="eastAsia" w:asciiTheme="minorEastAsia" w:hAnsiTheme="minorEastAsia" w:eastAsiaTheme="minorEastAsia"/>
                <w:sz w:val="24"/>
                <w:highlight w:val="none"/>
                <w:lang w:val="en-US" w:eastAsia="zh-CN"/>
              </w:rPr>
              <w:t>/与本项目相关的</w:t>
            </w:r>
            <w:r>
              <w:rPr>
                <w:rFonts w:hint="eastAsia" w:asciiTheme="minorEastAsia" w:hAnsiTheme="minorEastAsia" w:eastAsiaTheme="minorEastAsia"/>
                <w:sz w:val="24"/>
                <w:highlight w:val="none"/>
              </w:rPr>
              <w:t>类似业绩</w:t>
            </w:r>
            <w:r>
              <w:rPr>
                <w:rFonts w:hint="eastAsia" w:asciiTheme="minorEastAsia" w:hAnsiTheme="minorEastAsia" w:eastAsiaTheme="minorEastAsia"/>
                <w:sz w:val="24"/>
              </w:rPr>
              <w:t>，每有</w:t>
            </w:r>
            <w:r>
              <w:rPr>
                <w:rFonts w:asciiTheme="minorEastAsia" w:hAnsiTheme="minorEastAsia" w:eastAsiaTheme="minorEastAsia"/>
                <w:sz w:val="24"/>
              </w:rPr>
              <w:t>1项得2分，最高得</w:t>
            </w:r>
            <w:r>
              <w:rPr>
                <w:rFonts w:hint="eastAsia" w:asciiTheme="minorEastAsia" w:hAnsiTheme="minorEastAsia" w:eastAsiaTheme="minorEastAsia"/>
                <w:sz w:val="24"/>
              </w:rPr>
              <w:t>6</w:t>
            </w:r>
            <w:r>
              <w:rPr>
                <w:rFonts w:asciiTheme="minorEastAsia" w:hAnsiTheme="minorEastAsia" w:eastAsiaTheme="minorEastAsia"/>
                <w:sz w:val="24"/>
              </w:rPr>
              <w:t>分。</w:t>
            </w:r>
            <w:r>
              <w:rPr>
                <w:rFonts w:hint="eastAsia" w:asciiTheme="minorEastAsia" w:hAnsiTheme="minorEastAsia" w:eastAsiaTheme="minorEastAsia"/>
                <w:sz w:val="24"/>
              </w:rPr>
              <w:t xml:space="preserve"> </w:t>
            </w:r>
          </w:p>
          <w:p w14:paraId="2A487394">
            <w:pPr>
              <w:jc w:val="left"/>
              <w:rPr>
                <w:rFonts w:hint="eastAsia" w:asciiTheme="minorEastAsia" w:hAnsiTheme="minorEastAsia" w:eastAsiaTheme="minorEastAsia"/>
                <w:sz w:val="24"/>
              </w:rPr>
            </w:pPr>
            <w:r>
              <w:rPr>
                <w:rFonts w:asciiTheme="minorEastAsia" w:hAnsiTheme="minorEastAsia" w:eastAsiaTheme="minorEastAsia"/>
                <w:sz w:val="24"/>
              </w:rPr>
              <w:t>(注：</w:t>
            </w:r>
            <w:r>
              <w:rPr>
                <w:rFonts w:hint="eastAsia" w:asciiTheme="minorEastAsia" w:hAnsiTheme="minorEastAsia" w:eastAsiaTheme="minorEastAsia"/>
                <w:sz w:val="24"/>
              </w:rPr>
              <w:t>以合同签署时间为准，需提供合同首页、项目内容及金额页、合同签字盖章页及竣工验收单的复印件加盖公章。采购人有权对上述资料的原件进行核查。</w:t>
            </w:r>
            <w:r>
              <w:rPr>
                <w:rFonts w:asciiTheme="minorEastAsia" w:hAnsiTheme="minorEastAsia" w:eastAsiaTheme="minorEastAsia"/>
                <w:sz w:val="24"/>
              </w:rPr>
              <w:t>)</w:t>
            </w:r>
          </w:p>
        </w:tc>
        <w:tc>
          <w:tcPr>
            <w:tcW w:w="997" w:type="dxa"/>
            <w:vAlign w:val="center"/>
          </w:tcPr>
          <w:p w14:paraId="3886C1F1">
            <w:pPr>
              <w:jc w:val="center"/>
              <w:rPr>
                <w:rFonts w:hint="eastAsia" w:asciiTheme="minorEastAsia" w:hAnsiTheme="minorEastAsia" w:eastAsiaTheme="minorEastAsia"/>
                <w:sz w:val="24"/>
              </w:rPr>
            </w:pPr>
            <w:r>
              <w:rPr>
                <w:rFonts w:hint="eastAsia" w:asciiTheme="minorEastAsia" w:hAnsiTheme="minorEastAsia" w:eastAsiaTheme="minorEastAsia"/>
                <w:sz w:val="24"/>
              </w:rPr>
              <w:t>6</w:t>
            </w:r>
            <w:r>
              <w:rPr>
                <w:rFonts w:asciiTheme="minorEastAsia" w:hAnsiTheme="minorEastAsia" w:eastAsiaTheme="minorEastAsia"/>
                <w:sz w:val="24"/>
              </w:rPr>
              <w:t>分</w:t>
            </w:r>
          </w:p>
        </w:tc>
      </w:tr>
      <w:tr w14:paraId="52AF4B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846" w:type="dxa"/>
            <w:vMerge w:val="restart"/>
            <w:vAlign w:val="center"/>
          </w:tcPr>
          <w:p w14:paraId="1E5E4C0E">
            <w:pPr>
              <w:jc w:val="center"/>
              <w:rPr>
                <w:rFonts w:hint="eastAsia" w:asciiTheme="minorEastAsia" w:hAnsiTheme="minorEastAsia" w:eastAsiaTheme="minorEastAsia"/>
                <w:color w:val="000000"/>
                <w:sz w:val="24"/>
                <w:szCs w:val="22"/>
              </w:rPr>
            </w:pPr>
            <w:r>
              <w:rPr>
                <w:rFonts w:asciiTheme="minorEastAsia" w:hAnsiTheme="minorEastAsia" w:eastAsiaTheme="minorEastAsia"/>
                <w:color w:val="000000"/>
                <w:sz w:val="24"/>
                <w:szCs w:val="22"/>
              </w:rPr>
              <w:t>2</w:t>
            </w:r>
          </w:p>
        </w:tc>
        <w:tc>
          <w:tcPr>
            <w:tcW w:w="1701" w:type="dxa"/>
            <w:vMerge w:val="restart"/>
            <w:vAlign w:val="center"/>
          </w:tcPr>
          <w:p w14:paraId="22986A5D">
            <w:pPr>
              <w:jc w:val="center"/>
              <w:rPr>
                <w:rFonts w:hint="eastAsia" w:asciiTheme="minorEastAsia" w:hAnsiTheme="minorEastAsia" w:eastAsiaTheme="minorEastAsia"/>
                <w:color w:val="000000"/>
                <w:sz w:val="24"/>
                <w:szCs w:val="22"/>
              </w:rPr>
            </w:pPr>
            <w:r>
              <w:rPr>
                <w:rFonts w:hint="eastAsia" w:asciiTheme="minorEastAsia" w:hAnsiTheme="minorEastAsia" w:eastAsiaTheme="minorEastAsia"/>
                <w:color w:val="000000"/>
                <w:sz w:val="24"/>
                <w:szCs w:val="22"/>
              </w:rPr>
              <w:t>项目经理</w:t>
            </w:r>
          </w:p>
        </w:tc>
        <w:tc>
          <w:tcPr>
            <w:tcW w:w="5812" w:type="dxa"/>
            <w:vAlign w:val="center"/>
          </w:tcPr>
          <w:p w14:paraId="4C352AE1">
            <w:pPr>
              <w:jc w:val="left"/>
              <w:rPr>
                <w:rFonts w:hint="eastAsia" w:cs="Arial" w:asciiTheme="minorEastAsia" w:hAnsiTheme="minorEastAsia" w:eastAsiaTheme="minorEastAsia"/>
                <w:color w:val="000000"/>
                <w:sz w:val="24"/>
                <w:szCs w:val="22"/>
              </w:rPr>
            </w:pPr>
            <w:r>
              <w:rPr>
                <w:rFonts w:hint="eastAsia" w:cs="Arial" w:asciiTheme="minorEastAsia" w:hAnsiTheme="minorEastAsia" w:eastAsiaTheme="minorEastAsia"/>
                <w:color w:val="000000"/>
                <w:sz w:val="24"/>
                <w:szCs w:val="22"/>
              </w:rPr>
              <w:t>具有工程类相关专业中级及以上职称，得2分；</w:t>
            </w:r>
          </w:p>
        </w:tc>
        <w:tc>
          <w:tcPr>
            <w:tcW w:w="997" w:type="dxa"/>
            <w:vMerge w:val="restart"/>
            <w:vAlign w:val="center"/>
          </w:tcPr>
          <w:p w14:paraId="2EBAE350">
            <w:pPr>
              <w:jc w:val="center"/>
              <w:rPr>
                <w:rFonts w:hint="eastAsia" w:asciiTheme="minorEastAsia" w:hAnsiTheme="minorEastAsia" w:eastAsiaTheme="minorEastAsia"/>
                <w:sz w:val="24"/>
              </w:rPr>
            </w:pPr>
            <w:r>
              <w:rPr>
                <w:rFonts w:hint="eastAsia" w:asciiTheme="minorEastAsia" w:hAnsiTheme="minorEastAsia" w:eastAsiaTheme="minorEastAsia"/>
                <w:sz w:val="24"/>
              </w:rPr>
              <w:t>2分</w:t>
            </w:r>
          </w:p>
        </w:tc>
      </w:tr>
      <w:tr w14:paraId="5AE392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846" w:type="dxa"/>
            <w:vMerge w:val="continue"/>
            <w:vAlign w:val="center"/>
          </w:tcPr>
          <w:p w14:paraId="29E7CD1E">
            <w:pPr>
              <w:jc w:val="center"/>
              <w:rPr>
                <w:rFonts w:hint="eastAsia" w:asciiTheme="minorEastAsia" w:hAnsiTheme="minorEastAsia" w:eastAsiaTheme="minorEastAsia"/>
                <w:color w:val="000000"/>
                <w:sz w:val="24"/>
                <w:szCs w:val="22"/>
              </w:rPr>
            </w:pPr>
          </w:p>
        </w:tc>
        <w:tc>
          <w:tcPr>
            <w:tcW w:w="1701" w:type="dxa"/>
            <w:vMerge w:val="continue"/>
            <w:vAlign w:val="center"/>
          </w:tcPr>
          <w:p w14:paraId="3CB4C812">
            <w:pPr>
              <w:jc w:val="center"/>
              <w:rPr>
                <w:rFonts w:hint="eastAsia" w:asciiTheme="minorEastAsia" w:hAnsiTheme="minorEastAsia" w:eastAsiaTheme="minorEastAsia"/>
                <w:color w:val="000000"/>
                <w:sz w:val="24"/>
                <w:szCs w:val="22"/>
              </w:rPr>
            </w:pPr>
          </w:p>
        </w:tc>
        <w:tc>
          <w:tcPr>
            <w:tcW w:w="5812" w:type="dxa"/>
            <w:vAlign w:val="center"/>
          </w:tcPr>
          <w:p w14:paraId="7E6C4203">
            <w:pPr>
              <w:jc w:val="left"/>
              <w:rPr>
                <w:rFonts w:hint="eastAsia" w:cs="Arial" w:asciiTheme="minorEastAsia" w:hAnsiTheme="minorEastAsia" w:eastAsiaTheme="minorEastAsia"/>
                <w:color w:val="000000"/>
                <w:sz w:val="24"/>
                <w:szCs w:val="22"/>
              </w:rPr>
            </w:pPr>
            <w:r>
              <w:rPr>
                <w:rFonts w:hint="eastAsia" w:cs="Arial" w:asciiTheme="minorEastAsia" w:hAnsiTheme="minorEastAsia" w:eastAsiaTheme="minorEastAsia"/>
                <w:color w:val="000000"/>
                <w:sz w:val="24"/>
                <w:szCs w:val="22"/>
              </w:rPr>
              <w:t>具有工程类相关专业初级及以下职称</w:t>
            </w:r>
            <w:r>
              <w:rPr>
                <w:rFonts w:hint="eastAsia" w:cs="Arial" w:asciiTheme="minorEastAsia" w:hAnsiTheme="minorEastAsia" w:eastAsiaTheme="minorEastAsia"/>
                <w:color w:val="000000"/>
                <w:sz w:val="24"/>
                <w:szCs w:val="22"/>
                <w:lang w:val="en-US" w:eastAsia="zh-CN"/>
              </w:rPr>
              <w:t>或未提供</w:t>
            </w:r>
            <w:r>
              <w:rPr>
                <w:rFonts w:hint="eastAsia" w:cs="Arial" w:asciiTheme="minorEastAsia" w:hAnsiTheme="minorEastAsia" w:eastAsiaTheme="minorEastAsia"/>
                <w:color w:val="000000"/>
                <w:sz w:val="24"/>
                <w:szCs w:val="22"/>
              </w:rPr>
              <w:t>，得0分。</w:t>
            </w:r>
          </w:p>
        </w:tc>
        <w:tc>
          <w:tcPr>
            <w:tcW w:w="997" w:type="dxa"/>
            <w:vMerge w:val="continue"/>
            <w:vAlign w:val="center"/>
          </w:tcPr>
          <w:p w14:paraId="1A2D6760">
            <w:pPr>
              <w:jc w:val="center"/>
              <w:rPr>
                <w:rFonts w:hint="eastAsia" w:asciiTheme="minorEastAsia" w:hAnsiTheme="minorEastAsia" w:eastAsiaTheme="minorEastAsia"/>
                <w:sz w:val="24"/>
              </w:rPr>
            </w:pPr>
          </w:p>
        </w:tc>
      </w:tr>
      <w:tr w14:paraId="339F58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846" w:type="dxa"/>
            <w:vMerge w:val="restart"/>
            <w:vAlign w:val="center"/>
          </w:tcPr>
          <w:p w14:paraId="676A0E65">
            <w:pPr>
              <w:jc w:val="center"/>
              <w:rPr>
                <w:rFonts w:hint="eastAsia" w:cs="Arial" w:asciiTheme="minorEastAsia" w:hAnsiTheme="minorEastAsia" w:eastAsiaTheme="minorEastAsia"/>
                <w:color w:val="000000"/>
                <w:sz w:val="24"/>
              </w:rPr>
            </w:pPr>
            <w:r>
              <w:rPr>
                <w:rFonts w:hint="eastAsia" w:cs="Arial" w:asciiTheme="minorEastAsia" w:hAnsiTheme="minorEastAsia" w:eastAsiaTheme="minorEastAsia"/>
                <w:color w:val="000000"/>
                <w:sz w:val="24"/>
              </w:rPr>
              <w:t>3</w:t>
            </w:r>
          </w:p>
        </w:tc>
        <w:tc>
          <w:tcPr>
            <w:tcW w:w="1701" w:type="dxa"/>
            <w:vMerge w:val="restart"/>
            <w:vAlign w:val="center"/>
          </w:tcPr>
          <w:p w14:paraId="6AB7360B">
            <w:pPr>
              <w:jc w:val="center"/>
              <w:rPr>
                <w:rFonts w:hint="eastAsia" w:cs="Arial" w:asciiTheme="minorEastAsia" w:hAnsiTheme="minorEastAsia" w:eastAsiaTheme="minorEastAsia"/>
                <w:color w:val="000000"/>
                <w:sz w:val="24"/>
              </w:rPr>
            </w:pPr>
            <w:r>
              <w:rPr>
                <w:rFonts w:hint="eastAsia" w:asciiTheme="minorEastAsia" w:hAnsiTheme="minorEastAsia" w:eastAsiaTheme="minorEastAsia"/>
                <w:color w:val="000000"/>
                <w:sz w:val="24"/>
                <w:szCs w:val="22"/>
              </w:rPr>
              <w:t>技术</w:t>
            </w:r>
            <w:r>
              <w:rPr>
                <w:rFonts w:asciiTheme="minorEastAsia" w:hAnsiTheme="minorEastAsia" w:eastAsiaTheme="minorEastAsia"/>
                <w:color w:val="000000"/>
                <w:sz w:val="24"/>
                <w:szCs w:val="22"/>
              </w:rPr>
              <w:t>负责人</w:t>
            </w:r>
          </w:p>
        </w:tc>
        <w:tc>
          <w:tcPr>
            <w:tcW w:w="5812" w:type="dxa"/>
            <w:vAlign w:val="center"/>
          </w:tcPr>
          <w:p w14:paraId="11A13FC8">
            <w:pPr>
              <w:jc w:val="left"/>
              <w:rPr>
                <w:rFonts w:hint="eastAsia" w:cs="Arial" w:asciiTheme="minorEastAsia" w:hAnsiTheme="minorEastAsia" w:eastAsiaTheme="minorEastAsia"/>
                <w:sz w:val="24"/>
                <w:szCs w:val="22"/>
              </w:rPr>
            </w:pPr>
            <w:r>
              <w:rPr>
                <w:rFonts w:hint="eastAsia" w:cs="Arial" w:asciiTheme="minorEastAsia" w:hAnsiTheme="minorEastAsia" w:eastAsiaTheme="minorEastAsia"/>
                <w:color w:val="000000"/>
                <w:sz w:val="24"/>
                <w:szCs w:val="22"/>
              </w:rPr>
              <w:t>具有工程类相关专业中级及以上职称，得2分；</w:t>
            </w:r>
          </w:p>
        </w:tc>
        <w:tc>
          <w:tcPr>
            <w:tcW w:w="997" w:type="dxa"/>
            <w:vMerge w:val="restart"/>
            <w:vAlign w:val="center"/>
          </w:tcPr>
          <w:p w14:paraId="721891D4">
            <w:pPr>
              <w:jc w:val="center"/>
              <w:rPr>
                <w:rFonts w:hint="eastAsia" w:asciiTheme="minorEastAsia" w:hAnsiTheme="minorEastAsia" w:eastAsiaTheme="minorEastAsia"/>
                <w:sz w:val="24"/>
              </w:rPr>
            </w:pPr>
            <w:r>
              <w:rPr>
                <w:rFonts w:hint="eastAsia" w:asciiTheme="minorEastAsia" w:hAnsiTheme="minorEastAsia" w:eastAsiaTheme="minorEastAsia"/>
                <w:sz w:val="24"/>
              </w:rPr>
              <w:t>2分</w:t>
            </w:r>
          </w:p>
        </w:tc>
      </w:tr>
      <w:tr w14:paraId="18CDCF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846" w:type="dxa"/>
            <w:vMerge w:val="continue"/>
            <w:vAlign w:val="center"/>
          </w:tcPr>
          <w:p w14:paraId="030DECC9">
            <w:pPr>
              <w:jc w:val="center"/>
              <w:rPr>
                <w:rFonts w:hint="eastAsia" w:cs="Arial" w:asciiTheme="minorEastAsia" w:hAnsiTheme="minorEastAsia" w:eastAsiaTheme="minorEastAsia"/>
                <w:color w:val="000000"/>
                <w:sz w:val="24"/>
              </w:rPr>
            </w:pPr>
          </w:p>
        </w:tc>
        <w:tc>
          <w:tcPr>
            <w:tcW w:w="1701" w:type="dxa"/>
            <w:vMerge w:val="continue"/>
            <w:vAlign w:val="center"/>
          </w:tcPr>
          <w:p w14:paraId="48419E4E">
            <w:pPr>
              <w:jc w:val="center"/>
              <w:rPr>
                <w:rFonts w:hint="eastAsia" w:cs="Arial" w:asciiTheme="minorEastAsia" w:hAnsiTheme="minorEastAsia" w:eastAsiaTheme="minorEastAsia"/>
                <w:color w:val="000000"/>
                <w:sz w:val="24"/>
              </w:rPr>
            </w:pPr>
          </w:p>
        </w:tc>
        <w:tc>
          <w:tcPr>
            <w:tcW w:w="5812" w:type="dxa"/>
            <w:vAlign w:val="center"/>
          </w:tcPr>
          <w:p w14:paraId="1862F487">
            <w:pPr>
              <w:jc w:val="left"/>
              <w:rPr>
                <w:rFonts w:hint="eastAsia" w:cs="Arial" w:asciiTheme="minorEastAsia" w:hAnsiTheme="minorEastAsia" w:eastAsiaTheme="minorEastAsia"/>
                <w:color w:val="FF0000"/>
                <w:sz w:val="24"/>
                <w:szCs w:val="22"/>
              </w:rPr>
            </w:pPr>
            <w:r>
              <w:rPr>
                <w:rFonts w:hint="eastAsia" w:cs="Arial" w:asciiTheme="minorEastAsia" w:hAnsiTheme="minorEastAsia" w:eastAsiaTheme="minorEastAsia"/>
                <w:color w:val="000000"/>
                <w:sz w:val="24"/>
                <w:szCs w:val="22"/>
              </w:rPr>
              <w:t>具有工程类相关专业初级及以下职称</w:t>
            </w:r>
            <w:r>
              <w:rPr>
                <w:rFonts w:hint="eastAsia" w:cs="Arial" w:asciiTheme="minorEastAsia" w:hAnsiTheme="minorEastAsia" w:eastAsiaTheme="minorEastAsia"/>
                <w:color w:val="000000"/>
                <w:sz w:val="24"/>
                <w:szCs w:val="22"/>
                <w:lang w:val="en-US" w:eastAsia="zh-CN"/>
              </w:rPr>
              <w:t>或未提供</w:t>
            </w:r>
            <w:r>
              <w:rPr>
                <w:rFonts w:hint="eastAsia" w:cs="Arial" w:asciiTheme="minorEastAsia" w:hAnsiTheme="minorEastAsia" w:eastAsiaTheme="minorEastAsia"/>
                <w:color w:val="000000"/>
                <w:sz w:val="24"/>
                <w:szCs w:val="22"/>
              </w:rPr>
              <w:t>，得0分。</w:t>
            </w:r>
          </w:p>
        </w:tc>
        <w:tc>
          <w:tcPr>
            <w:tcW w:w="997" w:type="dxa"/>
            <w:vMerge w:val="continue"/>
            <w:vAlign w:val="center"/>
          </w:tcPr>
          <w:p w14:paraId="274B8F86">
            <w:pPr>
              <w:jc w:val="center"/>
              <w:rPr>
                <w:rFonts w:hint="eastAsia" w:asciiTheme="minorEastAsia" w:hAnsiTheme="minorEastAsia" w:eastAsiaTheme="minorEastAsia"/>
                <w:color w:val="FF0000"/>
                <w:sz w:val="24"/>
              </w:rPr>
            </w:pPr>
          </w:p>
        </w:tc>
      </w:tr>
      <w:tr w14:paraId="491B61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846" w:type="dxa"/>
            <w:vMerge w:val="restart"/>
            <w:vAlign w:val="center"/>
          </w:tcPr>
          <w:p w14:paraId="2A913CAD">
            <w:pPr>
              <w:jc w:val="center"/>
              <w:rPr>
                <w:rFonts w:hint="eastAsia" w:asciiTheme="minorEastAsia" w:hAnsiTheme="minorEastAsia" w:eastAsiaTheme="minorEastAsia"/>
                <w:color w:val="000000"/>
                <w:sz w:val="24"/>
              </w:rPr>
            </w:pPr>
            <w:r>
              <w:rPr>
                <w:rFonts w:asciiTheme="minorEastAsia" w:hAnsiTheme="minorEastAsia" w:eastAsiaTheme="minorEastAsia"/>
                <w:color w:val="000000"/>
                <w:sz w:val="24"/>
              </w:rPr>
              <w:t>4</w:t>
            </w:r>
          </w:p>
        </w:tc>
        <w:tc>
          <w:tcPr>
            <w:tcW w:w="1701" w:type="dxa"/>
            <w:vMerge w:val="restart"/>
            <w:vAlign w:val="center"/>
          </w:tcPr>
          <w:p w14:paraId="20D17817">
            <w:pPr>
              <w:jc w:val="center"/>
              <w:rPr>
                <w:rFonts w:hint="eastAsia" w:asciiTheme="minorEastAsia" w:hAnsiTheme="minorEastAsia" w:eastAsiaTheme="minorEastAsia"/>
                <w:sz w:val="24"/>
              </w:rPr>
            </w:pPr>
            <w:r>
              <w:rPr>
                <w:rFonts w:hint="eastAsia" w:asciiTheme="minorEastAsia" w:hAnsiTheme="minorEastAsia" w:eastAsiaTheme="minorEastAsia"/>
                <w:sz w:val="24"/>
              </w:rPr>
              <w:t>项目管理机构</w:t>
            </w:r>
          </w:p>
        </w:tc>
        <w:tc>
          <w:tcPr>
            <w:tcW w:w="5812" w:type="dxa"/>
            <w:vAlign w:val="center"/>
          </w:tcPr>
          <w:p w14:paraId="1EF8C986">
            <w:pPr>
              <w:spacing w:before="60" w:beforeLines="25" w:after="60" w:afterLines="25"/>
              <w:jc w:val="left"/>
              <w:rPr>
                <w:rFonts w:hint="eastAsia" w:cs="Arial" w:asciiTheme="minorEastAsia" w:hAnsiTheme="minorEastAsia" w:eastAsiaTheme="minorEastAsia"/>
                <w:color w:val="000000"/>
                <w:sz w:val="24"/>
              </w:rPr>
            </w:pPr>
            <w:r>
              <w:rPr>
                <w:rFonts w:hint="eastAsia" w:cs="Arial" w:asciiTheme="minorEastAsia" w:hAnsiTheme="minorEastAsia" w:eastAsiaTheme="minorEastAsia"/>
                <w:sz w:val="24"/>
              </w:rPr>
              <w:t>项目管理机构配置合理、人员充足、设置关键岗位人员，项目管理人员素质良好，经验丰富，得5分；</w:t>
            </w:r>
          </w:p>
        </w:tc>
        <w:tc>
          <w:tcPr>
            <w:tcW w:w="997" w:type="dxa"/>
            <w:vMerge w:val="restart"/>
            <w:vAlign w:val="center"/>
          </w:tcPr>
          <w:p w14:paraId="4957D1E0">
            <w:pPr>
              <w:jc w:val="center"/>
              <w:rPr>
                <w:rFonts w:hint="eastAsia" w:cs="Arial" w:asciiTheme="minorEastAsia" w:hAnsiTheme="minorEastAsia" w:eastAsiaTheme="minorEastAsia"/>
                <w:kern w:val="0"/>
                <w:sz w:val="24"/>
              </w:rPr>
            </w:pPr>
            <w:r>
              <w:rPr>
                <w:rFonts w:hint="eastAsia" w:cs="Arial" w:asciiTheme="minorEastAsia" w:hAnsiTheme="minorEastAsia" w:eastAsiaTheme="minorEastAsia"/>
                <w:sz w:val="24"/>
              </w:rPr>
              <w:t>5分</w:t>
            </w:r>
          </w:p>
        </w:tc>
      </w:tr>
      <w:tr w14:paraId="6BF9DA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jc w:val="center"/>
        </w:trPr>
        <w:tc>
          <w:tcPr>
            <w:tcW w:w="846" w:type="dxa"/>
            <w:vMerge w:val="continue"/>
            <w:vAlign w:val="center"/>
          </w:tcPr>
          <w:p w14:paraId="3A673864">
            <w:pPr>
              <w:jc w:val="center"/>
              <w:rPr>
                <w:rFonts w:hint="eastAsia" w:asciiTheme="minorEastAsia" w:hAnsiTheme="minorEastAsia" w:eastAsiaTheme="minorEastAsia"/>
                <w:color w:val="000000"/>
                <w:sz w:val="24"/>
              </w:rPr>
            </w:pPr>
          </w:p>
        </w:tc>
        <w:tc>
          <w:tcPr>
            <w:tcW w:w="1701" w:type="dxa"/>
            <w:vMerge w:val="continue"/>
            <w:vAlign w:val="center"/>
          </w:tcPr>
          <w:p w14:paraId="24EB3A28">
            <w:pPr>
              <w:jc w:val="center"/>
              <w:rPr>
                <w:rFonts w:hint="eastAsia" w:asciiTheme="minorEastAsia" w:hAnsiTheme="minorEastAsia" w:eastAsiaTheme="minorEastAsia"/>
                <w:sz w:val="24"/>
              </w:rPr>
            </w:pPr>
          </w:p>
        </w:tc>
        <w:tc>
          <w:tcPr>
            <w:tcW w:w="5812" w:type="dxa"/>
            <w:vAlign w:val="center"/>
          </w:tcPr>
          <w:p w14:paraId="6F22E499">
            <w:pPr>
              <w:spacing w:before="60" w:beforeLines="25" w:after="60" w:afterLines="25"/>
              <w:jc w:val="left"/>
              <w:rPr>
                <w:rFonts w:hint="eastAsia" w:cs="Arial" w:asciiTheme="minorEastAsia" w:hAnsiTheme="minorEastAsia" w:eastAsiaTheme="minorEastAsia"/>
                <w:sz w:val="24"/>
              </w:rPr>
            </w:pPr>
            <w:r>
              <w:rPr>
                <w:rFonts w:hint="eastAsia" w:cs="Arial" w:asciiTheme="minorEastAsia" w:hAnsiTheme="minorEastAsia" w:eastAsiaTheme="minorEastAsia"/>
                <w:sz w:val="24"/>
              </w:rPr>
              <w:t>项目管理机构配置较合理、设置关键岗位人员，经验较丰富，得3分；</w:t>
            </w:r>
          </w:p>
        </w:tc>
        <w:tc>
          <w:tcPr>
            <w:tcW w:w="997" w:type="dxa"/>
            <w:vMerge w:val="continue"/>
            <w:vAlign w:val="center"/>
          </w:tcPr>
          <w:p w14:paraId="28A8BA25">
            <w:pPr>
              <w:jc w:val="center"/>
              <w:rPr>
                <w:rFonts w:hint="eastAsia" w:cs="Arial" w:asciiTheme="minorEastAsia" w:hAnsiTheme="minorEastAsia" w:eastAsiaTheme="minorEastAsia"/>
                <w:sz w:val="24"/>
              </w:rPr>
            </w:pPr>
          </w:p>
        </w:tc>
      </w:tr>
      <w:tr w14:paraId="479661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846" w:type="dxa"/>
            <w:vMerge w:val="continue"/>
            <w:vAlign w:val="center"/>
          </w:tcPr>
          <w:p w14:paraId="6B51C7B6">
            <w:pPr>
              <w:jc w:val="center"/>
              <w:rPr>
                <w:rFonts w:hint="eastAsia" w:asciiTheme="minorEastAsia" w:hAnsiTheme="minorEastAsia" w:eastAsiaTheme="minorEastAsia"/>
                <w:color w:val="000000"/>
                <w:sz w:val="24"/>
              </w:rPr>
            </w:pPr>
          </w:p>
        </w:tc>
        <w:tc>
          <w:tcPr>
            <w:tcW w:w="1701" w:type="dxa"/>
            <w:vMerge w:val="continue"/>
            <w:vAlign w:val="center"/>
          </w:tcPr>
          <w:p w14:paraId="3B6781BC">
            <w:pPr>
              <w:jc w:val="center"/>
              <w:rPr>
                <w:rFonts w:hint="eastAsia" w:asciiTheme="minorEastAsia" w:hAnsiTheme="minorEastAsia" w:eastAsiaTheme="minorEastAsia"/>
                <w:sz w:val="24"/>
              </w:rPr>
            </w:pPr>
          </w:p>
        </w:tc>
        <w:tc>
          <w:tcPr>
            <w:tcW w:w="5812" w:type="dxa"/>
            <w:vAlign w:val="center"/>
          </w:tcPr>
          <w:p w14:paraId="0CE8E370">
            <w:pPr>
              <w:spacing w:before="60" w:beforeLines="25" w:after="60" w:afterLines="25"/>
              <w:jc w:val="left"/>
              <w:rPr>
                <w:rFonts w:hint="eastAsia" w:cs="Arial" w:asciiTheme="minorEastAsia" w:hAnsiTheme="minorEastAsia" w:eastAsiaTheme="minorEastAsia"/>
                <w:sz w:val="24"/>
              </w:rPr>
            </w:pPr>
            <w:r>
              <w:rPr>
                <w:rFonts w:hint="eastAsia" w:cs="Arial" w:asciiTheme="minorEastAsia" w:hAnsiTheme="minorEastAsia" w:eastAsiaTheme="minorEastAsia"/>
                <w:sz w:val="24"/>
              </w:rPr>
              <w:t>项目管理机构配置不合理、人员不足、缺少关键岗位人员，得1分；</w:t>
            </w:r>
          </w:p>
        </w:tc>
        <w:tc>
          <w:tcPr>
            <w:tcW w:w="997" w:type="dxa"/>
            <w:vMerge w:val="continue"/>
            <w:vAlign w:val="center"/>
          </w:tcPr>
          <w:p w14:paraId="5D6A06DE">
            <w:pPr>
              <w:jc w:val="center"/>
              <w:rPr>
                <w:rFonts w:hint="eastAsia" w:cs="Arial" w:asciiTheme="minorEastAsia" w:hAnsiTheme="minorEastAsia" w:eastAsiaTheme="minorEastAsia"/>
                <w:sz w:val="24"/>
              </w:rPr>
            </w:pPr>
          </w:p>
        </w:tc>
      </w:tr>
      <w:tr w14:paraId="0E27B9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846" w:type="dxa"/>
            <w:vMerge w:val="continue"/>
            <w:vAlign w:val="center"/>
          </w:tcPr>
          <w:p w14:paraId="6F374418">
            <w:pPr>
              <w:jc w:val="center"/>
              <w:rPr>
                <w:rFonts w:hint="eastAsia" w:asciiTheme="minorEastAsia" w:hAnsiTheme="minorEastAsia" w:eastAsiaTheme="minorEastAsia"/>
                <w:color w:val="000000"/>
                <w:sz w:val="24"/>
              </w:rPr>
            </w:pPr>
          </w:p>
        </w:tc>
        <w:tc>
          <w:tcPr>
            <w:tcW w:w="1701" w:type="dxa"/>
            <w:vMerge w:val="continue"/>
            <w:vAlign w:val="center"/>
          </w:tcPr>
          <w:p w14:paraId="363C30C0">
            <w:pPr>
              <w:jc w:val="center"/>
              <w:rPr>
                <w:rFonts w:hint="eastAsia" w:asciiTheme="minorEastAsia" w:hAnsiTheme="minorEastAsia" w:eastAsiaTheme="minorEastAsia"/>
                <w:sz w:val="24"/>
              </w:rPr>
            </w:pPr>
          </w:p>
        </w:tc>
        <w:tc>
          <w:tcPr>
            <w:tcW w:w="5812" w:type="dxa"/>
            <w:vAlign w:val="center"/>
          </w:tcPr>
          <w:p w14:paraId="3E26FC1C">
            <w:pPr>
              <w:spacing w:before="60" w:beforeLines="25" w:after="60" w:afterLines="25"/>
              <w:jc w:val="left"/>
              <w:rPr>
                <w:rFonts w:hint="eastAsia" w:cs="Arial" w:asciiTheme="minorEastAsia" w:hAnsiTheme="minorEastAsia" w:eastAsiaTheme="minorEastAsia"/>
                <w:sz w:val="24"/>
              </w:rPr>
            </w:pPr>
            <w:r>
              <w:rPr>
                <w:rFonts w:hint="eastAsia" w:cs="Arial" w:asciiTheme="minorEastAsia" w:hAnsiTheme="minorEastAsia" w:eastAsiaTheme="minorEastAsia"/>
                <w:sz w:val="24"/>
              </w:rPr>
              <w:t>未提供得0分。</w:t>
            </w:r>
          </w:p>
        </w:tc>
        <w:tc>
          <w:tcPr>
            <w:tcW w:w="997" w:type="dxa"/>
            <w:vMerge w:val="continue"/>
            <w:vAlign w:val="center"/>
          </w:tcPr>
          <w:p w14:paraId="78A28726">
            <w:pPr>
              <w:jc w:val="center"/>
              <w:rPr>
                <w:rFonts w:hint="eastAsia" w:cs="Arial" w:asciiTheme="minorEastAsia" w:hAnsiTheme="minorEastAsia" w:eastAsiaTheme="minorEastAsia"/>
                <w:sz w:val="24"/>
              </w:rPr>
            </w:pPr>
          </w:p>
        </w:tc>
      </w:tr>
    </w:tbl>
    <w:p w14:paraId="25120CE8">
      <w:pPr>
        <w:pStyle w:val="123"/>
        <w:tabs>
          <w:tab w:val="left" w:pos="1260"/>
        </w:tabs>
        <w:spacing w:line="440" w:lineRule="atLeast"/>
        <w:ind w:left="420" w:firstLine="0" w:firstLineChars="0"/>
        <w:jc w:val="left"/>
        <w:rPr>
          <w:rFonts w:hint="eastAsia" w:asciiTheme="minorEastAsia" w:hAnsiTheme="minorEastAsia" w:eastAsiaTheme="minorEastAsia"/>
          <w:sz w:val="24"/>
        </w:rPr>
      </w:pPr>
    </w:p>
    <w:p w14:paraId="4085EDE8">
      <w:pPr>
        <w:pStyle w:val="123"/>
        <w:widowControl/>
        <w:numPr>
          <w:ilvl w:val="0"/>
          <w:numId w:val="32"/>
        </w:numPr>
        <w:ind w:firstLineChars="0"/>
        <w:jc w:val="left"/>
        <w:rPr>
          <w:rFonts w:hint="eastAsia" w:asciiTheme="minorEastAsia" w:hAnsiTheme="minorEastAsia" w:eastAsiaTheme="minorEastAsia"/>
          <w:sz w:val="24"/>
        </w:rPr>
      </w:pPr>
      <w:r>
        <w:rPr>
          <w:rFonts w:hint="eastAsia" w:asciiTheme="minorEastAsia" w:hAnsiTheme="minorEastAsia" w:eastAsiaTheme="minorEastAsia"/>
          <w:sz w:val="24"/>
        </w:rPr>
        <w:br w:type="page"/>
      </w:r>
    </w:p>
    <w:p w14:paraId="6D04BE03">
      <w:pPr>
        <w:pStyle w:val="123"/>
        <w:numPr>
          <w:ilvl w:val="0"/>
          <w:numId w:val="32"/>
        </w:numPr>
        <w:tabs>
          <w:tab w:val="left" w:pos="1260"/>
        </w:tabs>
        <w:spacing w:line="440" w:lineRule="atLeast"/>
        <w:ind w:firstLineChars="0"/>
        <w:jc w:val="left"/>
        <w:rPr>
          <w:rFonts w:hint="eastAsia" w:asciiTheme="minorEastAsia" w:hAnsiTheme="minorEastAsia" w:eastAsiaTheme="minorEastAsia"/>
          <w:sz w:val="24"/>
        </w:rPr>
        <w:sectPr>
          <w:pgSz w:w="11905" w:h="16838"/>
          <w:pgMar w:top="1247" w:right="1361" w:bottom="1247" w:left="1361" w:header="851" w:footer="992" w:gutter="0"/>
          <w:cols w:space="0" w:num="1"/>
          <w:docGrid w:linePitch="462" w:charSpace="0"/>
        </w:sectPr>
      </w:pPr>
    </w:p>
    <w:p w14:paraId="69FA6609">
      <w:pPr>
        <w:spacing w:line="440" w:lineRule="atLeast"/>
        <w:jc w:val="left"/>
        <w:rPr>
          <w:rFonts w:hint="eastAsia" w:asciiTheme="minorEastAsia" w:hAnsiTheme="minorEastAsia" w:eastAsiaTheme="minorEastAsia"/>
          <w:b/>
          <w:color w:val="000000"/>
          <w:sz w:val="24"/>
        </w:rPr>
      </w:pPr>
      <w:r>
        <w:rPr>
          <w:rFonts w:hint="eastAsia" w:asciiTheme="minorEastAsia" w:hAnsiTheme="minorEastAsia" w:eastAsiaTheme="minorEastAsia"/>
          <w:sz w:val="24"/>
        </w:rPr>
        <w:t>（二）</w:t>
      </w:r>
      <w:r>
        <w:rPr>
          <w:rFonts w:asciiTheme="minorEastAsia" w:hAnsiTheme="minorEastAsia" w:eastAsiaTheme="minorEastAsia"/>
          <w:b/>
          <w:color w:val="000000"/>
          <w:sz w:val="24"/>
        </w:rPr>
        <w:t>技术部分：</w:t>
      </w:r>
      <w:r>
        <w:rPr>
          <w:rFonts w:hint="eastAsia" w:asciiTheme="minorEastAsia" w:hAnsiTheme="minorEastAsia" w:eastAsiaTheme="minorEastAsia"/>
          <w:b/>
          <w:color w:val="000000"/>
          <w:sz w:val="24"/>
          <w:lang w:val="en-US" w:eastAsia="zh-CN"/>
        </w:rPr>
        <w:t>5</w:t>
      </w:r>
      <w:r>
        <w:rPr>
          <w:rFonts w:hint="eastAsia" w:asciiTheme="minorEastAsia" w:hAnsiTheme="minorEastAsia" w:eastAsiaTheme="minorEastAsia"/>
          <w:b/>
          <w:color w:val="000000"/>
          <w:sz w:val="24"/>
        </w:rPr>
        <w:t>5</w:t>
      </w:r>
      <w:r>
        <w:rPr>
          <w:rFonts w:asciiTheme="minorEastAsia" w:hAnsiTheme="minorEastAsia" w:eastAsiaTheme="minorEastAsia"/>
          <w:b/>
          <w:color w:val="000000"/>
          <w:sz w:val="24"/>
        </w:rPr>
        <w:t>分</w:t>
      </w:r>
    </w:p>
    <w:tbl>
      <w:tblPr>
        <w:tblStyle w:val="88"/>
        <w:tblW w:w="14967"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03"/>
        <w:gridCol w:w="2903"/>
        <w:gridCol w:w="4487"/>
        <w:gridCol w:w="949"/>
        <w:gridCol w:w="889"/>
        <w:gridCol w:w="886"/>
        <w:gridCol w:w="738"/>
        <w:gridCol w:w="737"/>
        <w:gridCol w:w="728"/>
        <w:gridCol w:w="611"/>
        <w:gridCol w:w="611"/>
        <w:gridCol w:w="625"/>
      </w:tblGrid>
      <w:tr w14:paraId="50C46EB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85" w:hRule="exact"/>
          <w:tblHeader/>
          <w:jc w:val="center"/>
        </w:trPr>
        <w:tc>
          <w:tcPr>
            <w:tcW w:w="803" w:type="dxa"/>
            <w:vMerge w:val="restart"/>
            <w:vAlign w:val="center"/>
          </w:tcPr>
          <w:p w14:paraId="4629454E">
            <w:pPr>
              <w:spacing w:before="60" w:beforeLines="25" w:after="60" w:afterLines="25"/>
              <w:jc w:val="center"/>
              <w:rPr>
                <w:rFonts w:hint="eastAsia" w:asciiTheme="minorEastAsia" w:hAnsiTheme="minorEastAsia" w:eastAsiaTheme="minorEastAsia"/>
                <w:b/>
                <w:color w:val="000000"/>
                <w:szCs w:val="21"/>
              </w:rPr>
            </w:pPr>
            <w:r>
              <w:rPr>
                <w:rFonts w:hint="eastAsia" w:asciiTheme="minorEastAsia" w:hAnsiTheme="minorEastAsia" w:eastAsiaTheme="minorEastAsia"/>
                <w:b/>
                <w:color w:val="000000"/>
                <w:szCs w:val="21"/>
              </w:rPr>
              <w:t>序号</w:t>
            </w:r>
          </w:p>
        </w:tc>
        <w:tc>
          <w:tcPr>
            <w:tcW w:w="2903" w:type="dxa"/>
            <w:vMerge w:val="restart"/>
            <w:vAlign w:val="center"/>
          </w:tcPr>
          <w:p w14:paraId="3854999A">
            <w:pPr>
              <w:spacing w:before="60" w:beforeLines="25" w:after="60" w:afterLines="25"/>
              <w:jc w:val="center"/>
              <w:rPr>
                <w:rFonts w:hint="eastAsia" w:asciiTheme="minorEastAsia" w:hAnsiTheme="minorEastAsia" w:eastAsiaTheme="minorEastAsia"/>
                <w:b/>
                <w:color w:val="000000"/>
                <w:szCs w:val="21"/>
              </w:rPr>
            </w:pPr>
            <w:r>
              <w:rPr>
                <w:rFonts w:hint="eastAsia" w:asciiTheme="minorEastAsia" w:hAnsiTheme="minorEastAsia" w:eastAsiaTheme="minorEastAsia"/>
                <w:b/>
                <w:color w:val="000000"/>
                <w:szCs w:val="21"/>
              </w:rPr>
              <w:t>评分项目</w:t>
            </w:r>
          </w:p>
        </w:tc>
        <w:tc>
          <w:tcPr>
            <w:tcW w:w="5436" w:type="dxa"/>
            <w:gridSpan w:val="2"/>
            <w:vMerge w:val="restart"/>
            <w:vAlign w:val="center"/>
          </w:tcPr>
          <w:p w14:paraId="209581BD">
            <w:pPr>
              <w:widowControl/>
              <w:jc w:val="center"/>
              <w:rPr>
                <w:rFonts w:hint="eastAsia" w:asciiTheme="minorEastAsia" w:hAnsiTheme="minorEastAsia" w:eastAsiaTheme="minorEastAsia"/>
                <w:b/>
                <w:color w:val="000000"/>
                <w:szCs w:val="21"/>
              </w:rPr>
            </w:pPr>
            <w:r>
              <w:rPr>
                <w:rFonts w:hint="eastAsia" w:asciiTheme="minorEastAsia" w:hAnsiTheme="minorEastAsia" w:eastAsiaTheme="minorEastAsia"/>
                <w:b/>
                <w:color w:val="000000"/>
                <w:szCs w:val="21"/>
              </w:rPr>
              <w:t>评分标准</w:t>
            </w:r>
          </w:p>
        </w:tc>
        <w:tc>
          <w:tcPr>
            <w:tcW w:w="889" w:type="dxa"/>
            <w:vMerge w:val="restart"/>
            <w:vAlign w:val="center"/>
          </w:tcPr>
          <w:p w14:paraId="229EEC81">
            <w:pPr>
              <w:widowControl/>
              <w:jc w:val="center"/>
              <w:rPr>
                <w:rFonts w:hint="eastAsia" w:asciiTheme="minorEastAsia" w:hAnsiTheme="minorEastAsia" w:eastAsiaTheme="minorEastAsia"/>
                <w:b/>
                <w:color w:val="000000"/>
                <w:szCs w:val="21"/>
              </w:rPr>
            </w:pPr>
            <w:r>
              <w:rPr>
                <w:rFonts w:hint="eastAsia" w:asciiTheme="minorEastAsia" w:hAnsiTheme="minorEastAsia" w:eastAsiaTheme="minorEastAsia"/>
                <w:b/>
                <w:color w:val="000000"/>
                <w:szCs w:val="21"/>
              </w:rPr>
              <w:t>分值</w:t>
            </w:r>
          </w:p>
        </w:tc>
        <w:tc>
          <w:tcPr>
            <w:tcW w:w="4936" w:type="dxa"/>
            <w:gridSpan w:val="7"/>
            <w:vAlign w:val="center"/>
          </w:tcPr>
          <w:p w14:paraId="45E3D739">
            <w:pPr>
              <w:widowControl/>
              <w:jc w:val="center"/>
              <w:rPr>
                <w:rFonts w:hint="eastAsia" w:asciiTheme="minorEastAsia" w:hAnsiTheme="minorEastAsia" w:eastAsiaTheme="minorEastAsia"/>
                <w:b/>
                <w:color w:val="000000"/>
                <w:szCs w:val="21"/>
              </w:rPr>
            </w:pPr>
            <w:r>
              <w:rPr>
                <w:rFonts w:hint="eastAsia" w:asciiTheme="minorEastAsia" w:hAnsiTheme="minorEastAsia" w:eastAsiaTheme="minorEastAsia"/>
                <w:b/>
                <w:color w:val="000000"/>
                <w:szCs w:val="21"/>
              </w:rPr>
              <w:t>供应商名称及评审得分</w:t>
            </w:r>
          </w:p>
        </w:tc>
      </w:tr>
      <w:tr w14:paraId="2C2838C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85" w:hRule="exact"/>
          <w:tblHeader/>
          <w:jc w:val="center"/>
        </w:trPr>
        <w:tc>
          <w:tcPr>
            <w:tcW w:w="803" w:type="dxa"/>
            <w:vMerge w:val="continue"/>
            <w:vAlign w:val="center"/>
          </w:tcPr>
          <w:p w14:paraId="1AD72CA2">
            <w:pPr>
              <w:spacing w:before="60" w:beforeLines="25" w:after="60" w:afterLines="25"/>
              <w:jc w:val="center"/>
              <w:rPr>
                <w:rFonts w:hint="eastAsia" w:asciiTheme="minorEastAsia" w:hAnsiTheme="minorEastAsia" w:eastAsiaTheme="minorEastAsia"/>
                <w:b/>
                <w:color w:val="000000"/>
                <w:sz w:val="32"/>
                <w:szCs w:val="21"/>
              </w:rPr>
            </w:pPr>
          </w:p>
        </w:tc>
        <w:tc>
          <w:tcPr>
            <w:tcW w:w="2903" w:type="dxa"/>
            <w:vMerge w:val="continue"/>
            <w:vAlign w:val="center"/>
          </w:tcPr>
          <w:p w14:paraId="4BD7FC65">
            <w:pPr>
              <w:spacing w:before="60" w:beforeLines="25" w:after="60" w:afterLines="25"/>
              <w:jc w:val="center"/>
              <w:rPr>
                <w:rFonts w:hint="eastAsia" w:asciiTheme="minorEastAsia" w:hAnsiTheme="minorEastAsia" w:eastAsiaTheme="minorEastAsia"/>
                <w:b/>
                <w:color w:val="000000"/>
                <w:sz w:val="32"/>
                <w:szCs w:val="21"/>
              </w:rPr>
            </w:pPr>
          </w:p>
        </w:tc>
        <w:tc>
          <w:tcPr>
            <w:tcW w:w="5436" w:type="dxa"/>
            <w:gridSpan w:val="2"/>
            <w:vMerge w:val="continue"/>
            <w:vAlign w:val="center"/>
          </w:tcPr>
          <w:p w14:paraId="37FA9BB6">
            <w:pPr>
              <w:spacing w:before="60" w:beforeLines="25" w:after="60" w:afterLines="25"/>
              <w:rPr>
                <w:rFonts w:hint="eastAsia" w:asciiTheme="minorEastAsia" w:hAnsiTheme="minorEastAsia" w:eastAsiaTheme="minorEastAsia"/>
                <w:b/>
                <w:color w:val="000000"/>
                <w:sz w:val="32"/>
                <w:szCs w:val="21"/>
              </w:rPr>
            </w:pPr>
          </w:p>
        </w:tc>
        <w:tc>
          <w:tcPr>
            <w:tcW w:w="889" w:type="dxa"/>
            <w:vMerge w:val="continue"/>
            <w:vAlign w:val="center"/>
          </w:tcPr>
          <w:p w14:paraId="243479F9">
            <w:pPr>
              <w:spacing w:before="60" w:beforeLines="25" w:after="60" w:afterLines="25"/>
              <w:rPr>
                <w:rFonts w:hint="eastAsia" w:asciiTheme="minorEastAsia" w:hAnsiTheme="minorEastAsia" w:eastAsiaTheme="minorEastAsia"/>
                <w:b/>
                <w:color w:val="000000"/>
                <w:sz w:val="32"/>
                <w:szCs w:val="21"/>
              </w:rPr>
            </w:pPr>
          </w:p>
        </w:tc>
        <w:tc>
          <w:tcPr>
            <w:tcW w:w="886" w:type="dxa"/>
            <w:vAlign w:val="center"/>
          </w:tcPr>
          <w:p w14:paraId="0C380BAB">
            <w:pPr>
              <w:spacing w:before="60" w:beforeLines="25" w:after="60" w:afterLines="25"/>
              <w:rPr>
                <w:rFonts w:hint="eastAsia" w:asciiTheme="minorEastAsia" w:hAnsiTheme="minorEastAsia" w:eastAsiaTheme="minorEastAsia"/>
                <w:b/>
                <w:color w:val="000000"/>
                <w:sz w:val="32"/>
                <w:szCs w:val="21"/>
              </w:rPr>
            </w:pPr>
          </w:p>
        </w:tc>
        <w:tc>
          <w:tcPr>
            <w:tcW w:w="738" w:type="dxa"/>
            <w:vAlign w:val="center"/>
          </w:tcPr>
          <w:p w14:paraId="5D245A2A">
            <w:pPr>
              <w:spacing w:before="60" w:beforeLines="25" w:after="60" w:afterLines="25"/>
              <w:rPr>
                <w:rFonts w:hint="eastAsia" w:asciiTheme="minorEastAsia" w:hAnsiTheme="minorEastAsia" w:eastAsiaTheme="minorEastAsia"/>
                <w:b/>
                <w:color w:val="000000"/>
                <w:sz w:val="32"/>
                <w:szCs w:val="21"/>
              </w:rPr>
            </w:pPr>
          </w:p>
        </w:tc>
        <w:tc>
          <w:tcPr>
            <w:tcW w:w="737" w:type="dxa"/>
            <w:vAlign w:val="center"/>
          </w:tcPr>
          <w:p w14:paraId="56A3DC31">
            <w:pPr>
              <w:spacing w:before="60" w:beforeLines="25" w:after="60" w:afterLines="25"/>
              <w:rPr>
                <w:rFonts w:hint="eastAsia" w:asciiTheme="minorEastAsia" w:hAnsiTheme="minorEastAsia" w:eastAsiaTheme="minorEastAsia"/>
                <w:b/>
                <w:color w:val="000000"/>
                <w:sz w:val="32"/>
                <w:szCs w:val="21"/>
              </w:rPr>
            </w:pPr>
          </w:p>
        </w:tc>
        <w:tc>
          <w:tcPr>
            <w:tcW w:w="728" w:type="dxa"/>
            <w:vAlign w:val="center"/>
          </w:tcPr>
          <w:p w14:paraId="674322F5">
            <w:pPr>
              <w:spacing w:before="60" w:beforeLines="25" w:after="60" w:afterLines="25"/>
              <w:rPr>
                <w:rFonts w:hint="eastAsia" w:asciiTheme="minorEastAsia" w:hAnsiTheme="minorEastAsia" w:eastAsiaTheme="minorEastAsia"/>
                <w:b/>
                <w:color w:val="000000"/>
                <w:sz w:val="32"/>
                <w:szCs w:val="21"/>
              </w:rPr>
            </w:pPr>
          </w:p>
        </w:tc>
        <w:tc>
          <w:tcPr>
            <w:tcW w:w="611" w:type="dxa"/>
            <w:vAlign w:val="center"/>
          </w:tcPr>
          <w:p w14:paraId="15A10512">
            <w:pPr>
              <w:spacing w:before="60" w:beforeLines="25" w:after="60" w:afterLines="25"/>
              <w:rPr>
                <w:rFonts w:hint="eastAsia" w:asciiTheme="minorEastAsia" w:hAnsiTheme="minorEastAsia" w:eastAsiaTheme="minorEastAsia"/>
                <w:b/>
                <w:color w:val="000000"/>
                <w:sz w:val="32"/>
                <w:szCs w:val="21"/>
              </w:rPr>
            </w:pPr>
          </w:p>
        </w:tc>
        <w:tc>
          <w:tcPr>
            <w:tcW w:w="611" w:type="dxa"/>
            <w:vAlign w:val="center"/>
          </w:tcPr>
          <w:p w14:paraId="5D4C44E0">
            <w:pPr>
              <w:spacing w:before="60" w:beforeLines="25" w:after="60" w:afterLines="25"/>
              <w:rPr>
                <w:rFonts w:hint="eastAsia" w:asciiTheme="minorEastAsia" w:hAnsiTheme="minorEastAsia" w:eastAsiaTheme="minorEastAsia"/>
                <w:b/>
                <w:color w:val="000000"/>
                <w:sz w:val="32"/>
                <w:szCs w:val="21"/>
              </w:rPr>
            </w:pPr>
          </w:p>
        </w:tc>
        <w:tc>
          <w:tcPr>
            <w:tcW w:w="625" w:type="dxa"/>
            <w:vAlign w:val="center"/>
          </w:tcPr>
          <w:p w14:paraId="51FB2E33">
            <w:pPr>
              <w:spacing w:before="60" w:beforeLines="25" w:after="60" w:afterLines="25"/>
              <w:rPr>
                <w:rFonts w:hint="eastAsia" w:asciiTheme="minorEastAsia" w:hAnsiTheme="minorEastAsia" w:eastAsiaTheme="minorEastAsia"/>
                <w:b/>
                <w:color w:val="000000"/>
                <w:sz w:val="32"/>
                <w:szCs w:val="21"/>
              </w:rPr>
            </w:pPr>
          </w:p>
        </w:tc>
      </w:tr>
      <w:tr w14:paraId="0B859AF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83" w:hRule="exact"/>
          <w:jc w:val="center"/>
        </w:trPr>
        <w:tc>
          <w:tcPr>
            <w:tcW w:w="803" w:type="dxa"/>
            <w:vMerge w:val="restart"/>
            <w:vAlign w:val="center"/>
          </w:tcPr>
          <w:p w14:paraId="1E176431">
            <w:pPr>
              <w:spacing w:before="60" w:beforeLines="25" w:after="60" w:afterLines="25"/>
              <w:jc w:val="center"/>
              <w:rPr>
                <w:rFonts w:hint="eastAsia" w:asciiTheme="minorEastAsia" w:hAnsiTheme="minorEastAsia" w:eastAsiaTheme="minorEastAsia"/>
                <w:color w:val="000000"/>
                <w:sz w:val="24"/>
              </w:rPr>
            </w:pPr>
            <w:r>
              <w:rPr>
                <w:rFonts w:hint="eastAsia" w:asciiTheme="minorEastAsia" w:hAnsiTheme="minorEastAsia" w:eastAsiaTheme="minorEastAsia"/>
                <w:color w:val="000000"/>
                <w:sz w:val="24"/>
              </w:rPr>
              <w:t>1</w:t>
            </w:r>
          </w:p>
        </w:tc>
        <w:tc>
          <w:tcPr>
            <w:tcW w:w="2903" w:type="dxa"/>
            <w:vMerge w:val="restart"/>
            <w:vAlign w:val="center"/>
          </w:tcPr>
          <w:p w14:paraId="026B783B">
            <w:pPr>
              <w:spacing w:before="60" w:beforeLines="25" w:after="60" w:afterLines="25"/>
              <w:jc w:val="center"/>
              <w:rPr>
                <w:rFonts w:hint="eastAsia" w:asciiTheme="minorEastAsia" w:hAnsiTheme="minorEastAsia" w:eastAsiaTheme="minorEastAsia"/>
                <w:color w:val="000000"/>
                <w:sz w:val="24"/>
              </w:rPr>
            </w:pPr>
            <w:r>
              <w:rPr>
                <w:rFonts w:hint="eastAsia" w:asciiTheme="minorEastAsia" w:hAnsiTheme="minorEastAsia" w:eastAsiaTheme="minorEastAsia"/>
                <w:color w:val="000000"/>
                <w:sz w:val="24"/>
              </w:rPr>
              <w:t>施工方案与技术措施</w:t>
            </w:r>
          </w:p>
        </w:tc>
        <w:tc>
          <w:tcPr>
            <w:tcW w:w="4487" w:type="dxa"/>
            <w:vAlign w:val="center"/>
          </w:tcPr>
          <w:p w14:paraId="6FF02D66">
            <w:pPr>
              <w:adjustRightInd w:val="0"/>
              <w:snapToGrid w:val="0"/>
              <w:rPr>
                <w:rFonts w:hint="eastAsia" w:asciiTheme="minorEastAsia" w:hAnsiTheme="minorEastAsia" w:eastAsiaTheme="minorEastAsia"/>
                <w:color w:val="000000"/>
                <w:sz w:val="24"/>
              </w:rPr>
            </w:pPr>
            <w:r>
              <w:rPr>
                <w:rFonts w:hint="eastAsia" w:asciiTheme="minorEastAsia" w:hAnsiTheme="minorEastAsia" w:eastAsiaTheme="minorEastAsia"/>
                <w:sz w:val="24"/>
              </w:rPr>
              <w:t>科学、合理、可行、针对性强</w:t>
            </w:r>
          </w:p>
        </w:tc>
        <w:tc>
          <w:tcPr>
            <w:tcW w:w="949" w:type="dxa"/>
            <w:vAlign w:val="center"/>
          </w:tcPr>
          <w:p w14:paraId="6C0A8436">
            <w:pPr>
              <w:spacing w:before="60" w:beforeLines="25" w:after="60" w:afterLines="25"/>
              <w:jc w:val="center"/>
              <w:rPr>
                <w:rFonts w:hint="eastAsia" w:asciiTheme="minorEastAsia" w:hAnsiTheme="minorEastAsia" w:eastAsiaTheme="minorEastAsia"/>
                <w:color w:val="000000"/>
                <w:sz w:val="24"/>
              </w:rPr>
            </w:pPr>
            <w:r>
              <w:rPr>
                <w:rFonts w:hint="eastAsia" w:asciiTheme="minorEastAsia" w:hAnsiTheme="minorEastAsia" w:eastAsiaTheme="minorEastAsia"/>
                <w:color w:val="000000"/>
                <w:sz w:val="24"/>
                <w:lang w:val="en-US" w:eastAsia="zh-CN"/>
              </w:rPr>
              <w:t>10</w:t>
            </w:r>
            <w:r>
              <w:rPr>
                <w:rFonts w:hint="eastAsia" w:asciiTheme="minorEastAsia" w:hAnsiTheme="minorEastAsia" w:eastAsiaTheme="minorEastAsia"/>
                <w:color w:val="000000"/>
                <w:sz w:val="24"/>
              </w:rPr>
              <w:t>分</w:t>
            </w:r>
          </w:p>
        </w:tc>
        <w:tc>
          <w:tcPr>
            <w:tcW w:w="889" w:type="dxa"/>
            <w:vMerge w:val="restart"/>
            <w:vAlign w:val="center"/>
          </w:tcPr>
          <w:p w14:paraId="6A7EFA95">
            <w:pPr>
              <w:spacing w:before="60" w:beforeLines="25" w:after="60" w:afterLines="25"/>
              <w:jc w:val="center"/>
              <w:rPr>
                <w:rFonts w:hint="eastAsia" w:asciiTheme="minorEastAsia" w:hAnsiTheme="minorEastAsia" w:eastAsiaTheme="minorEastAsia"/>
                <w:color w:val="000000"/>
                <w:szCs w:val="21"/>
              </w:rPr>
            </w:pPr>
            <w:r>
              <w:rPr>
                <w:rFonts w:hint="eastAsia" w:asciiTheme="minorEastAsia" w:hAnsiTheme="minorEastAsia" w:eastAsiaTheme="minorEastAsia"/>
                <w:color w:val="000000"/>
                <w:sz w:val="24"/>
                <w:szCs w:val="21"/>
                <w:lang w:val="en-US" w:eastAsia="zh-CN"/>
              </w:rPr>
              <w:t>10</w:t>
            </w:r>
            <w:r>
              <w:rPr>
                <w:rFonts w:hint="eastAsia" w:asciiTheme="minorEastAsia" w:hAnsiTheme="minorEastAsia" w:eastAsiaTheme="minorEastAsia"/>
                <w:color w:val="000000"/>
                <w:sz w:val="24"/>
                <w:szCs w:val="21"/>
              </w:rPr>
              <w:t>分</w:t>
            </w:r>
          </w:p>
        </w:tc>
        <w:tc>
          <w:tcPr>
            <w:tcW w:w="886" w:type="dxa"/>
            <w:vMerge w:val="restart"/>
            <w:vAlign w:val="center"/>
          </w:tcPr>
          <w:p w14:paraId="246026C8">
            <w:pPr>
              <w:spacing w:before="60" w:beforeLines="25" w:after="60" w:afterLines="25"/>
              <w:jc w:val="center"/>
              <w:rPr>
                <w:rFonts w:hint="eastAsia" w:asciiTheme="minorEastAsia" w:hAnsiTheme="minorEastAsia" w:eastAsiaTheme="minorEastAsia"/>
                <w:color w:val="000000"/>
                <w:szCs w:val="21"/>
              </w:rPr>
            </w:pPr>
          </w:p>
        </w:tc>
        <w:tc>
          <w:tcPr>
            <w:tcW w:w="738" w:type="dxa"/>
            <w:vMerge w:val="restart"/>
            <w:vAlign w:val="center"/>
          </w:tcPr>
          <w:p w14:paraId="17BC9BC7">
            <w:pPr>
              <w:spacing w:before="60" w:beforeLines="25" w:after="60" w:afterLines="25"/>
              <w:jc w:val="center"/>
              <w:rPr>
                <w:rFonts w:hint="eastAsia" w:asciiTheme="minorEastAsia" w:hAnsiTheme="minorEastAsia" w:eastAsiaTheme="minorEastAsia"/>
                <w:color w:val="000000"/>
                <w:szCs w:val="21"/>
              </w:rPr>
            </w:pPr>
          </w:p>
        </w:tc>
        <w:tc>
          <w:tcPr>
            <w:tcW w:w="737" w:type="dxa"/>
            <w:vMerge w:val="restart"/>
            <w:vAlign w:val="center"/>
          </w:tcPr>
          <w:p w14:paraId="39B0E1F5">
            <w:pPr>
              <w:spacing w:before="60" w:beforeLines="25" w:after="60" w:afterLines="25"/>
              <w:jc w:val="center"/>
              <w:rPr>
                <w:rFonts w:hint="eastAsia" w:asciiTheme="minorEastAsia" w:hAnsiTheme="minorEastAsia" w:eastAsiaTheme="minorEastAsia"/>
                <w:color w:val="000000"/>
                <w:szCs w:val="21"/>
              </w:rPr>
            </w:pPr>
          </w:p>
        </w:tc>
        <w:tc>
          <w:tcPr>
            <w:tcW w:w="728" w:type="dxa"/>
            <w:vMerge w:val="restart"/>
            <w:vAlign w:val="center"/>
          </w:tcPr>
          <w:p w14:paraId="51D9447A">
            <w:pPr>
              <w:spacing w:before="60" w:beforeLines="25" w:after="60" w:afterLines="25"/>
              <w:rPr>
                <w:rFonts w:hint="eastAsia" w:asciiTheme="minorEastAsia" w:hAnsiTheme="minorEastAsia" w:eastAsiaTheme="minorEastAsia"/>
                <w:color w:val="000000"/>
                <w:szCs w:val="21"/>
              </w:rPr>
            </w:pPr>
          </w:p>
        </w:tc>
        <w:tc>
          <w:tcPr>
            <w:tcW w:w="611" w:type="dxa"/>
            <w:vMerge w:val="restart"/>
            <w:vAlign w:val="center"/>
          </w:tcPr>
          <w:p w14:paraId="1724D94F">
            <w:pPr>
              <w:spacing w:before="60" w:beforeLines="25" w:after="60" w:afterLines="25"/>
              <w:rPr>
                <w:rFonts w:hint="eastAsia" w:asciiTheme="minorEastAsia" w:hAnsiTheme="minorEastAsia" w:eastAsiaTheme="minorEastAsia"/>
                <w:color w:val="000000"/>
                <w:szCs w:val="21"/>
              </w:rPr>
            </w:pPr>
          </w:p>
        </w:tc>
        <w:tc>
          <w:tcPr>
            <w:tcW w:w="611" w:type="dxa"/>
            <w:vMerge w:val="restart"/>
            <w:vAlign w:val="center"/>
          </w:tcPr>
          <w:p w14:paraId="7BB16F22">
            <w:pPr>
              <w:spacing w:before="60" w:beforeLines="25" w:after="60" w:afterLines="25"/>
              <w:rPr>
                <w:rFonts w:hint="eastAsia" w:asciiTheme="minorEastAsia" w:hAnsiTheme="minorEastAsia" w:eastAsiaTheme="minorEastAsia"/>
                <w:color w:val="000000"/>
                <w:szCs w:val="21"/>
              </w:rPr>
            </w:pPr>
          </w:p>
        </w:tc>
        <w:tc>
          <w:tcPr>
            <w:tcW w:w="625" w:type="dxa"/>
            <w:vMerge w:val="restart"/>
            <w:vAlign w:val="center"/>
          </w:tcPr>
          <w:p w14:paraId="61015779">
            <w:pPr>
              <w:spacing w:before="60" w:beforeLines="25" w:after="60" w:afterLines="25"/>
              <w:rPr>
                <w:rFonts w:hint="eastAsia" w:asciiTheme="minorEastAsia" w:hAnsiTheme="minorEastAsia" w:eastAsiaTheme="minorEastAsia"/>
                <w:color w:val="000000"/>
                <w:szCs w:val="21"/>
              </w:rPr>
            </w:pPr>
          </w:p>
        </w:tc>
      </w:tr>
      <w:tr w14:paraId="00F3DD1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83" w:hRule="exact"/>
          <w:jc w:val="center"/>
        </w:trPr>
        <w:tc>
          <w:tcPr>
            <w:tcW w:w="803" w:type="dxa"/>
            <w:vMerge w:val="continue"/>
            <w:vAlign w:val="center"/>
          </w:tcPr>
          <w:p w14:paraId="1F97DA8B">
            <w:pPr>
              <w:spacing w:before="60" w:beforeLines="25" w:after="60" w:afterLines="25"/>
              <w:jc w:val="center"/>
              <w:rPr>
                <w:rFonts w:hint="eastAsia" w:asciiTheme="minorEastAsia" w:hAnsiTheme="minorEastAsia" w:eastAsiaTheme="minorEastAsia"/>
                <w:b/>
                <w:color w:val="000000"/>
                <w:sz w:val="24"/>
              </w:rPr>
            </w:pPr>
          </w:p>
        </w:tc>
        <w:tc>
          <w:tcPr>
            <w:tcW w:w="2903" w:type="dxa"/>
            <w:vMerge w:val="continue"/>
            <w:vAlign w:val="center"/>
          </w:tcPr>
          <w:p w14:paraId="1FA7B8ED">
            <w:pPr>
              <w:spacing w:before="60" w:beforeLines="25" w:after="60" w:afterLines="25"/>
              <w:rPr>
                <w:rFonts w:hint="eastAsia" w:asciiTheme="minorEastAsia" w:hAnsiTheme="minorEastAsia" w:eastAsiaTheme="minorEastAsia"/>
                <w:b/>
                <w:color w:val="000000"/>
                <w:sz w:val="24"/>
              </w:rPr>
            </w:pPr>
          </w:p>
        </w:tc>
        <w:tc>
          <w:tcPr>
            <w:tcW w:w="4487" w:type="dxa"/>
            <w:vAlign w:val="center"/>
          </w:tcPr>
          <w:p w14:paraId="006E18F2">
            <w:pPr>
              <w:adjustRightInd w:val="0"/>
              <w:snapToGrid w:val="0"/>
              <w:rPr>
                <w:rFonts w:hint="eastAsia" w:asciiTheme="minorEastAsia" w:hAnsiTheme="minorEastAsia" w:eastAsiaTheme="minorEastAsia"/>
                <w:color w:val="000000"/>
                <w:sz w:val="24"/>
              </w:rPr>
            </w:pPr>
            <w:r>
              <w:rPr>
                <w:rFonts w:hint="eastAsia" w:asciiTheme="minorEastAsia" w:hAnsiTheme="minorEastAsia" w:eastAsiaTheme="minorEastAsia"/>
                <w:sz w:val="24"/>
              </w:rPr>
              <w:t>基本满足工程需要</w:t>
            </w:r>
          </w:p>
        </w:tc>
        <w:tc>
          <w:tcPr>
            <w:tcW w:w="949" w:type="dxa"/>
            <w:vAlign w:val="center"/>
          </w:tcPr>
          <w:p w14:paraId="1ABF9BE9">
            <w:pPr>
              <w:spacing w:before="60" w:beforeLines="25" w:after="60" w:afterLines="25"/>
              <w:jc w:val="center"/>
              <w:rPr>
                <w:rFonts w:hint="eastAsia" w:asciiTheme="minorEastAsia" w:hAnsiTheme="minorEastAsia" w:eastAsiaTheme="minorEastAsia"/>
                <w:color w:val="000000"/>
                <w:sz w:val="24"/>
              </w:rPr>
            </w:pPr>
            <w:r>
              <w:rPr>
                <w:rFonts w:hint="eastAsia" w:asciiTheme="minorEastAsia" w:hAnsiTheme="minorEastAsia" w:eastAsiaTheme="minorEastAsia"/>
                <w:color w:val="000000"/>
                <w:sz w:val="24"/>
                <w:lang w:val="en-US" w:eastAsia="zh-CN"/>
              </w:rPr>
              <w:t>6</w:t>
            </w:r>
            <w:r>
              <w:rPr>
                <w:rFonts w:hint="eastAsia" w:asciiTheme="minorEastAsia" w:hAnsiTheme="minorEastAsia" w:eastAsiaTheme="minorEastAsia"/>
                <w:color w:val="000000"/>
                <w:sz w:val="24"/>
              </w:rPr>
              <w:t>分</w:t>
            </w:r>
          </w:p>
        </w:tc>
        <w:tc>
          <w:tcPr>
            <w:tcW w:w="889" w:type="dxa"/>
            <w:vMerge w:val="continue"/>
            <w:vAlign w:val="center"/>
          </w:tcPr>
          <w:p w14:paraId="43CD02A0">
            <w:pPr>
              <w:spacing w:before="60" w:beforeLines="25" w:after="60" w:afterLines="25"/>
              <w:jc w:val="center"/>
              <w:rPr>
                <w:rFonts w:hint="eastAsia" w:asciiTheme="minorEastAsia" w:hAnsiTheme="minorEastAsia" w:eastAsiaTheme="minorEastAsia"/>
                <w:color w:val="000000"/>
                <w:szCs w:val="21"/>
                <w:u w:val="single"/>
              </w:rPr>
            </w:pPr>
          </w:p>
        </w:tc>
        <w:tc>
          <w:tcPr>
            <w:tcW w:w="886" w:type="dxa"/>
            <w:vMerge w:val="continue"/>
            <w:vAlign w:val="center"/>
          </w:tcPr>
          <w:p w14:paraId="2AEA9652">
            <w:pPr>
              <w:spacing w:before="60" w:beforeLines="25" w:after="60" w:afterLines="25"/>
              <w:jc w:val="center"/>
              <w:rPr>
                <w:rFonts w:hint="eastAsia" w:asciiTheme="minorEastAsia" w:hAnsiTheme="minorEastAsia" w:eastAsiaTheme="minorEastAsia"/>
                <w:color w:val="000000"/>
                <w:szCs w:val="21"/>
                <w:u w:val="single"/>
              </w:rPr>
            </w:pPr>
          </w:p>
        </w:tc>
        <w:tc>
          <w:tcPr>
            <w:tcW w:w="738" w:type="dxa"/>
            <w:vMerge w:val="continue"/>
            <w:vAlign w:val="center"/>
          </w:tcPr>
          <w:p w14:paraId="04959006">
            <w:pPr>
              <w:spacing w:before="60" w:beforeLines="25" w:after="60" w:afterLines="25"/>
              <w:jc w:val="center"/>
              <w:rPr>
                <w:rFonts w:hint="eastAsia" w:asciiTheme="minorEastAsia" w:hAnsiTheme="minorEastAsia" w:eastAsiaTheme="minorEastAsia"/>
                <w:color w:val="000000"/>
                <w:szCs w:val="21"/>
                <w:u w:val="single"/>
              </w:rPr>
            </w:pPr>
          </w:p>
        </w:tc>
        <w:tc>
          <w:tcPr>
            <w:tcW w:w="737" w:type="dxa"/>
            <w:vMerge w:val="continue"/>
            <w:vAlign w:val="center"/>
          </w:tcPr>
          <w:p w14:paraId="78C2ED8C">
            <w:pPr>
              <w:spacing w:before="60" w:beforeLines="25" w:after="60" w:afterLines="25"/>
              <w:jc w:val="center"/>
              <w:rPr>
                <w:rFonts w:hint="eastAsia" w:asciiTheme="minorEastAsia" w:hAnsiTheme="minorEastAsia" w:eastAsiaTheme="minorEastAsia"/>
                <w:color w:val="000000"/>
                <w:szCs w:val="21"/>
                <w:u w:val="single"/>
              </w:rPr>
            </w:pPr>
          </w:p>
        </w:tc>
        <w:tc>
          <w:tcPr>
            <w:tcW w:w="728" w:type="dxa"/>
            <w:vMerge w:val="continue"/>
            <w:vAlign w:val="center"/>
          </w:tcPr>
          <w:p w14:paraId="69201CFA">
            <w:pPr>
              <w:spacing w:before="60" w:beforeLines="25" w:after="60" w:afterLines="25"/>
              <w:rPr>
                <w:rFonts w:hint="eastAsia" w:asciiTheme="minorEastAsia" w:hAnsiTheme="minorEastAsia" w:eastAsiaTheme="minorEastAsia"/>
                <w:b/>
                <w:color w:val="000000"/>
                <w:sz w:val="32"/>
                <w:szCs w:val="21"/>
              </w:rPr>
            </w:pPr>
          </w:p>
        </w:tc>
        <w:tc>
          <w:tcPr>
            <w:tcW w:w="611" w:type="dxa"/>
            <w:vMerge w:val="continue"/>
            <w:vAlign w:val="center"/>
          </w:tcPr>
          <w:p w14:paraId="10048C3F">
            <w:pPr>
              <w:spacing w:before="60" w:beforeLines="25" w:after="60" w:afterLines="25"/>
              <w:rPr>
                <w:rFonts w:hint="eastAsia" w:asciiTheme="minorEastAsia" w:hAnsiTheme="minorEastAsia" w:eastAsiaTheme="minorEastAsia"/>
                <w:b/>
                <w:color w:val="000000"/>
                <w:sz w:val="32"/>
                <w:szCs w:val="21"/>
              </w:rPr>
            </w:pPr>
          </w:p>
        </w:tc>
        <w:tc>
          <w:tcPr>
            <w:tcW w:w="611" w:type="dxa"/>
            <w:vMerge w:val="continue"/>
            <w:vAlign w:val="center"/>
          </w:tcPr>
          <w:p w14:paraId="1985162B">
            <w:pPr>
              <w:spacing w:before="60" w:beforeLines="25" w:after="60" w:afterLines="25"/>
              <w:rPr>
                <w:rFonts w:hint="eastAsia" w:asciiTheme="minorEastAsia" w:hAnsiTheme="minorEastAsia" w:eastAsiaTheme="minorEastAsia"/>
                <w:b/>
                <w:color w:val="000000"/>
                <w:sz w:val="32"/>
                <w:szCs w:val="21"/>
              </w:rPr>
            </w:pPr>
          </w:p>
        </w:tc>
        <w:tc>
          <w:tcPr>
            <w:tcW w:w="625" w:type="dxa"/>
            <w:vMerge w:val="continue"/>
            <w:vAlign w:val="center"/>
          </w:tcPr>
          <w:p w14:paraId="21B03BD3">
            <w:pPr>
              <w:spacing w:before="60" w:beforeLines="25" w:after="60" w:afterLines="25"/>
              <w:rPr>
                <w:rFonts w:hint="eastAsia" w:asciiTheme="minorEastAsia" w:hAnsiTheme="minorEastAsia" w:eastAsiaTheme="minorEastAsia"/>
                <w:b/>
                <w:color w:val="000000"/>
                <w:sz w:val="32"/>
                <w:szCs w:val="21"/>
              </w:rPr>
            </w:pPr>
          </w:p>
        </w:tc>
      </w:tr>
      <w:tr w14:paraId="3B03F38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83" w:hRule="exact"/>
          <w:jc w:val="center"/>
        </w:trPr>
        <w:tc>
          <w:tcPr>
            <w:tcW w:w="803" w:type="dxa"/>
            <w:vMerge w:val="continue"/>
            <w:vAlign w:val="center"/>
          </w:tcPr>
          <w:p w14:paraId="2675106C">
            <w:pPr>
              <w:spacing w:before="60" w:beforeLines="25" w:after="60" w:afterLines="25"/>
              <w:jc w:val="center"/>
              <w:rPr>
                <w:rFonts w:hint="eastAsia" w:asciiTheme="minorEastAsia" w:hAnsiTheme="minorEastAsia" w:eastAsiaTheme="minorEastAsia"/>
                <w:b/>
                <w:color w:val="000000"/>
                <w:sz w:val="24"/>
              </w:rPr>
            </w:pPr>
          </w:p>
        </w:tc>
        <w:tc>
          <w:tcPr>
            <w:tcW w:w="2903" w:type="dxa"/>
            <w:vMerge w:val="continue"/>
            <w:vAlign w:val="center"/>
          </w:tcPr>
          <w:p w14:paraId="7403D600">
            <w:pPr>
              <w:spacing w:before="60" w:beforeLines="25" w:after="60" w:afterLines="25"/>
              <w:rPr>
                <w:rFonts w:hint="eastAsia" w:asciiTheme="minorEastAsia" w:hAnsiTheme="minorEastAsia" w:eastAsiaTheme="minorEastAsia"/>
                <w:b/>
                <w:color w:val="000000"/>
                <w:sz w:val="24"/>
              </w:rPr>
            </w:pPr>
          </w:p>
        </w:tc>
        <w:tc>
          <w:tcPr>
            <w:tcW w:w="4487" w:type="dxa"/>
            <w:vAlign w:val="center"/>
          </w:tcPr>
          <w:p w14:paraId="5235B061">
            <w:pPr>
              <w:adjustRightInd w:val="0"/>
              <w:snapToGrid w:val="0"/>
              <w:rPr>
                <w:rFonts w:hint="eastAsia" w:asciiTheme="minorEastAsia" w:hAnsiTheme="minorEastAsia" w:eastAsiaTheme="minorEastAsia"/>
                <w:color w:val="000000"/>
                <w:sz w:val="24"/>
              </w:rPr>
            </w:pPr>
            <w:r>
              <w:rPr>
                <w:rFonts w:hint="eastAsia" w:asciiTheme="minorEastAsia" w:hAnsiTheme="minorEastAsia" w:eastAsiaTheme="minorEastAsia"/>
                <w:sz w:val="24"/>
              </w:rPr>
              <w:t>欠合理，可行性差</w:t>
            </w:r>
          </w:p>
        </w:tc>
        <w:tc>
          <w:tcPr>
            <w:tcW w:w="949" w:type="dxa"/>
            <w:vAlign w:val="center"/>
          </w:tcPr>
          <w:p w14:paraId="70BC4A88">
            <w:pPr>
              <w:spacing w:before="60" w:beforeLines="25" w:after="60" w:afterLines="25"/>
              <w:jc w:val="center"/>
              <w:rPr>
                <w:rFonts w:hint="eastAsia" w:asciiTheme="minorEastAsia" w:hAnsiTheme="minorEastAsia" w:eastAsiaTheme="minorEastAsia"/>
                <w:color w:val="000000"/>
                <w:sz w:val="24"/>
                <w:u w:val="single"/>
              </w:rPr>
            </w:pPr>
            <w:r>
              <w:rPr>
                <w:rFonts w:hint="eastAsia" w:asciiTheme="minorEastAsia" w:hAnsiTheme="minorEastAsia" w:eastAsiaTheme="minorEastAsia"/>
                <w:color w:val="000000"/>
                <w:sz w:val="24"/>
                <w:lang w:val="en-US" w:eastAsia="zh-CN"/>
              </w:rPr>
              <w:t>1</w:t>
            </w:r>
            <w:r>
              <w:rPr>
                <w:rFonts w:hint="eastAsia" w:asciiTheme="minorEastAsia" w:hAnsiTheme="minorEastAsia" w:eastAsiaTheme="minorEastAsia"/>
                <w:color w:val="000000"/>
                <w:sz w:val="24"/>
              </w:rPr>
              <w:t>分</w:t>
            </w:r>
          </w:p>
        </w:tc>
        <w:tc>
          <w:tcPr>
            <w:tcW w:w="889" w:type="dxa"/>
            <w:vMerge w:val="continue"/>
            <w:vAlign w:val="center"/>
          </w:tcPr>
          <w:p w14:paraId="028446AF">
            <w:pPr>
              <w:spacing w:before="60" w:beforeLines="25" w:after="60" w:afterLines="25"/>
              <w:jc w:val="center"/>
              <w:rPr>
                <w:rFonts w:hint="eastAsia" w:asciiTheme="minorEastAsia" w:hAnsiTheme="minorEastAsia" w:eastAsiaTheme="minorEastAsia"/>
                <w:color w:val="000000"/>
                <w:szCs w:val="21"/>
                <w:u w:val="single"/>
              </w:rPr>
            </w:pPr>
          </w:p>
        </w:tc>
        <w:tc>
          <w:tcPr>
            <w:tcW w:w="886" w:type="dxa"/>
            <w:vMerge w:val="continue"/>
            <w:vAlign w:val="center"/>
          </w:tcPr>
          <w:p w14:paraId="2798640B">
            <w:pPr>
              <w:spacing w:before="60" w:beforeLines="25" w:after="60" w:afterLines="25"/>
              <w:jc w:val="center"/>
              <w:rPr>
                <w:rFonts w:hint="eastAsia" w:asciiTheme="minorEastAsia" w:hAnsiTheme="minorEastAsia" w:eastAsiaTheme="minorEastAsia"/>
                <w:color w:val="000000"/>
                <w:szCs w:val="21"/>
                <w:u w:val="single"/>
              </w:rPr>
            </w:pPr>
          </w:p>
        </w:tc>
        <w:tc>
          <w:tcPr>
            <w:tcW w:w="738" w:type="dxa"/>
            <w:vMerge w:val="continue"/>
            <w:vAlign w:val="center"/>
          </w:tcPr>
          <w:p w14:paraId="1C42C3E1">
            <w:pPr>
              <w:spacing w:before="60" w:beforeLines="25" w:after="60" w:afterLines="25"/>
              <w:jc w:val="center"/>
              <w:rPr>
                <w:rFonts w:hint="eastAsia" w:asciiTheme="minorEastAsia" w:hAnsiTheme="minorEastAsia" w:eastAsiaTheme="minorEastAsia"/>
                <w:color w:val="000000"/>
                <w:szCs w:val="21"/>
                <w:u w:val="single"/>
              </w:rPr>
            </w:pPr>
          </w:p>
        </w:tc>
        <w:tc>
          <w:tcPr>
            <w:tcW w:w="737" w:type="dxa"/>
            <w:vMerge w:val="continue"/>
            <w:vAlign w:val="center"/>
          </w:tcPr>
          <w:p w14:paraId="48615CF7">
            <w:pPr>
              <w:spacing w:before="60" w:beforeLines="25" w:after="60" w:afterLines="25"/>
              <w:jc w:val="center"/>
              <w:rPr>
                <w:rFonts w:hint="eastAsia" w:asciiTheme="minorEastAsia" w:hAnsiTheme="minorEastAsia" w:eastAsiaTheme="minorEastAsia"/>
                <w:color w:val="000000"/>
                <w:szCs w:val="21"/>
                <w:u w:val="single"/>
              </w:rPr>
            </w:pPr>
          </w:p>
        </w:tc>
        <w:tc>
          <w:tcPr>
            <w:tcW w:w="728" w:type="dxa"/>
            <w:vMerge w:val="continue"/>
            <w:vAlign w:val="center"/>
          </w:tcPr>
          <w:p w14:paraId="5A383B7B">
            <w:pPr>
              <w:spacing w:before="60" w:beforeLines="25" w:after="60" w:afterLines="25"/>
              <w:rPr>
                <w:rFonts w:hint="eastAsia" w:asciiTheme="minorEastAsia" w:hAnsiTheme="minorEastAsia" w:eastAsiaTheme="minorEastAsia"/>
                <w:b/>
                <w:color w:val="000000"/>
                <w:sz w:val="32"/>
                <w:szCs w:val="21"/>
              </w:rPr>
            </w:pPr>
          </w:p>
        </w:tc>
        <w:tc>
          <w:tcPr>
            <w:tcW w:w="611" w:type="dxa"/>
            <w:vMerge w:val="continue"/>
            <w:vAlign w:val="center"/>
          </w:tcPr>
          <w:p w14:paraId="3A4ED006">
            <w:pPr>
              <w:spacing w:before="60" w:beforeLines="25" w:after="60" w:afterLines="25"/>
              <w:rPr>
                <w:rFonts w:hint="eastAsia" w:asciiTheme="minorEastAsia" w:hAnsiTheme="minorEastAsia" w:eastAsiaTheme="minorEastAsia"/>
                <w:b/>
                <w:color w:val="000000"/>
                <w:sz w:val="32"/>
                <w:szCs w:val="21"/>
              </w:rPr>
            </w:pPr>
          </w:p>
        </w:tc>
        <w:tc>
          <w:tcPr>
            <w:tcW w:w="611" w:type="dxa"/>
            <w:vMerge w:val="continue"/>
            <w:vAlign w:val="center"/>
          </w:tcPr>
          <w:p w14:paraId="7C8F570F">
            <w:pPr>
              <w:spacing w:before="60" w:beforeLines="25" w:after="60" w:afterLines="25"/>
              <w:rPr>
                <w:rFonts w:hint="eastAsia" w:asciiTheme="minorEastAsia" w:hAnsiTheme="minorEastAsia" w:eastAsiaTheme="minorEastAsia"/>
                <w:b/>
                <w:color w:val="000000"/>
                <w:sz w:val="32"/>
                <w:szCs w:val="21"/>
              </w:rPr>
            </w:pPr>
          </w:p>
        </w:tc>
        <w:tc>
          <w:tcPr>
            <w:tcW w:w="625" w:type="dxa"/>
            <w:vMerge w:val="continue"/>
            <w:vAlign w:val="center"/>
          </w:tcPr>
          <w:p w14:paraId="220BD555">
            <w:pPr>
              <w:spacing w:before="60" w:beforeLines="25" w:after="60" w:afterLines="25"/>
              <w:rPr>
                <w:rFonts w:hint="eastAsia" w:asciiTheme="minorEastAsia" w:hAnsiTheme="minorEastAsia" w:eastAsiaTheme="minorEastAsia"/>
                <w:b/>
                <w:color w:val="000000"/>
                <w:sz w:val="32"/>
                <w:szCs w:val="21"/>
              </w:rPr>
            </w:pPr>
          </w:p>
        </w:tc>
      </w:tr>
      <w:tr w14:paraId="4193771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83" w:hRule="exact"/>
          <w:jc w:val="center"/>
        </w:trPr>
        <w:tc>
          <w:tcPr>
            <w:tcW w:w="803" w:type="dxa"/>
            <w:vMerge w:val="continue"/>
            <w:vAlign w:val="center"/>
          </w:tcPr>
          <w:p w14:paraId="21A226C3">
            <w:pPr>
              <w:spacing w:before="60" w:beforeLines="25" w:after="60" w:afterLines="25"/>
              <w:jc w:val="center"/>
              <w:rPr>
                <w:rFonts w:hint="eastAsia" w:asciiTheme="minorEastAsia" w:hAnsiTheme="minorEastAsia" w:eastAsiaTheme="minorEastAsia"/>
                <w:b/>
                <w:color w:val="000000"/>
                <w:sz w:val="24"/>
              </w:rPr>
            </w:pPr>
          </w:p>
        </w:tc>
        <w:tc>
          <w:tcPr>
            <w:tcW w:w="2903" w:type="dxa"/>
            <w:vMerge w:val="continue"/>
            <w:vAlign w:val="center"/>
          </w:tcPr>
          <w:p w14:paraId="64B5BA77">
            <w:pPr>
              <w:spacing w:before="60" w:beforeLines="25" w:after="60" w:afterLines="25"/>
              <w:rPr>
                <w:rFonts w:hint="eastAsia" w:asciiTheme="minorEastAsia" w:hAnsiTheme="minorEastAsia" w:eastAsiaTheme="minorEastAsia"/>
                <w:b/>
                <w:color w:val="000000"/>
                <w:sz w:val="24"/>
              </w:rPr>
            </w:pPr>
          </w:p>
        </w:tc>
        <w:tc>
          <w:tcPr>
            <w:tcW w:w="4487" w:type="dxa"/>
            <w:vAlign w:val="center"/>
          </w:tcPr>
          <w:p w14:paraId="2ABF46D7">
            <w:pPr>
              <w:adjustRightInd w:val="0"/>
              <w:snapToGrid w:val="0"/>
              <w:rPr>
                <w:rFonts w:hint="eastAsia" w:asciiTheme="minorEastAsia" w:hAnsiTheme="minorEastAsia" w:eastAsiaTheme="minorEastAsia"/>
                <w:color w:val="000000"/>
                <w:sz w:val="24"/>
              </w:rPr>
            </w:pPr>
            <w:r>
              <w:rPr>
                <w:rFonts w:hint="eastAsia" w:asciiTheme="minorEastAsia" w:hAnsiTheme="minorEastAsia" w:eastAsiaTheme="minorEastAsia"/>
                <w:sz w:val="24"/>
              </w:rPr>
              <w:t>未提供</w:t>
            </w:r>
          </w:p>
        </w:tc>
        <w:tc>
          <w:tcPr>
            <w:tcW w:w="949" w:type="dxa"/>
            <w:vAlign w:val="center"/>
          </w:tcPr>
          <w:p w14:paraId="070D7742">
            <w:pPr>
              <w:spacing w:before="60" w:beforeLines="25" w:after="60" w:afterLines="25"/>
              <w:jc w:val="center"/>
              <w:rPr>
                <w:rFonts w:hint="eastAsia" w:asciiTheme="minorEastAsia" w:hAnsiTheme="minorEastAsia" w:eastAsiaTheme="minorEastAsia"/>
                <w:color w:val="000000"/>
                <w:sz w:val="24"/>
              </w:rPr>
            </w:pPr>
            <w:r>
              <w:rPr>
                <w:rFonts w:asciiTheme="minorEastAsia" w:hAnsiTheme="minorEastAsia" w:eastAsiaTheme="minorEastAsia"/>
                <w:color w:val="000000"/>
                <w:sz w:val="24"/>
              </w:rPr>
              <w:t>0</w:t>
            </w:r>
            <w:r>
              <w:rPr>
                <w:rFonts w:hint="eastAsia" w:asciiTheme="minorEastAsia" w:hAnsiTheme="minorEastAsia" w:eastAsiaTheme="minorEastAsia"/>
                <w:color w:val="000000"/>
                <w:sz w:val="24"/>
              </w:rPr>
              <w:t>分</w:t>
            </w:r>
          </w:p>
        </w:tc>
        <w:tc>
          <w:tcPr>
            <w:tcW w:w="889" w:type="dxa"/>
            <w:vMerge w:val="continue"/>
            <w:vAlign w:val="center"/>
          </w:tcPr>
          <w:p w14:paraId="2AA4C797">
            <w:pPr>
              <w:spacing w:before="60" w:beforeLines="25" w:after="60" w:afterLines="25"/>
              <w:jc w:val="center"/>
              <w:rPr>
                <w:rFonts w:hint="eastAsia" w:asciiTheme="minorEastAsia" w:hAnsiTheme="minorEastAsia" w:eastAsiaTheme="minorEastAsia"/>
                <w:color w:val="000000"/>
                <w:szCs w:val="21"/>
                <w:u w:val="single"/>
              </w:rPr>
            </w:pPr>
          </w:p>
        </w:tc>
        <w:tc>
          <w:tcPr>
            <w:tcW w:w="886" w:type="dxa"/>
            <w:vMerge w:val="continue"/>
            <w:vAlign w:val="center"/>
          </w:tcPr>
          <w:p w14:paraId="0E89B091">
            <w:pPr>
              <w:spacing w:before="60" w:beforeLines="25" w:after="60" w:afterLines="25"/>
              <w:jc w:val="center"/>
              <w:rPr>
                <w:rFonts w:hint="eastAsia" w:asciiTheme="minorEastAsia" w:hAnsiTheme="minorEastAsia" w:eastAsiaTheme="minorEastAsia"/>
                <w:color w:val="000000"/>
                <w:szCs w:val="21"/>
                <w:u w:val="single"/>
              </w:rPr>
            </w:pPr>
          </w:p>
        </w:tc>
        <w:tc>
          <w:tcPr>
            <w:tcW w:w="738" w:type="dxa"/>
            <w:vMerge w:val="continue"/>
            <w:vAlign w:val="center"/>
          </w:tcPr>
          <w:p w14:paraId="534773CE">
            <w:pPr>
              <w:spacing w:before="60" w:beforeLines="25" w:after="60" w:afterLines="25"/>
              <w:jc w:val="center"/>
              <w:rPr>
                <w:rFonts w:hint="eastAsia" w:asciiTheme="minorEastAsia" w:hAnsiTheme="minorEastAsia" w:eastAsiaTheme="minorEastAsia"/>
                <w:color w:val="000000"/>
                <w:szCs w:val="21"/>
                <w:u w:val="single"/>
              </w:rPr>
            </w:pPr>
          </w:p>
        </w:tc>
        <w:tc>
          <w:tcPr>
            <w:tcW w:w="737" w:type="dxa"/>
            <w:vMerge w:val="continue"/>
            <w:vAlign w:val="center"/>
          </w:tcPr>
          <w:p w14:paraId="77328A76">
            <w:pPr>
              <w:spacing w:before="60" w:beforeLines="25" w:after="60" w:afterLines="25"/>
              <w:jc w:val="center"/>
              <w:rPr>
                <w:rFonts w:hint="eastAsia" w:asciiTheme="minorEastAsia" w:hAnsiTheme="minorEastAsia" w:eastAsiaTheme="minorEastAsia"/>
                <w:color w:val="000000"/>
                <w:szCs w:val="21"/>
                <w:u w:val="single"/>
              </w:rPr>
            </w:pPr>
          </w:p>
        </w:tc>
        <w:tc>
          <w:tcPr>
            <w:tcW w:w="728" w:type="dxa"/>
            <w:vMerge w:val="continue"/>
            <w:vAlign w:val="center"/>
          </w:tcPr>
          <w:p w14:paraId="68F6CEE5">
            <w:pPr>
              <w:spacing w:before="60" w:beforeLines="25" w:after="60" w:afterLines="25"/>
              <w:rPr>
                <w:rFonts w:hint="eastAsia" w:asciiTheme="minorEastAsia" w:hAnsiTheme="minorEastAsia" w:eastAsiaTheme="minorEastAsia"/>
                <w:b/>
                <w:color w:val="000000"/>
                <w:sz w:val="32"/>
                <w:szCs w:val="21"/>
              </w:rPr>
            </w:pPr>
          </w:p>
        </w:tc>
        <w:tc>
          <w:tcPr>
            <w:tcW w:w="611" w:type="dxa"/>
            <w:vMerge w:val="continue"/>
            <w:vAlign w:val="center"/>
          </w:tcPr>
          <w:p w14:paraId="5F6C151C">
            <w:pPr>
              <w:spacing w:before="60" w:beforeLines="25" w:after="60" w:afterLines="25"/>
              <w:rPr>
                <w:rFonts w:hint="eastAsia" w:asciiTheme="minorEastAsia" w:hAnsiTheme="minorEastAsia" w:eastAsiaTheme="minorEastAsia"/>
                <w:b/>
                <w:color w:val="000000"/>
                <w:sz w:val="32"/>
                <w:szCs w:val="21"/>
              </w:rPr>
            </w:pPr>
          </w:p>
        </w:tc>
        <w:tc>
          <w:tcPr>
            <w:tcW w:w="611" w:type="dxa"/>
            <w:vMerge w:val="continue"/>
            <w:vAlign w:val="center"/>
          </w:tcPr>
          <w:p w14:paraId="5072BEEB">
            <w:pPr>
              <w:spacing w:before="60" w:beforeLines="25" w:after="60" w:afterLines="25"/>
              <w:rPr>
                <w:rFonts w:hint="eastAsia" w:asciiTheme="minorEastAsia" w:hAnsiTheme="minorEastAsia" w:eastAsiaTheme="minorEastAsia"/>
                <w:b/>
                <w:color w:val="000000"/>
                <w:sz w:val="32"/>
                <w:szCs w:val="21"/>
              </w:rPr>
            </w:pPr>
          </w:p>
        </w:tc>
        <w:tc>
          <w:tcPr>
            <w:tcW w:w="625" w:type="dxa"/>
            <w:vMerge w:val="continue"/>
            <w:vAlign w:val="center"/>
          </w:tcPr>
          <w:p w14:paraId="5D131EDA">
            <w:pPr>
              <w:spacing w:before="60" w:beforeLines="25" w:after="60" w:afterLines="25"/>
              <w:rPr>
                <w:rFonts w:hint="eastAsia" w:asciiTheme="minorEastAsia" w:hAnsiTheme="minorEastAsia" w:eastAsiaTheme="minorEastAsia"/>
                <w:b/>
                <w:color w:val="000000"/>
                <w:sz w:val="32"/>
                <w:szCs w:val="21"/>
              </w:rPr>
            </w:pPr>
          </w:p>
        </w:tc>
      </w:tr>
      <w:tr w14:paraId="2997A73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83" w:hRule="exact"/>
          <w:jc w:val="center"/>
        </w:trPr>
        <w:tc>
          <w:tcPr>
            <w:tcW w:w="803" w:type="dxa"/>
            <w:vMerge w:val="restart"/>
            <w:vAlign w:val="center"/>
          </w:tcPr>
          <w:p w14:paraId="514CD51F">
            <w:pPr>
              <w:spacing w:before="60" w:beforeLines="25" w:after="60" w:afterLines="25"/>
              <w:jc w:val="center"/>
              <w:rPr>
                <w:rFonts w:hint="eastAsia" w:asciiTheme="minorEastAsia" w:hAnsiTheme="minorEastAsia" w:eastAsiaTheme="minorEastAsia"/>
                <w:color w:val="000000"/>
                <w:sz w:val="24"/>
              </w:rPr>
            </w:pPr>
            <w:r>
              <w:rPr>
                <w:rFonts w:hint="eastAsia" w:asciiTheme="minorEastAsia" w:hAnsiTheme="minorEastAsia" w:eastAsiaTheme="minorEastAsia"/>
                <w:color w:val="000000"/>
                <w:sz w:val="24"/>
              </w:rPr>
              <w:t>2</w:t>
            </w:r>
          </w:p>
        </w:tc>
        <w:tc>
          <w:tcPr>
            <w:tcW w:w="2903" w:type="dxa"/>
            <w:vMerge w:val="restart"/>
            <w:vAlign w:val="center"/>
          </w:tcPr>
          <w:p w14:paraId="0B98D457">
            <w:pPr>
              <w:spacing w:before="60" w:beforeLines="25" w:after="60" w:afterLines="25"/>
              <w:jc w:val="center"/>
              <w:rPr>
                <w:rFonts w:hint="eastAsia" w:asciiTheme="minorEastAsia" w:hAnsiTheme="minorEastAsia" w:eastAsiaTheme="minorEastAsia"/>
                <w:color w:val="000000"/>
                <w:sz w:val="24"/>
              </w:rPr>
            </w:pPr>
            <w:r>
              <w:rPr>
                <w:rFonts w:hint="eastAsia" w:asciiTheme="minorEastAsia" w:hAnsiTheme="minorEastAsia" w:eastAsiaTheme="minorEastAsia"/>
                <w:color w:val="000000"/>
                <w:sz w:val="24"/>
              </w:rPr>
              <w:t>质量管理体系</w:t>
            </w:r>
          </w:p>
          <w:p w14:paraId="0116CB6D">
            <w:pPr>
              <w:spacing w:before="60" w:beforeLines="25" w:after="60" w:afterLines="25"/>
              <w:jc w:val="center"/>
              <w:rPr>
                <w:rFonts w:hint="eastAsia" w:asciiTheme="minorEastAsia" w:hAnsiTheme="minorEastAsia" w:eastAsiaTheme="minorEastAsia"/>
                <w:color w:val="000000"/>
                <w:sz w:val="24"/>
              </w:rPr>
            </w:pPr>
            <w:r>
              <w:rPr>
                <w:rFonts w:hint="eastAsia" w:asciiTheme="minorEastAsia" w:hAnsiTheme="minorEastAsia" w:eastAsiaTheme="minorEastAsia"/>
                <w:color w:val="000000"/>
                <w:sz w:val="24"/>
              </w:rPr>
              <w:t>与保证措施</w:t>
            </w:r>
          </w:p>
        </w:tc>
        <w:tc>
          <w:tcPr>
            <w:tcW w:w="4487" w:type="dxa"/>
            <w:vAlign w:val="center"/>
          </w:tcPr>
          <w:p w14:paraId="6286C274">
            <w:pPr>
              <w:rPr>
                <w:rFonts w:hint="eastAsia" w:asciiTheme="minorEastAsia" w:hAnsiTheme="minorEastAsia" w:eastAsiaTheme="minorEastAsia"/>
                <w:color w:val="000000"/>
                <w:sz w:val="24"/>
              </w:rPr>
            </w:pPr>
            <w:r>
              <w:rPr>
                <w:rFonts w:hint="eastAsia" w:asciiTheme="minorEastAsia" w:hAnsiTheme="minorEastAsia" w:eastAsiaTheme="minorEastAsia"/>
                <w:sz w:val="24"/>
              </w:rPr>
              <w:t>科学、合理、可行、针对性强</w:t>
            </w:r>
          </w:p>
        </w:tc>
        <w:tc>
          <w:tcPr>
            <w:tcW w:w="949" w:type="dxa"/>
            <w:vAlign w:val="center"/>
          </w:tcPr>
          <w:p w14:paraId="66DEBC46">
            <w:pPr>
              <w:spacing w:before="60" w:beforeLines="25" w:after="60" w:afterLines="25"/>
              <w:jc w:val="center"/>
              <w:rPr>
                <w:rFonts w:hint="eastAsia" w:asciiTheme="minorEastAsia" w:hAnsiTheme="minorEastAsia" w:eastAsiaTheme="minorEastAsia"/>
                <w:color w:val="000000"/>
                <w:sz w:val="24"/>
              </w:rPr>
            </w:pPr>
            <w:r>
              <w:rPr>
                <w:rFonts w:hint="eastAsia" w:asciiTheme="minorEastAsia" w:hAnsiTheme="minorEastAsia" w:eastAsiaTheme="minorEastAsia"/>
                <w:color w:val="000000"/>
                <w:sz w:val="24"/>
                <w:lang w:val="en-US" w:eastAsia="zh-CN"/>
              </w:rPr>
              <w:t>10</w:t>
            </w:r>
            <w:r>
              <w:rPr>
                <w:rFonts w:hint="eastAsia" w:asciiTheme="minorEastAsia" w:hAnsiTheme="minorEastAsia" w:eastAsiaTheme="minorEastAsia"/>
                <w:color w:val="000000"/>
                <w:sz w:val="24"/>
              </w:rPr>
              <w:t>分</w:t>
            </w:r>
          </w:p>
        </w:tc>
        <w:tc>
          <w:tcPr>
            <w:tcW w:w="889" w:type="dxa"/>
            <w:vMerge w:val="restart"/>
            <w:vAlign w:val="center"/>
          </w:tcPr>
          <w:p w14:paraId="09E9B076">
            <w:pPr>
              <w:spacing w:before="60" w:beforeLines="25" w:after="60" w:afterLines="25"/>
              <w:jc w:val="center"/>
              <w:rPr>
                <w:rFonts w:hint="eastAsia" w:asciiTheme="minorEastAsia" w:hAnsiTheme="minorEastAsia" w:eastAsiaTheme="minorEastAsia"/>
                <w:color w:val="000000"/>
                <w:szCs w:val="21"/>
              </w:rPr>
            </w:pPr>
            <w:r>
              <w:rPr>
                <w:rFonts w:hint="eastAsia" w:asciiTheme="minorEastAsia" w:hAnsiTheme="minorEastAsia" w:eastAsiaTheme="minorEastAsia"/>
                <w:color w:val="000000"/>
                <w:sz w:val="24"/>
                <w:szCs w:val="21"/>
                <w:lang w:val="en-US" w:eastAsia="zh-CN"/>
              </w:rPr>
              <w:t>10</w:t>
            </w:r>
            <w:r>
              <w:rPr>
                <w:rFonts w:hint="eastAsia" w:asciiTheme="minorEastAsia" w:hAnsiTheme="minorEastAsia" w:eastAsiaTheme="minorEastAsia"/>
                <w:color w:val="000000"/>
                <w:sz w:val="24"/>
                <w:szCs w:val="21"/>
              </w:rPr>
              <w:t>分</w:t>
            </w:r>
          </w:p>
        </w:tc>
        <w:tc>
          <w:tcPr>
            <w:tcW w:w="886" w:type="dxa"/>
            <w:vMerge w:val="restart"/>
            <w:vAlign w:val="center"/>
          </w:tcPr>
          <w:p w14:paraId="652348FA">
            <w:pPr>
              <w:spacing w:before="60" w:beforeLines="25" w:after="60" w:afterLines="25"/>
              <w:jc w:val="center"/>
              <w:rPr>
                <w:rFonts w:hint="eastAsia" w:asciiTheme="minorEastAsia" w:hAnsiTheme="minorEastAsia" w:eastAsiaTheme="minorEastAsia"/>
                <w:color w:val="000000"/>
                <w:szCs w:val="21"/>
              </w:rPr>
            </w:pPr>
          </w:p>
        </w:tc>
        <w:tc>
          <w:tcPr>
            <w:tcW w:w="738" w:type="dxa"/>
            <w:vMerge w:val="restart"/>
            <w:vAlign w:val="center"/>
          </w:tcPr>
          <w:p w14:paraId="15B37BCF">
            <w:pPr>
              <w:spacing w:before="60" w:beforeLines="25" w:after="60" w:afterLines="25"/>
              <w:jc w:val="center"/>
              <w:rPr>
                <w:rFonts w:hint="eastAsia" w:asciiTheme="minorEastAsia" w:hAnsiTheme="minorEastAsia" w:eastAsiaTheme="minorEastAsia"/>
                <w:color w:val="000000"/>
                <w:szCs w:val="21"/>
              </w:rPr>
            </w:pPr>
          </w:p>
        </w:tc>
        <w:tc>
          <w:tcPr>
            <w:tcW w:w="737" w:type="dxa"/>
            <w:vMerge w:val="restart"/>
            <w:vAlign w:val="center"/>
          </w:tcPr>
          <w:p w14:paraId="21A177A3">
            <w:pPr>
              <w:spacing w:before="60" w:beforeLines="25" w:after="60" w:afterLines="25"/>
              <w:jc w:val="center"/>
              <w:rPr>
                <w:rFonts w:hint="eastAsia" w:asciiTheme="minorEastAsia" w:hAnsiTheme="minorEastAsia" w:eastAsiaTheme="minorEastAsia"/>
                <w:color w:val="000000"/>
                <w:szCs w:val="21"/>
              </w:rPr>
            </w:pPr>
          </w:p>
        </w:tc>
        <w:tc>
          <w:tcPr>
            <w:tcW w:w="728" w:type="dxa"/>
            <w:vMerge w:val="restart"/>
            <w:vAlign w:val="center"/>
          </w:tcPr>
          <w:p w14:paraId="4A776DF9">
            <w:pPr>
              <w:spacing w:before="60" w:beforeLines="25" w:after="60" w:afterLines="25"/>
              <w:rPr>
                <w:rFonts w:hint="eastAsia" w:asciiTheme="minorEastAsia" w:hAnsiTheme="minorEastAsia" w:eastAsiaTheme="minorEastAsia"/>
                <w:color w:val="000000"/>
                <w:szCs w:val="21"/>
              </w:rPr>
            </w:pPr>
          </w:p>
        </w:tc>
        <w:tc>
          <w:tcPr>
            <w:tcW w:w="611" w:type="dxa"/>
            <w:vMerge w:val="restart"/>
            <w:vAlign w:val="center"/>
          </w:tcPr>
          <w:p w14:paraId="62C2C76A">
            <w:pPr>
              <w:spacing w:before="60" w:beforeLines="25" w:after="60" w:afterLines="25"/>
              <w:rPr>
                <w:rFonts w:hint="eastAsia" w:asciiTheme="minorEastAsia" w:hAnsiTheme="minorEastAsia" w:eastAsiaTheme="minorEastAsia"/>
                <w:color w:val="000000"/>
                <w:szCs w:val="21"/>
              </w:rPr>
            </w:pPr>
          </w:p>
        </w:tc>
        <w:tc>
          <w:tcPr>
            <w:tcW w:w="611" w:type="dxa"/>
            <w:vMerge w:val="restart"/>
            <w:vAlign w:val="center"/>
          </w:tcPr>
          <w:p w14:paraId="6569252B">
            <w:pPr>
              <w:spacing w:before="60" w:beforeLines="25" w:after="60" w:afterLines="25"/>
              <w:rPr>
                <w:rFonts w:hint="eastAsia" w:asciiTheme="minorEastAsia" w:hAnsiTheme="minorEastAsia" w:eastAsiaTheme="minorEastAsia"/>
                <w:color w:val="000000"/>
                <w:szCs w:val="21"/>
              </w:rPr>
            </w:pPr>
          </w:p>
        </w:tc>
        <w:tc>
          <w:tcPr>
            <w:tcW w:w="625" w:type="dxa"/>
            <w:vMerge w:val="restart"/>
            <w:vAlign w:val="center"/>
          </w:tcPr>
          <w:p w14:paraId="0DC3BF89">
            <w:pPr>
              <w:spacing w:before="60" w:beforeLines="25" w:after="60" w:afterLines="25"/>
              <w:rPr>
                <w:rFonts w:hint="eastAsia" w:asciiTheme="minorEastAsia" w:hAnsiTheme="minorEastAsia" w:eastAsiaTheme="minorEastAsia"/>
                <w:color w:val="000000"/>
                <w:szCs w:val="21"/>
              </w:rPr>
            </w:pPr>
          </w:p>
        </w:tc>
      </w:tr>
      <w:tr w14:paraId="1104725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83" w:hRule="exact"/>
          <w:jc w:val="center"/>
        </w:trPr>
        <w:tc>
          <w:tcPr>
            <w:tcW w:w="803" w:type="dxa"/>
            <w:vMerge w:val="continue"/>
            <w:vAlign w:val="center"/>
          </w:tcPr>
          <w:p w14:paraId="39F7990A">
            <w:pPr>
              <w:spacing w:before="60" w:beforeLines="25" w:after="60" w:afterLines="25"/>
              <w:jc w:val="center"/>
              <w:rPr>
                <w:rFonts w:hint="eastAsia" w:asciiTheme="minorEastAsia" w:hAnsiTheme="minorEastAsia" w:eastAsiaTheme="minorEastAsia"/>
                <w:b/>
                <w:color w:val="000000"/>
                <w:sz w:val="24"/>
              </w:rPr>
            </w:pPr>
          </w:p>
        </w:tc>
        <w:tc>
          <w:tcPr>
            <w:tcW w:w="2903" w:type="dxa"/>
            <w:vMerge w:val="continue"/>
            <w:vAlign w:val="center"/>
          </w:tcPr>
          <w:p w14:paraId="6AB6F237">
            <w:pPr>
              <w:spacing w:before="60" w:beforeLines="25" w:after="60" w:afterLines="25"/>
              <w:rPr>
                <w:rFonts w:hint="eastAsia" w:asciiTheme="minorEastAsia" w:hAnsiTheme="minorEastAsia" w:eastAsiaTheme="minorEastAsia"/>
                <w:b/>
                <w:color w:val="000000"/>
                <w:sz w:val="24"/>
              </w:rPr>
            </w:pPr>
          </w:p>
        </w:tc>
        <w:tc>
          <w:tcPr>
            <w:tcW w:w="4487" w:type="dxa"/>
            <w:vAlign w:val="center"/>
          </w:tcPr>
          <w:p w14:paraId="0777232B">
            <w:pPr>
              <w:rPr>
                <w:rFonts w:hint="eastAsia" w:asciiTheme="minorEastAsia" w:hAnsiTheme="minorEastAsia" w:eastAsiaTheme="minorEastAsia"/>
                <w:color w:val="000000"/>
                <w:sz w:val="24"/>
              </w:rPr>
            </w:pPr>
            <w:r>
              <w:rPr>
                <w:rFonts w:hint="eastAsia" w:asciiTheme="minorEastAsia" w:hAnsiTheme="minorEastAsia" w:eastAsiaTheme="minorEastAsia"/>
                <w:sz w:val="24"/>
              </w:rPr>
              <w:t>合理、可行、细节待完善</w:t>
            </w:r>
          </w:p>
        </w:tc>
        <w:tc>
          <w:tcPr>
            <w:tcW w:w="949" w:type="dxa"/>
            <w:vAlign w:val="center"/>
          </w:tcPr>
          <w:p w14:paraId="008CCD6A">
            <w:pPr>
              <w:spacing w:before="60" w:beforeLines="25" w:after="60" w:afterLines="25"/>
              <w:jc w:val="center"/>
              <w:rPr>
                <w:rFonts w:hint="eastAsia" w:asciiTheme="minorEastAsia" w:hAnsiTheme="minorEastAsia" w:eastAsiaTheme="minorEastAsia"/>
                <w:color w:val="000000"/>
                <w:sz w:val="24"/>
                <w:u w:val="single"/>
              </w:rPr>
            </w:pPr>
            <w:r>
              <w:rPr>
                <w:rFonts w:hint="eastAsia" w:asciiTheme="minorEastAsia" w:hAnsiTheme="minorEastAsia" w:eastAsiaTheme="minorEastAsia"/>
                <w:color w:val="000000"/>
                <w:sz w:val="24"/>
                <w:lang w:val="en-US" w:eastAsia="zh-CN"/>
              </w:rPr>
              <w:t>6</w:t>
            </w:r>
            <w:r>
              <w:rPr>
                <w:rFonts w:hint="eastAsia" w:asciiTheme="minorEastAsia" w:hAnsiTheme="minorEastAsia" w:eastAsiaTheme="minorEastAsia"/>
                <w:color w:val="000000"/>
                <w:sz w:val="24"/>
              </w:rPr>
              <w:t>分</w:t>
            </w:r>
          </w:p>
        </w:tc>
        <w:tc>
          <w:tcPr>
            <w:tcW w:w="889" w:type="dxa"/>
            <w:vMerge w:val="continue"/>
            <w:vAlign w:val="center"/>
          </w:tcPr>
          <w:p w14:paraId="34B1161A">
            <w:pPr>
              <w:spacing w:before="60" w:beforeLines="25" w:after="60" w:afterLines="25"/>
              <w:jc w:val="center"/>
              <w:rPr>
                <w:rFonts w:hint="eastAsia" w:asciiTheme="minorEastAsia" w:hAnsiTheme="minorEastAsia" w:eastAsiaTheme="minorEastAsia"/>
                <w:b/>
                <w:color w:val="000000"/>
                <w:sz w:val="32"/>
                <w:szCs w:val="21"/>
              </w:rPr>
            </w:pPr>
          </w:p>
        </w:tc>
        <w:tc>
          <w:tcPr>
            <w:tcW w:w="886" w:type="dxa"/>
            <w:vMerge w:val="continue"/>
            <w:vAlign w:val="center"/>
          </w:tcPr>
          <w:p w14:paraId="08A9BEF0">
            <w:pPr>
              <w:spacing w:before="60" w:beforeLines="25" w:after="60" w:afterLines="25"/>
              <w:jc w:val="center"/>
              <w:rPr>
                <w:rFonts w:hint="eastAsia" w:asciiTheme="minorEastAsia" w:hAnsiTheme="minorEastAsia" w:eastAsiaTheme="minorEastAsia"/>
                <w:b/>
                <w:color w:val="000000"/>
                <w:sz w:val="32"/>
                <w:szCs w:val="21"/>
              </w:rPr>
            </w:pPr>
          </w:p>
        </w:tc>
        <w:tc>
          <w:tcPr>
            <w:tcW w:w="738" w:type="dxa"/>
            <w:vMerge w:val="continue"/>
            <w:vAlign w:val="center"/>
          </w:tcPr>
          <w:p w14:paraId="730EB3D8">
            <w:pPr>
              <w:spacing w:before="60" w:beforeLines="25" w:after="60" w:afterLines="25"/>
              <w:jc w:val="center"/>
              <w:rPr>
                <w:rFonts w:hint="eastAsia" w:asciiTheme="minorEastAsia" w:hAnsiTheme="minorEastAsia" w:eastAsiaTheme="minorEastAsia"/>
                <w:b/>
                <w:color w:val="000000"/>
                <w:sz w:val="32"/>
                <w:szCs w:val="21"/>
              </w:rPr>
            </w:pPr>
          </w:p>
        </w:tc>
        <w:tc>
          <w:tcPr>
            <w:tcW w:w="737" w:type="dxa"/>
            <w:vMerge w:val="continue"/>
            <w:vAlign w:val="center"/>
          </w:tcPr>
          <w:p w14:paraId="161665F0">
            <w:pPr>
              <w:spacing w:before="60" w:beforeLines="25" w:after="60" w:afterLines="25"/>
              <w:jc w:val="center"/>
              <w:rPr>
                <w:rFonts w:hint="eastAsia" w:asciiTheme="minorEastAsia" w:hAnsiTheme="minorEastAsia" w:eastAsiaTheme="minorEastAsia"/>
                <w:b/>
                <w:color w:val="000000"/>
                <w:sz w:val="32"/>
                <w:szCs w:val="21"/>
              </w:rPr>
            </w:pPr>
          </w:p>
        </w:tc>
        <w:tc>
          <w:tcPr>
            <w:tcW w:w="728" w:type="dxa"/>
            <w:vMerge w:val="continue"/>
            <w:vAlign w:val="center"/>
          </w:tcPr>
          <w:p w14:paraId="745158D0">
            <w:pPr>
              <w:spacing w:before="60" w:beforeLines="25" w:after="60" w:afterLines="25"/>
              <w:rPr>
                <w:rFonts w:hint="eastAsia" w:asciiTheme="minorEastAsia" w:hAnsiTheme="minorEastAsia" w:eastAsiaTheme="minorEastAsia"/>
                <w:b/>
                <w:color w:val="000000"/>
                <w:sz w:val="32"/>
                <w:szCs w:val="21"/>
              </w:rPr>
            </w:pPr>
          </w:p>
        </w:tc>
        <w:tc>
          <w:tcPr>
            <w:tcW w:w="611" w:type="dxa"/>
            <w:vMerge w:val="continue"/>
            <w:vAlign w:val="center"/>
          </w:tcPr>
          <w:p w14:paraId="6FC91F57">
            <w:pPr>
              <w:spacing w:before="60" w:beforeLines="25" w:after="60" w:afterLines="25"/>
              <w:rPr>
                <w:rFonts w:hint="eastAsia" w:asciiTheme="minorEastAsia" w:hAnsiTheme="minorEastAsia" w:eastAsiaTheme="minorEastAsia"/>
                <w:b/>
                <w:color w:val="000000"/>
                <w:sz w:val="32"/>
                <w:szCs w:val="21"/>
              </w:rPr>
            </w:pPr>
          </w:p>
        </w:tc>
        <w:tc>
          <w:tcPr>
            <w:tcW w:w="611" w:type="dxa"/>
            <w:vMerge w:val="continue"/>
            <w:vAlign w:val="center"/>
          </w:tcPr>
          <w:p w14:paraId="11C44F82">
            <w:pPr>
              <w:spacing w:before="60" w:beforeLines="25" w:after="60" w:afterLines="25"/>
              <w:rPr>
                <w:rFonts w:hint="eastAsia" w:asciiTheme="minorEastAsia" w:hAnsiTheme="minorEastAsia" w:eastAsiaTheme="minorEastAsia"/>
                <w:b/>
                <w:color w:val="000000"/>
                <w:sz w:val="32"/>
                <w:szCs w:val="21"/>
              </w:rPr>
            </w:pPr>
          </w:p>
        </w:tc>
        <w:tc>
          <w:tcPr>
            <w:tcW w:w="625" w:type="dxa"/>
            <w:vMerge w:val="continue"/>
            <w:vAlign w:val="center"/>
          </w:tcPr>
          <w:p w14:paraId="332AEE4B">
            <w:pPr>
              <w:spacing w:before="60" w:beforeLines="25" w:after="60" w:afterLines="25"/>
              <w:rPr>
                <w:rFonts w:hint="eastAsia" w:asciiTheme="minorEastAsia" w:hAnsiTheme="minorEastAsia" w:eastAsiaTheme="minorEastAsia"/>
                <w:b/>
                <w:color w:val="000000"/>
                <w:sz w:val="32"/>
                <w:szCs w:val="21"/>
              </w:rPr>
            </w:pPr>
          </w:p>
        </w:tc>
      </w:tr>
      <w:tr w14:paraId="045CF5A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83" w:hRule="exact"/>
          <w:jc w:val="center"/>
        </w:trPr>
        <w:tc>
          <w:tcPr>
            <w:tcW w:w="803" w:type="dxa"/>
            <w:vMerge w:val="continue"/>
            <w:vAlign w:val="center"/>
          </w:tcPr>
          <w:p w14:paraId="72A324D5">
            <w:pPr>
              <w:spacing w:before="60" w:beforeLines="25" w:after="60" w:afterLines="25"/>
              <w:jc w:val="center"/>
              <w:rPr>
                <w:rFonts w:hint="eastAsia" w:asciiTheme="minorEastAsia" w:hAnsiTheme="minorEastAsia" w:eastAsiaTheme="minorEastAsia"/>
                <w:b/>
                <w:color w:val="000000"/>
                <w:sz w:val="24"/>
              </w:rPr>
            </w:pPr>
          </w:p>
        </w:tc>
        <w:tc>
          <w:tcPr>
            <w:tcW w:w="2903" w:type="dxa"/>
            <w:vMerge w:val="continue"/>
            <w:vAlign w:val="center"/>
          </w:tcPr>
          <w:p w14:paraId="77C8E62D">
            <w:pPr>
              <w:spacing w:before="60" w:beforeLines="25" w:after="60" w:afterLines="25"/>
              <w:rPr>
                <w:rFonts w:hint="eastAsia" w:asciiTheme="minorEastAsia" w:hAnsiTheme="minorEastAsia" w:eastAsiaTheme="minorEastAsia"/>
                <w:b/>
                <w:color w:val="000000"/>
                <w:sz w:val="24"/>
              </w:rPr>
            </w:pPr>
          </w:p>
        </w:tc>
        <w:tc>
          <w:tcPr>
            <w:tcW w:w="4487" w:type="dxa"/>
            <w:vAlign w:val="center"/>
          </w:tcPr>
          <w:p w14:paraId="713354A4">
            <w:pPr>
              <w:rPr>
                <w:rFonts w:hint="eastAsia" w:asciiTheme="minorEastAsia" w:hAnsiTheme="minorEastAsia" w:eastAsiaTheme="minorEastAsia"/>
                <w:color w:val="000000"/>
                <w:sz w:val="24"/>
              </w:rPr>
            </w:pPr>
            <w:r>
              <w:rPr>
                <w:rFonts w:hint="eastAsia" w:asciiTheme="minorEastAsia" w:hAnsiTheme="minorEastAsia" w:eastAsiaTheme="minorEastAsia"/>
                <w:sz w:val="24"/>
              </w:rPr>
              <w:t>基本满足工程需要</w:t>
            </w:r>
          </w:p>
        </w:tc>
        <w:tc>
          <w:tcPr>
            <w:tcW w:w="949" w:type="dxa"/>
            <w:vAlign w:val="center"/>
          </w:tcPr>
          <w:p w14:paraId="59430100">
            <w:pPr>
              <w:spacing w:before="60" w:beforeLines="25" w:after="60" w:afterLines="25"/>
              <w:jc w:val="center"/>
              <w:rPr>
                <w:rFonts w:hint="eastAsia" w:asciiTheme="minorEastAsia" w:hAnsiTheme="minorEastAsia" w:eastAsiaTheme="minorEastAsia"/>
                <w:color w:val="000000"/>
                <w:sz w:val="24"/>
                <w:u w:val="single"/>
              </w:rPr>
            </w:pPr>
            <w:r>
              <w:rPr>
                <w:rFonts w:hint="eastAsia" w:asciiTheme="minorEastAsia" w:hAnsiTheme="minorEastAsia" w:eastAsiaTheme="minorEastAsia"/>
                <w:color w:val="000000"/>
                <w:sz w:val="24"/>
                <w:lang w:val="en-US" w:eastAsia="zh-CN"/>
              </w:rPr>
              <w:t>4</w:t>
            </w:r>
            <w:r>
              <w:rPr>
                <w:rFonts w:hint="eastAsia" w:asciiTheme="minorEastAsia" w:hAnsiTheme="minorEastAsia" w:eastAsiaTheme="minorEastAsia"/>
                <w:color w:val="000000"/>
                <w:sz w:val="24"/>
              </w:rPr>
              <w:t>分</w:t>
            </w:r>
          </w:p>
        </w:tc>
        <w:tc>
          <w:tcPr>
            <w:tcW w:w="889" w:type="dxa"/>
            <w:vMerge w:val="continue"/>
            <w:vAlign w:val="center"/>
          </w:tcPr>
          <w:p w14:paraId="7A8A4CB7">
            <w:pPr>
              <w:spacing w:before="60" w:beforeLines="25" w:after="60" w:afterLines="25"/>
              <w:jc w:val="center"/>
              <w:rPr>
                <w:rFonts w:hint="eastAsia" w:asciiTheme="minorEastAsia" w:hAnsiTheme="minorEastAsia" w:eastAsiaTheme="minorEastAsia"/>
                <w:b/>
                <w:color w:val="000000"/>
                <w:sz w:val="32"/>
                <w:szCs w:val="21"/>
              </w:rPr>
            </w:pPr>
          </w:p>
        </w:tc>
        <w:tc>
          <w:tcPr>
            <w:tcW w:w="886" w:type="dxa"/>
            <w:vMerge w:val="continue"/>
            <w:vAlign w:val="center"/>
          </w:tcPr>
          <w:p w14:paraId="26AE0204">
            <w:pPr>
              <w:spacing w:before="60" w:beforeLines="25" w:after="60" w:afterLines="25"/>
              <w:jc w:val="center"/>
              <w:rPr>
                <w:rFonts w:hint="eastAsia" w:asciiTheme="minorEastAsia" w:hAnsiTheme="minorEastAsia" w:eastAsiaTheme="minorEastAsia"/>
                <w:b/>
                <w:color w:val="000000"/>
                <w:sz w:val="32"/>
                <w:szCs w:val="21"/>
              </w:rPr>
            </w:pPr>
          </w:p>
        </w:tc>
        <w:tc>
          <w:tcPr>
            <w:tcW w:w="738" w:type="dxa"/>
            <w:vMerge w:val="continue"/>
            <w:vAlign w:val="center"/>
          </w:tcPr>
          <w:p w14:paraId="7C901EE7">
            <w:pPr>
              <w:spacing w:before="60" w:beforeLines="25" w:after="60" w:afterLines="25"/>
              <w:jc w:val="center"/>
              <w:rPr>
                <w:rFonts w:hint="eastAsia" w:asciiTheme="minorEastAsia" w:hAnsiTheme="minorEastAsia" w:eastAsiaTheme="minorEastAsia"/>
                <w:b/>
                <w:color w:val="000000"/>
                <w:sz w:val="32"/>
                <w:szCs w:val="21"/>
              </w:rPr>
            </w:pPr>
          </w:p>
        </w:tc>
        <w:tc>
          <w:tcPr>
            <w:tcW w:w="737" w:type="dxa"/>
            <w:vMerge w:val="continue"/>
            <w:vAlign w:val="center"/>
          </w:tcPr>
          <w:p w14:paraId="3FFE80C0">
            <w:pPr>
              <w:spacing w:before="60" w:beforeLines="25" w:after="60" w:afterLines="25"/>
              <w:jc w:val="center"/>
              <w:rPr>
                <w:rFonts w:hint="eastAsia" w:asciiTheme="minorEastAsia" w:hAnsiTheme="minorEastAsia" w:eastAsiaTheme="minorEastAsia"/>
                <w:b/>
                <w:color w:val="000000"/>
                <w:sz w:val="32"/>
                <w:szCs w:val="21"/>
              </w:rPr>
            </w:pPr>
          </w:p>
        </w:tc>
        <w:tc>
          <w:tcPr>
            <w:tcW w:w="728" w:type="dxa"/>
            <w:vMerge w:val="continue"/>
            <w:vAlign w:val="center"/>
          </w:tcPr>
          <w:p w14:paraId="219E10E8">
            <w:pPr>
              <w:spacing w:before="60" w:beforeLines="25" w:after="60" w:afterLines="25"/>
              <w:rPr>
                <w:rFonts w:hint="eastAsia" w:asciiTheme="minorEastAsia" w:hAnsiTheme="minorEastAsia" w:eastAsiaTheme="minorEastAsia"/>
                <w:b/>
                <w:color w:val="000000"/>
                <w:sz w:val="32"/>
                <w:szCs w:val="21"/>
              </w:rPr>
            </w:pPr>
          </w:p>
        </w:tc>
        <w:tc>
          <w:tcPr>
            <w:tcW w:w="611" w:type="dxa"/>
            <w:vMerge w:val="continue"/>
            <w:vAlign w:val="center"/>
          </w:tcPr>
          <w:p w14:paraId="47FB4EE0">
            <w:pPr>
              <w:spacing w:before="60" w:beforeLines="25" w:after="60" w:afterLines="25"/>
              <w:rPr>
                <w:rFonts w:hint="eastAsia" w:asciiTheme="minorEastAsia" w:hAnsiTheme="minorEastAsia" w:eastAsiaTheme="minorEastAsia"/>
                <w:b/>
                <w:color w:val="000000"/>
                <w:sz w:val="32"/>
                <w:szCs w:val="21"/>
              </w:rPr>
            </w:pPr>
          </w:p>
        </w:tc>
        <w:tc>
          <w:tcPr>
            <w:tcW w:w="611" w:type="dxa"/>
            <w:vMerge w:val="continue"/>
            <w:vAlign w:val="center"/>
          </w:tcPr>
          <w:p w14:paraId="0F0DC2DE">
            <w:pPr>
              <w:spacing w:before="60" w:beforeLines="25" w:after="60" w:afterLines="25"/>
              <w:rPr>
                <w:rFonts w:hint="eastAsia" w:asciiTheme="minorEastAsia" w:hAnsiTheme="minorEastAsia" w:eastAsiaTheme="minorEastAsia"/>
                <w:b/>
                <w:color w:val="000000"/>
                <w:sz w:val="32"/>
                <w:szCs w:val="21"/>
              </w:rPr>
            </w:pPr>
          </w:p>
        </w:tc>
        <w:tc>
          <w:tcPr>
            <w:tcW w:w="625" w:type="dxa"/>
            <w:vMerge w:val="continue"/>
            <w:vAlign w:val="center"/>
          </w:tcPr>
          <w:p w14:paraId="1DF969CF">
            <w:pPr>
              <w:spacing w:before="60" w:beforeLines="25" w:after="60" w:afterLines="25"/>
              <w:rPr>
                <w:rFonts w:hint="eastAsia" w:asciiTheme="minorEastAsia" w:hAnsiTheme="minorEastAsia" w:eastAsiaTheme="minorEastAsia"/>
                <w:b/>
                <w:color w:val="000000"/>
                <w:sz w:val="32"/>
                <w:szCs w:val="21"/>
              </w:rPr>
            </w:pPr>
          </w:p>
        </w:tc>
      </w:tr>
      <w:tr w14:paraId="2374C88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83" w:hRule="exact"/>
          <w:jc w:val="center"/>
        </w:trPr>
        <w:tc>
          <w:tcPr>
            <w:tcW w:w="803" w:type="dxa"/>
            <w:vMerge w:val="continue"/>
            <w:vAlign w:val="center"/>
          </w:tcPr>
          <w:p w14:paraId="7D48DE22">
            <w:pPr>
              <w:spacing w:before="60" w:beforeLines="25" w:after="60" w:afterLines="25"/>
              <w:jc w:val="center"/>
              <w:rPr>
                <w:rFonts w:hint="eastAsia" w:asciiTheme="minorEastAsia" w:hAnsiTheme="minorEastAsia" w:eastAsiaTheme="minorEastAsia"/>
                <w:b/>
                <w:color w:val="000000"/>
                <w:sz w:val="24"/>
              </w:rPr>
            </w:pPr>
          </w:p>
        </w:tc>
        <w:tc>
          <w:tcPr>
            <w:tcW w:w="2903" w:type="dxa"/>
            <w:vMerge w:val="continue"/>
            <w:vAlign w:val="center"/>
          </w:tcPr>
          <w:p w14:paraId="6F7EAFB7">
            <w:pPr>
              <w:spacing w:before="60" w:beforeLines="25" w:after="60" w:afterLines="25"/>
              <w:rPr>
                <w:rFonts w:hint="eastAsia" w:asciiTheme="minorEastAsia" w:hAnsiTheme="minorEastAsia" w:eastAsiaTheme="minorEastAsia"/>
                <w:b/>
                <w:color w:val="000000"/>
                <w:sz w:val="24"/>
              </w:rPr>
            </w:pPr>
          </w:p>
        </w:tc>
        <w:tc>
          <w:tcPr>
            <w:tcW w:w="4487" w:type="dxa"/>
            <w:vAlign w:val="center"/>
          </w:tcPr>
          <w:p w14:paraId="6A27F8F0">
            <w:pPr>
              <w:rPr>
                <w:rFonts w:hint="eastAsia" w:asciiTheme="minorEastAsia" w:hAnsiTheme="minorEastAsia" w:eastAsiaTheme="minorEastAsia"/>
                <w:color w:val="000000"/>
                <w:sz w:val="24"/>
              </w:rPr>
            </w:pPr>
            <w:r>
              <w:rPr>
                <w:rFonts w:hint="eastAsia" w:asciiTheme="minorEastAsia" w:hAnsiTheme="minorEastAsia" w:eastAsiaTheme="minorEastAsia"/>
                <w:sz w:val="24"/>
              </w:rPr>
              <w:t>欠合理，可行性差</w:t>
            </w:r>
          </w:p>
        </w:tc>
        <w:tc>
          <w:tcPr>
            <w:tcW w:w="949" w:type="dxa"/>
            <w:vAlign w:val="center"/>
          </w:tcPr>
          <w:p w14:paraId="1A85F9F7">
            <w:pPr>
              <w:spacing w:before="60" w:beforeLines="25" w:after="60" w:afterLines="25"/>
              <w:jc w:val="center"/>
              <w:rPr>
                <w:rFonts w:hint="eastAsia" w:asciiTheme="minorEastAsia" w:hAnsiTheme="minorEastAsia" w:eastAsiaTheme="minorEastAsia"/>
                <w:color w:val="000000"/>
                <w:sz w:val="24"/>
              </w:rPr>
            </w:pPr>
            <w:r>
              <w:rPr>
                <w:rFonts w:hint="eastAsia" w:asciiTheme="minorEastAsia" w:hAnsiTheme="minorEastAsia" w:eastAsiaTheme="minorEastAsia"/>
                <w:color w:val="000000"/>
                <w:sz w:val="24"/>
              </w:rPr>
              <w:t>1分</w:t>
            </w:r>
          </w:p>
        </w:tc>
        <w:tc>
          <w:tcPr>
            <w:tcW w:w="889" w:type="dxa"/>
            <w:vMerge w:val="continue"/>
            <w:vAlign w:val="center"/>
          </w:tcPr>
          <w:p w14:paraId="20D325FD">
            <w:pPr>
              <w:spacing w:before="60" w:beforeLines="25" w:after="60" w:afterLines="25"/>
              <w:jc w:val="center"/>
              <w:rPr>
                <w:rFonts w:hint="eastAsia" w:asciiTheme="minorEastAsia" w:hAnsiTheme="minorEastAsia" w:eastAsiaTheme="minorEastAsia"/>
                <w:b/>
                <w:color w:val="000000"/>
                <w:sz w:val="32"/>
                <w:szCs w:val="21"/>
              </w:rPr>
            </w:pPr>
          </w:p>
        </w:tc>
        <w:tc>
          <w:tcPr>
            <w:tcW w:w="886" w:type="dxa"/>
            <w:vMerge w:val="continue"/>
            <w:vAlign w:val="center"/>
          </w:tcPr>
          <w:p w14:paraId="5F6529A8">
            <w:pPr>
              <w:spacing w:before="60" w:beforeLines="25" w:after="60" w:afterLines="25"/>
              <w:jc w:val="center"/>
              <w:rPr>
                <w:rFonts w:hint="eastAsia" w:asciiTheme="minorEastAsia" w:hAnsiTheme="minorEastAsia" w:eastAsiaTheme="minorEastAsia"/>
                <w:b/>
                <w:color w:val="000000"/>
                <w:sz w:val="32"/>
                <w:szCs w:val="21"/>
              </w:rPr>
            </w:pPr>
          </w:p>
        </w:tc>
        <w:tc>
          <w:tcPr>
            <w:tcW w:w="738" w:type="dxa"/>
            <w:vMerge w:val="continue"/>
            <w:vAlign w:val="center"/>
          </w:tcPr>
          <w:p w14:paraId="46FC0E90">
            <w:pPr>
              <w:spacing w:before="60" w:beforeLines="25" w:after="60" w:afterLines="25"/>
              <w:jc w:val="center"/>
              <w:rPr>
                <w:rFonts w:hint="eastAsia" w:asciiTheme="minorEastAsia" w:hAnsiTheme="minorEastAsia" w:eastAsiaTheme="minorEastAsia"/>
                <w:b/>
                <w:color w:val="000000"/>
                <w:sz w:val="32"/>
                <w:szCs w:val="21"/>
              </w:rPr>
            </w:pPr>
          </w:p>
        </w:tc>
        <w:tc>
          <w:tcPr>
            <w:tcW w:w="737" w:type="dxa"/>
            <w:vMerge w:val="continue"/>
            <w:vAlign w:val="center"/>
          </w:tcPr>
          <w:p w14:paraId="4EC77FCE">
            <w:pPr>
              <w:spacing w:before="60" w:beforeLines="25" w:after="60" w:afterLines="25"/>
              <w:jc w:val="center"/>
              <w:rPr>
                <w:rFonts w:hint="eastAsia" w:asciiTheme="minorEastAsia" w:hAnsiTheme="minorEastAsia" w:eastAsiaTheme="minorEastAsia"/>
                <w:b/>
                <w:color w:val="000000"/>
                <w:sz w:val="32"/>
                <w:szCs w:val="21"/>
              </w:rPr>
            </w:pPr>
          </w:p>
        </w:tc>
        <w:tc>
          <w:tcPr>
            <w:tcW w:w="728" w:type="dxa"/>
            <w:vMerge w:val="continue"/>
            <w:vAlign w:val="center"/>
          </w:tcPr>
          <w:p w14:paraId="567EE557">
            <w:pPr>
              <w:spacing w:before="60" w:beforeLines="25" w:after="60" w:afterLines="25"/>
              <w:rPr>
                <w:rFonts w:hint="eastAsia" w:asciiTheme="minorEastAsia" w:hAnsiTheme="minorEastAsia" w:eastAsiaTheme="minorEastAsia"/>
                <w:b/>
                <w:color w:val="000000"/>
                <w:sz w:val="32"/>
                <w:szCs w:val="21"/>
              </w:rPr>
            </w:pPr>
          </w:p>
        </w:tc>
        <w:tc>
          <w:tcPr>
            <w:tcW w:w="611" w:type="dxa"/>
            <w:vMerge w:val="continue"/>
            <w:vAlign w:val="center"/>
          </w:tcPr>
          <w:p w14:paraId="5D311CD6">
            <w:pPr>
              <w:spacing w:before="60" w:beforeLines="25" w:after="60" w:afterLines="25"/>
              <w:rPr>
                <w:rFonts w:hint="eastAsia" w:asciiTheme="minorEastAsia" w:hAnsiTheme="minorEastAsia" w:eastAsiaTheme="minorEastAsia"/>
                <w:b/>
                <w:color w:val="000000"/>
                <w:sz w:val="32"/>
                <w:szCs w:val="21"/>
              </w:rPr>
            </w:pPr>
          </w:p>
        </w:tc>
        <w:tc>
          <w:tcPr>
            <w:tcW w:w="611" w:type="dxa"/>
            <w:vMerge w:val="continue"/>
            <w:vAlign w:val="center"/>
          </w:tcPr>
          <w:p w14:paraId="402C1C9A">
            <w:pPr>
              <w:spacing w:before="60" w:beforeLines="25" w:after="60" w:afterLines="25"/>
              <w:rPr>
                <w:rFonts w:hint="eastAsia" w:asciiTheme="minorEastAsia" w:hAnsiTheme="minorEastAsia" w:eastAsiaTheme="minorEastAsia"/>
                <w:b/>
                <w:color w:val="000000"/>
                <w:sz w:val="32"/>
                <w:szCs w:val="21"/>
              </w:rPr>
            </w:pPr>
          </w:p>
        </w:tc>
        <w:tc>
          <w:tcPr>
            <w:tcW w:w="625" w:type="dxa"/>
            <w:vMerge w:val="continue"/>
            <w:vAlign w:val="center"/>
          </w:tcPr>
          <w:p w14:paraId="77521822">
            <w:pPr>
              <w:spacing w:before="60" w:beforeLines="25" w:after="60" w:afterLines="25"/>
              <w:rPr>
                <w:rFonts w:hint="eastAsia" w:asciiTheme="minorEastAsia" w:hAnsiTheme="minorEastAsia" w:eastAsiaTheme="minorEastAsia"/>
                <w:b/>
                <w:color w:val="000000"/>
                <w:sz w:val="32"/>
                <w:szCs w:val="21"/>
              </w:rPr>
            </w:pPr>
          </w:p>
        </w:tc>
      </w:tr>
      <w:tr w14:paraId="4D0EEFD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83" w:hRule="exact"/>
          <w:jc w:val="center"/>
        </w:trPr>
        <w:tc>
          <w:tcPr>
            <w:tcW w:w="803" w:type="dxa"/>
            <w:vMerge w:val="continue"/>
            <w:vAlign w:val="center"/>
          </w:tcPr>
          <w:p w14:paraId="523E1718">
            <w:pPr>
              <w:spacing w:before="60" w:beforeLines="25" w:after="60" w:afterLines="25"/>
              <w:jc w:val="center"/>
              <w:rPr>
                <w:rFonts w:hint="eastAsia" w:asciiTheme="minorEastAsia" w:hAnsiTheme="minorEastAsia" w:eastAsiaTheme="minorEastAsia"/>
                <w:b/>
                <w:color w:val="000000"/>
                <w:sz w:val="24"/>
              </w:rPr>
            </w:pPr>
          </w:p>
        </w:tc>
        <w:tc>
          <w:tcPr>
            <w:tcW w:w="2903" w:type="dxa"/>
            <w:vMerge w:val="continue"/>
            <w:vAlign w:val="center"/>
          </w:tcPr>
          <w:p w14:paraId="3308E011">
            <w:pPr>
              <w:spacing w:before="60" w:beforeLines="25" w:after="60" w:afterLines="25"/>
              <w:rPr>
                <w:rFonts w:hint="eastAsia" w:asciiTheme="minorEastAsia" w:hAnsiTheme="minorEastAsia" w:eastAsiaTheme="minorEastAsia"/>
                <w:b/>
                <w:color w:val="000000"/>
                <w:sz w:val="24"/>
              </w:rPr>
            </w:pPr>
          </w:p>
        </w:tc>
        <w:tc>
          <w:tcPr>
            <w:tcW w:w="4487" w:type="dxa"/>
            <w:vAlign w:val="center"/>
          </w:tcPr>
          <w:p w14:paraId="7688B8AD">
            <w:pPr>
              <w:rPr>
                <w:rFonts w:hint="eastAsia" w:asciiTheme="minorEastAsia" w:hAnsiTheme="minorEastAsia" w:eastAsiaTheme="minorEastAsia"/>
                <w:color w:val="000000"/>
                <w:sz w:val="24"/>
              </w:rPr>
            </w:pPr>
            <w:r>
              <w:rPr>
                <w:rFonts w:hint="eastAsia" w:asciiTheme="minorEastAsia" w:hAnsiTheme="minorEastAsia" w:eastAsiaTheme="minorEastAsia"/>
                <w:sz w:val="24"/>
              </w:rPr>
              <w:t>未提供</w:t>
            </w:r>
          </w:p>
        </w:tc>
        <w:tc>
          <w:tcPr>
            <w:tcW w:w="949" w:type="dxa"/>
            <w:vAlign w:val="center"/>
          </w:tcPr>
          <w:p w14:paraId="7621B024">
            <w:pPr>
              <w:spacing w:before="60" w:beforeLines="25" w:after="60" w:afterLines="25"/>
              <w:jc w:val="center"/>
              <w:rPr>
                <w:rFonts w:hint="eastAsia" w:asciiTheme="minorEastAsia" w:hAnsiTheme="minorEastAsia" w:eastAsiaTheme="minorEastAsia"/>
                <w:color w:val="000000"/>
                <w:sz w:val="24"/>
                <w:u w:val="single"/>
              </w:rPr>
            </w:pPr>
            <w:r>
              <w:rPr>
                <w:rFonts w:asciiTheme="minorEastAsia" w:hAnsiTheme="minorEastAsia" w:eastAsiaTheme="minorEastAsia"/>
                <w:color w:val="000000"/>
                <w:sz w:val="24"/>
              </w:rPr>
              <w:t>0</w:t>
            </w:r>
            <w:r>
              <w:rPr>
                <w:rFonts w:hint="eastAsia" w:asciiTheme="minorEastAsia" w:hAnsiTheme="minorEastAsia" w:eastAsiaTheme="minorEastAsia"/>
                <w:color w:val="000000"/>
                <w:sz w:val="24"/>
              </w:rPr>
              <w:t>分</w:t>
            </w:r>
          </w:p>
        </w:tc>
        <w:tc>
          <w:tcPr>
            <w:tcW w:w="889" w:type="dxa"/>
            <w:vMerge w:val="continue"/>
            <w:vAlign w:val="center"/>
          </w:tcPr>
          <w:p w14:paraId="056F597B">
            <w:pPr>
              <w:spacing w:before="60" w:beforeLines="25" w:after="60" w:afterLines="25"/>
              <w:jc w:val="center"/>
              <w:rPr>
                <w:rFonts w:hint="eastAsia" w:asciiTheme="minorEastAsia" w:hAnsiTheme="minorEastAsia" w:eastAsiaTheme="minorEastAsia"/>
                <w:b/>
                <w:color w:val="000000"/>
                <w:sz w:val="32"/>
                <w:szCs w:val="21"/>
              </w:rPr>
            </w:pPr>
          </w:p>
        </w:tc>
        <w:tc>
          <w:tcPr>
            <w:tcW w:w="886" w:type="dxa"/>
            <w:vMerge w:val="continue"/>
            <w:vAlign w:val="center"/>
          </w:tcPr>
          <w:p w14:paraId="1BC875AA">
            <w:pPr>
              <w:spacing w:before="60" w:beforeLines="25" w:after="60" w:afterLines="25"/>
              <w:jc w:val="center"/>
              <w:rPr>
                <w:rFonts w:hint="eastAsia" w:asciiTheme="minorEastAsia" w:hAnsiTheme="minorEastAsia" w:eastAsiaTheme="minorEastAsia"/>
                <w:b/>
                <w:color w:val="000000"/>
                <w:sz w:val="32"/>
                <w:szCs w:val="21"/>
              </w:rPr>
            </w:pPr>
          </w:p>
        </w:tc>
        <w:tc>
          <w:tcPr>
            <w:tcW w:w="738" w:type="dxa"/>
            <w:vMerge w:val="continue"/>
            <w:vAlign w:val="center"/>
          </w:tcPr>
          <w:p w14:paraId="7456B426">
            <w:pPr>
              <w:spacing w:before="60" w:beforeLines="25" w:after="60" w:afterLines="25"/>
              <w:jc w:val="center"/>
              <w:rPr>
                <w:rFonts w:hint="eastAsia" w:asciiTheme="minorEastAsia" w:hAnsiTheme="minorEastAsia" w:eastAsiaTheme="minorEastAsia"/>
                <w:b/>
                <w:color w:val="000000"/>
                <w:sz w:val="32"/>
                <w:szCs w:val="21"/>
              </w:rPr>
            </w:pPr>
          </w:p>
        </w:tc>
        <w:tc>
          <w:tcPr>
            <w:tcW w:w="737" w:type="dxa"/>
            <w:vMerge w:val="continue"/>
            <w:vAlign w:val="center"/>
          </w:tcPr>
          <w:p w14:paraId="3D4A1B41">
            <w:pPr>
              <w:spacing w:before="60" w:beforeLines="25" w:after="60" w:afterLines="25"/>
              <w:jc w:val="center"/>
              <w:rPr>
                <w:rFonts w:hint="eastAsia" w:asciiTheme="minorEastAsia" w:hAnsiTheme="minorEastAsia" w:eastAsiaTheme="minorEastAsia"/>
                <w:b/>
                <w:color w:val="000000"/>
                <w:sz w:val="32"/>
                <w:szCs w:val="21"/>
              </w:rPr>
            </w:pPr>
          </w:p>
        </w:tc>
        <w:tc>
          <w:tcPr>
            <w:tcW w:w="728" w:type="dxa"/>
            <w:vMerge w:val="continue"/>
            <w:vAlign w:val="center"/>
          </w:tcPr>
          <w:p w14:paraId="5F04536B">
            <w:pPr>
              <w:spacing w:before="60" w:beforeLines="25" w:after="60" w:afterLines="25"/>
              <w:rPr>
                <w:rFonts w:hint="eastAsia" w:asciiTheme="minorEastAsia" w:hAnsiTheme="minorEastAsia" w:eastAsiaTheme="minorEastAsia"/>
                <w:b/>
                <w:color w:val="000000"/>
                <w:sz w:val="32"/>
                <w:szCs w:val="21"/>
              </w:rPr>
            </w:pPr>
          </w:p>
        </w:tc>
        <w:tc>
          <w:tcPr>
            <w:tcW w:w="611" w:type="dxa"/>
            <w:vMerge w:val="continue"/>
            <w:vAlign w:val="center"/>
          </w:tcPr>
          <w:p w14:paraId="440122A9">
            <w:pPr>
              <w:spacing w:before="60" w:beforeLines="25" w:after="60" w:afterLines="25"/>
              <w:rPr>
                <w:rFonts w:hint="eastAsia" w:asciiTheme="minorEastAsia" w:hAnsiTheme="minorEastAsia" w:eastAsiaTheme="minorEastAsia"/>
                <w:b/>
                <w:color w:val="000000"/>
                <w:sz w:val="32"/>
                <w:szCs w:val="21"/>
              </w:rPr>
            </w:pPr>
          </w:p>
        </w:tc>
        <w:tc>
          <w:tcPr>
            <w:tcW w:w="611" w:type="dxa"/>
            <w:vMerge w:val="continue"/>
            <w:vAlign w:val="center"/>
          </w:tcPr>
          <w:p w14:paraId="7A9B91B8">
            <w:pPr>
              <w:spacing w:before="60" w:beforeLines="25" w:after="60" w:afterLines="25"/>
              <w:rPr>
                <w:rFonts w:hint="eastAsia" w:asciiTheme="minorEastAsia" w:hAnsiTheme="minorEastAsia" w:eastAsiaTheme="minorEastAsia"/>
                <w:b/>
                <w:color w:val="000000"/>
                <w:sz w:val="32"/>
                <w:szCs w:val="21"/>
              </w:rPr>
            </w:pPr>
          </w:p>
        </w:tc>
        <w:tc>
          <w:tcPr>
            <w:tcW w:w="625" w:type="dxa"/>
            <w:vMerge w:val="continue"/>
            <w:vAlign w:val="center"/>
          </w:tcPr>
          <w:p w14:paraId="3D32485D">
            <w:pPr>
              <w:spacing w:before="60" w:beforeLines="25" w:after="60" w:afterLines="25"/>
              <w:rPr>
                <w:rFonts w:hint="eastAsia" w:asciiTheme="minorEastAsia" w:hAnsiTheme="minorEastAsia" w:eastAsiaTheme="minorEastAsia"/>
                <w:b/>
                <w:color w:val="000000"/>
                <w:sz w:val="32"/>
                <w:szCs w:val="21"/>
              </w:rPr>
            </w:pPr>
          </w:p>
        </w:tc>
      </w:tr>
      <w:tr w14:paraId="6BF8C9C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83" w:hRule="exact"/>
          <w:jc w:val="center"/>
        </w:trPr>
        <w:tc>
          <w:tcPr>
            <w:tcW w:w="803" w:type="dxa"/>
            <w:vMerge w:val="restart"/>
            <w:vAlign w:val="center"/>
          </w:tcPr>
          <w:p w14:paraId="51135BE6">
            <w:pPr>
              <w:spacing w:before="60" w:beforeLines="25" w:after="60" w:afterLines="25"/>
              <w:jc w:val="center"/>
              <w:rPr>
                <w:rFonts w:hint="eastAsia" w:asciiTheme="minorEastAsia" w:hAnsiTheme="minorEastAsia" w:eastAsiaTheme="minorEastAsia"/>
                <w:color w:val="000000"/>
                <w:sz w:val="24"/>
              </w:rPr>
            </w:pPr>
            <w:r>
              <w:rPr>
                <w:rFonts w:hint="eastAsia" w:asciiTheme="minorEastAsia" w:hAnsiTheme="minorEastAsia" w:eastAsiaTheme="minorEastAsia"/>
                <w:color w:val="000000"/>
                <w:sz w:val="24"/>
              </w:rPr>
              <w:t>3</w:t>
            </w:r>
          </w:p>
        </w:tc>
        <w:tc>
          <w:tcPr>
            <w:tcW w:w="2903" w:type="dxa"/>
            <w:vMerge w:val="restart"/>
            <w:vAlign w:val="center"/>
          </w:tcPr>
          <w:p w14:paraId="6EB9761F">
            <w:pPr>
              <w:spacing w:before="60" w:beforeLines="25" w:after="60" w:afterLines="25"/>
              <w:jc w:val="center"/>
              <w:rPr>
                <w:rFonts w:hint="eastAsia" w:asciiTheme="minorEastAsia" w:hAnsiTheme="minorEastAsia" w:eastAsiaTheme="minorEastAsia"/>
                <w:color w:val="000000"/>
                <w:sz w:val="24"/>
              </w:rPr>
            </w:pPr>
            <w:r>
              <w:rPr>
                <w:rFonts w:hint="eastAsia" w:asciiTheme="minorEastAsia" w:hAnsiTheme="minorEastAsia" w:eastAsiaTheme="minorEastAsia"/>
                <w:color w:val="000000"/>
                <w:sz w:val="24"/>
              </w:rPr>
              <w:t>安全和文明施工</w:t>
            </w:r>
          </w:p>
          <w:p w14:paraId="5BF56EDB">
            <w:pPr>
              <w:spacing w:before="60" w:beforeLines="25" w:after="60" w:afterLines="25"/>
              <w:jc w:val="center"/>
              <w:rPr>
                <w:rFonts w:hint="eastAsia" w:asciiTheme="minorEastAsia" w:hAnsiTheme="minorEastAsia" w:eastAsiaTheme="minorEastAsia"/>
                <w:color w:val="000000"/>
                <w:sz w:val="24"/>
              </w:rPr>
            </w:pPr>
            <w:r>
              <w:rPr>
                <w:rFonts w:hint="eastAsia" w:asciiTheme="minorEastAsia" w:hAnsiTheme="minorEastAsia" w:eastAsiaTheme="minorEastAsia"/>
                <w:color w:val="000000"/>
                <w:sz w:val="24"/>
              </w:rPr>
              <w:t>保障措施</w:t>
            </w:r>
          </w:p>
        </w:tc>
        <w:tc>
          <w:tcPr>
            <w:tcW w:w="4487" w:type="dxa"/>
            <w:vAlign w:val="center"/>
          </w:tcPr>
          <w:p w14:paraId="71AAC177">
            <w:pPr>
              <w:rPr>
                <w:rFonts w:hint="eastAsia" w:asciiTheme="minorEastAsia" w:hAnsiTheme="minorEastAsia" w:eastAsiaTheme="minorEastAsia"/>
                <w:color w:val="000000"/>
                <w:sz w:val="24"/>
              </w:rPr>
            </w:pPr>
            <w:r>
              <w:rPr>
                <w:rFonts w:hint="eastAsia" w:asciiTheme="minorEastAsia" w:hAnsiTheme="minorEastAsia" w:eastAsiaTheme="minorEastAsia"/>
                <w:sz w:val="24"/>
              </w:rPr>
              <w:t>科学、合理、可行、针对性强</w:t>
            </w:r>
          </w:p>
        </w:tc>
        <w:tc>
          <w:tcPr>
            <w:tcW w:w="949" w:type="dxa"/>
            <w:vAlign w:val="center"/>
          </w:tcPr>
          <w:p w14:paraId="3ECCE060">
            <w:pPr>
              <w:spacing w:before="60" w:beforeLines="25" w:after="60" w:afterLines="25"/>
              <w:jc w:val="center"/>
              <w:rPr>
                <w:rFonts w:hint="eastAsia" w:asciiTheme="minorEastAsia" w:hAnsiTheme="minorEastAsia" w:eastAsiaTheme="minorEastAsia"/>
                <w:color w:val="000000"/>
                <w:sz w:val="24"/>
              </w:rPr>
            </w:pPr>
            <w:r>
              <w:rPr>
                <w:rFonts w:hint="eastAsia" w:asciiTheme="minorEastAsia" w:hAnsiTheme="minorEastAsia" w:eastAsiaTheme="minorEastAsia"/>
                <w:color w:val="000000"/>
                <w:sz w:val="24"/>
                <w:lang w:val="en-US" w:eastAsia="zh-CN"/>
              </w:rPr>
              <w:t>10</w:t>
            </w:r>
            <w:r>
              <w:rPr>
                <w:rFonts w:hint="eastAsia" w:asciiTheme="minorEastAsia" w:hAnsiTheme="minorEastAsia" w:eastAsiaTheme="minorEastAsia"/>
                <w:color w:val="000000"/>
                <w:sz w:val="24"/>
              </w:rPr>
              <w:t>分</w:t>
            </w:r>
          </w:p>
        </w:tc>
        <w:tc>
          <w:tcPr>
            <w:tcW w:w="889" w:type="dxa"/>
            <w:vMerge w:val="restart"/>
            <w:vAlign w:val="center"/>
          </w:tcPr>
          <w:p w14:paraId="54C89D50">
            <w:pPr>
              <w:spacing w:before="60" w:beforeLines="25" w:after="60" w:afterLines="25"/>
              <w:jc w:val="center"/>
              <w:rPr>
                <w:rFonts w:hint="eastAsia" w:asciiTheme="minorEastAsia" w:hAnsiTheme="minorEastAsia" w:eastAsiaTheme="minorEastAsia"/>
                <w:color w:val="000000"/>
                <w:szCs w:val="21"/>
              </w:rPr>
            </w:pPr>
            <w:r>
              <w:rPr>
                <w:rFonts w:hint="eastAsia" w:asciiTheme="minorEastAsia" w:hAnsiTheme="minorEastAsia" w:eastAsiaTheme="minorEastAsia"/>
                <w:color w:val="000000"/>
                <w:sz w:val="24"/>
                <w:szCs w:val="21"/>
                <w:lang w:val="en-US" w:eastAsia="zh-CN"/>
              </w:rPr>
              <w:t>10</w:t>
            </w:r>
            <w:r>
              <w:rPr>
                <w:rFonts w:hint="eastAsia" w:asciiTheme="minorEastAsia" w:hAnsiTheme="minorEastAsia" w:eastAsiaTheme="minorEastAsia"/>
                <w:color w:val="000000"/>
                <w:sz w:val="24"/>
                <w:szCs w:val="21"/>
              </w:rPr>
              <w:t>分</w:t>
            </w:r>
          </w:p>
        </w:tc>
        <w:tc>
          <w:tcPr>
            <w:tcW w:w="886" w:type="dxa"/>
            <w:vMerge w:val="restart"/>
            <w:vAlign w:val="center"/>
          </w:tcPr>
          <w:p w14:paraId="2F47E91E">
            <w:pPr>
              <w:spacing w:before="60" w:beforeLines="25" w:after="60" w:afterLines="25"/>
              <w:jc w:val="center"/>
              <w:rPr>
                <w:rFonts w:hint="eastAsia" w:asciiTheme="minorEastAsia" w:hAnsiTheme="minorEastAsia" w:eastAsiaTheme="minorEastAsia"/>
                <w:color w:val="000000"/>
                <w:szCs w:val="21"/>
              </w:rPr>
            </w:pPr>
          </w:p>
        </w:tc>
        <w:tc>
          <w:tcPr>
            <w:tcW w:w="738" w:type="dxa"/>
            <w:vMerge w:val="restart"/>
            <w:vAlign w:val="center"/>
          </w:tcPr>
          <w:p w14:paraId="74C702AE">
            <w:pPr>
              <w:spacing w:before="60" w:beforeLines="25" w:after="60" w:afterLines="25"/>
              <w:jc w:val="center"/>
              <w:rPr>
                <w:rFonts w:hint="eastAsia" w:asciiTheme="minorEastAsia" w:hAnsiTheme="minorEastAsia" w:eastAsiaTheme="minorEastAsia"/>
                <w:color w:val="000000"/>
                <w:szCs w:val="21"/>
              </w:rPr>
            </w:pPr>
          </w:p>
        </w:tc>
        <w:tc>
          <w:tcPr>
            <w:tcW w:w="737" w:type="dxa"/>
            <w:vMerge w:val="restart"/>
            <w:vAlign w:val="center"/>
          </w:tcPr>
          <w:p w14:paraId="11BEC4CD">
            <w:pPr>
              <w:spacing w:before="60" w:beforeLines="25" w:after="60" w:afterLines="25"/>
              <w:jc w:val="center"/>
              <w:rPr>
                <w:rFonts w:hint="eastAsia" w:asciiTheme="minorEastAsia" w:hAnsiTheme="minorEastAsia" w:eastAsiaTheme="minorEastAsia"/>
                <w:color w:val="000000"/>
                <w:szCs w:val="21"/>
              </w:rPr>
            </w:pPr>
          </w:p>
        </w:tc>
        <w:tc>
          <w:tcPr>
            <w:tcW w:w="728" w:type="dxa"/>
            <w:vMerge w:val="restart"/>
            <w:vAlign w:val="center"/>
          </w:tcPr>
          <w:p w14:paraId="5E909C0D">
            <w:pPr>
              <w:spacing w:before="60" w:beforeLines="25" w:after="60" w:afterLines="25"/>
              <w:rPr>
                <w:rFonts w:hint="eastAsia" w:asciiTheme="minorEastAsia" w:hAnsiTheme="minorEastAsia" w:eastAsiaTheme="minorEastAsia"/>
                <w:color w:val="000000"/>
                <w:szCs w:val="21"/>
              </w:rPr>
            </w:pPr>
          </w:p>
        </w:tc>
        <w:tc>
          <w:tcPr>
            <w:tcW w:w="611" w:type="dxa"/>
            <w:vMerge w:val="restart"/>
            <w:vAlign w:val="center"/>
          </w:tcPr>
          <w:p w14:paraId="6CBF85AC">
            <w:pPr>
              <w:spacing w:before="60" w:beforeLines="25" w:after="60" w:afterLines="25"/>
              <w:rPr>
                <w:rFonts w:hint="eastAsia" w:asciiTheme="minorEastAsia" w:hAnsiTheme="minorEastAsia" w:eastAsiaTheme="minorEastAsia"/>
                <w:color w:val="000000"/>
                <w:szCs w:val="21"/>
              </w:rPr>
            </w:pPr>
          </w:p>
        </w:tc>
        <w:tc>
          <w:tcPr>
            <w:tcW w:w="611" w:type="dxa"/>
            <w:vMerge w:val="restart"/>
            <w:vAlign w:val="center"/>
          </w:tcPr>
          <w:p w14:paraId="0A78075B">
            <w:pPr>
              <w:spacing w:before="60" w:beforeLines="25" w:after="60" w:afterLines="25"/>
              <w:rPr>
                <w:rFonts w:hint="eastAsia" w:asciiTheme="minorEastAsia" w:hAnsiTheme="minorEastAsia" w:eastAsiaTheme="minorEastAsia"/>
                <w:color w:val="000000"/>
                <w:szCs w:val="21"/>
              </w:rPr>
            </w:pPr>
          </w:p>
        </w:tc>
        <w:tc>
          <w:tcPr>
            <w:tcW w:w="625" w:type="dxa"/>
            <w:vMerge w:val="restart"/>
            <w:vAlign w:val="center"/>
          </w:tcPr>
          <w:p w14:paraId="39BEE8E1">
            <w:pPr>
              <w:spacing w:before="60" w:beforeLines="25" w:after="60" w:afterLines="25"/>
              <w:rPr>
                <w:rFonts w:hint="eastAsia" w:asciiTheme="minorEastAsia" w:hAnsiTheme="minorEastAsia" w:eastAsiaTheme="minorEastAsia"/>
                <w:color w:val="000000"/>
                <w:szCs w:val="21"/>
              </w:rPr>
            </w:pPr>
          </w:p>
        </w:tc>
      </w:tr>
      <w:tr w14:paraId="3EF6578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83" w:hRule="exact"/>
          <w:jc w:val="center"/>
        </w:trPr>
        <w:tc>
          <w:tcPr>
            <w:tcW w:w="803" w:type="dxa"/>
            <w:vMerge w:val="continue"/>
            <w:vAlign w:val="center"/>
          </w:tcPr>
          <w:p w14:paraId="42614FBA">
            <w:pPr>
              <w:spacing w:before="60" w:beforeLines="25" w:after="60" w:afterLines="25"/>
              <w:jc w:val="center"/>
              <w:rPr>
                <w:rFonts w:hint="eastAsia" w:asciiTheme="minorEastAsia" w:hAnsiTheme="minorEastAsia" w:eastAsiaTheme="minorEastAsia"/>
                <w:color w:val="000000"/>
                <w:sz w:val="24"/>
              </w:rPr>
            </w:pPr>
          </w:p>
        </w:tc>
        <w:tc>
          <w:tcPr>
            <w:tcW w:w="2903" w:type="dxa"/>
            <w:vMerge w:val="continue"/>
            <w:vAlign w:val="center"/>
          </w:tcPr>
          <w:p w14:paraId="2A3C5F39">
            <w:pPr>
              <w:spacing w:before="60" w:beforeLines="25" w:after="60" w:afterLines="25"/>
              <w:rPr>
                <w:rFonts w:hint="eastAsia" w:asciiTheme="minorEastAsia" w:hAnsiTheme="minorEastAsia" w:eastAsiaTheme="minorEastAsia"/>
                <w:color w:val="000000"/>
                <w:sz w:val="24"/>
              </w:rPr>
            </w:pPr>
          </w:p>
        </w:tc>
        <w:tc>
          <w:tcPr>
            <w:tcW w:w="4487" w:type="dxa"/>
            <w:vAlign w:val="center"/>
          </w:tcPr>
          <w:p w14:paraId="691DE093">
            <w:pPr>
              <w:rPr>
                <w:rFonts w:hint="eastAsia" w:asciiTheme="minorEastAsia" w:hAnsiTheme="minorEastAsia" w:eastAsiaTheme="minorEastAsia"/>
                <w:color w:val="000000"/>
                <w:sz w:val="24"/>
              </w:rPr>
            </w:pPr>
            <w:r>
              <w:rPr>
                <w:rFonts w:hint="eastAsia" w:asciiTheme="minorEastAsia" w:hAnsiTheme="minorEastAsia" w:eastAsiaTheme="minorEastAsia"/>
                <w:sz w:val="24"/>
              </w:rPr>
              <w:t>合理、可行、细节待完善</w:t>
            </w:r>
          </w:p>
        </w:tc>
        <w:tc>
          <w:tcPr>
            <w:tcW w:w="949" w:type="dxa"/>
            <w:vAlign w:val="center"/>
          </w:tcPr>
          <w:p w14:paraId="3A3D638F">
            <w:pPr>
              <w:spacing w:before="60" w:beforeLines="25" w:after="60" w:afterLines="25"/>
              <w:jc w:val="center"/>
              <w:rPr>
                <w:rFonts w:hint="eastAsia" w:asciiTheme="minorEastAsia" w:hAnsiTheme="minorEastAsia" w:eastAsiaTheme="minorEastAsia"/>
                <w:color w:val="000000"/>
                <w:sz w:val="24"/>
                <w:u w:val="single"/>
              </w:rPr>
            </w:pPr>
            <w:r>
              <w:rPr>
                <w:rFonts w:hint="eastAsia" w:asciiTheme="minorEastAsia" w:hAnsiTheme="minorEastAsia" w:eastAsiaTheme="minorEastAsia"/>
                <w:color w:val="000000"/>
                <w:sz w:val="24"/>
                <w:lang w:val="en-US" w:eastAsia="zh-CN"/>
              </w:rPr>
              <w:t>6</w:t>
            </w:r>
            <w:r>
              <w:rPr>
                <w:rFonts w:hint="eastAsia" w:asciiTheme="minorEastAsia" w:hAnsiTheme="minorEastAsia" w:eastAsiaTheme="minorEastAsia"/>
                <w:color w:val="000000"/>
                <w:sz w:val="24"/>
              </w:rPr>
              <w:t>分</w:t>
            </w:r>
          </w:p>
        </w:tc>
        <w:tc>
          <w:tcPr>
            <w:tcW w:w="889" w:type="dxa"/>
            <w:vMerge w:val="continue"/>
            <w:vAlign w:val="center"/>
          </w:tcPr>
          <w:p w14:paraId="60213DF6">
            <w:pPr>
              <w:spacing w:before="60" w:beforeLines="25" w:after="60" w:afterLines="25"/>
              <w:jc w:val="center"/>
              <w:rPr>
                <w:rFonts w:hint="eastAsia" w:asciiTheme="minorEastAsia" w:hAnsiTheme="minorEastAsia" w:eastAsiaTheme="minorEastAsia"/>
                <w:b/>
                <w:color w:val="000000"/>
                <w:sz w:val="32"/>
                <w:szCs w:val="21"/>
              </w:rPr>
            </w:pPr>
          </w:p>
        </w:tc>
        <w:tc>
          <w:tcPr>
            <w:tcW w:w="886" w:type="dxa"/>
            <w:vMerge w:val="continue"/>
            <w:vAlign w:val="center"/>
          </w:tcPr>
          <w:p w14:paraId="7652FE79">
            <w:pPr>
              <w:spacing w:before="60" w:beforeLines="25" w:after="60" w:afterLines="25"/>
              <w:jc w:val="center"/>
              <w:rPr>
                <w:rFonts w:hint="eastAsia" w:asciiTheme="minorEastAsia" w:hAnsiTheme="minorEastAsia" w:eastAsiaTheme="minorEastAsia"/>
                <w:b/>
                <w:color w:val="000000"/>
                <w:sz w:val="32"/>
                <w:szCs w:val="21"/>
              </w:rPr>
            </w:pPr>
          </w:p>
        </w:tc>
        <w:tc>
          <w:tcPr>
            <w:tcW w:w="738" w:type="dxa"/>
            <w:vMerge w:val="continue"/>
            <w:vAlign w:val="center"/>
          </w:tcPr>
          <w:p w14:paraId="68F96EAD">
            <w:pPr>
              <w:spacing w:before="60" w:beforeLines="25" w:after="60" w:afterLines="25"/>
              <w:jc w:val="center"/>
              <w:rPr>
                <w:rFonts w:hint="eastAsia" w:asciiTheme="minorEastAsia" w:hAnsiTheme="minorEastAsia" w:eastAsiaTheme="minorEastAsia"/>
                <w:b/>
                <w:color w:val="000000"/>
                <w:sz w:val="32"/>
                <w:szCs w:val="21"/>
              </w:rPr>
            </w:pPr>
          </w:p>
        </w:tc>
        <w:tc>
          <w:tcPr>
            <w:tcW w:w="737" w:type="dxa"/>
            <w:vMerge w:val="continue"/>
            <w:vAlign w:val="center"/>
          </w:tcPr>
          <w:p w14:paraId="4417D377">
            <w:pPr>
              <w:spacing w:before="60" w:beforeLines="25" w:after="60" w:afterLines="25"/>
              <w:jc w:val="center"/>
              <w:rPr>
                <w:rFonts w:hint="eastAsia" w:asciiTheme="minorEastAsia" w:hAnsiTheme="minorEastAsia" w:eastAsiaTheme="minorEastAsia"/>
                <w:b/>
                <w:color w:val="000000"/>
                <w:sz w:val="32"/>
                <w:szCs w:val="21"/>
              </w:rPr>
            </w:pPr>
          </w:p>
        </w:tc>
        <w:tc>
          <w:tcPr>
            <w:tcW w:w="728" w:type="dxa"/>
            <w:vMerge w:val="continue"/>
            <w:vAlign w:val="center"/>
          </w:tcPr>
          <w:p w14:paraId="6118564B">
            <w:pPr>
              <w:spacing w:before="60" w:beforeLines="25" w:after="60" w:afterLines="25"/>
              <w:rPr>
                <w:rFonts w:hint="eastAsia" w:asciiTheme="minorEastAsia" w:hAnsiTheme="minorEastAsia" w:eastAsiaTheme="minorEastAsia"/>
                <w:b/>
                <w:color w:val="000000"/>
                <w:sz w:val="32"/>
                <w:szCs w:val="21"/>
              </w:rPr>
            </w:pPr>
          </w:p>
        </w:tc>
        <w:tc>
          <w:tcPr>
            <w:tcW w:w="611" w:type="dxa"/>
            <w:vMerge w:val="continue"/>
            <w:vAlign w:val="center"/>
          </w:tcPr>
          <w:p w14:paraId="7DB361D2">
            <w:pPr>
              <w:spacing w:before="60" w:beforeLines="25" w:after="60" w:afterLines="25"/>
              <w:rPr>
                <w:rFonts w:hint="eastAsia" w:asciiTheme="minorEastAsia" w:hAnsiTheme="minorEastAsia" w:eastAsiaTheme="minorEastAsia"/>
                <w:b/>
                <w:color w:val="000000"/>
                <w:sz w:val="32"/>
                <w:szCs w:val="21"/>
              </w:rPr>
            </w:pPr>
          </w:p>
        </w:tc>
        <w:tc>
          <w:tcPr>
            <w:tcW w:w="611" w:type="dxa"/>
            <w:vMerge w:val="continue"/>
            <w:vAlign w:val="center"/>
          </w:tcPr>
          <w:p w14:paraId="65BCA8AD">
            <w:pPr>
              <w:spacing w:before="60" w:beforeLines="25" w:after="60" w:afterLines="25"/>
              <w:rPr>
                <w:rFonts w:hint="eastAsia" w:asciiTheme="minorEastAsia" w:hAnsiTheme="minorEastAsia" w:eastAsiaTheme="minorEastAsia"/>
                <w:b/>
                <w:color w:val="000000"/>
                <w:sz w:val="32"/>
                <w:szCs w:val="21"/>
              </w:rPr>
            </w:pPr>
          </w:p>
        </w:tc>
        <w:tc>
          <w:tcPr>
            <w:tcW w:w="625" w:type="dxa"/>
            <w:vMerge w:val="continue"/>
            <w:vAlign w:val="center"/>
          </w:tcPr>
          <w:p w14:paraId="119FEA90">
            <w:pPr>
              <w:spacing w:before="60" w:beforeLines="25" w:after="60" w:afterLines="25"/>
              <w:rPr>
                <w:rFonts w:hint="eastAsia" w:asciiTheme="minorEastAsia" w:hAnsiTheme="minorEastAsia" w:eastAsiaTheme="minorEastAsia"/>
                <w:b/>
                <w:color w:val="000000"/>
                <w:sz w:val="32"/>
                <w:szCs w:val="21"/>
              </w:rPr>
            </w:pPr>
          </w:p>
        </w:tc>
      </w:tr>
      <w:tr w14:paraId="3C2F9C9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83" w:hRule="exact"/>
          <w:jc w:val="center"/>
        </w:trPr>
        <w:tc>
          <w:tcPr>
            <w:tcW w:w="803" w:type="dxa"/>
            <w:vMerge w:val="continue"/>
            <w:vAlign w:val="center"/>
          </w:tcPr>
          <w:p w14:paraId="0B87A464">
            <w:pPr>
              <w:spacing w:before="60" w:beforeLines="25" w:after="60" w:afterLines="25"/>
              <w:jc w:val="center"/>
              <w:rPr>
                <w:rFonts w:hint="eastAsia" w:asciiTheme="minorEastAsia" w:hAnsiTheme="minorEastAsia" w:eastAsiaTheme="minorEastAsia"/>
                <w:color w:val="000000"/>
                <w:sz w:val="24"/>
              </w:rPr>
            </w:pPr>
          </w:p>
        </w:tc>
        <w:tc>
          <w:tcPr>
            <w:tcW w:w="2903" w:type="dxa"/>
            <w:vMerge w:val="continue"/>
            <w:vAlign w:val="center"/>
          </w:tcPr>
          <w:p w14:paraId="6DBA5077">
            <w:pPr>
              <w:spacing w:before="60" w:beforeLines="25" w:after="60" w:afterLines="25"/>
              <w:rPr>
                <w:rFonts w:hint="eastAsia" w:asciiTheme="minorEastAsia" w:hAnsiTheme="minorEastAsia" w:eastAsiaTheme="minorEastAsia"/>
                <w:color w:val="000000"/>
                <w:sz w:val="24"/>
              </w:rPr>
            </w:pPr>
          </w:p>
        </w:tc>
        <w:tc>
          <w:tcPr>
            <w:tcW w:w="4487" w:type="dxa"/>
            <w:vAlign w:val="center"/>
          </w:tcPr>
          <w:p w14:paraId="1FADD1A7">
            <w:pPr>
              <w:rPr>
                <w:rFonts w:hint="eastAsia" w:asciiTheme="minorEastAsia" w:hAnsiTheme="minorEastAsia" w:eastAsiaTheme="minorEastAsia"/>
                <w:color w:val="000000"/>
                <w:sz w:val="24"/>
              </w:rPr>
            </w:pPr>
            <w:r>
              <w:rPr>
                <w:rFonts w:hint="eastAsia" w:asciiTheme="minorEastAsia" w:hAnsiTheme="minorEastAsia" w:eastAsiaTheme="minorEastAsia"/>
                <w:sz w:val="24"/>
              </w:rPr>
              <w:t>基本满足工程需要</w:t>
            </w:r>
          </w:p>
        </w:tc>
        <w:tc>
          <w:tcPr>
            <w:tcW w:w="949" w:type="dxa"/>
            <w:vAlign w:val="center"/>
          </w:tcPr>
          <w:p w14:paraId="6A50C736">
            <w:pPr>
              <w:spacing w:before="60" w:beforeLines="25" w:after="60" w:afterLines="25"/>
              <w:jc w:val="center"/>
              <w:rPr>
                <w:rFonts w:hint="eastAsia" w:asciiTheme="minorEastAsia" w:hAnsiTheme="minorEastAsia" w:eastAsiaTheme="minorEastAsia"/>
                <w:color w:val="000000"/>
                <w:sz w:val="24"/>
              </w:rPr>
            </w:pPr>
            <w:r>
              <w:rPr>
                <w:rFonts w:hint="eastAsia" w:asciiTheme="minorEastAsia" w:hAnsiTheme="minorEastAsia" w:eastAsiaTheme="minorEastAsia"/>
                <w:color w:val="000000"/>
                <w:sz w:val="24"/>
                <w:lang w:val="en-US" w:eastAsia="zh-CN"/>
              </w:rPr>
              <w:t>4</w:t>
            </w:r>
            <w:r>
              <w:rPr>
                <w:rFonts w:hint="eastAsia" w:asciiTheme="minorEastAsia" w:hAnsiTheme="minorEastAsia" w:eastAsiaTheme="minorEastAsia"/>
                <w:color w:val="000000"/>
                <w:sz w:val="24"/>
              </w:rPr>
              <w:t>分</w:t>
            </w:r>
          </w:p>
        </w:tc>
        <w:tc>
          <w:tcPr>
            <w:tcW w:w="889" w:type="dxa"/>
            <w:vMerge w:val="continue"/>
            <w:vAlign w:val="center"/>
          </w:tcPr>
          <w:p w14:paraId="37F750C3">
            <w:pPr>
              <w:spacing w:before="60" w:beforeLines="25" w:after="60" w:afterLines="25"/>
              <w:jc w:val="center"/>
              <w:rPr>
                <w:rFonts w:hint="eastAsia" w:asciiTheme="minorEastAsia" w:hAnsiTheme="minorEastAsia" w:eastAsiaTheme="minorEastAsia"/>
                <w:b/>
                <w:color w:val="000000"/>
                <w:sz w:val="32"/>
                <w:szCs w:val="21"/>
              </w:rPr>
            </w:pPr>
          </w:p>
        </w:tc>
        <w:tc>
          <w:tcPr>
            <w:tcW w:w="886" w:type="dxa"/>
            <w:vMerge w:val="continue"/>
            <w:vAlign w:val="center"/>
          </w:tcPr>
          <w:p w14:paraId="25E22321">
            <w:pPr>
              <w:spacing w:before="60" w:beforeLines="25" w:after="60" w:afterLines="25"/>
              <w:jc w:val="center"/>
              <w:rPr>
                <w:rFonts w:hint="eastAsia" w:asciiTheme="minorEastAsia" w:hAnsiTheme="minorEastAsia" w:eastAsiaTheme="minorEastAsia"/>
                <w:b/>
                <w:color w:val="000000"/>
                <w:sz w:val="32"/>
                <w:szCs w:val="21"/>
              </w:rPr>
            </w:pPr>
          </w:p>
        </w:tc>
        <w:tc>
          <w:tcPr>
            <w:tcW w:w="738" w:type="dxa"/>
            <w:vMerge w:val="continue"/>
            <w:vAlign w:val="center"/>
          </w:tcPr>
          <w:p w14:paraId="6F6A7E1B">
            <w:pPr>
              <w:spacing w:before="60" w:beforeLines="25" w:after="60" w:afterLines="25"/>
              <w:jc w:val="center"/>
              <w:rPr>
                <w:rFonts w:hint="eastAsia" w:asciiTheme="minorEastAsia" w:hAnsiTheme="minorEastAsia" w:eastAsiaTheme="minorEastAsia"/>
                <w:b/>
                <w:color w:val="000000"/>
                <w:sz w:val="32"/>
                <w:szCs w:val="21"/>
              </w:rPr>
            </w:pPr>
          </w:p>
        </w:tc>
        <w:tc>
          <w:tcPr>
            <w:tcW w:w="737" w:type="dxa"/>
            <w:vMerge w:val="continue"/>
            <w:vAlign w:val="center"/>
          </w:tcPr>
          <w:p w14:paraId="6374B8D5">
            <w:pPr>
              <w:spacing w:before="60" w:beforeLines="25" w:after="60" w:afterLines="25"/>
              <w:jc w:val="center"/>
              <w:rPr>
                <w:rFonts w:hint="eastAsia" w:asciiTheme="minorEastAsia" w:hAnsiTheme="minorEastAsia" w:eastAsiaTheme="minorEastAsia"/>
                <w:b/>
                <w:color w:val="000000"/>
                <w:sz w:val="32"/>
                <w:szCs w:val="21"/>
              </w:rPr>
            </w:pPr>
          </w:p>
        </w:tc>
        <w:tc>
          <w:tcPr>
            <w:tcW w:w="728" w:type="dxa"/>
            <w:vMerge w:val="continue"/>
            <w:vAlign w:val="center"/>
          </w:tcPr>
          <w:p w14:paraId="0FE3BA4B">
            <w:pPr>
              <w:spacing w:before="60" w:beforeLines="25" w:after="60" w:afterLines="25"/>
              <w:rPr>
                <w:rFonts w:hint="eastAsia" w:asciiTheme="minorEastAsia" w:hAnsiTheme="minorEastAsia" w:eastAsiaTheme="minorEastAsia"/>
                <w:b/>
                <w:color w:val="000000"/>
                <w:sz w:val="32"/>
                <w:szCs w:val="21"/>
              </w:rPr>
            </w:pPr>
          </w:p>
        </w:tc>
        <w:tc>
          <w:tcPr>
            <w:tcW w:w="611" w:type="dxa"/>
            <w:vMerge w:val="continue"/>
            <w:vAlign w:val="center"/>
          </w:tcPr>
          <w:p w14:paraId="2E6E8CD7">
            <w:pPr>
              <w:spacing w:before="60" w:beforeLines="25" w:after="60" w:afterLines="25"/>
              <w:rPr>
                <w:rFonts w:hint="eastAsia" w:asciiTheme="minorEastAsia" w:hAnsiTheme="minorEastAsia" w:eastAsiaTheme="minorEastAsia"/>
                <w:b/>
                <w:color w:val="000000"/>
                <w:sz w:val="32"/>
                <w:szCs w:val="21"/>
              </w:rPr>
            </w:pPr>
          </w:p>
        </w:tc>
        <w:tc>
          <w:tcPr>
            <w:tcW w:w="611" w:type="dxa"/>
            <w:vMerge w:val="continue"/>
            <w:vAlign w:val="center"/>
          </w:tcPr>
          <w:p w14:paraId="621DD36B">
            <w:pPr>
              <w:spacing w:before="60" w:beforeLines="25" w:after="60" w:afterLines="25"/>
              <w:rPr>
                <w:rFonts w:hint="eastAsia" w:asciiTheme="minorEastAsia" w:hAnsiTheme="minorEastAsia" w:eastAsiaTheme="minorEastAsia"/>
                <w:b/>
                <w:color w:val="000000"/>
                <w:sz w:val="32"/>
                <w:szCs w:val="21"/>
              </w:rPr>
            </w:pPr>
          </w:p>
        </w:tc>
        <w:tc>
          <w:tcPr>
            <w:tcW w:w="625" w:type="dxa"/>
            <w:vMerge w:val="continue"/>
            <w:vAlign w:val="center"/>
          </w:tcPr>
          <w:p w14:paraId="2D449C5E">
            <w:pPr>
              <w:spacing w:before="60" w:beforeLines="25" w:after="60" w:afterLines="25"/>
              <w:rPr>
                <w:rFonts w:hint="eastAsia" w:asciiTheme="minorEastAsia" w:hAnsiTheme="minorEastAsia" w:eastAsiaTheme="minorEastAsia"/>
                <w:b/>
                <w:color w:val="000000"/>
                <w:sz w:val="32"/>
                <w:szCs w:val="21"/>
              </w:rPr>
            </w:pPr>
          </w:p>
        </w:tc>
      </w:tr>
      <w:tr w14:paraId="3136AE1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83" w:hRule="exact"/>
          <w:jc w:val="center"/>
        </w:trPr>
        <w:tc>
          <w:tcPr>
            <w:tcW w:w="803" w:type="dxa"/>
            <w:vMerge w:val="continue"/>
            <w:vAlign w:val="center"/>
          </w:tcPr>
          <w:p w14:paraId="0997098D">
            <w:pPr>
              <w:spacing w:before="60" w:beforeLines="25" w:after="60" w:afterLines="25"/>
              <w:jc w:val="center"/>
              <w:rPr>
                <w:rFonts w:hint="eastAsia" w:asciiTheme="minorEastAsia" w:hAnsiTheme="minorEastAsia" w:eastAsiaTheme="minorEastAsia"/>
                <w:b/>
                <w:color w:val="000000"/>
                <w:sz w:val="24"/>
              </w:rPr>
            </w:pPr>
          </w:p>
        </w:tc>
        <w:tc>
          <w:tcPr>
            <w:tcW w:w="2903" w:type="dxa"/>
            <w:vMerge w:val="continue"/>
            <w:vAlign w:val="center"/>
          </w:tcPr>
          <w:p w14:paraId="02561EA6">
            <w:pPr>
              <w:spacing w:before="60" w:beforeLines="25" w:after="60" w:afterLines="25"/>
              <w:rPr>
                <w:rFonts w:hint="eastAsia" w:asciiTheme="minorEastAsia" w:hAnsiTheme="minorEastAsia" w:eastAsiaTheme="minorEastAsia"/>
                <w:b/>
                <w:color w:val="000000"/>
                <w:sz w:val="24"/>
              </w:rPr>
            </w:pPr>
          </w:p>
        </w:tc>
        <w:tc>
          <w:tcPr>
            <w:tcW w:w="4487" w:type="dxa"/>
            <w:vAlign w:val="center"/>
          </w:tcPr>
          <w:p w14:paraId="3CE2712A">
            <w:pPr>
              <w:rPr>
                <w:rFonts w:hint="eastAsia" w:asciiTheme="minorEastAsia" w:hAnsiTheme="minorEastAsia" w:eastAsiaTheme="minorEastAsia"/>
                <w:color w:val="000000"/>
                <w:sz w:val="24"/>
              </w:rPr>
            </w:pPr>
            <w:r>
              <w:rPr>
                <w:rFonts w:hint="eastAsia" w:asciiTheme="minorEastAsia" w:hAnsiTheme="minorEastAsia" w:eastAsiaTheme="minorEastAsia"/>
                <w:sz w:val="24"/>
              </w:rPr>
              <w:t>欠合理，可行性差</w:t>
            </w:r>
          </w:p>
        </w:tc>
        <w:tc>
          <w:tcPr>
            <w:tcW w:w="949" w:type="dxa"/>
            <w:vAlign w:val="center"/>
          </w:tcPr>
          <w:p w14:paraId="561C2E34">
            <w:pPr>
              <w:spacing w:before="60" w:beforeLines="25" w:after="60" w:afterLines="25"/>
              <w:jc w:val="center"/>
              <w:rPr>
                <w:rFonts w:hint="eastAsia" w:asciiTheme="minorEastAsia" w:hAnsiTheme="minorEastAsia" w:eastAsiaTheme="minorEastAsia"/>
                <w:color w:val="000000"/>
                <w:sz w:val="24"/>
                <w:u w:val="single"/>
              </w:rPr>
            </w:pPr>
            <w:r>
              <w:rPr>
                <w:rFonts w:hint="eastAsia" w:asciiTheme="minorEastAsia" w:hAnsiTheme="minorEastAsia" w:eastAsiaTheme="minorEastAsia"/>
                <w:color w:val="000000"/>
                <w:sz w:val="24"/>
              </w:rPr>
              <w:t>1分</w:t>
            </w:r>
          </w:p>
        </w:tc>
        <w:tc>
          <w:tcPr>
            <w:tcW w:w="889" w:type="dxa"/>
            <w:vMerge w:val="continue"/>
            <w:vAlign w:val="center"/>
          </w:tcPr>
          <w:p w14:paraId="1225587C">
            <w:pPr>
              <w:spacing w:before="60" w:beforeLines="25" w:after="60" w:afterLines="25"/>
              <w:jc w:val="center"/>
              <w:rPr>
                <w:rFonts w:hint="eastAsia" w:asciiTheme="minorEastAsia" w:hAnsiTheme="minorEastAsia" w:eastAsiaTheme="minorEastAsia"/>
                <w:b/>
                <w:color w:val="000000"/>
                <w:sz w:val="32"/>
                <w:szCs w:val="21"/>
              </w:rPr>
            </w:pPr>
          </w:p>
        </w:tc>
        <w:tc>
          <w:tcPr>
            <w:tcW w:w="886" w:type="dxa"/>
            <w:vMerge w:val="continue"/>
            <w:vAlign w:val="center"/>
          </w:tcPr>
          <w:p w14:paraId="3DC04D7C">
            <w:pPr>
              <w:spacing w:before="60" w:beforeLines="25" w:after="60" w:afterLines="25"/>
              <w:jc w:val="center"/>
              <w:rPr>
                <w:rFonts w:hint="eastAsia" w:asciiTheme="minorEastAsia" w:hAnsiTheme="minorEastAsia" w:eastAsiaTheme="minorEastAsia"/>
                <w:b/>
                <w:color w:val="000000"/>
                <w:sz w:val="32"/>
                <w:szCs w:val="21"/>
              </w:rPr>
            </w:pPr>
          </w:p>
        </w:tc>
        <w:tc>
          <w:tcPr>
            <w:tcW w:w="738" w:type="dxa"/>
            <w:vMerge w:val="continue"/>
            <w:vAlign w:val="center"/>
          </w:tcPr>
          <w:p w14:paraId="15696FFB">
            <w:pPr>
              <w:spacing w:before="60" w:beforeLines="25" w:after="60" w:afterLines="25"/>
              <w:jc w:val="center"/>
              <w:rPr>
                <w:rFonts w:hint="eastAsia" w:asciiTheme="minorEastAsia" w:hAnsiTheme="minorEastAsia" w:eastAsiaTheme="minorEastAsia"/>
                <w:b/>
                <w:color w:val="000000"/>
                <w:sz w:val="32"/>
                <w:szCs w:val="21"/>
              </w:rPr>
            </w:pPr>
          </w:p>
        </w:tc>
        <w:tc>
          <w:tcPr>
            <w:tcW w:w="737" w:type="dxa"/>
            <w:vMerge w:val="continue"/>
            <w:vAlign w:val="center"/>
          </w:tcPr>
          <w:p w14:paraId="08F9B32C">
            <w:pPr>
              <w:spacing w:before="60" w:beforeLines="25" w:after="60" w:afterLines="25"/>
              <w:jc w:val="center"/>
              <w:rPr>
                <w:rFonts w:hint="eastAsia" w:asciiTheme="minorEastAsia" w:hAnsiTheme="minorEastAsia" w:eastAsiaTheme="minorEastAsia"/>
                <w:b/>
                <w:color w:val="000000"/>
                <w:sz w:val="32"/>
                <w:szCs w:val="21"/>
              </w:rPr>
            </w:pPr>
          </w:p>
        </w:tc>
        <w:tc>
          <w:tcPr>
            <w:tcW w:w="728" w:type="dxa"/>
            <w:vMerge w:val="continue"/>
            <w:vAlign w:val="center"/>
          </w:tcPr>
          <w:p w14:paraId="6E5B614B">
            <w:pPr>
              <w:spacing w:before="60" w:beforeLines="25" w:after="60" w:afterLines="25"/>
              <w:rPr>
                <w:rFonts w:hint="eastAsia" w:asciiTheme="minorEastAsia" w:hAnsiTheme="minorEastAsia" w:eastAsiaTheme="minorEastAsia"/>
                <w:b/>
                <w:color w:val="000000"/>
                <w:sz w:val="32"/>
                <w:szCs w:val="21"/>
              </w:rPr>
            </w:pPr>
          </w:p>
        </w:tc>
        <w:tc>
          <w:tcPr>
            <w:tcW w:w="611" w:type="dxa"/>
            <w:vMerge w:val="continue"/>
            <w:vAlign w:val="center"/>
          </w:tcPr>
          <w:p w14:paraId="42B070EF">
            <w:pPr>
              <w:spacing w:before="60" w:beforeLines="25" w:after="60" w:afterLines="25"/>
              <w:rPr>
                <w:rFonts w:hint="eastAsia" w:asciiTheme="minorEastAsia" w:hAnsiTheme="minorEastAsia" w:eastAsiaTheme="minorEastAsia"/>
                <w:b/>
                <w:color w:val="000000"/>
                <w:sz w:val="32"/>
                <w:szCs w:val="21"/>
              </w:rPr>
            </w:pPr>
          </w:p>
        </w:tc>
        <w:tc>
          <w:tcPr>
            <w:tcW w:w="611" w:type="dxa"/>
            <w:vMerge w:val="continue"/>
            <w:vAlign w:val="center"/>
          </w:tcPr>
          <w:p w14:paraId="05E94FE1">
            <w:pPr>
              <w:spacing w:before="60" w:beforeLines="25" w:after="60" w:afterLines="25"/>
              <w:rPr>
                <w:rFonts w:hint="eastAsia" w:asciiTheme="minorEastAsia" w:hAnsiTheme="minorEastAsia" w:eastAsiaTheme="minorEastAsia"/>
                <w:b/>
                <w:color w:val="000000"/>
                <w:sz w:val="32"/>
                <w:szCs w:val="21"/>
              </w:rPr>
            </w:pPr>
          </w:p>
        </w:tc>
        <w:tc>
          <w:tcPr>
            <w:tcW w:w="625" w:type="dxa"/>
            <w:vMerge w:val="continue"/>
            <w:vAlign w:val="center"/>
          </w:tcPr>
          <w:p w14:paraId="62AA100D">
            <w:pPr>
              <w:spacing w:before="60" w:beforeLines="25" w:after="60" w:afterLines="25"/>
              <w:rPr>
                <w:rFonts w:hint="eastAsia" w:asciiTheme="minorEastAsia" w:hAnsiTheme="minorEastAsia" w:eastAsiaTheme="minorEastAsia"/>
                <w:b/>
                <w:color w:val="000000"/>
                <w:sz w:val="32"/>
                <w:szCs w:val="21"/>
              </w:rPr>
            </w:pPr>
          </w:p>
        </w:tc>
      </w:tr>
      <w:tr w14:paraId="23349CC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83" w:hRule="exact"/>
          <w:jc w:val="center"/>
        </w:trPr>
        <w:tc>
          <w:tcPr>
            <w:tcW w:w="803" w:type="dxa"/>
            <w:vMerge w:val="continue"/>
            <w:vAlign w:val="center"/>
          </w:tcPr>
          <w:p w14:paraId="19C1B3BA">
            <w:pPr>
              <w:spacing w:before="60" w:beforeLines="25" w:after="60" w:afterLines="25"/>
              <w:jc w:val="center"/>
              <w:rPr>
                <w:rFonts w:hint="eastAsia" w:asciiTheme="minorEastAsia" w:hAnsiTheme="minorEastAsia" w:eastAsiaTheme="minorEastAsia"/>
                <w:b/>
                <w:color w:val="000000"/>
                <w:sz w:val="24"/>
              </w:rPr>
            </w:pPr>
          </w:p>
        </w:tc>
        <w:tc>
          <w:tcPr>
            <w:tcW w:w="2903" w:type="dxa"/>
            <w:vMerge w:val="continue"/>
            <w:vAlign w:val="center"/>
          </w:tcPr>
          <w:p w14:paraId="3718945A">
            <w:pPr>
              <w:spacing w:before="60" w:beforeLines="25" w:after="60" w:afterLines="25"/>
              <w:rPr>
                <w:rFonts w:hint="eastAsia" w:asciiTheme="minorEastAsia" w:hAnsiTheme="minorEastAsia" w:eastAsiaTheme="minorEastAsia"/>
                <w:b/>
                <w:color w:val="000000"/>
                <w:sz w:val="24"/>
              </w:rPr>
            </w:pPr>
          </w:p>
        </w:tc>
        <w:tc>
          <w:tcPr>
            <w:tcW w:w="4487" w:type="dxa"/>
            <w:vAlign w:val="center"/>
          </w:tcPr>
          <w:p w14:paraId="450019DC">
            <w:pPr>
              <w:rPr>
                <w:rFonts w:hint="eastAsia" w:asciiTheme="minorEastAsia" w:hAnsiTheme="minorEastAsia" w:eastAsiaTheme="minorEastAsia"/>
                <w:color w:val="000000"/>
                <w:sz w:val="24"/>
              </w:rPr>
            </w:pPr>
            <w:r>
              <w:rPr>
                <w:rFonts w:hint="eastAsia" w:asciiTheme="minorEastAsia" w:hAnsiTheme="minorEastAsia" w:eastAsiaTheme="minorEastAsia"/>
                <w:sz w:val="24"/>
              </w:rPr>
              <w:t>未提供</w:t>
            </w:r>
          </w:p>
        </w:tc>
        <w:tc>
          <w:tcPr>
            <w:tcW w:w="949" w:type="dxa"/>
            <w:vAlign w:val="center"/>
          </w:tcPr>
          <w:p w14:paraId="2FECEC9B">
            <w:pPr>
              <w:spacing w:before="60" w:beforeLines="25" w:after="60" w:afterLines="25"/>
              <w:jc w:val="center"/>
              <w:rPr>
                <w:rFonts w:hint="eastAsia" w:asciiTheme="minorEastAsia" w:hAnsiTheme="minorEastAsia" w:eastAsiaTheme="minorEastAsia"/>
                <w:color w:val="000000"/>
                <w:sz w:val="24"/>
                <w:u w:val="single"/>
              </w:rPr>
            </w:pPr>
            <w:r>
              <w:rPr>
                <w:rFonts w:asciiTheme="minorEastAsia" w:hAnsiTheme="minorEastAsia" w:eastAsiaTheme="minorEastAsia"/>
                <w:color w:val="000000"/>
                <w:sz w:val="24"/>
              </w:rPr>
              <w:t>0</w:t>
            </w:r>
            <w:r>
              <w:rPr>
                <w:rFonts w:hint="eastAsia" w:asciiTheme="minorEastAsia" w:hAnsiTheme="minorEastAsia" w:eastAsiaTheme="minorEastAsia"/>
                <w:color w:val="000000"/>
                <w:sz w:val="24"/>
              </w:rPr>
              <w:t>分</w:t>
            </w:r>
          </w:p>
        </w:tc>
        <w:tc>
          <w:tcPr>
            <w:tcW w:w="889" w:type="dxa"/>
            <w:vMerge w:val="continue"/>
            <w:vAlign w:val="center"/>
          </w:tcPr>
          <w:p w14:paraId="2F3DCE6D">
            <w:pPr>
              <w:spacing w:before="60" w:beforeLines="25" w:after="60" w:afterLines="25"/>
              <w:jc w:val="center"/>
              <w:rPr>
                <w:rFonts w:hint="eastAsia" w:asciiTheme="minorEastAsia" w:hAnsiTheme="minorEastAsia" w:eastAsiaTheme="minorEastAsia"/>
                <w:b/>
                <w:color w:val="000000"/>
                <w:sz w:val="32"/>
                <w:szCs w:val="21"/>
              </w:rPr>
            </w:pPr>
          </w:p>
        </w:tc>
        <w:tc>
          <w:tcPr>
            <w:tcW w:w="886" w:type="dxa"/>
            <w:vMerge w:val="continue"/>
            <w:vAlign w:val="center"/>
          </w:tcPr>
          <w:p w14:paraId="7124F673">
            <w:pPr>
              <w:spacing w:before="60" w:beforeLines="25" w:after="60" w:afterLines="25"/>
              <w:jc w:val="center"/>
              <w:rPr>
                <w:rFonts w:hint="eastAsia" w:asciiTheme="minorEastAsia" w:hAnsiTheme="minorEastAsia" w:eastAsiaTheme="minorEastAsia"/>
                <w:b/>
                <w:color w:val="000000"/>
                <w:sz w:val="32"/>
                <w:szCs w:val="21"/>
              </w:rPr>
            </w:pPr>
          </w:p>
        </w:tc>
        <w:tc>
          <w:tcPr>
            <w:tcW w:w="738" w:type="dxa"/>
            <w:vMerge w:val="continue"/>
            <w:vAlign w:val="center"/>
          </w:tcPr>
          <w:p w14:paraId="320F853A">
            <w:pPr>
              <w:spacing w:before="60" w:beforeLines="25" w:after="60" w:afterLines="25"/>
              <w:jc w:val="center"/>
              <w:rPr>
                <w:rFonts w:hint="eastAsia" w:asciiTheme="minorEastAsia" w:hAnsiTheme="minorEastAsia" w:eastAsiaTheme="minorEastAsia"/>
                <w:b/>
                <w:color w:val="000000"/>
                <w:sz w:val="32"/>
                <w:szCs w:val="21"/>
              </w:rPr>
            </w:pPr>
          </w:p>
        </w:tc>
        <w:tc>
          <w:tcPr>
            <w:tcW w:w="737" w:type="dxa"/>
            <w:vMerge w:val="continue"/>
            <w:vAlign w:val="center"/>
          </w:tcPr>
          <w:p w14:paraId="1876C7D5">
            <w:pPr>
              <w:spacing w:before="60" w:beforeLines="25" w:after="60" w:afterLines="25"/>
              <w:jc w:val="center"/>
              <w:rPr>
                <w:rFonts w:hint="eastAsia" w:asciiTheme="minorEastAsia" w:hAnsiTheme="minorEastAsia" w:eastAsiaTheme="minorEastAsia"/>
                <w:b/>
                <w:color w:val="000000"/>
                <w:sz w:val="32"/>
                <w:szCs w:val="21"/>
              </w:rPr>
            </w:pPr>
          </w:p>
        </w:tc>
        <w:tc>
          <w:tcPr>
            <w:tcW w:w="728" w:type="dxa"/>
            <w:vMerge w:val="continue"/>
            <w:vAlign w:val="center"/>
          </w:tcPr>
          <w:p w14:paraId="1FDCEDFA">
            <w:pPr>
              <w:spacing w:before="60" w:beforeLines="25" w:after="60" w:afterLines="25"/>
              <w:rPr>
                <w:rFonts w:hint="eastAsia" w:asciiTheme="minorEastAsia" w:hAnsiTheme="minorEastAsia" w:eastAsiaTheme="minorEastAsia"/>
                <w:b/>
                <w:color w:val="000000"/>
                <w:sz w:val="32"/>
                <w:szCs w:val="21"/>
              </w:rPr>
            </w:pPr>
          </w:p>
        </w:tc>
        <w:tc>
          <w:tcPr>
            <w:tcW w:w="611" w:type="dxa"/>
            <w:vMerge w:val="continue"/>
            <w:vAlign w:val="center"/>
          </w:tcPr>
          <w:p w14:paraId="79A2611D">
            <w:pPr>
              <w:spacing w:before="60" w:beforeLines="25" w:after="60" w:afterLines="25"/>
              <w:rPr>
                <w:rFonts w:hint="eastAsia" w:asciiTheme="minorEastAsia" w:hAnsiTheme="minorEastAsia" w:eastAsiaTheme="minorEastAsia"/>
                <w:b/>
                <w:color w:val="000000"/>
                <w:sz w:val="32"/>
                <w:szCs w:val="21"/>
              </w:rPr>
            </w:pPr>
          </w:p>
        </w:tc>
        <w:tc>
          <w:tcPr>
            <w:tcW w:w="611" w:type="dxa"/>
            <w:vMerge w:val="continue"/>
            <w:vAlign w:val="center"/>
          </w:tcPr>
          <w:p w14:paraId="657498CF">
            <w:pPr>
              <w:spacing w:before="60" w:beforeLines="25" w:after="60" w:afterLines="25"/>
              <w:rPr>
                <w:rFonts w:hint="eastAsia" w:asciiTheme="minorEastAsia" w:hAnsiTheme="minorEastAsia" w:eastAsiaTheme="minorEastAsia"/>
                <w:b/>
                <w:color w:val="000000"/>
                <w:sz w:val="32"/>
                <w:szCs w:val="21"/>
              </w:rPr>
            </w:pPr>
          </w:p>
        </w:tc>
        <w:tc>
          <w:tcPr>
            <w:tcW w:w="625" w:type="dxa"/>
            <w:vMerge w:val="continue"/>
            <w:vAlign w:val="center"/>
          </w:tcPr>
          <w:p w14:paraId="45172008">
            <w:pPr>
              <w:spacing w:before="60" w:beforeLines="25" w:after="60" w:afterLines="25"/>
              <w:rPr>
                <w:rFonts w:hint="eastAsia" w:asciiTheme="minorEastAsia" w:hAnsiTheme="minorEastAsia" w:eastAsiaTheme="minorEastAsia"/>
                <w:b/>
                <w:color w:val="000000"/>
                <w:sz w:val="32"/>
                <w:szCs w:val="21"/>
              </w:rPr>
            </w:pPr>
          </w:p>
        </w:tc>
      </w:tr>
      <w:tr w14:paraId="0BAF471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83" w:hRule="exact"/>
          <w:jc w:val="center"/>
        </w:trPr>
        <w:tc>
          <w:tcPr>
            <w:tcW w:w="803" w:type="dxa"/>
            <w:vMerge w:val="restart"/>
            <w:vAlign w:val="center"/>
          </w:tcPr>
          <w:p w14:paraId="346FA89B">
            <w:pPr>
              <w:spacing w:before="60" w:beforeLines="25" w:after="60" w:afterLines="25"/>
              <w:jc w:val="center"/>
              <w:rPr>
                <w:rFonts w:hint="eastAsia" w:asciiTheme="minorEastAsia" w:hAnsiTheme="minorEastAsia" w:eastAsiaTheme="minorEastAsia"/>
                <w:color w:val="000000"/>
                <w:sz w:val="24"/>
              </w:rPr>
            </w:pPr>
            <w:r>
              <w:rPr>
                <w:rFonts w:hint="eastAsia" w:asciiTheme="minorEastAsia" w:hAnsiTheme="minorEastAsia" w:eastAsiaTheme="minorEastAsia"/>
                <w:color w:val="000000"/>
                <w:sz w:val="24"/>
              </w:rPr>
              <w:t>4</w:t>
            </w:r>
          </w:p>
        </w:tc>
        <w:tc>
          <w:tcPr>
            <w:tcW w:w="2903" w:type="dxa"/>
            <w:vMerge w:val="restart"/>
            <w:vAlign w:val="center"/>
          </w:tcPr>
          <w:p w14:paraId="3AA41721">
            <w:pPr>
              <w:spacing w:before="60" w:beforeLines="25" w:after="60" w:afterLines="25"/>
              <w:jc w:val="center"/>
              <w:rPr>
                <w:rFonts w:hint="eastAsia" w:asciiTheme="minorEastAsia" w:hAnsiTheme="minorEastAsia" w:eastAsiaTheme="minorEastAsia"/>
                <w:color w:val="000000"/>
                <w:sz w:val="24"/>
              </w:rPr>
            </w:pPr>
            <w:r>
              <w:rPr>
                <w:rFonts w:hint="eastAsia" w:asciiTheme="minorEastAsia" w:hAnsiTheme="minorEastAsia" w:eastAsiaTheme="minorEastAsia"/>
                <w:color w:val="000000"/>
                <w:sz w:val="24"/>
              </w:rPr>
              <w:t>工程进度计划</w:t>
            </w:r>
          </w:p>
          <w:p w14:paraId="44181824">
            <w:pPr>
              <w:spacing w:before="60" w:beforeLines="25" w:after="60" w:afterLines="25"/>
              <w:jc w:val="center"/>
              <w:rPr>
                <w:rFonts w:hint="eastAsia" w:asciiTheme="minorEastAsia" w:hAnsiTheme="minorEastAsia" w:eastAsiaTheme="minorEastAsia"/>
                <w:color w:val="000000"/>
                <w:sz w:val="24"/>
              </w:rPr>
            </w:pPr>
            <w:r>
              <w:rPr>
                <w:rFonts w:hint="eastAsia" w:asciiTheme="minorEastAsia" w:hAnsiTheme="minorEastAsia" w:eastAsiaTheme="minorEastAsia"/>
                <w:color w:val="000000"/>
                <w:sz w:val="24"/>
              </w:rPr>
              <w:t>与保证措施</w:t>
            </w:r>
          </w:p>
        </w:tc>
        <w:tc>
          <w:tcPr>
            <w:tcW w:w="4487" w:type="dxa"/>
            <w:vAlign w:val="center"/>
          </w:tcPr>
          <w:p w14:paraId="6B62FE08">
            <w:pPr>
              <w:spacing w:before="60" w:beforeLines="25" w:after="60" w:afterLines="25"/>
              <w:jc w:val="left"/>
              <w:rPr>
                <w:rFonts w:hint="eastAsia" w:asciiTheme="minorEastAsia" w:hAnsiTheme="minorEastAsia" w:eastAsiaTheme="minorEastAsia"/>
                <w:color w:val="000000"/>
                <w:sz w:val="24"/>
              </w:rPr>
            </w:pPr>
            <w:r>
              <w:rPr>
                <w:rFonts w:hint="eastAsia" w:asciiTheme="minorEastAsia" w:hAnsiTheme="minorEastAsia" w:eastAsiaTheme="minorEastAsia"/>
                <w:sz w:val="24"/>
              </w:rPr>
              <w:t>科学、合理、可行、针对性强</w:t>
            </w:r>
          </w:p>
        </w:tc>
        <w:tc>
          <w:tcPr>
            <w:tcW w:w="949" w:type="dxa"/>
            <w:vAlign w:val="center"/>
          </w:tcPr>
          <w:p w14:paraId="4FB87AC2">
            <w:pPr>
              <w:spacing w:before="60" w:beforeLines="25" w:after="60" w:afterLines="25"/>
              <w:jc w:val="center"/>
              <w:rPr>
                <w:rFonts w:hint="eastAsia" w:asciiTheme="minorEastAsia" w:hAnsiTheme="minorEastAsia" w:eastAsiaTheme="minorEastAsia"/>
                <w:color w:val="000000"/>
                <w:sz w:val="24"/>
              </w:rPr>
            </w:pPr>
            <w:r>
              <w:rPr>
                <w:rFonts w:hint="eastAsia" w:asciiTheme="minorEastAsia" w:hAnsiTheme="minorEastAsia" w:eastAsiaTheme="minorEastAsia"/>
                <w:color w:val="000000"/>
                <w:sz w:val="24"/>
                <w:lang w:val="en-US" w:eastAsia="zh-CN"/>
              </w:rPr>
              <w:t>9</w:t>
            </w:r>
            <w:r>
              <w:rPr>
                <w:rFonts w:hint="eastAsia" w:asciiTheme="minorEastAsia" w:hAnsiTheme="minorEastAsia" w:eastAsiaTheme="minorEastAsia"/>
                <w:color w:val="000000"/>
                <w:sz w:val="24"/>
              </w:rPr>
              <w:t>分</w:t>
            </w:r>
          </w:p>
        </w:tc>
        <w:tc>
          <w:tcPr>
            <w:tcW w:w="889" w:type="dxa"/>
            <w:vMerge w:val="restart"/>
            <w:vAlign w:val="center"/>
          </w:tcPr>
          <w:p w14:paraId="734A3612">
            <w:pPr>
              <w:spacing w:before="60" w:beforeLines="25" w:after="60" w:afterLines="25"/>
              <w:jc w:val="center"/>
              <w:rPr>
                <w:rFonts w:hint="eastAsia" w:asciiTheme="minorEastAsia" w:hAnsiTheme="minorEastAsia" w:eastAsiaTheme="minorEastAsia"/>
                <w:color w:val="000000"/>
                <w:szCs w:val="21"/>
              </w:rPr>
            </w:pPr>
            <w:r>
              <w:rPr>
                <w:rFonts w:hint="eastAsia" w:asciiTheme="minorEastAsia" w:hAnsiTheme="minorEastAsia" w:eastAsiaTheme="minorEastAsia"/>
                <w:color w:val="000000"/>
                <w:sz w:val="24"/>
                <w:lang w:val="en-US" w:eastAsia="zh-CN"/>
              </w:rPr>
              <w:t>9</w:t>
            </w:r>
            <w:r>
              <w:rPr>
                <w:rFonts w:hint="eastAsia" w:asciiTheme="minorEastAsia" w:hAnsiTheme="minorEastAsia" w:eastAsiaTheme="minorEastAsia"/>
                <w:color w:val="000000"/>
                <w:sz w:val="24"/>
              </w:rPr>
              <w:t>分</w:t>
            </w:r>
          </w:p>
        </w:tc>
        <w:tc>
          <w:tcPr>
            <w:tcW w:w="886" w:type="dxa"/>
            <w:vMerge w:val="restart"/>
            <w:vAlign w:val="center"/>
          </w:tcPr>
          <w:p w14:paraId="01094954">
            <w:pPr>
              <w:spacing w:before="60" w:beforeLines="25" w:after="60" w:afterLines="25"/>
              <w:jc w:val="center"/>
              <w:rPr>
                <w:rFonts w:hint="eastAsia" w:asciiTheme="minorEastAsia" w:hAnsiTheme="minorEastAsia" w:eastAsiaTheme="minorEastAsia"/>
                <w:color w:val="000000"/>
                <w:szCs w:val="21"/>
              </w:rPr>
            </w:pPr>
          </w:p>
        </w:tc>
        <w:tc>
          <w:tcPr>
            <w:tcW w:w="738" w:type="dxa"/>
            <w:vMerge w:val="restart"/>
            <w:vAlign w:val="center"/>
          </w:tcPr>
          <w:p w14:paraId="5C4EC77F">
            <w:pPr>
              <w:spacing w:before="60" w:beforeLines="25" w:after="60" w:afterLines="25"/>
              <w:jc w:val="center"/>
              <w:rPr>
                <w:rFonts w:hint="eastAsia" w:asciiTheme="minorEastAsia" w:hAnsiTheme="minorEastAsia" w:eastAsiaTheme="minorEastAsia"/>
                <w:color w:val="000000"/>
                <w:szCs w:val="21"/>
              </w:rPr>
            </w:pPr>
          </w:p>
        </w:tc>
        <w:tc>
          <w:tcPr>
            <w:tcW w:w="737" w:type="dxa"/>
            <w:vMerge w:val="restart"/>
            <w:vAlign w:val="center"/>
          </w:tcPr>
          <w:p w14:paraId="554844E1">
            <w:pPr>
              <w:spacing w:before="60" w:beforeLines="25" w:after="60" w:afterLines="25"/>
              <w:jc w:val="center"/>
              <w:rPr>
                <w:rFonts w:hint="eastAsia" w:asciiTheme="minorEastAsia" w:hAnsiTheme="minorEastAsia" w:eastAsiaTheme="minorEastAsia"/>
                <w:color w:val="000000"/>
                <w:szCs w:val="21"/>
              </w:rPr>
            </w:pPr>
          </w:p>
        </w:tc>
        <w:tc>
          <w:tcPr>
            <w:tcW w:w="728" w:type="dxa"/>
            <w:vMerge w:val="restart"/>
            <w:vAlign w:val="center"/>
          </w:tcPr>
          <w:p w14:paraId="508746B3">
            <w:pPr>
              <w:spacing w:before="60" w:beforeLines="25" w:after="60" w:afterLines="25"/>
              <w:rPr>
                <w:rFonts w:hint="eastAsia" w:asciiTheme="minorEastAsia" w:hAnsiTheme="minorEastAsia" w:eastAsiaTheme="minorEastAsia"/>
                <w:color w:val="000000"/>
                <w:szCs w:val="21"/>
              </w:rPr>
            </w:pPr>
          </w:p>
        </w:tc>
        <w:tc>
          <w:tcPr>
            <w:tcW w:w="611" w:type="dxa"/>
            <w:vMerge w:val="restart"/>
            <w:vAlign w:val="center"/>
          </w:tcPr>
          <w:p w14:paraId="70B02E7F">
            <w:pPr>
              <w:spacing w:before="60" w:beforeLines="25" w:after="60" w:afterLines="25"/>
              <w:rPr>
                <w:rFonts w:hint="eastAsia" w:asciiTheme="minorEastAsia" w:hAnsiTheme="minorEastAsia" w:eastAsiaTheme="minorEastAsia"/>
                <w:color w:val="000000"/>
                <w:szCs w:val="21"/>
              </w:rPr>
            </w:pPr>
          </w:p>
        </w:tc>
        <w:tc>
          <w:tcPr>
            <w:tcW w:w="611" w:type="dxa"/>
            <w:vMerge w:val="restart"/>
            <w:vAlign w:val="center"/>
          </w:tcPr>
          <w:p w14:paraId="31F4A670">
            <w:pPr>
              <w:spacing w:before="60" w:beforeLines="25" w:after="60" w:afterLines="25"/>
              <w:rPr>
                <w:rFonts w:hint="eastAsia" w:asciiTheme="minorEastAsia" w:hAnsiTheme="minorEastAsia" w:eastAsiaTheme="minorEastAsia"/>
                <w:color w:val="000000"/>
                <w:szCs w:val="21"/>
              </w:rPr>
            </w:pPr>
          </w:p>
        </w:tc>
        <w:tc>
          <w:tcPr>
            <w:tcW w:w="625" w:type="dxa"/>
            <w:vMerge w:val="restart"/>
            <w:vAlign w:val="center"/>
          </w:tcPr>
          <w:p w14:paraId="11A1EA89">
            <w:pPr>
              <w:spacing w:before="60" w:beforeLines="25" w:after="60" w:afterLines="25"/>
              <w:rPr>
                <w:rFonts w:hint="eastAsia" w:asciiTheme="minorEastAsia" w:hAnsiTheme="minorEastAsia" w:eastAsiaTheme="minorEastAsia"/>
                <w:color w:val="000000"/>
                <w:szCs w:val="21"/>
              </w:rPr>
            </w:pPr>
          </w:p>
        </w:tc>
      </w:tr>
      <w:tr w14:paraId="2A6803D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83" w:hRule="exact"/>
          <w:jc w:val="center"/>
        </w:trPr>
        <w:tc>
          <w:tcPr>
            <w:tcW w:w="803" w:type="dxa"/>
            <w:vMerge w:val="continue"/>
            <w:vAlign w:val="center"/>
          </w:tcPr>
          <w:p w14:paraId="5E45FA9E">
            <w:pPr>
              <w:spacing w:before="60" w:beforeLines="25" w:after="60" w:afterLines="25"/>
              <w:jc w:val="center"/>
              <w:rPr>
                <w:rFonts w:hint="eastAsia" w:asciiTheme="minorEastAsia" w:hAnsiTheme="minorEastAsia" w:eastAsiaTheme="minorEastAsia"/>
                <w:b/>
                <w:color w:val="000000"/>
                <w:sz w:val="24"/>
              </w:rPr>
            </w:pPr>
          </w:p>
        </w:tc>
        <w:tc>
          <w:tcPr>
            <w:tcW w:w="2903" w:type="dxa"/>
            <w:vMerge w:val="continue"/>
            <w:vAlign w:val="center"/>
          </w:tcPr>
          <w:p w14:paraId="3DAC5604">
            <w:pPr>
              <w:spacing w:before="60" w:beforeLines="25" w:after="60" w:afterLines="25"/>
              <w:rPr>
                <w:rFonts w:hint="eastAsia" w:asciiTheme="minorEastAsia" w:hAnsiTheme="minorEastAsia" w:eastAsiaTheme="minorEastAsia"/>
                <w:b/>
                <w:color w:val="000000"/>
                <w:sz w:val="24"/>
              </w:rPr>
            </w:pPr>
          </w:p>
        </w:tc>
        <w:tc>
          <w:tcPr>
            <w:tcW w:w="4487" w:type="dxa"/>
            <w:vAlign w:val="center"/>
          </w:tcPr>
          <w:p w14:paraId="176CB065">
            <w:pPr>
              <w:spacing w:before="60" w:beforeLines="25" w:after="60" w:afterLines="25"/>
              <w:jc w:val="left"/>
              <w:rPr>
                <w:rFonts w:hint="eastAsia" w:asciiTheme="minorEastAsia" w:hAnsiTheme="minorEastAsia" w:eastAsiaTheme="minorEastAsia"/>
                <w:color w:val="000000"/>
                <w:sz w:val="24"/>
              </w:rPr>
            </w:pPr>
            <w:r>
              <w:rPr>
                <w:rFonts w:hint="eastAsia" w:asciiTheme="minorEastAsia" w:hAnsiTheme="minorEastAsia" w:eastAsiaTheme="minorEastAsia"/>
                <w:sz w:val="24"/>
              </w:rPr>
              <w:t>合理、可行、细节待完善</w:t>
            </w:r>
          </w:p>
        </w:tc>
        <w:tc>
          <w:tcPr>
            <w:tcW w:w="949" w:type="dxa"/>
            <w:vAlign w:val="center"/>
          </w:tcPr>
          <w:p w14:paraId="3FB7DD78">
            <w:pPr>
              <w:spacing w:before="60" w:beforeLines="25" w:after="60" w:afterLines="25"/>
              <w:jc w:val="center"/>
              <w:rPr>
                <w:rFonts w:hint="eastAsia" w:asciiTheme="minorEastAsia" w:hAnsiTheme="minorEastAsia" w:eastAsiaTheme="minorEastAsia"/>
                <w:color w:val="000000"/>
                <w:sz w:val="24"/>
                <w:u w:val="single"/>
              </w:rPr>
            </w:pPr>
            <w:r>
              <w:rPr>
                <w:rFonts w:hint="eastAsia" w:asciiTheme="minorEastAsia" w:hAnsiTheme="minorEastAsia" w:eastAsiaTheme="minorEastAsia"/>
                <w:color w:val="000000"/>
                <w:sz w:val="24"/>
                <w:lang w:val="en-US" w:eastAsia="zh-CN"/>
              </w:rPr>
              <w:t>5</w:t>
            </w:r>
            <w:r>
              <w:rPr>
                <w:rFonts w:hint="eastAsia" w:asciiTheme="minorEastAsia" w:hAnsiTheme="minorEastAsia" w:eastAsiaTheme="minorEastAsia"/>
                <w:color w:val="000000"/>
                <w:sz w:val="24"/>
              </w:rPr>
              <w:t>分</w:t>
            </w:r>
          </w:p>
        </w:tc>
        <w:tc>
          <w:tcPr>
            <w:tcW w:w="889" w:type="dxa"/>
            <w:vMerge w:val="continue"/>
            <w:vAlign w:val="center"/>
          </w:tcPr>
          <w:p w14:paraId="0BB82913">
            <w:pPr>
              <w:spacing w:before="60" w:beforeLines="25" w:after="60" w:afterLines="25"/>
              <w:jc w:val="center"/>
              <w:rPr>
                <w:rFonts w:hint="eastAsia" w:asciiTheme="minorEastAsia" w:hAnsiTheme="minorEastAsia" w:eastAsiaTheme="minorEastAsia"/>
                <w:b/>
                <w:color w:val="000000"/>
                <w:sz w:val="32"/>
                <w:szCs w:val="21"/>
              </w:rPr>
            </w:pPr>
          </w:p>
        </w:tc>
        <w:tc>
          <w:tcPr>
            <w:tcW w:w="886" w:type="dxa"/>
            <w:vMerge w:val="continue"/>
            <w:vAlign w:val="center"/>
          </w:tcPr>
          <w:p w14:paraId="330C87A2">
            <w:pPr>
              <w:spacing w:before="60" w:beforeLines="25" w:after="60" w:afterLines="25"/>
              <w:jc w:val="center"/>
              <w:rPr>
                <w:rFonts w:hint="eastAsia" w:asciiTheme="minorEastAsia" w:hAnsiTheme="minorEastAsia" w:eastAsiaTheme="minorEastAsia"/>
                <w:b/>
                <w:color w:val="000000"/>
                <w:sz w:val="32"/>
                <w:szCs w:val="21"/>
              </w:rPr>
            </w:pPr>
          </w:p>
        </w:tc>
        <w:tc>
          <w:tcPr>
            <w:tcW w:w="738" w:type="dxa"/>
            <w:vMerge w:val="continue"/>
            <w:vAlign w:val="center"/>
          </w:tcPr>
          <w:p w14:paraId="02BC2181">
            <w:pPr>
              <w:spacing w:before="60" w:beforeLines="25" w:after="60" w:afterLines="25"/>
              <w:jc w:val="center"/>
              <w:rPr>
                <w:rFonts w:hint="eastAsia" w:asciiTheme="minorEastAsia" w:hAnsiTheme="minorEastAsia" w:eastAsiaTheme="minorEastAsia"/>
                <w:b/>
                <w:color w:val="000000"/>
                <w:sz w:val="32"/>
                <w:szCs w:val="21"/>
              </w:rPr>
            </w:pPr>
          </w:p>
        </w:tc>
        <w:tc>
          <w:tcPr>
            <w:tcW w:w="737" w:type="dxa"/>
            <w:vMerge w:val="continue"/>
            <w:vAlign w:val="center"/>
          </w:tcPr>
          <w:p w14:paraId="065E0891">
            <w:pPr>
              <w:spacing w:before="60" w:beforeLines="25" w:after="60" w:afterLines="25"/>
              <w:jc w:val="center"/>
              <w:rPr>
                <w:rFonts w:hint="eastAsia" w:asciiTheme="minorEastAsia" w:hAnsiTheme="minorEastAsia" w:eastAsiaTheme="minorEastAsia"/>
                <w:b/>
                <w:color w:val="000000"/>
                <w:sz w:val="32"/>
                <w:szCs w:val="21"/>
              </w:rPr>
            </w:pPr>
          </w:p>
        </w:tc>
        <w:tc>
          <w:tcPr>
            <w:tcW w:w="728" w:type="dxa"/>
            <w:vMerge w:val="continue"/>
            <w:vAlign w:val="center"/>
          </w:tcPr>
          <w:p w14:paraId="607B46B8">
            <w:pPr>
              <w:spacing w:before="60" w:beforeLines="25" w:after="60" w:afterLines="25"/>
              <w:rPr>
                <w:rFonts w:hint="eastAsia" w:asciiTheme="minorEastAsia" w:hAnsiTheme="minorEastAsia" w:eastAsiaTheme="minorEastAsia"/>
                <w:b/>
                <w:color w:val="000000"/>
                <w:sz w:val="32"/>
                <w:szCs w:val="21"/>
              </w:rPr>
            </w:pPr>
          </w:p>
        </w:tc>
        <w:tc>
          <w:tcPr>
            <w:tcW w:w="611" w:type="dxa"/>
            <w:vMerge w:val="continue"/>
            <w:vAlign w:val="center"/>
          </w:tcPr>
          <w:p w14:paraId="7454D979">
            <w:pPr>
              <w:spacing w:before="60" w:beforeLines="25" w:after="60" w:afterLines="25"/>
              <w:rPr>
                <w:rFonts w:hint="eastAsia" w:asciiTheme="minorEastAsia" w:hAnsiTheme="minorEastAsia" w:eastAsiaTheme="minorEastAsia"/>
                <w:b/>
                <w:color w:val="000000"/>
                <w:sz w:val="32"/>
                <w:szCs w:val="21"/>
              </w:rPr>
            </w:pPr>
          </w:p>
        </w:tc>
        <w:tc>
          <w:tcPr>
            <w:tcW w:w="611" w:type="dxa"/>
            <w:vMerge w:val="continue"/>
            <w:vAlign w:val="center"/>
          </w:tcPr>
          <w:p w14:paraId="7627E34D">
            <w:pPr>
              <w:spacing w:before="60" w:beforeLines="25" w:after="60" w:afterLines="25"/>
              <w:rPr>
                <w:rFonts w:hint="eastAsia" w:asciiTheme="minorEastAsia" w:hAnsiTheme="minorEastAsia" w:eastAsiaTheme="minorEastAsia"/>
                <w:b/>
                <w:color w:val="000000"/>
                <w:sz w:val="32"/>
                <w:szCs w:val="21"/>
              </w:rPr>
            </w:pPr>
          </w:p>
        </w:tc>
        <w:tc>
          <w:tcPr>
            <w:tcW w:w="625" w:type="dxa"/>
            <w:vMerge w:val="continue"/>
            <w:vAlign w:val="center"/>
          </w:tcPr>
          <w:p w14:paraId="7347F3FC">
            <w:pPr>
              <w:spacing w:before="60" w:beforeLines="25" w:after="60" w:afterLines="25"/>
              <w:rPr>
                <w:rFonts w:hint="eastAsia" w:asciiTheme="minorEastAsia" w:hAnsiTheme="minorEastAsia" w:eastAsiaTheme="minorEastAsia"/>
                <w:b/>
                <w:color w:val="000000"/>
                <w:sz w:val="32"/>
                <w:szCs w:val="21"/>
              </w:rPr>
            </w:pPr>
          </w:p>
        </w:tc>
      </w:tr>
      <w:tr w14:paraId="3FC098F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83" w:hRule="exact"/>
          <w:jc w:val="center"/>
        </w:trPr>
        <w:tc>
          <w:tcPr>
            <w:tcW w:w="803" w:type="dxa"/>
            <w:vMerge w:val="continue"/>
            <w:vAlign w:val="center"/>
          </w:tcPr>
          <w:p w14:paraId="7368C564">
            <w:pPr>
              <w:spacing w:before="60" w:beforeLines="25" w:after="60" w:afterLines="25"/>
              <w:jc w:val="center"/>
              <w:rPr>
                <w:rFonts w:hint="eastAsia" w:asciiTheme="minorEastAsia" w:hAnsiTheme="minorEastAsia" w:eastAsiaTheme="minorEastAsia"/>
                <w:b/>
                <w:color w:val="000000"/>
                <w:sz w:val="24"/>
              </w:rPr>
            </w:pPr>
          </w:p>
        </w:tc>
        <w:tc>
          <w:tcPr>
            <w:tcW w:w="2903" w:type="dxa"/>
            <w:vMerge w:val="continue"/>
            <w:vAlign w:val="center"/>
          </w:tcPr>
          <w:p w14:paraId="15698F8E">
            <w:pPr>
              <w:spacing w:before="60" w:beforeLines="25" w:after="60" w:afterLines="25"/>
              <w:rPr>
                <w:rFonts w:hint="eastAsia" w:asciiTheme="minorEastAsia" w:hAnsiTheme="minorEastAsia" w:eastAsiaTheme="minorEastAsia"/>
                <w:b/>
                <w:color w:val="000000"/>
                <w:sz w:val="24"/>
              </w:rPr>
            </w:pPr>
          </w:p>
        </w:tc>
        <w:tc>
          <w:tcPr>
            <w:tcW w:w="4487" w:type="dxa"/>
            <w:vAlign w:val="center"/>
          </w:tcPr>
          <w:p w14:paraId="0DB508BD">
            <w:pPr>
              <w:spacing w:before="60" w:beforeLines="25" w:after="60" w:afterLines="25"/>
              <w:jc w:val="left"/>
              <w:rPr>
                <w:rFonts w:hint="eastAsia" w:asciiTheme="minorEastAsia" w:hAnsiTheme="minorEastAsia" w:eastAsiaTheme="minorEastAsia"/>
                <w:color w:val="000000"/>
                <w:sz w:val="24"/>
              </w:rPr>
            </w:pPr>
            <w:r>
              <w:rPr>
                <w:rFonts w:hint="eastAsia" w:asciiTheme="minorEastAsia" w:hAnsiTheme="minorEastAsia" w:eastAsiaTheme="minorEastAsia"/>
                <w:sz w:val="24"/>
              </w:rPr>
              <w:t>基本满足工程需要</w:t>
            </w:r>
          </w:p>
        </w:tc>
        <w:tc>
          <w:tcPr>
            <w:tcW w:w="949" w:type="dxa"/>
            <w:vAlign w:val="center"/>
          </w:tcPr>
          <w:p w14:paraId="751CFF71">
            <w:pPr>
              <w:spacing w:before="60" w:beforeLines="25" w:after="60" w:afterLines="25"/>
              <w:jc w:val="center"/>
              <w:rPr>
                <w:rFonts w:hint="eastAsia" w:asciiTheme="minorEastAsia" w:hAnsiTheme="minorEastAsia" w:eastAsiaTheme="minorEastAsia"/>
                <w:color w:val="000000"/>
                <w:sz w:val="24"/>
                <w:u w:val="single"/>
              </w:rPr>
            </w:pPr>
            <w:r>
              <w:rPr>
                <w:rFonts w:hint="eastAsia" w:asciiTheme="minorEastAsia" w:hAnsiTheme="minorEastAsia" w:eastAsiaTheme="minorEastAsia"/>
                <w:color w:val="000000"/>
                <w:sz w:val="24"/>
                <w:lang w:val="en-US" w:eastAsia="zh-CN"/>
              </w:rPr>
              <w:t>3</w:t>
            </w:r>
            <w:r>
              <w:rPr>
                <w:rFonts w:hint="eastAsia" w:asciiTheme="minorEastAsia" w:hAnsiTheme="minorEastAsia" w:eastAsiaTheme="minorEastAsia"/>
                <w:color w:val="000000"/>
                <w:sz w:val="24"/>
              </w:rPr>
              <w:t>分</w:t>
            </w:r>
          </w:p>
        </w:tc>
        <w:tc>
          <w:tcPr>
            <w:tcW w:w="889" w:type="dxa"/>
            <w:vMerge w:val="continue"/>
            <w:vAlign w:val="center"/>
          </w:tcPr>
          <w:p w14:paraId="74808882">
            <w:pPr>
              <w:spacing w:before="60" w:beforeLines="25" w:after="60" w:afterLines="25"/>
              <w:jc w:val="center"/>
              <w:rPr>
                <w:rFonts w:hint="eastAsia" w:asciiTheme="minorEastAsia" w:hAnsiTheme="minorEastAsia" w:eastAsiaTheme="minorEastAsia"/>
                <w:b/>
                <w:color w:val="000000"/>
                <w:sz w:val="32"/>
                <w:szCs w:val="21"/>
              </w:rPr>
            </w:pPr>
          </w:p>
        </w:tc>
        <w:tc>
          <w:tcPr>
            <w:tcW w:w="886" w:type="dxa"/>
            <w:vMerge w:val="continue"/>
            <w:vAlign w:val="center"/>
          </w:tcPr>
          <w:p w14:paraId="0201EA2D">
            <w:pPr>
              <w:spacing w:before="60" w:beforeLines="25" w:after="60" w:afterLines="25"/>
              <w:jc w:val="center"/>
              <w:rPr>
                <w:rFonts w:hint="eastAsia" w:asciiTheme="minorEastAsia" w:hAnsiTheme="minorEastAsia" w:eastAsiaTheme="minorEastAsia"/>
                <w:b/>
                <w:color w:val="000000"/>
                <w:sz w:val="32"/>
                <w:szCs w:val="21"/>
              </w:rPr>
            </w:pPr>
          </w:p>
        </w:tc>
        <w:tc>
          <w:tcPr>
            <w:tcW w:w="738" w:type="dxa"/>
            <w:vMerge w:val="continue"/>
            <w:vAlign w:val="center"/>
          </w:tcPr>
          <w:p w14:paraId="1E817912">
            <w:pPr>
              <w:spacing w:before="60" w:beforeLines="25" w:after="60" w:afterLines="25"/>
              <w:jc w:val="center"/>
              <w:rPr>
                <w:rFonts w:hint="eastAsia" w:asciiTheme="minorEastAsia" w:hAnsiTheme="minorEastAsia" w:eastAsiaTheme="minorEastAsia"/>
                <w:b/>
                <w:color w:val="000000"/>
                <w:sz w:val="32"/>
                <w:szCs w:val="21"/>
              </w:rPr>
            </w:pPr>
          </w:p>
        </w:tc>
        <w:tc>
          <w:tcPr>
            <w:tcW w:w="737" w:type="dxa"/>
            <w:vMerge w:val="continue"/>
            <w:vAlign w:val="center"/>
          </w:tcPr>
          <w:p w14:paraId="680E6E46">
            <w:pPr>
              <w:spacing w:before="60" w:beforeLines="25" w:after="60" w:afterLines="25"/>
              <w:jc w:val="center"/>
              <w:rPr>
                <w:rFonts w:hint="eastAsia" w:asciiTheme="minorEastAsia" w:hAnsiTheme="minorEastAsia" w:eastAsiaTheme="minorEastAsia"/>
                <w:b/>
                <w:color w:val="000000"/>
                <w:sz w:val="32"/>
                <w:szCs w:val="21"/>
              </w:rPr>
            </w:pPr>
          </w:p>
        </w:tc>
        <w:tc>
          <w:tcPr>
            <w:tcW w:w="728" w:type="dxa"/>
            <w:vMerge w:val="continue"/>
            <w:vAlign w:val="center"/>
          </w:tcPr>
          <w:p w14:paraId="0CA94FE5">
            <w:pPr>
              <w:spacing w:before="60" w:beforeLines="25" w:after="60" w:afterLines="25"/>
              <w:rPr>
                <w:rFonts w:hint="eastAsia" w:asciiTheme="minorEastAsia" w:hAnsiTheme="minorEastAsia" w:eastAsiaTheme="minorEastAsia"/>
                <w:b/>
                <w:color w:val="000000"/>
                <w:sz w:val="32"/>
                <w:szCs w:val="21"/>
              </w:rPr>
            </w:pPr>
          </w:p>
        </w:tc>
        <w:tc>
          <w:tcPr>
            <w:tcW w:w="611" w:type="dxa"/>
            <w:vMerge w:val="continue"/>
            <w:vAlign w:val="center"/>
          </w:tcPr>
          <w:p w14:paraId="566ABD36">
            <w:pPr>
              <w:spacing w:before="60" w:beforeLines="25" w:after="60" w:afterLines="25"/>
              <w:rPr>
                <w:rFonts w:hint="eastAsia" w:asciiTheme="minorEastAsia" w:hAnsiTheme="minorEastAsia" w:eastAsiaTheme="minorEastAsia"/>
                <w:b/>
                <w:color w:val="000000"/>
                <w:sz w:val="32"/>
                <w:szCs w:val="21"/>
              </w:rPr>
            </w:pPr>
          </w:p>
        </w:tc>
        <w:tc>
          <w:tcPr>
            <w:tcW w:w="611" w:type="dxa"/>
            <w:vMerge w:val="continue"/>
            <w:vAlign w:val="center"/>
          </w:tcPr>
          <w:p w14:paraId="57E9A339">
            <w:pPr>
              <w:spacing w:before="60" w:beforeLines="25" w:after="60" w:afterLines="25"/>
              <w:rPr>
                <w:rFonts w:hint="eastAsia" w:asciiTheme="minorEastAsia" w:hAnsiTheme="minorEastAsia" w:eastAsiaTheme="minorEastAsia"/>
                <w:b/>
                <w:color w:val="000000"/>
                <w:sz w:val="32"/>
                <w:szCs w:val="21"/>
              </w:rPr>
            </w:pPr>
          </w:p>
        </w:tc>
        <w:tc>
          <w:tcPr>
            <w:tcW w:w="625" w:type="dxa"/>
            <w:vMerge w:val="continue"/>
            <w:vAlign w:val="center"/>
          </w:tcPr>
          <w:p w14:paraId="39279D0C">
            <w:pPr>
              <w:spacing w:before="60" w:beforeLines="25" w:after="60" w:afterLines="25"/>
              <w:rPr>
                <w:rFonts w:hint="eastAsia" w:asciiTheme="minorEastAsia" w:hAnsiTheme="minorEastAsia" w:eastAsiaTheme="minorEastAsia"/>
                <w:b/>
                <w:color w:val="000000"/>
                <w:sz w:val="32"/>
                <w:szCs w:val="21"/>
              </w:rPr>
            </w:pPr>
          </w:p>
        </w:tc>
      </w:tr>
      <w:tr w14:paraId="137854A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83" w:hRule="exact"/>
          <w:jc w:val="center"/>
        </w:trPr>
        <w:tc>
          <w:tcPr>
            <w:tcW w:w="803" w:type="dxa"/>
            <w:vMerge w:val="continue"/>
            <w:vAlign w:val="center"/>
          </w:tcPr>
          <w:p w14:paraId="5AB84F9C">
            <w:pPr>
              <w:spacing w:before="60" w:beforeLines="25" w:after="60" w:afterLines="25"/>
              <w:jc w:val="center"/>
              <w:rPr>
                <w:rFonts w:hint="eastAsia" w:asciiTheme="minorEastAsia" w:hAnsiTheme="minorEastAsia" w:eastAsiaTheme="minorEastAsia"/>
                <w:b/>
                <w:color w:val="000000"/>
                <w:sz w:val="32"/>
                <w:szCs w:val="21"/>
              </w:rPr>
            </w:pPr>
          </w:p>
        </w:tc>
        <w:tc>
          <w:tcPr>
            <w:tcW w:w="2903" w:type="dxa"/>
            <w:vMerge w:val="continue"/>
            <w:vAlign w:val="center"/>
          </w:tcPr>
          <w:p w14:paraId="6BD2E963">
            <w:pPr>
              <w:spacing w:before="60" w:beforeLines="25" w:after="60" w:afterLines="25"/>
              <w:rPr>
                <w:rFonts w:hint="eastAsia" w:asciiTheme="minorEastAsia" w:hAnsiTheme="minorEastAsia" w:eastAsiaTheme="minorEastAsia"/>
                <w:b/>
                <w:color w:val="000000"/>
                <w:sz w:val="32"/>
                <w:szCs w:val="21"/>
              </w:rPr>
            </w:pPr>
          </w:p>
        </w:tc>
        <w:tc>
          <w:tcPr>
            <w:tcW w:w="4487" w:type="dxa"/>
            <w:vAlign w:val="center"/>
          </w:tcPr>
          <w:p w14:paraId="15507361">
            <w:pPr>
              <w:spacing w:before="60" w:beforeLines="25" w:after="60" w:afterLines="25"/>
              <w:jc w:val="left"/>
              <w:rPr>
                <w:rFonts w:hint="eastAsia" w:asciiTheme="minorEastAsia" w:hAnsiTheme="minorEastAsia" w:eastAsiaTheme="minorEastAsia"/>
                <w:sz w:val="24"/>
              </w:rPr>
            </w:pPr>
            <w:r>
              <w:rPr>
                <w:rFonts w:hint="eastAsia" w:asciiTheme="minorEastAsia" w:hAnsiTheme="minorEastAsia" w:eastAsiaTheme="minorEastAsia"/>
                <w:sz w:val="24"/>
              </w:rPr>
              <w:t>欠合理，可行性差</w:t>
            </w:r>
          </w:p>
        </w:tc>
        <w:tc>
          <w:tcPr>
            <w:tcW w:w="949" w:type="dxa"/>
            <w:vAlign w:val="center"/>
          </w:tcPr>
          <w:p w14:paraId="4A66FFD1">
            <w:pPr>
              <w:spacing w:before="60" w:beforeLines="25" w:after="60" w:afterLines="25"/>
              <w:jc w:val="center"/>
              <w:rPr>
                <w:rFonts w:hint="eastAsia" w:asciiTheme="minorEastAsia" w:hAnsiTheme="minorEastAsia" w:eastAsiaTheme="minorEastAsia"/>
                <w:color w:val="000000"/>
                <w:sz w:val="24"/>
              </w:rPr>
            </w:pPr>
            <w:r>
              <w:rPr>
                <w:rFonts w:hint="eastAsia" w:asciiTheme="minorEastAsia" w:hAnsiTheme="minorEastAsia" w:eastAsiaTheme="minorEastAsia"/>
                <w:color w:val="000000"/>
                <w:sz w:val="24"/>
              </w:rPr>
              <w:t>1分</w:t>
            </w:r>
          </w:p>
        </w:tc>
        <w:tc>
          <w:tcPr>
            <w:tcW w:w="889" w:type="dxa"/>
            <w:vMerge w:val="continue"/>
            <w:vAlign w:val="center"/>
          </w:tcPr>
          <w:p w14:paraId="6C70DBE0">
            <w:pPr>
              <w:spacing w:before="60" w:beforeLines="25" w:after="60" w:afterLines="25"/>
              <w:jc w:val="center"/>
              <w:rPr>
                <w:rFonts w:hint="eastAsia" w:asciiTheme="minorEastAsia" w:hAnsiTheme="minorEastAsia" w:eastAsiaTheme="minorEastAsia"/>
                <w:b/>
                <w:color w:val="000000"/>
                <w:sz w:val="32"/>
                <w:szCs w:val="21"/>
              </w:rPr>
            </w:pPr>
          </w:p>
        </w:tc>
        <w:tc>
          <w:tcPr>
            <w:tcW w:w="886" w:type="dxa"/>
            <w:vMerge w:val="continue"/>
            <w:vAlign w:val="center"/>
          </w:tcPr>
          <w:p w14:paraId="40B0103E">
            <w:pPr>
              <w:spacing w:before="60" w:beforeLines="25" w:after="60" w:afterLines="25"/>
              <w:jc w:val="center"/>
              <w:rPr>
                <w:rFonts w:hint="eastAsia" w:asciiTheme="minorEastAsia" w:hAnsiTheme="minorEastAsia" w:eastAsiaTheme="minorEastAsia"/>
                <w:b/>
                <w:color w:val="000000"/>
                <w:sz w:val="32"/>
                <w:szCs w:val="21"/>
              </w:rPr>
            </w:pPr>
          </w:p>
        </w:tc>
        <w:tc>
          <w:tcPr>
            <w:tcW w:w="738" w:type="dxa"/>
            <w:vMerge w:val="continue"/>
            <w:vAlign w:val="center"/>
          </w:tcPr>
          <w:p w14:paraId="3D6BFBB5">
            <w:pPr>
              <w:spacing w:before="60" w:beforeLines="25" w:after="60" w:afterLines="25"/>
              <w:jc w:val="center"/>
              <w:rPr>
                <w:rFonts w:hint="eastAsia" w:asciiTheme="minorEastAsia" w:hAnsiTheme="minorEastAsia" w:eastAsiaTheme="minorEastAsia"/>
                <w:b/>
                <w:color w:val="000000"/>
                <w:sz w:val="32"/>
                <w:szCs w:val="21"/>
              </w:rPr>
            </w:pPr>
          </w:p>
        </w:tc>
        <w:tc>
          <w:tcPr>
            <w:tcW w:w="737" w:type="dxa"/>
            <w:vMerge w:val="continue"/>
            <w:vAlign w:val="center"/>
          </w:tcPr>
          <w:p w14:paraId="72A418C8">
            <w:pPr>
              <w:spacing w:before="60" w:beforeLines="25" w:after="60" w:afterLines="25"/>
              <w:jc w:val="center"/>
              <w:rPr>
                <w:rFonts w:hint="eastAsia" w:asciiTheme="minorEastAsia" w:hAnsiTheme="minorEastAsia" w:eastAsiaTheme="minorEastAsia"/>
                <w:b/>
                <w:color w:val="000000"/>
                <w:sz w:val="32"/>
                <w:szCs w:val="21"/>
              </w:rPr>
            </w:pPr>
          </w:p>
        </w:tc>
        <w:tc>
          <w:tcPr>
            <w:tcW w:w="728" w:type="dxa"/>
            <w:vMerge w:val="continue"/>
            <w:vAlign w:val="center"/>
          </w:tcPr>
          <w:p w14:paraId="1C579C2E">
            <w:pPr>
              <w:spacing w:before="60" w:beforeLines="25" w:after="60" w:afterLines="25"/>
              <w:rPr>
                <w:rFonts w:hint="eastAsia" w:asciiTheme="minorEastAsia" w:hAnsiTheme="minorEastAsia" w:eastAsiaTheme="minorEastAsia"/>
                <w:b/>
                <w:color w:val="000000"/>
                <w:sz w:val="32"/>
                <w:szCs w:val="21"/>
              </w:rPr>
            </w:pPr>
          </w:p>
        </w:tc>
        <w:tc>
          <w:tcPr>
            <w:tcW w:w="611" w:type="dxa"/>
            <w:vMerge w:val="continue"/>
            <w:vAlign w:val="center"/>
          </w:tcPr>
          <w:p w14:paraId="680F5D5C">
            <w:pPr>
              <w:spacing w:before="60" w:beforeLines="25" w:after="60" w:afterLines="25"/>
              <w:rPr>
                <w:rFonts w:hint="eastAsia" w:asciiTheme="minorEastAsia" w:hAnsiTheme="minorEastAsia" w:eastAsiaTheme="minorEastAsia"/>
                <w:b/>
                <w:color w:val="000000"/>
                <w:sz w:val="32"/>
                <w:szCs w:val="21"/>
              </w:rPr>
            </w:pPr>
          </w:p>
        </w:tc>
        <w:tc>
          <w:tcPr>
            <w:tcW w:w="611" w:type="dxa"/>
            <w:vMerge w:val="continue"/>
            <w:vAlign w:val="center"/>
          </w:tcPr>
          <w:p w14:paraId="307D8BA8">
            <w:pPr>
              <w:spacing w:before="60" w:beforeLines="25" w:after="60" w:afterLines="25"/>
              <w:rPr>
                <w:rFonts w:hint="eastAsia" w:asciiTheme="minorEastAsia" w:hAnsiTheme="minorEastAsia" w:eastAsiaTheme="minorEastAsia"/>
                <w:b/>
                <w:color w:val="000000"/>
                <w:sz w:val="32"/>
                <w:szCs w:val="21"/>
              </w:rPr>
            </w:pPr>
          </w:p>
        </w:tc>
        <w:tc>
          <w:tcPr>
            <w:tcW w:w="625" w:type="dxa"/>
            <w:vMerge w:val="continue"/>
            <w:vAlign w:val="center"/>
          </w:tcPr>
          <w:p w14:paraId="5B6381D3">
            <w:pPr>
              <w:spacing w:before="60" w:beforeLines="25" w:after="60" w:afterLines="25"/>
              <w:rPr>
                <w:rFonts w:hint="eastAsia" w:asciiTheme="minorEastAsia" w:hAnsiTheme="minorEastAsia" w:eastAsiaTheme="minorEastAsia"/>
                <w:b/>
                <w:color w:val="000000"/>
                <w:sz w:val="32"/>
                <w:szCs w:val="21"/>
              </w:rPr>
            </w:pPr>
          </w:p>
        </w:tc>
      </w:tr>
      <w:tr w14:paraId="207CCC2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83" w:hRule="exact"/>
          <w:jc w:val="center"/>
        </w:trPr>
        <w:tc>
          <w:tcPr>
            <w:tcW w:w="803" w:type="dxa"/>
            <w:vMerge w:val="continue"/>
            <w:vAlign w:val="center"/>
          </w:tcPr>
          <w:p w14:paraId="0A54F5DF">
            <w:pPr>
              <w:spacing w:before="60" w:beforeLines="25" w:after="60" w:afterLines="25"/>
              <w:jc w:val="center"/>
              <w:rPr>
                <w:rFonts w:hint="eastAsia" w:asciiTheme="minorEastAsia" w:hAnsiTheme="minorEastAsia" w:eastAsiaTheme="minorEastAsia"/>
                <w:b/>
                <w:color w:val="000000"/>
                <w:sz w:val="32"/>
                <w:szCs w:val="21"/>
              </w:rPr>
            </w:pPr>
          </w:p>
        </w:tc>
        <w:tc>
          <w:tcPr>
            <w:tcW w:w="2903" w:type="dxa"/>
            <w:vMerge w:val="continue"/>
            <w:vAlign w:val="center"/>
          </w:tcPr>
          <w:p w14:paraId="78692601">
            <w:pPr>
              <w:spacing w:before="60" w:beforeLines="25" w:after="60" w:afterLines="25"/>
              <w:rPr>
                <w:rFonts w:hint="eastAsia" w:asciiTheme="minorEastAsia" w:hAnsiTheme="minorEastAsia" w:eastAsiaTheme="minorEastAsia"/>
                <w:b/>
                <w:color w:val="000000"/>
                <w:sz w:val="32"/>
                <w:szCs w:val="21"/>
              </w:rPr>
            </w:pPr>
          </w:p>
        </w:tc>
        <w:tc>
          <w:tcPr>
            <w:tcW w:w="4487" w:type="dxa"/>
            <w:vAlign w:val="center"/>
          </w:tcPr>
          <w:p w14:paraId="74E3E4D4">
            <w:pPr>
              <w:spacing w:before="60" w:beforeLines="25" w:after="60" w:afterLines="25"/>
              <w:jc w:val="left"/>
              <w:rPr>
                <w:rFonts w:hint="eastAsia" w:asciiTheme="minorEastAsia" w:hAnsiTheme="minorEastAsia" w:eastAsiaTheme="minorEastAsia"/>
                <w:sz w:val="24"/>
              </w:rPr>
            </w:pPr>
            <w:r>
              <w:rPr>
                <w:rFonts w:hint="eastAsia" w:asciiTheme="minorEastAsia" w:hAnsiTheme="minorEastAsia" w:eastAsiaTheme="minorEastAsia"/>
                <w:sz w:val="24"/>
              </w:rPr>
              <w:t>未提供</w:t>
            </w:r>
          </w:p>
        </w:tc>
        <w:tc>
          <w:tcPr>
            <w:tcW w:w="949" w:type="dxa"/>
            <w:vAlign w:val="center"/>
          </w:tcPr>
          <w:p w14:paraId="65CE8B94">
            <w:pPr>
              <w:spacing w:before="60" w:beforeLines="25" w:after="60" w:afterLines="25"/>
              <w:jc w:val="center"/>
              <w:rPr>
                <w:rFonts w:hint="eastAsia" w:asciiTheme="minorEastAsia" w:hAnsiTheme="minorEastAsia" w:eastAsiaTheme="minorEastAsia"/>
                <w:color w:val="000000"/>
                <w:sz w:val="24"/>
              </w:rPr>
            </w:pPr>
            <w:r>
              <w:rPr>
                <w:rFonts w:asciiTheme="minorEastAsia" w:hAnsiTheme="minorEastAsia" w:eastAsiaTheme="minorEastAsia"/>
                <w:color w:val="000000"/>
                <w:sz w:val="24"/>
              </w:rPr>
              <w:t>0</w:t>
            </w:r>
            <w:r>
              <w:rPr>
                <w:rFonts w:hint="eastAsia" w:asciiTheme="minorEastAsia" w:hAnsiTheme="minorEastAsia" w:eastAsiaTheme="minorEastAsia"/>
                <w:color w:val="000000"/>
                <w:sz w:val="24"/>
              </w:rPr>
              <w:t>分</w:t>
            </w:r>
          </w:p>
        </w:tc>
        <w:tc>
          <w:tcPr>
            <w:tcW w:w="889" w:type="dxa"/>
            <w:vMerge w:val="continue"/>
            <w:vAlign w:val="center"/>
          </w:tcPr>
          <w:p w14:paraId="3FCDA2A1">
            <w:pPr>
              <w:spacing w:before="60" w:beforeLines="25" w:after="60" w:afterLines="25"/>
              <w:jc w:val="center"/>
              <w:rPr>
                <w:rFonts w:hint="eastAsia" w:asciiTheme="minorEastAsia" w:hAnsiTheme="minorEastAsia" w:eastAsiaTheme="minorEastAsia"/>
                <w:b/>
                <w:color w:val="000000"/>
                <w:sz w:val="32"/>
                <w:szCs w:val="21"/>
              </w:rPr>
            </w:pPr>
          </w:p>
        </w:tc>
        <w:tc>
          <w:tcPr>
            <w:tcW w:w="886" w:type="dxa"/>
            <w:vMerge w:val="continue"/>
            <w:vAlign w:val="center"/>
          </w:tcPr>
          <w:p w14:paraId="4EE4C99D">
            <w:pPr>
              <w:spacing w:before="60" w:beforeLines="25" w:after="60" w:afterLines="25"/>
              <w:jc w:val="center"/>
              <w:rPr>
                <w:rFonts w:hint="eastAsia" w:asciiTheme="minorEastAsia" w:hAnsiTheme="minorEastAsia" w:eastAsiaTheme="minorEastAsia"/>
                <w:b/>
                <w:color w:val="000000"/>
                <w:sz w:val="32"/>
                <w:szCs w:val="21"/>
              </w:rPr>
            </w:pPr>
          </w:p>
        </w:tc>
        <w:tc>
          <w:tcPr>
            <w:tcW w:w="738" w:type="dxa"/>
            <w:vMerge w:val="continue"/>
            <w:vAlign w:val="center"/>
          </w:tcPr>
          <w:p w14:paraId="3A175EAF">
            <w:pPr>
              <w:spacing w:before="60" w:beforeLines="25" w:after="60" w:afterLines="25"/>
              <w:jc w:val="center"/>
              <w:rPr>
                <w:rFonts w:hint="eastAsia" w:asciiTheme="minorEastAsia" w:hAnsiTheme="minorEastAsia" w:eastAsiaTheme="minorEastAsia"/>
                <w:b/>
                <w:color w:val="000000"/>
                <w:sz w:val="32"/>
                <w:szCs w:val="21"/>
              </w:rPr>
            </w:pPr>
          </w:p>
        </w:tc>
        <w:tc>
          <w:tcPr>
            <w:tcW w:w="737" w:type="dxa"/>
            <w:vMerge w:val="continue"/>
            <w:vAlign w:val="center"/>
          </w:tcPr>
          <w:p w14:paraId="2D982077">
            <w:pPr>
              <w:spacing w:before="60" w:beforeLines="25" w:after="60" w:afterLines="25"/>
              <w:jc w:val="center"/>
              <w:rPr>
                <w:rFonts w:hint="eastAsia" w:asciiTheme="minorEastAsia" w:hAnsiTheme="minorEastAsia" w:eastAsiaTheme="minorEastAsia"/>
                <w:b/>
                <w:color w:val="000000"/>
                <w:sz w:val="32"/>
                <w:szCs w:val="21"/>
              </w:rPr>
            </w:pPr>
          </w:p>
        </w:tc>
        <w:tc>
          <w:tcPr>
            <w:tcW w:w="728" w:type="dxa"/>
            <w:vMerge w:val="continue"/>
            <w:vAlign w:val="center"/>
          </w:tcPr>
          <w:p w14:paraId="4022343F">
            <w:pPr>
              <w:spacing w:before="60" w:beforeLines="25" w:after="60" w:afterLines="25"/>
              <w:rPr>
                <w:rFonts w:hint="eastAsia" w:asciiTheme="minorEastAsia" w:hAnsiTheme="minorEastAsia" w:eastAsiaTheme="minorEastAsia"/>
                <w:b/>
                <w:color w:val="000000"/>
                <w:sz w:val="32"/>
                <w:szCs w:val="21"/>
              </w:rPr>
            </w:pPr>
          </w:p>
        </w:tc>
        <w:tc>
          <w:tcPr>
            <w:tcW w:w="611" w:type="dxa"/>
            <w:vMerge w:val="continue"/>
            <w:vAlign w:val="center"/>
          </w:tcPr>
          <w:p w14:paraId="7B3B2582">
            <w:pPr>
              <w:spacing w:before="60" w:beforeLines="25" w:after="60" w:afterLines="25"/>
              <w:rPr>
                <w:rFonts w:hint="eastAsia" w:asciiTheme="minorEastAsia" w:hAnsiTheme="minorEastAsia" w:eastAsiaTheme="minorEastAsia"/>
                <w:b/>
                <w:color w:val="000000"/>
                <w:sz w:val="32"/>
                <w:szCs w:val="21"/>
              </w:rPr>
            </w:pPr>
          </w:p>
        </w:tc>
        <w:tc>
          <w:tcPr>
            <w:tcW w:w="611" w:type="dxa"/>
            <w:vMerge w:val="continue"/>
            <w:vAlign w:val="center"/>
          </w:tcPr>
          <w:p w14:paraId="271AD727">
            <w:pPr>
              <w:spacing w:before="60" w:beforeLines="25" w:after="60" w:afterLines="25"/>
              <w:rPr>
                <w:rFonts w:hint="eastAsia" w:asciiTheme="minorEastAsia" w:hAnsiTheme="minorEastAsia" w:eastAsiaTheme="minorEastAsia"/>
                <w:b/>
                <w:color w:val="000000"/>
                <w:sz w:val="32"/>
                <w:szCs w:val="21"/>
              </w:rPr>
            </w:pPr>
          </w:p>
        </w:tc>
        <w:tc>
          <w:tcPr>
            <w:tcW w:w="625" w:type="dxa"/>
            <w:vMerge w:val="continue"/>
            <w:vAlign w:val="center"/>
          </w:tcPr>
          <w:p w14:paraId="4BBCAE70">
            <w:pPr>
              <w:spacing w:before="60" w:beforeLines="25" w:after="60" w:afterLines="25"/>
              <w:rPr>
                <w:rFonts w:hint="eastAsia" w:asciiTheme="minorEastAsia" w:hAnsiTheme="minorEastAsia" w:eastAsiaTheme="minorEastAsia"/>
                <w:b/>
                <w:color w:val="000000"/>
                <w:sz w:val="32"/>
                <w:szCs w:val="21"/>
              </w:rPr>
            </w:pPr>
          </w:p>
        </w:tc>
      </w:tr>
      <w:tr w14:paraId="548EFA1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83" w:hRule="exact"/>
          <w:jc w:val="center"/>
        </w:trPr>
        <w:tc>
          <w:tcPr>
            <w:tcW w:w="803" w:type="dxa"/>
            <w:vMerge w:val="restart"/>
            <w:vAlign w:val="center"/>
          </w:tcPr>
          <w:p w14:paraId="6EB13A0D">
            <w:pPr>
              <w:spacing w:before="60" w:beforeLines="25" w:after="60" w:afterLines="25"/>
              <w:jc w:val="center"/>
              <w:rPr>
                <w:rFonts w:hint="eastAsia" w:asciiTheme="minorEastAsia" w:hAnsiTheme="minorEastAsia" w:eastAsiaTheme="minorEastAsia"/>
                <w:color w:val="000000"/>
                <w:sz w:val="24"/>
              </w:rPr>
            </w:pPr>
            <w:r>
              <w:rPr>
                <w:rFonts w:hint="eastAsia" w:asciiTheme="minorEastAsia" w:hAnsiTheme="minorEastAsia" w:eastAsiaTheme="minorEastAsia"/>
                <w:color w:val="000000"/>
                <w:sz w:val="24"/>
              </w:rPr>
              <w:t>5</w:t>
            </w:r>
          </w:p>
        </w:tc>
        <w:tc>
          <w:tcPr>
            <w:tcW w:w="2903" w:type="dxa"/>
            <w:vMerge w:val="restart"/>
            <w:vAlign w:val="center"/>
          </w:tcPr>
          <w:p w14:paraId="200CF9EA">
            <w:pPr>
              <w:spacing w:before="60" w:beforeLines="25" w:after="60" w:afterLines="25"/>
              <w:jc w:val="center"/>
              <w:rPr>
                <w:rFonts w:hint="eastAsia" w:asciiTheme="minorEastAsia" w:hAnsiTheme="minorEastAsia" w:eastAsiaTheme="minorEastAsia"/>
                <w:sz w:val="24"/>
              </w:rPr>
            </w:pPr>
            <w:r>
              <w:rPr>
                <w:rFonts w:hint="eastAsia" w:asciiTheme="minorEastAsia" w:hAnsiTheme="minorEastAsia" w:eastAsiaTheme="minorEastAsia"/>
                <w:sz w:val="24"/>
              </w:rPr>
              <w:t>成品保护和工程保修</w:t>
            </w:r>
          </w:p>
          <w:p w14:paraId="2CDC3CC8">
            <w:pPr>
              <w:spacing w:before="60" w:beforeLines="25" w:after="60" w:afterLines="25"/>
              <w:jc w:val="center"/>
              <w:rPr>
                <w:rFonts w:hint="eastAsia" w:asciiTheme="minorEastAsia" w:hAnsiTheme="minorEastAsia" w:eastAsiaTheme="minorEastAsia"/>
                <w:color w:val="000000"/>
                <w:sz w:val="24"/>
              </w:rPr>
            </w:pPr>
            <w:r>
              <w:rPr>
                <w:rFonts w:hint="eastAsia" w:asciiTheme="minorEastAsia" w:hAnsiTheme="minorEastAsia" w:eastAsiaTheme="minorEastAsia"/>
                <w:sz w:val="24"/>
              </w:rPr>
              <w:t>工作的管理措施</w:t>
            </w:r>
          </w:p>
        </w:tc>
        <w:tc>
          <w:tcPr>
            <w:tcW w:w="4487" w:type="dxa"/>
            <w:tcBorders>
              <w:bottom w:val="single" w:color="auto" w:sz="4" w:space="0"/>
            </w:tcBorders>
            <w:vAlign w:val="center"/>
          </w:tcPr>
          <w:p w14:paraId="18149608">
            <w:pPr>
              <w:spacing w:before="60" w:beforeLines="25" w:after="60" w:afterLines="25"/>
              <w:jc w:val="left"/>
              <w:rPr>
                <w:rFonts w:hint="eastAsia" w:asciiTheme="minorEastAsia" w:hAnsiTheme="minorEastAsia" w:eastAsiaTheme="minorEastAsia"/>
                <w:sz w:val="24"/>
              </w:rPr>
            </w:pPr>
            <w:r>
              <w:rPr>
                <w:rFonts w:hint="eastAsia" w:asciiTheme="minorEastAsia" w:hAnsiTheme="minorEastAsia" w:eastAsiaTheme="minorEastAsia"/>
                <w:sz w:val="24"/>
              </w:rPr>
              <w:t>科学、合理、可行、针对性强</w:t>
            </w:r>
          </w:p>
        </w:tc>
        <w:tc>
          <w:tcPr>
            <w:tcW w:w="949" w:type="dxa"/>
            <w:tcBorders>
              <w:bottom w:val="single" w:color="auto" w:sz="4" w:space="0"/>
            </w:tcBorders>
            <w:vAlign w:val="center"/>
          </w:tcPr>
          <w:p w14:paraId="68CC6E6C">
            <w:pPr>
              <w:spacing w:before="60" w:beforeLines="25" w:after="60" w:afterLines="25"/>
              <w:jc w:val="center"/>
              <w:rPr>
                <w:rFonts w:hint="eastAsia" w:asciiTheme="minorEastAsia" w:hAnsiTheme="minorEastAsia" w:eastAsiaTheme="minorEastAsia"/>
                <w:color w:val="000000"/>
                <w:sz w:val="24"/>
              </w:rPr>
            </w:pPr>
            <w:r>
              <w:rPr>
                <w:rFonts w:hint="eastAsia" w:asciiTheme="minorEastAsia" w:hAnsiTheme="minorEastAsia" w:eastAsiaTheme="minorEastAsia"/>
                <w:color w:val="000000"/>
                <w:sz w:val="24"/>
                <w:lang w:val="en-US" w:eastAsia="zh-CN"/>
              </w:rPr>
              <w:t>8</w:t>
            </w:r>
            <w:r>
              <w:rPr>
                <w:rFonts w:hint="eastAsia" w:asciiTheme="minorEastAsia" w:hAnsiTheme="minorEastAsia" w:eastAsiaTheme="minorEastAsia"/>
                <w:color w:val="000000"/>
                <w:sz w:val="24"/>
              </w:rPr>
              <w:t>分</w:t>
            </w:r>
          </w:p>
        </w:tc>
        <w:tc>
          <w:tcPr>
            <w:tcW w:w="889" w:type="dxa"/>
            <w:vMerge w:val="restart"/>
            <w:vAlign w:val="center"/>
          </w:tcPr>
          <w:p w14:paraId="05B503F3">
            <w:pPr>
              <w:spacing w:before="60" w:beforeLines="25" w:after="60" w:afterLines="25"/>
              <w:jc w:val="center"/>
              <w:rPr>
                <w:rFonts w:hint="eastAsia" w:asciiTheme="minorEastAsia" w:hAnsiTheme="minorEastAsia" w:eastAsiaTheme="minorEastAsia"/>
                <w:color w:val="000000"/>
                <w:sz w:val="32"/>
                <w:szCs w:val="21"/>
              </w:rPr>
            </w:pPr>
            <w:r>
              <w:rPr>
                <w:rFonts w:hint="eastAsia" w:asciiTheme="minorEastAsia" w:hAnsiTheme="minorEastAsia" w:eastAsiaTheme="minorEastAsia"/>
                <w:color w:val="000000"/>
                <w:sz w:val="24"/>
                <w:szCs w:val="21"/>
                <w:lang w:val="en-US" w:eastAsia="zh-CN"/>
              </w:rPr>
              <w:t>8</w:t>
            </w:r>
            <w:r>
              <w:rPr>
                <w:rFonts w:asciiTheme="minorEastAsia" w:hAnsiTheme="minorEastAsia" w:eastAsiaTheme="minorEastAsia"/>
                <w:color w:val="000000"/>
                <w:sz w:val="24"/>
                <w:szCs w:val="21"/>
              </w:rPr>
              <w:t>分</w:t>
            </w:r>
          </w:p>
        </w:tc>
        <w:tc>
          <w:tcPr>
            <w:tcW w:w="886" w:type="dxa"/>
            <w:vMerge w:val="restart"/>
            <w:vAlign w:val="center"/>
          </w:tcPr>
          <w:p w14:paraId="0C65252C">
            <w:pPr>
              <w:spacing w:before="60" w:beforeLines="25" w:after="60" w:afterLines="25"/>
              <w:jc w:val="center"/>
              <w:rPr>
                <w:rFonts w:hint="eastAsia" w:asciiTheme="minorEastAsia" w:hAnsiTheme="minorEastAsia" w:eastAsiaTheme="minorEastAsia"/>
                <w:b/>
                <w:color w:val="000000"/>
                <w:sz w:val="32"/>
                <w:szCs w:val="21"/>
              </w:rPr>
            </w:pPr>
          </w:p>
        </w:tc>
        <w:tc>
          <w:tcPr>
            <w:tcW w:w="738" w:type="dxa"/>
            <w:vMerge w:val="restart"/>
            <w:vAlign w:val="center"/>
          </w:tcPr>
          <w:p w14:paraId="1F4FBCB0">
            <w:pPr>
              <w:spacing w:before="60" w:beforeLines="25" w:after="60" w:afterLines="25"/>
              <w:jc w:val="center"/>
              <w:rPr>
                <w:rFonts w:hint="eastAsia" w:asciiTheme="minorEastAsia" w:hAnsiTheme="minorEastAsia" w:eastAsiaTheme="minorEastAsia"/>
                <w:b/>
                <w:color w:val="000000"/>
                <w:sz w:val="32"/>
                <w:szCs w:val="21"/>
              </w:rPr>
            </w:pPr>
          </w:p>
        </w:tc>
        <w:tc>
          <w:tcPr>
            <w:tcW w:w="737" w:type="dxa"/>
            <w:vMerge w:val="restart"/>
            <w:vAlign w:val="center"/>
          </w:tcPr>
          <w:p w14:paraId="51066C26">
            <w:pPr>
              <w:spacing w:before="60" w:beforeLines="25" w:after="60" w:afterLines="25"/>
              <w:jc w:val="center"/>
              <w:rPr>
                <w:rFonts w:hint="eastAsia" w:asciiTheme="minorEastAsia" w:hAnsiTheme="minorEastAsia" w:eastAsiaTheme="minorEastAsia"/>
                <w:b/>
                <w:color w:val="000000"/>
                <w:sz w:val="32"/>
                <w:szCs w:val="21"/>
              </w:rPr>
            </w:pPr>
          </w:p>
        </w:tc>
        <w:tc>
          <w:tcPr>
            <w:tcW w:w="728" w:type="dxa"/>
            <w:vMerge w:val="restart"/>
            <w:vAlign w:val="center"/>
          </w:tcPr>
          <w:p w14:paraId="7E6FE131">
            <w:pPr>
              <w:spacing w:before="60" w:beforeLines="25" w:after="60" w:afterLines="25"/>
              <w:rPr>
                <w:rFonts w:hint="eastAsia" w:asciiTheme="minorEastAsia" w:hAnsiTheme="minorEastAsia" w:eastAsiaTheme="minorEastAsia"/>
                <w:b/>
                <w:color w:val="000000"/>
                <w:sz w:val="32"/>
                <w:szCs w:val="21"/>
              </w:rPr>
            </w:pPr>
          </w:p>
        </w:tc>
        <w:tc>
          <w:tcPr>
            <w:tcW w:w="611" w:type="dxa"/>
            <w:vMerge w:val="restart"/>
            <w:vAlign w:val="center"/>
          </w:tcPr>
          <w:p w14:paraId="251F0A84">
            <w:pPr>
              <w:spacing w:before="60" w:beforeLines="25" w:after="60" w:afterLines="25"/>
              <w:rPr>
                <w:rFonts w:hint="eastAsia" w:asciiTheme="minorEastAsia" w:hAnsiTheme="minorEastAsia" w:eastAsiaTheme="minorEastAsia"/>
                <w:b/>
                <w:color w:val="000000"/>
                <w:sz w:val="32"/>
                <w:szCs w:val="21"/>
              </w:rPr>
            </w:pPr>
          </w:p>
        </w:tc>
        <w:tc>
          <w:tcPr>
            <w:tcW w:w="611" w:type="dxa"/>
            <w:vMerge w:val="restart"/>
            <w:vAlign w:val="center"/>
          </w:tcPr>
          <w:p w14:paraId="32E32B37">
            <w:pPr>
              <w:spacing w:before="60" w:beforeLines="25" w:after="60" w:afterLines="25"/>
              <w:rPr>
                <w:rFonts w:hint="eastAsia" w:asciiTheme="minorEastAsia" w:hAnsiTheme="minorEastAsia" w:eastAsiaTheme="minorEastAsia"/>
                <w:b/>
                <w:color w:val="000000"/>
                <w:sz w:val="32"/>
                <w:szCs w:val="21"/>
              </w:rPr>
            </w:pPr>
          </w:p>
        </w:tc>
        <w:tc>
          <w:tcPr>
            <w:tcW w:w="625" w:type="dxa"/>
            <w:vMerge w:val="restart"/>
            <w:vAlign w:val="center"/>
          </w:tcPr>
          <w:p w14:paraId="4FFDBED6">
            <w:pPr>
              <w:spacing w:before="60" w:beforeLines="25" w:after="60" w:afterLines="25"/>
              <w:rPr>
                <w:rFonts w:hint="eastAsia" w:asciiTheme="minorEastAsia" w:hAnsiTheme="minorEastAsia" w:eastAsiaTheme="minorEastAsia"/>
                <w:b/>
                <w:color w:val="000000"/>
                <w:sz w:val="32"/>
                <w:szCs w:val="21"/>
              </w:rPr>
            </w:pPr>
          </w:p>
        </w:tc>
      </w:tr>
      <w:tr w14:paraId="287D668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83" w:hRule="exact"/>
          <w:jc w:val="center"/>
        </w:trPr>
        <w:tc>
          <w:tcPr>
            <w:tcW w:w="803" w:type="dxa"/>
            <w:vMerge w:val="continue"/>
            <w:vAlign w:val="center"/>
          </w:tcPr>
          <w:p w14:paraId="0C1E6410">
            <w:pPr>
              <w:spacing w:before="60" w:beforeLines="25" w:after="60" w:afterLines="25"/>
              <w:jc w:val="center"/>
              <w:rPr>
                <w:rFonts w:hint="eastAsia" w:asciiTheme="minorEastAsia" w:hAnsiTheme="minorEastAsia" w:eastAsiaTheme="minorEastAsia"/>
                <w:color w:val="000000"/>
                <w:sz w:val="24"/>
              </w:rPr>
            </w:pPr>
          </w:p>
        </w:tc>
        <w:tc>
          <w:tcPr>
            <w:tcW w:w="2903" w:type="dxa"/>
            <w:vMerge w:val="continue"/>
            <w:vAlign w:val="center"/>
          </w:tcPr>
          <w:p w14:paraId="04F16367">
            <w:pPr>
              <w:spacing w:before="60" w:beforeLines="25" w:after="60" w:afterLines="25"/>
              <w:jc w:val="center"/>
              <w:rPr>
                <w:rFonts w:hint="eastAsia" w:asciiTheme="minorEastAsia" w:hAnsiTheme="minorEastAsia" w:eastAsiaTheme="minorEastAsia"/>
                <w:sz w:val="24"/>
              </w:rPr>
            </w:pPr>
          </w:p>
        </w:tc>
        <w:tc>
          <w:tcPr>
            <w:tcW w:w="4487" w:type="dxa"/>
            <w:tcBorders>
              <w:bottom w:val="single" w:color="auto" w:sz="4" w:space="0"/>
            </w:tcBorders>
            <w:vAlign w:val="center"/>
          </w:tcPr>
          <w:p w14:paraId="3B7F12A0">
            <w:pPr>
              <w:spacing w:before="60" w:beforeLines="25" w:after="60" w:afterLines="25"/>
              <w:jc w:val="left"/>
              <w:rPr>
                <w:rFonts w:hint="eastAsia" w:asciiTheme="minorEastAsia" w:hAnsiTheme="minorEastAsia" w:eastAsiaTheme="minorEastAsia"/>
                <w:sz w:val="24"/>
              </w:rPr>
            </w:pPr>
            <w:r>
              <w:rPr>
                <w:rFonts w:hint="eastAsia" w:asciiTheme="minorEastAsia" w:hAnsiTheme="minorEastAsia" w:eastAsiaTheme="minorEastAsia"/>
                <w:sz w:val="24"/>
              </w:rPr>
              <w:t>合理、可行、细节待完善</w:t>
            </w:r>
          </w:p>
        </w:tc>
        <w:tc>
          <w:tcPr>
            <w:tcW w:w="949" w:type="dxa"/>
            <w:tcBorders>
              <w:bottom w:val="single" w:color="auto" w:sz="4" w:space="0"/>
            </w:tcBorders>
            <w:vAlign w:val="center"/>
          </w:tcPr>
          <w:p w14:paraId="14FA6469">
            <w:pPr>
              <w:spacing w:before="60" w:beforeLines="25" w:after="60" w:afterLines="25"/>
              <w:jc w:val="center"/>
              <w:rPr>
                <w:rFonts w:hint="eastAsia" w:asciiTheme="minorEastAsia" w:hAnsiTheme="minorEastAsia" w:eastAsiaTheme="minorEastAsia"/>
                <w:color w:val="000000"/>
                <w:sz w:val="24"/>
              </w:rPr>
            </w:pPr>
            <w:r>
              <w:rPr>
                <w:rFonts w:hint="eastAsia" w:asciiTheme="minorEastAsia" w:hAnsiTheme="minorEastAsia" w:eastAsiaTheme="minorEastAsia"/>
                <w:color w:val="000000"/>
                <w:sz w:val="24"/>
                <w:lang w:val="en-US" w:eastAsia="zh-CN"/>
              </w:rPr>
              <w:t>5</w:t>
            </w:r>
            <w:r>
              <w:rPr>
                <w:rFonts w:hint="eastAsia" w:asciiTheme="minorEastAsia" w:hAnsiTheme="minorEastAsia" w:eastAsiaTheme="minorEastAsia"/>
                <w:color w:val="000000"/>
                <w:sz w:val="24"/>
              </w:rPr>
              <w:t>分</w:t>
            </w:r>
          </w:p>
        </w:tc>
        <w:tc>
          <w:tcPr>
            <w:tcW w:w="889" w:type="dxa"/>
            <w:vMerge w:val="continue"/>
            <w:vAlign w:val="center"/>
          </w:tcPr>
          <w:p w14:paraId="64EAD347">
            <w:pPr>
              <w:spacing w:before="60" w:beforeLines="25" w:after="60" w:afterLines="25"/>
              <w:jc w:val="center"/>
              <w:rPr>
                <w:rFonts w:hint="eastAsia" w:asciiTheme="minorEastAsia" w:hAnsiTheme="minorEastAsia" w:eastAsiaTheme="minorEastAsia"/>
                <w:color w:val="000000"/>
                <w:sz w:val="24"/>
                <w:szCs w:val="21"/>
              </w:rPr>
            </w:pPr>
          </w:p>
        </w:tc>
        <w:tc>
          <w:tcPr>
            <w:tcW w:w="886" w:type="dxa"/>
            <w:vMerge w:val="continue"/>
            <w:vAlign w:val="center"/>
          </w:tcPr>
          <w:p w14:paraId="1FB84168">
            <w:pPr>
              <w:spacing w:before="60" w:beforeLines="25" w:after="60" w:afterLines="25"/>
              <w:jc w:val="center"/>
              <w:rPr>
                <w:rFonts w:hint="eastAsia" w:asciiTheme="minorEastAsia" w:hAnsiTheme="minorEastAsia" w:eastAsiaTheme="minorEastAsia"/>
                <w:b/>
                <w:color w:val="000000"/>
                <w:sz w:val="32"/>
                <w:szCs w:val="21"/>
              </w:rPr>
            </w:pPr>
          </w:p>
        </w:tc>
        <w:tc>
          <w:tcPr>
            <w:tcW w:w="738" w:type="dxa"/>
            <w:vMerge w:val="continue"/>
            <w:vAlign w:val="center"/>
          </w:tcPr>
          <w:p w14:paraId="7AB1FADC">
            <w:pPr>
              <w:spacing w:before="60" w:beforeLines="25" w:after="60" w:afterLines="25"/>
              <w:jc w:val="center"/>
              <w:rPr>
                <w:rFonts w:hint="eastAsia" w:asciiTheme="minorEastAsia" w:hAnsiTheme="minorEastAsia" w:eastAsiaTheme="minorEastAsia"/>
                <w:b/>
                <w:color w:val="000000"/>
                <w:sz w:val="32"/>
                <w:szCs w:val="21"/>
              </w:rPr>
            </w:pPr>
          </w:p>
        </w:tc>
        <w:tc>
          <w:tcPr>
            <w:tcW w:w="737" w:type="dxa"/>
            <w:vMerge w:val="continue"/>
            <w:vAlign w:val="center"/>
          </w:tcPr>
          <w:p w14:paraId="18F1C016">
            <w:pPr>
              <w:spacing w:before="60" w:beforeLines="25" w:after="60" w:afterLines="25"/>
              <w:jc w:val="center"/>
              <w:rPr>
                <w:rFonts w:hint="eastAsia" w:asciiTheme="minorEastAsia" w:hAnsiTheme="minorEastAsia" w:eastAsiaTheme="minorEastAsia"/>
                <w:b/>
                <w:color w:val="000000"/>
                <w:sz w:val="32"/>
                <w:szCs w:val="21"/>
              </w:rPr>
            </w:pPr>
          </w:p>
        </w:tc>
        <w:tc>
          <w:tcPr>
            <w:tcW w:w="728" w:type="dxa"/>
            <w:vMerge w:val="continue"/>
            <w:vAlign w:val="center"/>
          </w:tcPr>
          <w:p w14:paraId="0D62D0B4">
            <w:pPr>
              <w:spacing w:before="60" w:beforeLines="25" w:after="60" w:afterLines="25"/>
              <w:rPr>
                <w:rFonts w:hint="eastAsia" w:asciiTheme="minorEastAsia" w:hAnsiTheme="minorEastAsia" w:eastAsiaTheme="minorEastAsia"/>
                <w:b/>
                <w:color w:val="000000"/>
                <w:sz w:val="32"/>
                <w:szCs w:val="21"/>
              </w:rPr>
            </w:pPr>
          </w:p>
        </w:tc>
        <w:tc>
          <w:tcPr>
            <w:tcW w:w="611" w:type="dxa"/>
            <w:vMerge w:val="continue"/>
            <w:vAlign w:val="center"/>
          </w:tcPr>
          <w:p w14:paraId="22ED5286">
            <w:pPr>
              <w:spacing w:before="60" w:beforeLines="25" w:after="60" w:afterLines="25"/>
              <w:rPr>
                <w:rFonts w:hint="eastAsia" w:asciiTheme="minorEastAsia" w:hAnsiTheme="minorEastAsia" w:eastAsiaTheme="minorEastAsia"/>
                <w:b/>
                <w:color w:val="000000"/>
                <w:sz w:val="32"/>
                <w:szCs w:val="21"/>
              </w:rPr>
            </w:pPr>
          </w:p>
        </w:tc>
        <w:tc>
          <w:tcPr>
            <w:tcW w:w="611" w:type="dxa"/>
            <w:vMerge w:val="continue"/>
            <w:vAlign w:val="center"/>
          </w:tcPr>
          <w:p w14:paraId="05839CF3">
            <w:pPr>
              <w:spacing w:before="60" w:beforeLines="25" w:after="60" w:afterLines="25"/>
              <w:rPr>
                <w:rFonts w:hint="eastAsia" w:asciiTheme="minorEastAsia" w:hAnsiTheme="minorEastAsia" w:eastAsiaTheme="minorEastAsia"/>
                <w:b/>
                <w:color w:val="000000"/>
                <w:sz w:val="32"/>
                <w:szCs w:val="21"/>
              </w:rPr>
            </w:pPr>
          </w:p>
        </w:tc>
        <w:tc>
          <w:tcPr>
            <w:tcW w:w="625" w:type="dxa"/>
            <w:vMerge w:val="continue"/>
            <w:vAlign w:val="center"/>
          </w:tcPr>
          <w:p w14:paraId="2528C795">
            <w:pPr>
              <w:spacing w:before="60" w:beforeLines="25" w:after="60" w:afterLines="25"/>
              <w:rPr>
                <w:rFonts w:hint="eastAsia" w:asciiTheme="minorEastAsia" w:hAnsiTheme="minorEastAsia" w:eastAsiaTheme="minorEastAsia"/>
                <w:b/>
                <w:color w:val="000000"/>
                <w:sz w:val="32"/>
                <w:szCs w:val="21"/>
              </w:rPr>
            </w:pPr>
          </w:p>
        </w:tc>
      </w:tr>
      <w:tr w14:paraId="0B74DFC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83" w:hRule="exact"/>
          <w:jc w:val="center"/>
        </w:trPr>
        <w:tc>
          <w:tcPr>
            <w:tcW w:w="803" w:type="dxa"/>
            <w:vMerge w:val="continue"/>
            <w:vAlign w:val="center"/>
          </w:tcPr>
          <w:p w14:paraId="6DD37394">
            <w:pPr>
              <w:spacing w:before="60" w:beforeLines="25" w:after="60" w:afterLines="25"/>
              <w:jc w:val="center"/>
              <w:rPr>
                <w:rFonts w:hint="eastAsia" w:asciiTheme="minorEastAsia" w:hAnsiTheme="minorEastAsia" w:eastAsiaTheme="minorEastAsia"/>
                <w:b/>
                <w:color w:val="000000"/>
                <w:sz w:val="32"/>
                <w:szCs w:val="21"/>
              </w:rPr>
            </w:pPr>
          </w:p>
        </w:tc>
        <w:tc>
          <w:tcPr>
            <w:tcW w:w="2903" w:type="dxa"/>
            <w:vMerge w:val="continue"/>
            <w:vAlign w:val="center"/>
          </w:tcPr>
          <w:p w14:paraId="6405DE7D">
            <w:pPr>
              <w:spacing w:before="60" w:beforeLines="25" w:after="60" w:afterLines="25"/>
              <w:jc w:val="center"/>
              <w:rPr>
                <w:rFonts w:hint="eastAsia" w:asciiTheme="minorEastAsia" w:hAnsiTheme="minorEastAsia" w:eastAsiaTheme="minorEastAsia"/>
                <w:b/>
                <w:color w:val="000000"/>
                <w:sz w:val="32"/>
                <w:szCs w:val="21"/>
              </w:rPr>
            </w:pPr>
          </w:p>
        </w:tc>
        <w:tc>
          <w:tcPr>
            <w:tcW w:w="4487" w:type="dxa"/>
            <w:vAlign w:val="center"/>
          </w:tcPr>
          <w:p w14:paraId="503546A3">
            <w:pPr>
              <w:spacing w:before="60" w:beforeLines="25" w:after="60" w:afterLines="25"/>
              <w:jc w:val="left"/>
              <w:rPr>
                <w:rFonts w:hint="eastAsia" w:asciiTheme="minorEastAsia" w:hAnsiTheme="minorEastAsia" w:eastAsiaTheme="minorEastAsia"/>
                <w:sz w:val="24"/>
              </w:rPr>
            </w:pPr>
            <w:r>
              <w:rPr>
                <w:rFonts w:hint="eastAsia" w:asciiTheme="minorEastAsia" w:hAnsiTheme="minorEastAsia" w:eastAsiaTheme="minorEastAsia"/>
                <w:sz w:val="24"/>
              </w:rPr>
              <w:t>基本满足工程需要</w:t>
            </w:r>
          </w:p>
        </w:tc>
        <w:tc>
          <w:tcPr>
            <w:tcW w:w="949" w:type="dxa"/>
            <w:vAlign w:val="center"/>
          </w:tcPr>
          <w:p w14:paraId="26E3C444">
            <w:pPr>
              <w:spacing w:before="60" w:beforeLines="25" w:after="60" w:afterLines="25"/>
              <w:jc w:val="center"/>
              <w:rPr>
                <w:rFonts w:hint="eastAsia" w:asciiTheme="minorEastAsia" w:hAnsiTheme="minorEastAsia" w:eastAsiaTheme="minorEastAsia"/>
                <w:color w:val="000000"/>
                <w:sz w:val="24"/>
              </w:rPr>
            </w:pPr>
            <w:r>
              <w:rPr>
                <w:rFonts w:hint="eastAsia" w:asciiTheme="minorEastAsia" w:hAnsiTheme="minorEastAsia" w:eastAsiaTheme="minorEastAsia"/>
                <w:color w:val="000000"/>
                <w:sz w:val="24"/>
                <w:lang w:val="en-US" w:eastAsia="zh-CN"/>
              </w:rPr>
              <w:t>3</w:t>
            </w:r>
            <w:r>
              <w:rPr>
                <w:rFonts w:hint="eastAsia" w:asciiTheme="minorEastAsia" w:hAnsiTheme="minorEastAsia" w:eastAsiaTheme="minorEastAsia"/>
                <w:color w:val="000000"/>
                <w:sz w:val="24"/>
              </w:rPr>
              <w:t>分</w:t>
            </w:r>
          </w:p>
        </w:tc>
        <w:tc>
          <w:tcPr>
            <w:tcW w:w="889" w:type="dxa"/>
            <w:vMerge w:val="continue"/>
            <w:vAlign w:val="center"/>
          </w:tcPr>
          <w:p w14:paraId="0AED3182">
            <w:pPr>
              <w:spacing w:before="60" w:beforeLines="25" w:after="60" w:afterLines="25"/>
              <w:jc w:val="center"/>
              <w:rPr>
                <w:rFonts w:hint="eastAsia" w:asciiTheme="minorEastAsia" w:hAnsiTheme="minorEastAsia" w:eastAsiaTheme="minorEastAsia"/>
                <w:b/>
                <w:color w:val="000000"/>
                <w:sz w:val="32"/>
                <w:szCs w:val="21"/>
              </w:rPr>
            </w:pPr>
          </w:p>
        </w:tc>
        <w:tc>
          <w:tcPr>
            <w:tcW w:w="886" w:type="dxa"/>
            <w:vMerge w:val="continue"/>
            <w:vAlign w:val="center"/>
          </w:tcPr>
          <w:p w14:paraId="489102AC">
            <w:pPr>
              <w:spacing w:before="60" w:beforeLines="25" w:after="60" w:afterLines="25"/>
              <w:jc w:val="center"/>
              <w:rPr>
                <w:rFonts w:hint="eastAsia" w:asciiTheme="minorEastAsia" w:hAnsiTheme="minorEastAsia" w:eastAsiaTheme="minorEastAsia"/>
                <w:b/>
                <w:color w:val="000000"/>
                <w:sz w:val="32"/>
                <w:szCs w:val="21"/>
              </w:rPr>
            </w:pPr>
          </w:p>
        </w:tc>
        <w:tc>
          <w:tcPr>
            <w:tcW w:w="738" w:type="dxa"/>
            <w:vMerge w:val="continue"/>
            <w:vAlign w:val="center"/>
          </w:tcPr>
          <w:p w14:paraId="7E204E08">
            <w:pPr>
              <w:spacing w:before="60" w:beforeLines="25" w:after="60" w:afterLines="25"/>
              <w:jc w:val="center"/>
              <w:rPr>
                <w:rFonts w:hint="eastAsia" w:asciiTheme="minorEastAsia" w:hAnsiTheme="minorEastAsia" w:eastAsiaTheme="minorEastAsia"/>
                <w:b/>
                <w:color w:val="000000"/>
                <w:sz w:val="32"/>
                <w:szCs w:val="21"/>
              </w:rPr>
            </w:pPr>
          </w:p>
        </w:tc>
        <w:tc>
          <w:tcPr>
            <w:tcW w:w="737" w:type="dxa"/>
            <w:vMerge w:val="continue"/>
            <w:vAlign w:val="center"/>
          </w:tcPr>
          <w:p w14:paraId="385E8909">
            <w:pPr>
              <w:spacing w:before="60" w:beforeLines="25" w:after="60" w:afterLines="25"/>
              <w:jc w:val="center"/>
              <w:rPr>
                <w:rFonts w:hint="eastAsia" w:asciiTheme="minorEastAsia" w:hAnsiTheme="minorEastAsia" w:eastAsiaTheme="minorEastAsia"/>
                <w:b/>
                <w:color w:val="000000"/>
                <w:sz w:val="32"/>
                <w:szCs w:val="21"/>
              </w:rPr>
            </w:pPr>
          </w:p>
        </w:tc>
        <w:tc>
          <w:tcPr>
            <w:tcW w:w="728" w:type="dxa"/>
            <w:vMerge w:val="continue"/>
            <w:vAlign w:val="center"/>
          </w:tcPr>
          <w:p w14:paraId="1DBBE920">
            <w:pPr>
              <w:spacing w:before="60" w:beforeLines="25" w:after="60" w:afterLines="25"/>
              <w:rPr>
                <w:rFonts w:hint="eastAsia" w:asciiTheme="minorEastAsia" w:hAnsiTheme="minorEastAsia" w:eastAsiaTheme="minorEastAsia"/>
                <w:b/>
                <w:color w:val="000000"/>
                <w:sz w:val="32"/>
                <w:szCs w:val="21"/>
              </w:rPr>
            </w:pPr>
          </w:p>
        </w:tc>
        <w:tc>
          <w:tcPr>
            <w:tcW w:w="611" w:type="dxa"/>
            <w:vMerge w:val="continue"/>
            <w:vAlign w:val="center"/>
          </w:tcPr>
          <w:p w14:paraId="4CEB35B5">
            <w:pPr>
              <w:spacing w:before="60" w:beforeLines="25" w:after="60" w:afterLines="25"/>
              <w:rPr>
                <w:rFonts w:hint="eastAsia" w:asciiTheme="minorEastAsia" w:hAnsiTheme="minorEastAsia" w:eastAsiaTheme="minorEastAsia"/>
                <w:b/>
                <w:color w:val="000000"/>
                <w:sz w:val="32"/>
                <w:szCs w:val="21"/>
              </w:rPr>
            </w:pPr>
          </w:p>
        </w:tc>
        <w:tc>
          <w:tcPr>
            <w:tcW w:w="611" w:type="dxa"/>
            <w:vMerge w:val="continue"/>
            <w:vAlign w:val="center"/>
          </w:tcPr>
          <w:p w14:paraId="76784CB9">
            <w:pPr>
              <w:spacing w:before="60" w:beforeLines="25" w:after="60" w:afterLines="25"/>
              <w:rPr>
                <w:rFonts w:hint="eastAsia" w:asciiTheme="minorEastAsia" w:hAnsiTheme="minorEastAsia" w:eastAsiaTheme="minorEastAsia"/>
                <w:b/>
                <w:color w:val="000000"/>
                <w:sz w:val="32"/>
                <w:szCs w:val="21"/>
              </w:rPr>
            </w:pPr>
          </w:p>
        </w:tc>
        <w:tc>
          <w:tcPr>
            <w:tcW w:w="625" w:type="dxa"/>
            <w:vMerge w:val="continue"/>
            <w:vAlign w:val="center"/>
          </w:tcPr>
          <w:p w14:paraId="00244B99">
            <w:pPr>
              <w:spacing w:before="60" w:beforeLines="25" w:after="60" w:afterLines="25"/>
              <w:rPr>
                <w:rFonts w:hint="eastAsia" w:asciiTheme="minorEastAsia" w:hAnsiTheme="minorEastAsia" w:eastAsiaTheme="minorEastAsia"/>
                <w:b/>
                <w:color w:val="000000"/>
                <w:sz w:val="32"/>
                <w:szCs w:val="21"/>
              </w:rPr>
            </w:pPr>
          </w:p>
        </w:tc>
      </w:tr>
      <w:tr w14:paraId="6955267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83" w:hRule="exact"/>
          <w:jc w:val="center"/>
        </w:trPr>
        <w:tc>
          <w:tcPr>
            <w:tcW w:w="803" w:type="dxa"/>
            <w:vMerge w:val="continue"/>
            <w:vAlign w:val="center"/>
          </w:tcPr>
          <w:p w14:paraId="1DB8F1A4">
            <w:pPr>
              <w:spacing w:before="60" w:beforeLines="25" w:after="60" w:afterLines="25"/>
              <w:jc w:val="center"/>
              <w:rPr>
                <w:rFonts w:hint="eastAsia" w:asciiTheme="minorEastAsia" w:hAnsiTheme="minorEastAsia" w:eastAsiaTheme="minorEastAsia"/>
                <w:b/>
                <w:color w:val="000000"/>
                <w:sz w:val="32"/>
                <w:szCs w:val="21"/>
              </w:rPr>
            </w:pPr>
          </w:p>
        </w:tc>
        <w:tc>
          <w:tcPr>
            <w:tcW w:w="2903" w:type="dxa"/>
            <w:vMerge w:val="continue"/>
            <w:vAlign w:val="center"/>
          </w:tcPr>
          <w:p w14:paraId="5B1AF277">
            <w:pPr>
              <w:spacing w:before="60" w:beforeLines="25" w:after="60" w:afterLines="25"/>
              <w:jc w:val="center"/>
              <w:rPr>
                <w:rFonts w:hint="eastAsia" w:asciiTheme="minorEastAsia" w:hAnsiTheme="minorEastAsia" w:eastAsiaTheme="minorEastAsia"/>
                <w:b/>
                <w:color w:val="000000"/>
                <w:sz w:val="32"/>
                <w:szCs w:val="21"/>
              </w:rPr>
            </w:pPr>
          </w:p>
        </w:tc>
        <w:tc>
          <w:tcPr>
            <w:tcW w:w="4487" w:type="dxa"/>
            <w:vAlign w:val="center"/>
          </w:tcPr>
          <w:p w14:paraId="33D49E47">
            <w:pPr>
              <w:spacing w:before="60" w:beforeLines="25" w:after="60" w:afterLines="25"/>
              <w:jc w:val="left"/>
              <w:rPr>
                <w:rFonts w:hint="eastAsia" w:asciiTheme="minorEastAsia" w:hAnsiTheme="minorEastAsia" w:eastAsiaTheme="minorEastAsia"/>
                <w:sz w:val="24"/>
              </w:rPr>
            </w:pPr>
            <w:r>
              <w:rPr>
                <w:rFonts w:hint="eastAsia" w:asciiTheme="minorEastAsia" w:hAnsiTheme="minorEastAsia" w:eastAsiaTheme="minorEastAsia"/>
                <w:sz w:val="24"/>
              </w:rPr>
              <w:t>欠合理，可行性差</w:t>
            </w:r>
          </w:p>
        </w:tc>
        <w:tc>
          <w:tcPr>
            <w:tcW w:w="949" w:type="dxa"/>
            <w:vAlign w:val="center"/>
          </w:tcPr>
          <w:p w14:paraId="7EC8E042">
            <w:pPr>
              <w:spacing w:before="60" w:beforeLines="25" w:after="60" w:afterLines="25"/>
              <w:jc w:val="center"/>
              <w:rPr>
                <w:rFonts w:hint="eastAsia" w:asciiTheme="minorEastAsia" w:hAnsiTheme="minorEastAsia" w:eastAsiaTheme="minorEastAsia"/>
                <w:color w:val="000000"/>
                <w:sz w:val="24"/>
              </w:rPr>
            </w:pPr>
            <w:r>
              <w:rPr>
                <w:rFonts w:hint="eastAsia" w:asciiTheme="minorEastAsia" w:hAnsiTheme="minorEastAsia" w:eastAsiaTheme="minorEastAsia"/>
                <w:color w:val="000000"/>
                <w:sz w:val="24"/>
              </w:rPr>
              <w:t>1分</w:t>
            </w:r>
          </w:p>
        </w:tc>
        <w:tc>
          <w:tcPr>
            <w:tcW w:w="889" w:type="dxa"/>
            <w:vMerge w:val="continue"/>
            <w:vAlign w:val="center"/>
          </w:tcPr>
          <w:p w14:paraId="7B503557">
            <w:pPr>
              <w:spacing w:before="60" w:beforeLines="25" w:after="60" w:afterLines="25"/>
              <w:jc w:val="center"/>
              <w:rPr>
                <w:rFonts w:hint="eastAsia" w:asciiTheme="minorEastAsia" w:hAnsiTheme="minorEastAsia" w:eastAsiaTheme="minorEastAsia"/>
                <w:b/>
                <w:color w:val="000000"/>
                <w:sz w:val="32"/>
                <w:szCs w:val="21"/>
              </w:rPr>
            </w:pPr>
          </w:p>
        </w:tc>
        <w:tc>
          <w:tcPr>
            <w:tcW w:w="886" w:type="dxa"/>
            <w:vMerge w:val="continue"/>
            <w:vAlign w:val="center"/>
          </w:tcPr>
          <w:p w14:paraId="4F1B4410">
            <w:pPr>
              <w:spacing w:before="60" w:beforeLines="25" w:after="60" w:afterLines="25"/>
              <w:jc w:val="center"/>
              <w:rPr>
                <w:rFonts w:hint="eastAsia" w:asciiTheme="minorEastAsia" w:hAnsiTheme="minorEastAsia" w:eastAsiaTheme="minorEastAsia"/>
                <w:b/>
                <w:color w:val="000000"/>
                <w:sz w:val="32"/>
                <w:szCs w:val="21"/>
              </w:rPr>
            </w:pPr>
          </w:p>
        </w:tc>
        <w:tc>
          <w:tcPr>
            <w:tcW w:w="738" w:type="dxa"/>
            <w:vMerge w:val="continue"/>
            <w:vAlign w:val="center"/>
          </w:tcPr>
          <w:p w14:paraId="640F0495">
            <w:pPr>
              <w:spacing w:before="60" w:beforeLines="25" w:after="60" w:afterLines="25"/>
              <w:jc w:val="center"/>
              <w:rPr>
                <w:rFonts w:hint="eastAsia" w:asciiTheme="minorEastAsia" w:hAnsiTheme="minorEastAsia" w:eastAsiaTheme="minorEastAsia"/>
                <w:b/>
                <w:color w:val="000000"/>
                <w:sz w:val="32"/>
                <w:szCs w:val="21"/>
              </w:rPr>
            </w:pPr>
          </w:p>
        </w:tc>
        <w:tc>
          <w:tcPr>
            <w:tcW w:w="737" w:type="dxa"/>
            <w:vMerge w:val="continue"/>
            <w:vAlign w:val="center"/>
          </w:tcPr>
          <w:p w14:paraId="2F2FC21D">
            <w:pPr>
              <w:spacing w:before="60" w:beforeLines="25" w:after="60" w:afterLines="25"/>
              <w:jc w:val="center"/>
              <w:rPr>
                <w:rFonts w:hint="eastAsia" w:asciiTheme="minorEastAsia" w:hAnsiTheme="minorEastAsia" w:eastAsiaTheme="minorEastAsia"/>
                <w:b/>
                <w:color w:val="000000"/>
                <w:sz w:val="32"/>
                <w:szCs w:val="21"/>
              </w:rPr>
            </w:pPr>
          </w:p>
        </w:tc>
        <w:tc>
          <w:tcPr>
            <w:tcW w:w="728" w:type="dxa"/>
            <w:vMerge w:val="continue"/>
            <w:vAlign w:val="center"/>
          </w:tcPr>
          <w:p w14:paraId="5636A149">
            <w:pPr>
              <w:spacing w:before="60" w:beforeLines="25" w:after="60" w:afterLines="25"/>
              <w:rPr>
                <w:rFonts w:hint="eastAsia" w:asciiTheme="minorEastAsia" w:hAnsiTheme="minorEastAsia" w:eastAsiaTheme="minorEastAsia"/>
                <w:b/>
                <w:color w:val="000000"/>
                <w:sz w:val="32"/>
                <w:szCs w:val="21"/>
              </w:rPr>
            </w:pPr>
          </w:p>
        </w:tc>
        <w:tc>
          <w:tcPr>
            <w:tcW w:w="611" w:type="dxa"/>
            <w:vMerge w:val="continue"/>
            <w:vAlign w:val="center"/>
          </w:tcPr>
          <w:p w14:paraId="08D643B1">
            <w:pPr>
              <w:spacing w:before="60" w:beforeLines="25" w:after="60" w:afterLines="25"/>
              <w:rPr>
                <w:rFonts w:hint="eastAsia" w:asciiTheme="minorEastAsia" w:hAnsiTheme="minorEastAsia" w:eastAsiaTheme="minorEastAsia"/>
                <w:b/>
                <w:color w:val="000000"/>
                <w:sz w:val="32"/>
                <w:szCs w:val="21"/>
              </w:rPr>
            </w:pPr>
          </w:p>
        </w:tc>
        <w:tc>
          <w:tcPr>
            <w:tcW w:w="611" w:type="dxa"/>
            <w:vMerge w:val="continue"/>
            <w:vAlign w:val="center"/>
          </w:tcPr>
          <w:p w14:paraId="1EEF8C6F">
            <w:pPr>
              <w:spacing w:before="60" w:beforeLines="25" w:after="60" w:afterLines="25"/>
              <w:rPr>
                <w:rFonts w:hint="eastAsia" w:asciiTheme="minorEastAsia" w:hAnsiTheme="minorEastAsia" w:eastAsiaTheme="minorEastAsia"/>
                <w:b/>
                <w:color w:val="000000"/>
                <w:sz w:val="32"/>
                <w:szCs w:val="21"/>
              </w:rPr>
            </w:pPr>
          </w:p>
        </w:tc>
        <w:tc>
          <w:tcPr>
            <w:tcW w:w="625" w:type="dxa"/>
            <w:vMerge w:val="continue"/>
            <w:vAlign w:val="center"/>
          </w:tcPr>
          <w:p w14:paraId="66EB3B77">
            <w:pPr>
              <w:spacing w:before="60" w:beforeLines="25" w:after="60" w:afterLines="25"/>
              <w:rPr>
                <w:rFonts w:hint="eastAsia" w:asciiTheme="minorEastAsia" w:hAnsiTheme="minorEastAsia" w:eastAsiaTheme="minorEastAsia"/>
                <w:b/>
                <w:color w:val="000000"/>
                <w:sz w:val="32"/>
                <w:szCs w:val="21"/>
              </w:rPr>
            </w:pPr>
          </w:p>
        </w:tc>
      </w:tr>
      <w:tr w14:paraId="5FB08A1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83" w:hRule="exact"/>
          <w:jc w:val="center"/>
        </w:trPr>
        <w:tc>
          <w:tcPr>
            <w:tcW w:w="803" w:type="dxa"/>
            <w:vMerge w:val="continue"/>
            <w:vAlign w:val="center"/>
          </w:tcPr>
          <w:p w14:paraId="02B15BBB">
            <w:pPr>
              <w:spacing w:before="60" w:beforeLines="25" w:after="60" w:afterLines="25"/>
              <w:jc w:val="center"/>
              <w:rPr>
                <w:rFonts w:hint="eastAsia" w:asciiTheme="minorEastAsia" w:hAnsiTheme="minorEastAsia" w:eastAsiaTheme="minorEastAsia"/>
                <w:b/>
                <w:color w:val="000000"/>
                <w:sz w:val="32"/>
                <w:szCs w:val="21"/>
              </w:rPr>
            </w:pPr>
          </w:p>
        </w:tc>
        <w:tc>
          <w:tcPr>
            <w:tcW w:w="2903" w:type="dxa"/>
            <w:vMerge w:val="continue"/>
            <w:vAlign w:val="center"/>
          </w:tcPr>
          <w:p w14:paraId="6918C6C2">
            <w:pPr>
              <w:spacing w:before="60" w:beforeLines="25" w:after="60" w:afterLines="25"/>
              <w:jc w:val="center"/>
              <w:rPr>
                <w:rFonts w:hint="eastAsia" w:asciiTheme="minorEastAsia" w:hAnsiTheme="minorEastAsia" w:eastAsiaTheme="minorEastAsia"/>
                <w:b/>
                <w:color w:val="000000"/>
                <w:sz w:val="32"/>
                <w:szCs w:val="21"/>
              </w:rPr>
            </w:pPr>
          </w:p>
        </w:tc>
        <w:tc>
          <w:tcPr>
            <w:tcW w:w="4487" w:type="dxa"/>
            <w:vAlign w:val="center"/>
          </w:tcPr>
          <w:p w14:paraId="768DF8A9">
            <w:pPr>
              <w:spacing w:before="60" w:beforeLines="25" w:after="60" w:afterLines="25"/>
              <w:jc w:val="left"/>
              <w:rPr>
                <w:rFonts w:hint="eastAsia" w:asciiTheme="minorEastAsia" w:hAnsiTheme="minorEastAsia" w:eastAsiaTheme="minorEastAsia"/>
                <w:sz w:val="24"/>
              </w:rPr>
            </w:pPr>
            <w:r>
              <w:rPr>
                <w:rFonts w:hint="eastAsia" w:asciiTheme="minorEastAsia" w:hAnsiTheme="minorEastAsia" w:eastAsiaTheme="minorEastAsia"/>
                <w:sz w:val="24"/>
              </w:rPr>
              <w:t>未提供</w:t>
            </w:r>
          </w:p>
        </w:tc>
        <w:tc>
          <w:tcPr>
            <w:tcW w:w="949" w:type="dxa"/>
            <w:vAlign w:val="center"/>
          </w:tcPr>
          <w:p w14:paraId="3F8969B9">
            <w:pPr>
              <w:spacing w:before="60" w:beforeLines="25" w:after="60" w:afterLines="25"/>
              <w:jc w:val="center"/>
              <w:rPr>
                <w:rFonts w:hint="eastAsia" w:asciiTheme="minorEastAsia" w:hAnsiTheme="minorEastAsia" w:eastAsiaTheme="minorEastAsia"/>
                <w:color w:val="000000"/>
                <w:sz w:val="24"/>
              </w:rPr>
            </w:pPr>
            <w:r>
              <w:rPr>
                <w:rFonts w:asciiTheme="minorEastAsia" w:hAnsiTheme="minorEastAsia" w:eastAsiaTheme="minorEastAsia"/>
                <w:color w:val="000000"/>
                <w:sz w:val="24"/>
              </w:rPr>
              <w:t>0</w:t>
            </w:r>
            <w:r>
              <w:rPr>
                <w:rFonts w:hint="eastAsia" w:asciiTheme="minorEastAsia" w:hAnsiTheme="minorEastAsia" w:eastAsiaTheme="minorEastAsia"/>
                <w:color w:val="000000"/>
                <w:sz w:val="24"/>
              </w:rPr>
              <w:t>分</w:t>
            </w:r>
          </w:p>
        </w:tc>
        <w:tc>
          <w:tcPr>
            <w:tcW w:w="889" w:type="dxa"/>
            <w:vMerge w:val="continue"/>
            <w:vAlign w:val="center"/>
          </w:tcPr>
          <w:p w14:paraId="15A9C1A4">
            <w:pPr>
              <w:spacing w:before="60" w:beforeLines="25" w:after="60" w:afterLines="25"/>
              <w:jc w:val="center"/>
              <w:rPr>
                <w:rFonts w:hint="eastAsia" w:asciiTheme="minorEastAsia" w:hAnsiTheme="minorEastAsia" w:eastAsiaTheme="minorEastAsia"/>
                <w:b/>
                <w:color w:val="000000"/>
                <w:sz w:val="32"/>
                <w:szCs w:val="21"/>
              </w:rPr>
            </w:pPr>
          </w:p>
        </w:tc>
        <w:tc>
          <w:tcPr>
            <w:tcW w:w="886" w:type="dxa"/>
            <w:vMerge w:val="continue"/>
            <w:vAlign w:val="center"/>
          </w:tcPr>
          <w:p w14:paraId="2C76657B">
            <w:pPr>
              <w:spacing w:before="60" w:beforeLines="25" w:after="60" w:afterLines="25"/>
              <w:jc w:val="center"/>
              <w:rPr>
                <w:rFonts w:hint="eastAsia" w:asciiTheme="minorEastAsia" w:hAnsiTheme="minorEastAsia" w:eastAsiaTheme="minorEastAsia"/>
                <w:b/>
                <w:color w:val="000000"/>
                <w:sz w:val="32"/>
                <w:szCs w:val="21"/>
              </w:rPr>
            </w:pPr>
          </w:p>
        </w:tc>
        <w:tc>
          <w:tcPr>
            <w:tcW w:w="738" w:type="dxa"/>
            <w:vMerge w:val="continue"/>
            <w:vAlign w:val="center"/>
          </w:tcPr>
          <w:p w14:paraId="551FDC4D">
            <w:pPr>
              <w:spacing w:before="60" w:beforeLines="25" w:after="60" w:afterLines="25"/>
              <w:jc w:val="center"/>
              <w:rPr>
                <w:rFonts w:hint="eastAsia" w:asciiTheme="minorEastAsia" w:hAnsiTheme="minorEastAsia" w:eastAsiaTheme="minorEastAsia"/>
                <w:b/>
                <w:color w:val="000000"/>
                <w:sz w:val="32"/>
                <w:szCs w:val="21"/>
              </w:rPr>
            </w:pPr>
          </w:p>
        </w:tc>
        <w:tc>
          <w:tcPr>
            <w:tcW w:w="737" w:type="dxa"/>
            <w:vMerge w:val="continue"/>
            <w:vAlign w:val="center"/>
          </w:tcPr>
          <w:p w14:paraId="42534DCA">
            <w:pPr>
              <w:spacing w:before="60" w:beforeLines="25" w:after="60" w:afterLines="25"/>
              <w:jc w:val="center"/>
              <w:rPr>
                <w:rFonts w:hint="eastAsia" w:asciiTheme="minorEastAsia" w:hAnsiTheme="minorEastAsia" w:eastAsiaTheme="minorEastAsia"/>
                <w:b/>
                <w:color w:val="000000"/>
                <w:sz w:val="32"/>
                <w:szCs w:val="21"/>
              </w:rPr>
            </w:pPr>
          </w:p>
        </w:tc>
        <w:tc>
          <w:tcPr>
            <w:tcW w:w="728" w:type="dxa"/>
            <w:vMerge w:val="continue"/>
            <w:vAlign w:val="center"/>
          </w:tcPr>
          <w:p w14:paraId="10DC13BB">
            <w:pPr>
              <w:spacing w:before="60" w:beforeLines="25" w:after="60" w:afterLines="25"/>
              <w:rPr>
                <w:rFonts w:hint="eastAsia" w:asciiTheme="minorEastAsia" w:hAnsiTheme="minorEastAsia" w:eastAsiaTheme="minorEastAsia"/>
                <w:b/>
                <w:color w:val="000000"/>
                <w:sz w:val="32"/>
                <w:szCs w:val="21"/>
              </w:rPr>
            </w:pPr>
          </w:p>
        </w:tc>
        <w:tc>
          <w:tcPr>
            <w:tcW w:w="611" w:type="dxa"/>
            <w:vMerge w:val="continue"/>
            <w:vAlign w:val="center"/>
          </w:tcPr>
          <w:p w14:paraId="65ED9C23">
            <w:pPr>
              <w:spacing w:before="60" w:beforeLines="25" w:after="60" w:afterLines="25"/>
              <w:rPr>
                <w:rFonts w:hint="eastAsia" w:asciiTheme="minorEastAsia" w:hAnsiTheme="minorEastAsia" w:eastAsiaTheme="minorEastAsia"/>
                <w:b/>
                <w:color w:val="000000"/>
                <w:sz w:val="32"/>
                <w:szCs w:val="21"/>
              </w:rPr>
            </w:pPr>
          </w:p>
        </w:tc>
        <w:tc>
          <w:tcPr>
            <w:tcW w:w="611" w:type="dxa"/>
            <w:vMerge w:val="continue"/>
            <w:vAlign w:val="center"/>
          </w:tcPr>
          <w:p w14:paraId="678BD530">
            <w:pPr>
              <w:spacing w:before="60" w:beforeLines="25" w:after="60" w:afterLines="25"/>
              <w:rPr>
                <w:rFonts w:hint="eastAsia" w:asciiTheme="minorEastAsia" w:hAnsiTheme="minorEastAsia" w:eastAsiaTheme="minorEastAsia"/>
                <w:b/>
                <w:color w:val="000000"/>
                <w:sz w:val="32"/>
                <w:szCs w:val="21"/>
              </w:rPr>
            </w:pPr>
          </w:p>
        </w:tc>
        <w:tc>
          <w:tcPr>
            <w:tcW w:w="625" w:type="dxa"/>
            <w:vMerge w:val="continue"/>
            <w:vAlign w:val="center"/>
          </w:tcPr>
          <w:p w14:paraId="7A7E708B">
            <w:pPr>
              <w:spacing w:before="60" w:beforeLines="25" w:after="60" w:afterLines="25"/>
              <w:rPr>
                <w:rFonts w:hint="eastAsia" w:asciiTheme="minorEastAsia" w:hAnsiTheme="minorEastAsia" w:eastAsiaTheme="minorEastAsia"/>
                <w:b/>
                <w:color w:val="000000"/>
                <w:sz w:val="32"/>
                <w:szCs w:val="21"/>
              </w:rPr>
            </w:pPr>
          </w:p>
        </w:tc>
      </w:tr>
      <w:tr w14:paraId="17EDE03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83" w:hRule="exact"/>
          <w:jc w:val="center"/>
        </w:trPr>
        <w:tc>
          <w:tcPr>
            <w:tcW w:w="803" w:type="dxa"/>
            <w:vMerge w:val="restart"/>
            <w:vAlign w:val="center"/>
          </w:tcPr>
          <w:p w14:paraId="12AE8F77">
            <w:pPr>
              <w:spacing w:before="60" w:beforeLines="25" w:after="60" w:afterLines="25"/>
              <w:jc w:val="center"/>
              <w:rPr>
                <w:rFonts w:hint="eastAsia" w:asciiTheme="minorEastAsia" w:hAnsiTheme="minorEastAsia" w:eastAsiaTheme="minorEastAsia"/>
                <w:color w:val="000000"/>
                <w:sz w:val="24"/>
              </w:rPr>
            </w:pPr>
            <w:r>
              <w:rPr>
                <w:rFonts w:hint="eastAsia" w:asciiTheme="minorEastAsia" w:hAnsiTheme="minorEastAsia" w:eastAsiaTheme="minorEastAsia"/>
                <w:color w:val="000000"/>
                <w:sz w:val="24"/>
              </w:rPr>
              <w:t>6</w:t>
            </w:r>
          </w:p>
        </w:tc>
        <w:tc>
          <w:tcPr>
            <w:tcW w:w="2903" w:type="dxa"/>
            <w:vMerge w:val="restart"/>
            <w:vAlign w:val="center"/>
          </w:tcPr>
          <w:p w14:paraId="4DC28C6A">
            <w:pPr>
              <w:spacing w:before="60" w:beforeLines="25" w:after="60" w:afterLines="25"/>
              <w:jc w:val="center"/>
              <w:rPr>
                <w:rFonts w:hint="eastAsia" w:asciiTheme="minorEastAsia" w:hAnsiTheme="minorEastAsia" w:eastAsiaTheme="minorEastAsia"/>
                <w:color w:val="000000"/>
                <w:sz w:val="24"/>
              </w:rPr>
            </w:pPr>
            <w:r>
              <w:rPr>
                <w:rFonts w:hint="eastAsia" w:asciiTheme="minorEastAsia" w:hAnsiTheme="minorEastAsia" w:eastAsiaTheme="minorEastAsia"/>
                <w:color w:val="000000"/>
                <w:sz w:val="24"/>
              </w:rPr>
              <w:t>紧急情况的处理措施、预案以及抵抗风险的措施</w:t>
            </w:r>
          </w:p>
        </w:tc>
        <w:tc>
          <w:tcPr>
            <w:tcW w:w="4487" w:type="dxa"/>
            <w:tcBorders>
              <w:bottom w:val="single" w:color="auto" w:sz="4" w:space="0"/>
            </w:tcBorders>
            <w:vAlign w:val="center"/>
          </w:tcPr>
          <w:p w14:paraId="3B91A396">
            <w:pPr>
              <w:spacing w:before="60" w:beforeLines="25" w:after="60" w:afterLines="25"/>
              <w:jc w:val="left"/>
              <w:rPr>
                <w:rFonts w:hint="eastAsia" w:asciiTheme="minorEastAsia" w:hAnsiTheme="minorEastAsia" w:eastAsiaTheme="minorEastAsia"/>
                <w:sz w:val="24"/>
              </w:rPr>
            </w:pPr>
            <w:r>
              <w:rPr>
                <w:rFonts w:hint="eastAsia" w:asciiTheme="minorEastAsia" w:hAnsiTheme="minorEastAsia" w:eastAsiaTheme="minorEastAsia"/>
                <w:sz w:val="24"/>
              </w:rPr>
              <w:t>科学、合理、可行、针对性强</w:t>
            </w:r>
          </w:p>
        </w:tc>
        <w:tc>
          <w:tcPr>
            <w:tcW w:w="949" w:type="dxa"/>
            <w:tcBorders>
              <w:bottom w:val="single" w:color="auto" w:sz="4" w:space="0"/>
            </w:tcBorders>
            <w:vAlign w:val="center"/>
          </w:tcPr>
          <w:p w14:paraId="5D3D8C9B">
            <w:pPr>
              <w:spacing w:before="60" w:beforeLines="25" w:after="60" w:afterLines="25"/>
              <w:jc w:val="center"/>
              <w:rPr>
                <w:rFonts w:hint="eastAsia" w:asciiTheme="minorEastAsia" w:hAnsiTheme="minorEastAsia" w:eastAsiaTheme="minorEastAsia"/>
                <w:color w:val="000000"/>
                <w:sz w:val="24"/>
              </w:rPr>
            </w:pPr>
            <w:r>
              <w:rPr>
                <w:rFonts w:hint="eastAsia" w:asciiTheme="minorEastAsia" w:hAnsiTheme="minorEastAsia" w:eastAsiaTheme="minorEastAsia"/>
                <w:color w:val="000000"/>
                <w:sz w:val="24"/>
                <w:lang w:val="en-US" w:eastAsia="zh-CN"/>
              </w:rPr>
              <w:t>8</w:t>
            </w:r>
            <w:r>
              <w:rPr>
                <w:rFonts w:hint="eastAsia" w:asciiTheme="minorEastAsia" w:hAnsiTheme="minorEastAsia" w:eastAsiaTheme="minorEastAsia"/>
                <w:color w:val="000000"/>
                <w:sz w:val="24"/>
              </w:rPr>
              <w:t>分</w:t>
            </w:r>
          </w:p>
        </w:tc>
        <w:tc>
          <w:tcPr>
            <w:tcW w:w="889" w:type="dxa"/>
            <w:vMerge w:val="restart"/>
            <w:vAlign w:val="center"/>
          </w:tcPr>
          <w:p w14:paraId="1D47EB5B">
            <w:pPr>
              <w:spacing w:before="60" w:beforeLines="25" w:after="60" w:afterLines="25"/>
              <w:jc w:val="center"/>
              <w:rPr>
                <w:rFonts w:hint="eastAsia" w:asciiTheme="minorEastAsia" w:hAnsiTheme="minorEastAsia" w:eastAsiaTheme="minorEastAsia"/>
                <w:b/>
                <w:color w:val="000000"/>
                <w:sz w:val="32"/>
                <w:szCs w:val="21"/>
              </w:rPr>
            </w:pPr>
            <w:r>
              <w:rPr>
                <w:rFonts w:hint="eastAsia" w:asciiTheme="minorEastAsia" w:hAnsiTheme="minorEastAsia" w:eastAsiaTheme="minorEastAsia"/>
                <w:color w:val="000000"/>
                <w:sz w:val="24"/>
                <w:szCs w:val="21"/>
                <w:lang w:val="en-US" w:eastAsia="zh-CN"/>
              </w:rPr>
              <w:t>8</w:t>
            </w:r>
            <w:r>
              <w:rPr>
                <w:rFonts w:asciiTheme="minorEastAsia" w:hAnsiTheme="minorEastAsia" w:eastAsiaTheme="minorEastAsia"/>
                <w:color w:val="000000"/>
                <w:sz w:val="24"/>
                <w:szCs w:val="21"/>
              </w:rPr>
              <w:t>分</w:t>
            </w:r>
          </w:p>
        </w:tc>
        <w:tc>
          <w:tcPr>
            <w:tcW w:w="886" w:type="dxa"/>
            <w:vMerge w:val="restart"/>
            <w:vAlign w:val="center"/>
          </w:tcPr>
          <w:p w14:paraId="6B1CBBC0">
            <w:pPr>
              <w:spacing w:before="60" w:beforeLines="25" w:after="60" w:afterLines="25"/>
              <w:jc w:val="center"/>
              <w:rPr>
                <w:rFonts w:hint="eastAsia" w:asciiTheme="minorEastAsia" w:hAnsiTheme="minorEastAsia" w:eastAsiaTheme="minorEastAsia"/>
                <w:b/>
                <w:color w:val="000000"/>
                <w:sz w:val="32"/>
                <w:szCs w:val="21"/>
              </w:rPr>
            </w:pPr>
          </w:p>
        </w:tc>
        <w:tc>
          <w:tcPr>
            <w:tcW w:w="738" w:type="dxa"/>
            <w:vMerge w:val="restart"/>
            <w:vAlign w:val="center"/>
          </w:tcPr>
          <w:p w14:paraId="485BAFB5">
            <w:pPr>
              <w:spacing w:before="60" w:beforeLines="25" w:after="60" w:afterLines="25"/>
              <w:jc w:val="center"/>
              <w:rPr>
                <w:rFonts w:hint="eastAsia" w:asciiTheme="minorEastAsia" w:hAnsiTheme="minorEastAsia" w:eastAsiaTheme="minorEastAsia"/>
                <w:b/>
                <w:color w:val="000000"/>
                <w:sz w:val="32"/>
                <w:szCs w:val="21"/>
              </w:rPr>
            </w:pPr>
          </w:p>
        </w:tc>
        <w:tc>
          <w:tcPr>
            <w:tcW w:w="737" w:type="dxa"/>
            <w:vMerge w:val="restart"/>
            <w:vAlign w:val="center"/>
          </w:tcPr>
          <w:p w14:paraId="00708F72">
            <w:pPr>
              <w:spacing w:before="60" w:beforeLines="25" w:after="60" w:afterLines="25"/>
              <w:jc w:val="center"/>
              <w:rPr>
                <w:rFonts w:hint="eastAsia" w:asciiTheme="minorEastAsia" w:hAnsiTheme="minorEastAsia" w:eastAsiaTheme="minorEastAsia"/>
                <w:b/>
                <w:color w:val="000000"/>
                <w:sz w:val="32"/>
                <w:szCs w:val="21"/>
              </w:rPr>
            </w:pPr>
          </w:p>
        </w:tc>
        <w:tc>
          <w:tcPr>
            <w:tcW w:w="728" w:type="dxa"/>
            <w:vMerge w:val="restart"/>
            <w:vAlign w:val="center"/>
          </w:tcPr>
          <w:p w14:paraId="793BAFF9">
            <w:pPr>
              <w:spacing w:before="60" w:beforeLines="25" w:after="60" w:afterLines="25"/>
              <w:rPr>
                <w:rFonts w:hint="eastAsia" w:asciiTheme="minorEastAsia" w:hAnsiTheme="minorEastAsia" w:eastAsiaTheme="minorEastAsia"/>
                <w:b/>
                <w:color w:val="000000"/>
                <w:sz w:val="32"/>
                <w:szCs w:val="21"/>
              </w:rPr>
            </w:pPr>
          </w:p>
        </w:tc>
        <w:tc>
          <w:tcPr>
            <w:tcW w:w="611" w:type="dxa"/>
            <w:vMerge w:val="restart"/>
            <w:vAlign w:val="center"/>
          </w:tcPr>
          <w:p w14:paraId="01DAE011">
            <w:pPr>
              <w:spacing w:before="60" w:beforeLines="25" w:after="60" w:afterLines="25"/>
              <w:rPr>
                <w:rFonts w:hint="eastAsia" w:asciiTheme="minorEastAsia" w:hAnsiTheme="minorEastAsia" w:eastAsiaTheme="minorEastAsia"/>
                <w:b/>
                <w:color w:val="000000"/>
                <w:sz w:val="32"/>
                <w:szCs w:val="21"/>
              </w:rPr>
            </w:pPr>
          </w:p>
        </w:tc>
        <w:tc>
          <w:tcPr>
            <w:tcW w:w="611" w:type="dxa"/>
            <w:vMerge w:val="restart"/>
            <w:vAlign w:val="center"/>
          </w:tcPr>
          <w:p w14:paraId="44D2ADE3">
            <w:pPr>
              <w:spacing w:before="60" w:beforeLines="25" w:after="60" w:afterLines="25"/>
              <w:rPr>
                <w:rFonts w:hint="eastAsia" w:asciiTheme="minorEastAsia" w:hAnsiTheme="minorEastAsia" w:eastAsiaTheme="minorEastAsia"/>
                <w:b/>
                <w:color w:val="000000"/>
                <w:sz w:val="32"/>
                <w:szCs w:val="21"/>
              </w:rPr>
            </w:pPr>
          </w:p>
        </w:tc>
        <w:tc>
          <w:tcPr>
            <w:tcW w:w="625" w:type="dxa"/>
            <w:vMerge w:val="restart"/>
            <w:vAlign w:val="center"/>
          </w:tcPr>
          <w:p w14:paraId="6165C2C5">
            <w:pPr>
              <w:spacing w:before="60" w:beforeLines="25" w:after="60" w:afterLines="25"/>
              <w:rPr>
                <w:rFonts w:hint="eastAsia" w:asciiTheme="minorEastAsia" w:hAnsiTheme="minorEastAsia" w:eastAsiaTheme="minorEastAsia"/>
                <w:b/>
                <w:color w:val="000000"/>
                <w:sz w:val="32"/>
                <w:szCs w:val="21"/>
              </w:rPr>
            </w:pPr>
          </w:p>
        </w:tc>
      </w:tr>
      <w:tr w14:paraId="1D7FFA4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83" w:hRule="exact"/>
          <w:jc w:val="center"/>
        </w:trPr>
        <w:tc>
          <w:tcPr>
            <w:tcW w:w="803" w:type="dxa"/>
            <w:vMerge w:val="continue"/>
            <w:vAlign w:val="center"/>
          </w:tcPr>
          <w:p w14:paraId="1BBFD0B0">
            <w:pPr>
              <w:spacing w:before="60" w:beforeLines="25" w:after="60" w:afterLines="25"/>
              <w:jc w:val="center"/>
              <w:rPr>
                <w:rFonts w:hint="eastAsia" w:asciiTheme="minorEastAsia" w:hAnsiTheme="minorEastAsia" w:eastAsiaTheme="minorEastAsia"/>
                <w:color w:val="000000"/>
                <w:sz w:val="24"/>
              </w:rPr>
            </w:pPr>
          </w:p>
        </w:tc>
        <w:tc>
          <w:tcPr>
            <w:tcW w:w="2903" w:type="dxa"/>
            <w:vMerge w:val="continue"/>
            <w:vAlign w:val="center"/>
          </w:tcPr>
          <w:p w14:paraId="28B5AB95">
            <w:pPr>
              <w:spacing w:before="60" w:beforeLines="25" w:after="60" w:afterLines="25"/>
              <w:jc w:val="center"/>
              <w:rPr>
                <w:rFonts w:hint="eastAsia" w:asciiTheme="minorEastAsia" w:hAnsiTheme="minorEastAsia" w:eastAsiaTheme="minorEastAsia"/>
                <w:color w:val="000000"/>
                <w:sz w:val="24"/>
              </w:rPr>
            </w:pPr>
          </w:p>
        </w:tc>
        <w:tc>
          <w:tcPr>
            <w:tcW w:w="4487" w:type="dxa"/>
            <w:tcBorders>
              <w:bottom w:val="single" w:color="auto" w:sz="4" w:space="0"/>
            </w:tcBorders>
            <w:vAlign w:val="center"/>
          </w:tcPr>
          <w:p w14:paraId="5C843D15">
            <w:pPr>
              <w:spacing w:before="60" w:beforeLines="25" w:after="60" w:afterLines="25"/>
              <w:jc w:val="left"/>
              <w:rPr>
                <w:rFonts w:hint="eastAsia" w:asciiTheme="minorEastAsia" w:hAnsiTheme="minorEastAsia" w:eastAsiaTheme="minorEastAsia"/>
                <w:sz w:val="24"/>
              </w:rPr>
            </w:pPr>
            <w:r>
              <w:rPr>
                <w:rFonts w:hint="eastAsia" w:asciiTheme="minorEastAsia" w:hAnsiTheme="minorEastAsia" w:eastAsiaTheme="minorEastAsia"/>
                <w:sz w:val="24"/>
              </w:rPr>
              <w:t>合理、可行、细节待完善</w:t>
            </w:r>
          </w:p>
        </w:tc>
        <w:tc>
          <w:tcPr>
            <w:tcW w:w="949" w:type="dxa"/>
            <w:tcBorders>
              <w:bottom w:val="single" w:color="auto" w:sz="4" w:space="0"/>
            </w:tcBorders>
            <w:vAlign w:val="center"/>
          </w:tcPr>
          <w:p w14:paraId="5828332E">
            <w:pPr>
              <w:spacing w:before="60" w:beforeLines="25" w:after="60" w:afterLines="25"/>
              <w:jc w:val="center"/>
              <w:rPr>
                <w:rFonts w:hint="eastAsia" w:asciiTheme="minorEastAsia" w:hAnsiTheme="minorEastAsia" w:eastAsiaTheme="minorEastAsia"/>
                <w:color w:val="000000"/>
                <w:sz w:val="24"/>
              </w:rPr>
            </w:pPr>
            <w:r>
              <w:rPr>
                <w:rFonts w:hint="eastAsia" w:asciiTheme="minorEastAsia" w:hAnsiTheme="minorEastAsia" w:eastAsiaTheme="minorEastAsia"/>
                <w:color w:val="000000"/>
                <w:sz w:val="24"/>
                <w:lang w:val="en-US" w:eastAsia="zh-CN"/>
              </w:rPr>
              <w:t>5</w:t>
            </w:r>
            <w:r>
              <w:rPr>
                <w:rFonts w:hint="eastAsia" w:asciiTheme="minorEastAsia" w:hAnsiTheme="minorEastAsia" w:eastAsiaTheme="minorEastAsia"/>
                <w:color w:val="000000"/>
                <w:sz w:val="24"/>
              </w:rPr>
              <w:t>分</w:t>
            </w:r>
          </w:p>
        </w:tc>
        <w:tc>
          <w:tcPr>
            <w:tcW w:w="889" w:type="dxa"/>
            <w:vMerge w:val="continue"/>
            <w:vAlign w:val="center"/>
          </w:tcPr>
          <w:p w14:paraId="194062C6">
            <w:pPr>
              <w:spacing w:before="60" w:beforeLines="25" w:after="60" w:afterLines="25"/>
              <w:jc w:val="center"/>
              <w:rPr>
                <w:rFonts w:hint="eastAsia" w:asciiTheme="minorEastAsia" w:hAnsiTheme="minorEastAsia" w:eastAsiaTheme="minorEastAsia"/>
                <w:color w:val="000000"/>
                <w:sz w:val="24"/>
                <w:szCs w:val="21"/>
              </w:rPr>
            </w:pPr>
          </w:p>
        </w:tc>
        <w:tc>
          <w:tcPr>
            <w:tcW w:w="886" w:type="dxa"/>
            <w:vMerge w:val="continue"/>
            <w:vAlign w:val="center"/>
          </w:tcPr>
          <w:p w14:paraId="561A1175">
            <w:pPr>
              <w:spacing w:before="60" w:beforeLines="25" w:after="60" w:afterLines="25"/>
              <w:jc w:val="center"/>
              <w:rPr>
                <w:rFonts w:hint="eastAsia" w:asciiTheme="minorEastAsia" w:hAnsiTheme="minorEastAsia" w:eastAsiaTheme="minorEastAsia"/>
                <w:b/>
                <w:color w:val="000000"/>
                <w:sz w:val="32"/>
                <w:szCs w:val="21"/>
              </w:rPr>
            </w:pPr>
          </w:p>
        </w:tc>
        <w:tc>
          <w:tcPr>
            <w:tcW w:w="738" w:type="dxa"/>
            <w:vMerge w:val="continue"/>
            <w:vAlign w:val="center"/>
          </w:tcPr>
          <w:p w14:paraId="411C92F1">
            <w:pPr>
              <w:spacing w:before="60" w:beforeLines="25" w:after="60" w:afterLines="25"/>
              <w:jc w:val="center"/>
              <w:rPr>
                <w:rFonts w:hint="eastAsia" w:asciiTheme="minorEastAsia" w:hAnsiTheme="minorEastAsia" w:eastAsiaTheme="minorEastAsia"/>
                <w:b/>
                <w:color w:val="000000"/>
                <w:sz w:val="32"/>
                <w:szCs w:val="21"/>
              </w:rPr>
            </w:pPr>
          </w:p>
        </w:tc>
        <w:tc>
          <w:tcPr>
            <w:tcW w:w="737" w:type="dxa"/>
            <w:vMerge w:val="continue"/>
            <w:vAlign w:val="center"/>
          </w:tcPr>
          <w:p w14:paraId="003DEE70">
            <w:pPr>
              <w:spacing w:before="60" w:beforeLines="25" w:after="60" w:afterLines="25"/>
              <w:jc w:val="center"/>
              <w:rPr>
                <w:rFonts w:hint="eastAsia" w:asciiTheme="minorEastAsia" w:hAnsiTheme="minorEastAsia" w:eastAsiaTheme="minorEastAsia"/>
                <w:b/>
                <w:color w:val="000000"/>
                <w:sz w:val="32"/>
                <w:szCs w:val="21"/>
              </w:rPr>
            </w:pPr>
          </w:p>
        </w:tc>
        <w:tc>
          <w:tcPr>
            <w:tcW w:w="728" w:type="dxa"/>
            <w:vMerge w:val="continue"/>
            <w:vAlign w:val="center"/>
          </w:tcPr>
          <w:p w14:paraId="62F0EBB8">
            <w:pPr>
              <w:spacing w:before="60" w:beforeLines="25" w:after="60" w:afterLines="25"/>
              <w:rPr>
                <w:rFonts w:hint="eastAsia" w:asciiTheme="minorEastAsia" w:hAnsiTheme="minorEastAsia" w:eastAsiaTheme="minorEastAsia"/>
                <w:b/>
                <w:color w:val="000000"/>
                <w:sz w:val="32"/>
                <w:szCs w:val="21"/>
              </w:rPr>
            </w:pPr>
          </w:p>
        </w:tc>
        <w:tc>
          <w:tcPr>
            <w:tcW w:w="611" w:type="dxa"/>
            <w:vMerge w:val="continue"/>
            <w:vAlign w:val="center"/>
          </w:tcPr>
          <w:p w14:paraId="4F8FD20D">
            <w:pPr>
              <w:spacing w:before="60" w:beforeLines="25" w:after="60" w:afterLines="25"/>
              <w:rPr>
                <w:rFonts w:hint="eastAsia" w:asciiTheme="minorEastAsia" w:hAnsiTheme="minorEastAsia" w:eastAsiaTheme="minorEastAsia"/>
                <w:b/>
                <w:color w:val="000000"/>
                <w:sz w:val="32"/>
                <w:szCs w:val="21"/>
              </w:rPr>
            </w:pPr>
          </w:p>
        </w:tc>
        <w:tc>
          <w:tcPr>
            <w:tcW w:w="611" w:type="dxa"/>
            <w:vMerge w:val="continue"/>
            <w:vAlign w:val="center"/>
          </w:tcPr>
          <w:p w14:paraId="5B7A2DA3">
            <w:pPr>
              <w:spacing w:before="60" w:beforeLines="25" w:after="60" w:afterLines="25"/>
              <w:rPr>
                <w:rFonts w:hint="eastAsia" w:asciiTheme="minorEastAsia" w:hAnsiTheme="minorEastAsia" w:eastAsiaTheme="minorEastAsia"/>
                <w:b/>
                <w:color w:val="000000"/>
                <w:sz w:val="32"/>
                <w:szCs w:val="21"/>
              </w:rPr>
            </w:pPr>
          </w:p>
        </w:tc>
        <w:tc>
          <w:tcPr>
            <w:tcW w:w="625" w:type="dxa"/>
            <w:vMerge w:val="continue"/>
            <w:vAlign w:val="center"/>
          </w:tcPr>
          <w:p w14:paraId="7935BC26">
            <w:pPr>
              <w:spacing w:before="60" w:beforeLines="25" w:after="60" w:afterLines="25"/>
              <w:rPr>
                <w:rFonts w:hint="eastAsia" w:asciiTheme="minorEastAsia" w:hAnsiTheme="minorEastAsia" w:eastAsiaTheme="minorEastAsia"/>
                <w:b/>
                <w:color w:val="000000"/>
                <w:sz w:val="32"/>
                <w:szCs w:val="21"/>
              </w:rPr>
            </w:pPr>
          </w:p>
        </w:tc>
      </w:tr>
      <w:tr w14:paraId="74784EF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83" w:hRule="exact"/>
          <w:jc w:val="center"/>
        </w:trPr>
        <w:tc>
          <w:tcPr>
            <w:tcW w:w="803" w:type="dxa"/>
            <w:vMerge w:val="continue"/>
            <w:vAlign w:val="center"/>
          </w:tcPr>
          <w:p w14:paraId="51B0AAF0">
            <w:pPr>
              <w:spacing w:before="60" w:beforeLines="25" w:after="60" w:afterLines="25"/>
              <w:jc w:val="center"/>
              <w:rPr>
                <w:rFonts w:hint="eastAsia" w:asciiTheme="minorEastAsia" w:hAnsiTheme="minorEastAsia" w:eastAsiaTheme="minorEastAsia"/>
                <w:b/>
                <w:color w:val="000000"/>
                <w:sz w:val="32"/>
                <w:szCs w:val="21"/>
              </w:rPr>
            </w:pPr>
          </w:p>
        </w:tc>
        <w:tc>
          <w:tcPr>
            <w:tcW w:w="2903" w:type="dxa"/>
            <w:vMerge w:val="continue"/>
            <w:vAlign w:val="center"/>
          </w:tcPr>
          <w:p w14:paraId="019AA7C9">
            <w:pPr>
              <w:spacing w:before="60" w:beforeLines="25" w:after="60" w:afterLines="25"/>
              <w:rPr>
                <w:rFonts w:hint="eastAsia" w:asciiTheme="minorEastAsia" w:hAnsiTheme="minorEastAsia" w:eastAsiaTheme="minorEastAsia"/>
                <w:b/>
                <w:color w:val="000000"/>
                <w:sz w:val="32"/>
                <w:szCs w:val="21"/>
              </w:rPr>
            </w:pPr>
          </w:p>
        </w:tc>
        <w:tc>
          <w:tcPr>
            <w:tcW w:w="4487" w:type="dxa"/>
            <w:tcBorders>
              <w:top w:val="single" w:color="auto" w:sz="4" w:space="0"/>
            </w:tcBorders>
            <w:vAlign w:val="center"/>
          </w:tcPr>
          <w:p w14:paraId="25238165">
            <w:pPr>
              <w:spacing w:before="60" w:beforeLines="25" w:after="60" w:afterLines="25"/>
              <w:jc w:val="left"/>
              <w:rPr>
                <w:rFonts w:hint="eastAsia" w:asciiTheme="minorEastAsia" w:hAnsiTheme="minorEastAsia" w:eastAsiaTheme="minorEastAsia"/>
                <w:sz w:val="24"/>
              </w:rPr>
            </w:pPr>
            <w:r>
              <w:rPr>
                <w:rFonts w:hint="eastAsia" w:asciiTheme="minorEastAsia" w:hAnsiTheme="minorEastAsia" w:eastAsiaTheme="minorEastAsia"/>
                <w:sz w:val="24"/>
              </w:rPr>
              <w:t>基本满足工程需要</w:t>
            </w:r>
          </w:p>
        </w:tc>
        <w:tc>
          <w:tcPr>
            <w:tcW w:w="949" w:type="dxa"/>
            <w:tcBorders>
              <w:top w:val="single" w:color="auto" w:sz="4" w:space="0"/>
            </w:tcBorders>
            <w:vAlign w:val="center"/>
          </w:tcPr>
          <w:p w14:paraId="5E27BC15">
            <w:pPr>
              <w:spacing w:before="60" w:beforeLines="25" w:after="60" w:afterLines="25"/>
              <w:jc w:val="center"/>
              <w:rPr>
                <w:rFonts w:hint="eastAsia" w:asciiTheme="minorEastAsia" w:hAnsiTheme="minorEastAsia" w:eastAsiaTheme="minorEastAsia"/>
                <w:color w:val="000000"/>
                <w:sz w:val="24"/>
              </w:rPr>
            </w:pPr>
            <w:r>
              <w:rPr>
                <w:rFonts w:hint="eastAsia" w:asciiTheme="minorEastAsia" w:hAnsiTheme="minorEastAsia" w:eastAsiaTheme="minorEastAsia"/>
                <w:color w:val="000000"/>
                <w:sz w:val="24"/>
                <w:lang w:val="en-US" w:eastAsia="zh-CN"/>
              </w:rPr>
              <w:t>3</w:t>
            </w:r>
            <w:r>
              <w:rPr>
                <w:rFonts w:hint="eastAsia" w:asciiTheme="minorEastAsia" w:hAnsiTheme="minorEastAsia" w:eastAsiaTheme="minorEastAsia"/>
                <w:color w:val="000000"/>
                <w:sz w:val="24"/>
              </w:rPr>
              <w:t>分</w:t>
            </w:r>
          </w:p>
        </w:tc>
        <w:tc>
          <w:tcPr>
            <w:tcW w:w="889" w:type="dxa"/>
            <w:vMerge w:val="continue"/>
            <w:vAlign w:val="center"/>
          </w:tcPr>
          <w:p w14:paraId="35676668">
            <w:pPr>
              <w:spacing w:before="60" w:beforeLines="25" w:after="60" w:afterLines="25"/>
              <w:jc w:val="center"/>
              <w:rPr>
                <w:rFonts w:hint="eastAsia" w:asciiTheme="minorEastAsia" w:hAnsiTheme="minorEastAsia" w:eastAsiaTheme="minorEastAsia"/>
                <w:b/>
                <w:color w:val="000000"/>
                <w:sz w:val="32"/>
                <w:szCs w:val="21"/>
              </w:rPr>
            </w:pPr>
          </w:p>
        </w:tc>
        <w:tc>
          <w:tcPr>
            <w:tcW w:w="886" w:type="dxa"/>
            <w:vMerge w:val="continue"/>
            <w:vAlign w:val="center"/>
          </w:tcPr>
          <w:p w14:paraId="5AD06DCF">
            <w:pPr>
              <w:spacing w:before="60" w:beforeLines="25" w:after="60" w:afterLines="25"/>
              <w:jc w:val="center"/>
              <w:rPr>
                <w:rFonts w:hint="eastAsia" w:asciiTheme="minorEastAsia" w:hAnsiTheme="minorEastAsia" w:eastAsiaTheme="minorEastAsia"/>
                <w:b/>
                <w:color w:val="000000"/>
                <w:sz w:val="32"/>
                <w:szCs w:val="21"/>
              </w:rPr>
            </w:pPr>
          </w:p>
        </w:tc>
        <w:tc>
          <w:tcPr>
            <w:tcW w:w="738" w:type="dxa"/>
            <w:vMerge w:val="continue"/>
            <w:vAlign w:val="center"/>
          </w:tcPr>
          <w:p w14:paraId="091189BA">
            <w:pPr>
              <w:spacing w:before="60" w:beforeLines="25" w:after="60" w:afterLines="25"/>
              <w:jc w:val="center"/>
              <w:rPr>
                <w:rFonts w:hint="eastAsia" w:asciiTheme="minorEastAsia" w:hAnsiTheme="minorEastAsia" w:eastAsiaTheme="minorEastAsia"/>
                <w:b/>
                <w:color w:val="000000"/>
                <w:sz w:val="32"/>
                <w:szCs w:val="21"/>
              </w:rPr>
            </w:pPr>
          </w:p>
        </w:tc>
        <w:tc>
          <w:tcPr>
            <w:tcW w:w="737" w:type="dxa"/>
            <w:vMerge w:val="continue"/>
            <w:vAlign w:val="center"/>
          </w:tcPr>
          <w:p w14:paraId="00DD4ACA">
            <w:pPr>
              <w:spacing w:before="60" w:beforeLines="25" w:after="60" w:afterLines="25"/>
              <w:jc w:val="center"/>
              <w:rPr>
                <w:rFonts w:hint="eastAsia" w:asciiTheme="minorEastAsia" w:hAnsiTheme="minorEastAsia" w:eastAsiaTheme="minorEastAsia"/>
                <w:b/>
                <w:color w:val="000000"/>
                <w:sz w:val="32"/>
                <w:szCs w:val="21"/>
              </w:rPr>
            </w:pPr>
          </w:p>
        </w:tc>
        <w:tc>
          <w:tcPr>
            <w:tcW w:w="728" w:type="dxa"/>
            <w:vMerge w:val="continue"/>
            <w:vAlign w:val="center"/>
          </w:tcPr>
          <w:p w14:paraId="448ACCEC">
            <w:pPr>
              <w:spacing w:before="60" w:beforeLines="25" w:after="60" w:afterLines="25"/>
              <w:rPr>
                <w:rFonts w:hint="eastAsia" w:asciiTheme="minorEastAsia" w:hAnsiTheme="minorEastAsia" w:eastAsiaTheme="minorEastAsia"/>
                <w:b/>
                <w:color w:val="000000"/>
                <w:sz w:val="32"/>
                <w:szCs w:val="21"/>
              </w:rPr>
            </w:pPr>
          </w:p>
        </w:tc>
        <w:tc>
          <w:tcPr>
            <w:tcW w:w="611" w:type="dxa"/>
            <w:vMerge w:val="continue"/>
            <w:vAlign w:val="center"/>
          </w:tcPr>
          <w:p w14:paraId="1BE453A7">
            <w:pPr>
              <w:spacing w:before="60" w:beforeLines="25" w:after="60" w:afterLines="25"/>
              <w:rPr>
                <w:rFonts w:hint="eastAsia" w:asciiTheme="minorEastAsia" w:hAnsiTheme="minorEastAsia" w:eastAsiaTheme="minorEastAsia"/>
                <w:b/>
                <w:color w:val="000000"/>
                <w:sz w:val="32"/>
                <w:szCs w:val="21"/>
              </w:rPr>
            </w:pPr>
          </w:p>
        </w:tc>
        <w:tc>
          <w:tcPr>
            <w:tcW w:w="611" w:type="dxa"/>
            <w:vMerge w:val="continue"/>
            <w:vAlign w:val="center"/>
          </w:tcPr>
          <w:p w14:paraId="2169EB69">
            <w:pPr>
              <w:spacing w:before="60" w:beforeLines="25" w:after="60" w:afterLines="25"/>
              <w:rPr>
                <w:rFonts w:hint="eastAsia" w:asciiTheme="minorEastAsia" w:hAnsiTheme="minorEastAsia" w:eastAsiaTheme="minorEastAsia"/>
                <w:b/>
                <w:color w:val="000000"/>
                <w:sz w:val="32"/>
                <w:szCs w:val="21"/>
              </w:rPr>
            </w:pPr>
          </w:p>
        </w:tc>
        <w:tc>
          <w:tcPr>
            <w:tcW w:w="625" w:type="dxa"/>
            <w:vMerge w:val="continue"/>
            <w:vAlign w:val="center"/>
          </w:tcPr>
          <w:p w14:paraId="7778E864">
            <w:pPr>
              <w:spacing w:before="60" w:beforeLines="25" w:after="60" w:afterLines="25"/>
              <w:rPr>
                <w:rFonts w:hint="eastAsia" w:asciiTheme="minorEastAsia" w:hAnsiTheme="minorEastAsia" w:eastAsiaTheme="minorEastAsia"/>
                <w:b/>
                <w:color w:val="000000"/>
                <w:sz w:val="32"/>
                <w:szCs w:val="21"/>
              </w:rPr>
            </w:pPr>
          </w:p>
        </w:tc>
      </w:tr>
      <w:tr w14:paraId="50B8728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83" w:hRule="exact"/>
          <w:jc w:val="center"/>
        </w:trPr>
        <w:tc>
          <w:tcPr>
            <w:tcW w:w="803" w:type="dxa"/>
            <w:vMerge w:val="continue"/>
            <w:vAlign w:val="center"/>
          </w:tcPr>
          <w:p w14:paraId="46797540">
            <w:pPr>
              <w:spacing w:before="60" w:beforeLines="25" w:after="60" w:afterLines="25"/>
              <w:jc w:val="center"/>
              <w:rPr>
                <w:rFonts w:hint="eastAsia" w:asciiTheme="minorEastAsia" w:hAnsiTheme="minorEastAsia" w:eastAsiaTheme="minorEastAsia"/>
                <w:b/>
                <w:color w:val="000000"/>
                <w:sz w:val="32"/>
                <w:szCs w:val="21"/>
              </w:rPr>
            </w:pPr>
          </w:p>
        </w:tc>
        <w:tc>
          <w:tcPr>
            <w:tcW w:w="2903" w:type="dxa"/>
            <w:vMerge w:val="continue"/>
            <w:vAlign w:val="center"/>
          </w:tcPr>
          <w:p w14:paraId="3C940246">
            <w:pPr>
              <w:spacing w:before="60" w:beforeLines="25" w:after="60" w:afterLines="25"/>
              <w:rPr>
                <w:rFonts w:hint="eastAsia" w:asciiTheme="minorEastAsia" w:hAnsiTheme="minorEastAsia" w:eastAsiaTheme="minorEastAsia"/>
                <w:b/>
                <w:color w:val="000000"/>
                <w:sz w:val="32"/>
                <w:szCs w:val="21"/>
              </w:rPr>
            </w:pPr>
          </w:p>
        </w:tc>
        <w:tc>
          <w:tcPr>
            <w:tcW w:w="4487" w:type="dxa"/>
            <w:vAlign w:val="center"/>
          </w:tcPr>
          <w:p w14:paraId="15281219">
            <w:pPr>
              <w:spacing w:before="60" w:beforeLines="25" w:after="60" w:afterLines="25"/>
              <w:jc w:val="left"/>
              <w:rPr>
                <w:rFonts w:hint="eastAsia" w:asciiTheme="minorEastAsia" w:hAnsiTheme="minorEastAsia" w:eastAsiaTheme="minorEastAsia"/>
                <w:sz w:val="24"/>
              </w:rPr>
            </w:pPr>
            <w:r>
              <w:rPr>
                <w:rFonts w:hint="eastAsia" w:asciiTheme="minorEastAsia" w:hAnsiTheme="minorEastAsia" w:eastAsiaTheme="minorEastAsia"/>
                <w:sz w:val="24"/>
              </w:rPr>
              <w:t>欠合理，可行性差</w:t>
            </w:r>
          </w:p>
        </w:tc>
        <w:tc>
          <w:tcPr>
            <w:tcW w:w="949" w:type="dxa"/>
            <w:vAlign w:val="center"/>
          </w:tcPr>
          <w:p w14:paraId="3D4AF451">
            <w:pPr>
              <w:spacing w:before="60" w:beforeLines="25" w:after="60" w:afterLines="25"/>
              <w:jc w:val="center"/>
              <w:rPr>
                <w:rFonts w:hint="eastAsia" w:asciiTheme="minorEastAsia" w:hAnsiTheme="minorEastAsia" w:eastAsiaTheme="minorEastAsia"/>
                <w:color w:val="000000"/>
                <w:sz w:val="24"/>
              </w:rPr>
            </w:pPr>
            <w:r>
              <w:rPr>
                <w:rFonts w:hint="eastAsia" w:asciiTheme="minorEastAsia" w:hAnsiTheme="minorEastAsia" w:eastAsiaTheme="minorEastAsia"/>
                <w:color w:val="000000"/>
                <w:sz w:val="24"/>
              </w:rPr>
              <w:t>1分</w:t>
            </w:r>
          </w:p>
        </w:tc>
        <w:tc>
          <w:tcPr>
            <w:tcW w:w="889" w:type="dxa"/>
            <w:vMerge w:val="continue"/>
            <w:vAlign w:val="center"/>
          </w:tcPr>
          <w:p w14:paraId="7F8B99D8">
            <w:pPr>
              <w:spacing w:before="60" w:beforeLines="25" w:after="60" w:afterLines="25"/>
              <w:jc w:val="center"/>
              <w:rPr>
                <w:rFonts w:hint="eastAsia" w:asciiTheme="minorEastAsia" w:hAnsiTheme="minorEastAsia" w:eastAsiaTheme="minorEastAsia"/>
                <w:b/>
                <w:color w:val="000000"/>
                <w:sz w:val="32"/>
                <w:szCs w:val="21"/>
              </w:rPr>
            </w:pPr>
          </w:p>
        </w:tc>
        <w:tc>
          <w:tcPr>
            <w:tcW w:w="886" w:type="dxa"/>
            <w:vMerge w:val="continue"/>
            <w:vAlign w:val="center"/>
          </w:tcPr>
          <w:p w14:paraId="2999EC2E">
            <w:pPr>
              <w:spacing w:before="60" w:beforeLines="25" w:after="60" w:afterLines="25"/>
              <w:jc w:val="center"/>
              <w:rPr>
                <w:rFonts w:hint="eastAsia" w:asciiTheme="minorEastAsia" w:hAnsiTheme="minorEastAsia" w:eastAsiaTheme="minorEastAsia"/>
                <w:b/>
                <w:color w:val="000000"/>
                <w:sz w:val="32"/>
                <w:szCs w:val="21"/>
              </w:rPr>
            </w:pPr>
          </w:p>
        </w:tc>
        <w:tc>
          <w:tcPr>
            <w:tcW w:w="738" w:type="dxa"/>
            <w:vMerge w:val="continue"/>
            <w:vAlign w:val="center"/>
          </w:tcPr>
          <w:p w14:paraId="11066C2B">
            <w:pPr>
              <w:spacing w:before="60" w:beforeLines="25" w:after="60" w:afterLines="25"/>
              <w:jc w:val="center"/>
              <w:rPr>
                <w:rFonts w:hint="eastAsia" w:asciiTheme="minorEastAsia" w:hAnsiTheme="minorEastAsia" w:eastAsiaTheme="minorEastAsia"/>
                <w:b/>
                <w:color w:val="000000"/>
                <w:sz w:val="32"/>
                <w:szCs w:val="21"/>
              </w:rPr>
            </w:pPr>
          </w:p>
        </w:tc>
        <w:tc>
          <w:tcPr>
            <w:tcW w:w="737" w:type="dxa"/>
            <w:vMerge w:val="continue"/>
            <w:vAlign w:val="center"/>
          </w:tcPr>
          <w:p w14:paraId="3E705DBA">
            <w:pPr>
              <w:spacing w:before="60" w:beforeLines="25" w:after="60" w:afterLines="25"/>
              <w:jc w:val="center"/>
              <w:rPr>
                <w:rFonts w:hint="eastAsia" w:asciiTheme="minorEastAsia" w:hAnsiTheme="minorEastAsia" w:eastAsiaTheme="minorEastAsia"/>
                <w:b/>
                <w:color w:val="000000"/>
                <w:sz w:val="32"/>
                <w:szCs w:val="21"/>
              </w:rPr>
            </w:pPr>
          </w:p>
        </w:tc>
        <w:tc>
          <w:tcPr>
            <w:tcW w:w="728" w:type="dxa"/>
            <w:vMerge w:val="continue"/>
            <w:vAlign w:val="center"/>
          </w:tcPr>
          <w:p w14:paraId="77C87392">
            <w:pPr>
              <w:spacing w:before="60" w:beforeLines="25" w:after="60" w:afterLines="25"/>
              <w:rPr>
                <w:rFonts w:hint="eastAsia" w:asciiTheme="minorEastAsia" w:hAnsiTheme="minorEastAsia" w:eastAsiaTheme="minorEastAsia"/>
                <w:b/>
                <w:color w:val="000000"/>
                <w:sz w:val="32"/>
                <w:szCs w:val="21"/>
              </w:rPr>
            </w:pPr>
          </w:p>
        </w:tc>
        <w:tc>
          <w:tcPr>
            <w:tcW w:w="611" w:type="dxa"/>
            <w:vMerge w:val="continue"/>
            <w:vAlign w:val="center"/>
          </w:tcPr>
          <w:p w14:paraId="6006A16C">
            <w:pPr>
              <w:spacing w:before="60" w:beforeLines="25" w:after="60" w:afterLines="25"/>
              <w:rPr>
                <w:rFonts w:hint="eastAsia" w:asciiTheme="minorEastAsia" w:hAnsiTheme="minorEastAsia" w:eastAsiaTheme="minorEastAsia"/>
                <w:b/>
                <w:color w:val="000000"/>
                <w:sz w:val="32"/>
                <w:szCs w:val="21"/>
              </w:rPr>
            </w:pPr>
          </w:p>
        </w:tc>
        <w:tc>
          <w:tcPr>
            <w:tcW w:w="611" w:type="dxa"/>
            <w:vMerge w:val="continue"/>
            <w:vAlign w:val="center"/>
          </w:tcPr>
          <w:p w14:paraId="796B8FF6">
            <w:pPr>
              <w:spacing w:before="60" w:beforeLines="25" w:after="60" w:afterLines="25"/>
              <w:rPr>
                <w:rFonts w:hint="eastAsia" w:asciiTheme="minorEastAsia" w:hAnsiTheme="minorEastAsia" w:eastAsiaTheme="minorEastAsia"/>
                <w:b/>
                <w:color w:val="000000"/>
                <w:sz w:val="32"/>
                <w:szCs w:val="21"/>
              </w:rPr>
            </w:pPr>
          </w:p>
        </w:tc>
        <w:tc>
          <w:tcPr>
            <w:tcW w:w="625" w:type="dxa"/>
            <w:vMerge w:val="continue"/>
            <w:vAlign w:val="center"/>
          </w:tcPr>
          <w:p w14:paraId="2E7EC781">
            <w:pPr>
              <w:spacing w:before="60" w:beforeLines="25" w:after="60" w:afterLines="25"/>
              <w:rPr>
                <w:rFonts w:hint="eastAsia" w:asciiTheme="minorEastAsia" w:hAnsiTheme="minorEastAsia" w:eastAsiaTheme="minorEastAsia"/>
                <w:b/>
                <w:color w:val="000000"/>
                <w:sz w:val="32"/>
                <w:szCs w:val="21"/>
              </w:rPr>
            </w:pPr>
          </w:p>
        </w:tc>
      </w:tr>
      <w:tr w14:paraId="7AFC8C8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83" w:hRule="exact"/>
          <w:jc w:val="center"/>
        </w:trPr>
        <w:tc>
          <w:tcPr>
            <w:tcW w:w="803" w:type="dxa"/>
            <w:vMerge w:val="continue"/>
            <w:vAlign w:val="center"/>
          </w:tcPr>
          <w:p w14:paraId="4F0DCC7A">
            <w:pPr>
              <w:spacing w:before="60" w:beforeLines="25" w:after="60" w:afterLines="25"/>
              <w:jc w:val="center"/>
              <w:rPr>
                <w:rFonts w:hint="eastAsia" w:asciiTheme="minorEastAsia" w:hAnsiTheme="minorEastAsia" w:eastAsiaTheme="minorEastAsia"/>
                <w:b/>
                <w:color w:val="000000"/>
                <w:sz w:val="32"/>
                <w:szCs w:val="21"/>
              </w:rPr>
            </w:pPr>
          </w:p>
        </w:tc>
        <w:tc>
          <w:tcPr>
            <w:tcW w:w="2903" w:type="dxa"/>
            <w:vMerge w:val="continue"/>
            <w:vAlign w:val="center"/>
          </w:tcPr>
          <w:p w14:paraId="5F6A49B2">
            <w:pPr>
              <w:spacing w:before="60" w:beforeLines="25" w:after="60" w:afterLines="25"/>
              <w:rPr>
                <w:rFonts w:hint="eastAsia" w:asciiTheme="minorEastAsia" w:hAnsiTheme="minorEastAsia" w:eastAsiaTheme="minorEastAsia"/>
                <w:b/>
                <w:color w:val="000000"/>
                <w:sz w:val="32"/>
                <w:szCs w:val="21"/>
              </w:rPr>
            </w:pPr>
          </w:p>
        </w:tc>
        <w:tc>
          <w:tcPr>
            <w:tcW w:w="4487" w:type="dxa"/>
            <w:vAlign w:val="center"/>
          </w:tcPr>
          <w:p w14:paraId="0B9A28A7">
            <w:pPr>
              <w:spacing w:before="60" w:beforeLines="25" w:after="60" w:afterLines="25"/>
              <w:jc w:val="left"/>
              <w:rPr>
                <w:rFonts w:hint="eastAsia" w:asciiTheme="minorEastAsia" w:hAnsiTheme="minorEastAsia" w:eastAsiaTheme="minorEastAsia"/>
                <w:sz w:val="24"/>
              </w:rPr>
            </w:pPr>
            <w:r>
              <w:rPr>
                <w:rFonts w:hint="eastAsia" w:asciiTheme="minorEastAsia" w:hAnsiTheme="minorEastAsia" w:eastAsiaTheme="minorEastAsia"/>
                <w:sz w:val="24"/>
              </w:rPr>
              <w:t>未提供</w:t>
            </w:r>
          </w:p>
        </w:tc>
        <w:tc>
          <w:tcPr>
            <w:tcW w:w="949" w:type="dxa"/>
            <w:vAlign w:val="center"/>
          </w:tcPr>
          <w:p w14:paraId="3416533A">
            <w:pPr>
              <w:spacing w:before="60" w:beforeLines="25" w:after="60" w:afterLines="25"/>
              <w:jc w:val="center"/>
              <w:rPr>
                <w:rFonts w:hint="eastAsia" w:asciiTheme="minorEastAsia" w:hAnsiTheme="minorEastAsia" w:eastAsiaTheme="minorEastAsia"/>
                <w:color w:val="000000"/>
                <w:sz w:val="24"/>
              </w:rPr>
            </w:pPr>
            <w:r>
              <w:rPr>
                <w:rFonts w:asciiTheme="minorEastAsia" w:hAnsiTheme="minorEastAsia" w:eastAsiaTheme="minorEastAsia"/>
                <w:color w:val="000000"/>
                <w:sz w:val="24"/>
              </w:rPr>
              <w:t>0</w:t>
            </w:r>
            <w:r>
              <w:rPr>
                <w:rFonts w:hint="eastAsia" w:asciiTheme="minorEastAsia" w:hAnsiTheme="minorEastAsia" w:eastAsiaTheme="minorEastAsia"/>
                <w:color w:val="000000"/>
                <w:sz w:val="24"/>
              </w:rPr>
              <w:t>分</w:t>
            </w:r>
          </w:p>
        </w:tc>
        <w:tc>
          <w:tcPr>
            <w:tcW w:w="889" w:type="dxa"/>
            <w:vMerge w:val="continue"/>
            <w:vAlign w:val="center"/>
          </w:tcPr>
          <w:p w14:paraId="5783B9A0">
            <w:pPr>
              <w:spacing w:before="60" w:beforeLines="25" w:after="60" w:afterLines="25"/>
              <w:jc w:val="center"/>
              <w:rPr>
                <w:rFonts w:hint="eastAsia" w:asciiTheme="minorEastAsia" w:hAnsiTheme="minorEastAsia" w:eastAsiaTheme="minorEastAsia"/>
                <w:b/>
                <w:color w:val="000000"/>
                <w:sz w:val="32"/>
                <w:szCs w:val="21"/>
              </w:rPr>
            </w:pPr>
          </w:p>
        </w:tc>
        <w:tc>
          <w:tcPr>
            <w:tcW w:w="886" w:type="dxa"/>
            <w:vMerge w:val="continue"/>
            <w:vAlign w:val="center"/>
          </w:tcPr>
          <w:p w14:paraId="73751BFE">
            <w:pPr>
              <w:spacing w:before="60" w:beforeLines="25" w:after="60" w:afterLines="25"/>
              <w:jc w:val="center"/>
              <w:rPr>
                <w:rFonts w:hint="eastAsia" w:asciiTheme="minorEastAsia" w:hAnsiTheme="minorEastAsia" w:eastAsiaTheme="minorEastAsia"/>
                <w:b/>
                <w:color w:val="000000"/>
                <w:sz w:val="32"/>
                <w:szCs w:val="21"/>
              </w:rPr>
            </w:pPr>
          </w:p>
        </w:tc>
        <w:tc>
          <w:tcPr>
            <w:tcW w:w="738" w:type="dxa"/>
            <w:vMerge w:val="continue"/>
            <w:vAlign w:val="center"/>
          </w:tcPr>
          <w:p w14:paraId="6EBFDC8D">
            <w:pPr>
              <w:spacing w:before="60" w:beforeLines="25" w:after="60" w:afterLines="25"/>
              <w:jc w:val="center"/>
              <w:rPr>
                <w:rFonts w:hint="eastAsia" w:asciiTheme="minorEastAsia" w:hAnsiTheme="minorEastAsia" w:eastAsiaTheme="minorEastAsia"/>
                <w:b/>
                <w:color w:val="000000"/>
                <w:sz w:val="32"/>
                <w:szCs w:val="21"/>
              </w:rPr>
            </w:pPr>
          </w:p>
        </w:tc>
        <w:tc>
          <w:tcPr>
            <w:tcW w:w="737" w:type="dxa"/>
            <w:vMerge w:val="continue"/>
            <w:vAlign w:val="center"/>
          </w:tcPr>
          <w:p w14:paraId="517D0209">
            <w:pPr>
              <w:spacing w:before="60" w:beforeLines="25" w:after="60" w:afterLines="25"/>
              <w:jc w:val="center"/>
              <w:rPr>
                <w:rFonts w:hint="eastAsia" w:asciiTheme="minorEastAsia" w:hAnsiTheme="minorEastAsia" w:eastAsiaTheme="minorEastAsia"/>
                <w:b/>
                <w:color w:val="000000"/>
                <w:sz w:val="32"/>
                <w:szCs w:val="21"/>
              </w:rPr>
            </w:pPr>
          </w:p>
        </w:tc>
        <w:tc>
          <w:tcPr>
            <w:tcW w:w="728" w:type="dxa"/>
            <w:vMerge w:val="continue"/>
            <w:vAlign w:val="center"/>
          </w:tcPr>
          <w:p w14:paraId="43C3F401">
            <w:pPr>
              <w:spacing w:before="60" w:beforeLines="25" w:after="60" w:afterLines="25"/>
              <w:rPr>
                <w:rFonts w:hint="eastAsia" w:asciiTheme="minorEastAsia" w:hAnsiTheme="minorEastAsia" w:eastAsiaTheme="minorEastAsia"/>
                <w:b/>
                <w:color w:val="000000"/>
                <w:sz w:val="32"/>
                <w:szCs w:val="21"/>
              </w:rPr>
            </w:pPr>
          </w:p>
        </w:tc>
        <w:tc>
          <w:tcPr>
            <w:tcW w:w="611" w:type="dxa"/>
            <w:vMerge w:val="continue"/>
            <w:vAlign w:val="center"/>
          </w:tcPr>
          <w:p w14:paraId="4F7490F2">
            <w:pPr>
              <w:spacing w:before="60" w:beforeLines="25" w:after="60" w:afterLines="25"/>
              <w:rPr>
                <w:rFonts w:hint="eastAsia" w:asciiTheme="minorEastAsia" w:hAnsiTheme="minorEastAsia" w:eastAsiaTheme="minorEastAsia"/>
                <w:b/>
                <w:color w:val="000000"/>
                <w:sz w:val="32"/>
                <w:szCs w:val="21"/>
              </w:rPr>
            </w:pPr>
          </w:p>
        </w:tc>
        <w:tc>
          <w:tcPr>
            <w:tcW w:w="611" w:type="dxa"/>
            <w:vMerge w:val="continue"/>
            <w:vAlign w:val="center"/>
          </w:tcPr>
          <w:p w14:paraId="45E971CD">
            <w:pPr>
              <w:spacing w:before="60" w:beforeLines="25" w:after="60" w:afterLines="25"/>
              <w:rPr>
                <w:rFonts w:hint="eastAsia" w:asciiTheme="minorEastAsia" w:hAnsiTheme="minorEastAsia" w:eastAsiaTheme="minorEastAsia"/>
                <w:b/>
                <w:color w:val="000000"/>
                <w:sz w:val="32"/>
                <w:szCs w:val="21"/>
              </w:rPr>
            </w:pPr>
          </w:p>
        </w:tc>
        <w:tc>
          <w:tcPr>
            <w:tcW w:w="625" w:type="dxa"/>
            <w:vMerge w:val="continue"/>
            <w:vAlign w:val="center"/>
          </w:tcPr>
          <w:p w14:paraId="27BF8FCE">
            <w:pPr>
              <w:spacing w:before="60" w:beforeLines="25" w:after="60" w:afterLines="25"/>
              <w:rPr>
                <w:rFonts w:hint="eastAsia" w:asciiTheme="minorEastAsia" w:hAnsiTheme="minorEastAsia" w:eastAsiaTheme="minorEastAsia"/>
                <w:b/>
                <w:color w:val="000000"/>
                <w:sz w:val="32"/>
                <w:szCs w:val="21"/>
              </w:rPr>
            </w:pPr>
          </w:p>
        </w:tc>
      </w:tr>
      <w:tr w14:paraId="398EF43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22" w:hRule="exact"/>
          <w:jc w:val="center"/>
        </w:trPr>
        <w:tc>
          <w:tcPr>
            <w:tcW w:w="10031" w:type="dxa"/>
            <w:gridSpan w:val="5"/>
            <w:vAlign w:val="center"/>
          </w:tcPr>
          <w:p w14:paraId="45A71352">
            <w:pPr>
              <w:spacing w:before="60" w:beforeLines="25" w:after="60" w:afterLines="25"/>
              <w:rPr>
                <w:rFonts w:hint="eastAsia" w:asciiTheme="minorEastAsia" w:hAnsiTheme="minorEastAsia" w:eastAsiaTheme="minorEastAsia"/>
                <w:color w:val="000000"/>
                <w:szCs w:val="21"/>
              </w:rPr>
            </w:pPr>
            <w:r>
              <w:rPr>
                <w:rFonts w:hint="eastAsia" w:asciiTheme="minorEastAsia" w:hAnsiTheme="minorEastAsia" w:eastAsiaTheme="minorEastAsia"/>
                <w:b/>
                <w:color w:val="000000"/>
                <w:szCs w:val="21"/>
              </w:rPr>
              <w:t>合计（满分</w:t>
            </w:r>
            <w:r>
              <w:rPr>
                <w:rFonts w:hint="eastAsia" w:asciiTheme="minorEastAsia" w:hAnsiTheme="minorEastAsia" w:eastAsiaTheme="minorEastAsia"/>
                <w:b/>
                <w:color w:val="000000"/>
                <w:szCs w:val="21"/>
                <w:lang w:val="en-US" w:eastAsia="zh-CN"/>
              </w:rPr>
              <w:t>5</w:t>
            </w:r>
            <w:r>
              <w:rPr>
                <w:rFonts w:hint="eastAsia" w:asciiTheme="minorEastAsia" w:hAnsiTheme="minorEastAsia" w:eastAsiaTheme="minorEastAsia"/>
                <w:b/>
                <w:color w:val="000000"/>
                <w:szCs w:val="21"/>
              </w:rPr>
              <w:t>5分）</w:t>
            </w:r>
          </w:p>
        </w:tc>
        <w:tc>
          <w:tcPr>
            <w:tcW w:w="886" w:type="dxa"/>
            <w:vAlign w:val="center"/>
          </w:tcPr>
          <w:p w14:paraId="359CFE57">
            <w:pPr>
              <w:spacing w:before="60" w:beforeLines="25" w:after="60" w:afterLines="25"/>
              <w:rPr>
                <w:rFonts w:hint="eastAsia" w:asciiTheme="minorEastAsia" w:hAnsiTheme="minorEastAsia" w:eastAsiaTheme="minorEastAsia"/>
                <w:color w:val="000000"/>
                <w:szCs w:val="21"/>
              </w:rPr>
            </w:pPr>
          </w:p>
        </w:tc>
        <w:tc>
          <w:tcPr>
            <w:tcW w:w="738" w:type="dxa"/>
            <w:vAlign w:val="center"/>
          </w:tcPr>
          <w:p w14:paraId="62D6295E">
            <w:pPr>
              <w:spacing w:before="60" w:beforeLines="25" w:after="60" w:afterLines="25"/>
              <w:rPr>
                <w:rFonts w:hint="eastAsia" w:asciiTheme="minorEastAsia" w:hAnsiTheme="minorEastAsia" w:eastAsiaTheme="minorEastAsia"/>
                <w:color w:val="000000"/>
                <w:szCs w:val="21"/>
              </w:rPr>
            </w:pPr>
          </w:p>
        </w:tc>
        <w:tc>
          <w:tcPr>
            <w:tcW w:w="737" w:type="dxa"/>
            <w:vAlign w:val="center"/>
          </w:tcPr>
          <w:p w14:paraId="4CFDEC37">
            <w:pPr>
              <w:spacing w:before="60" w:beforeLines="25" w:after="60" w:afterLines="25"/>
              <w:rPr>
                <w:rFonts w:hint="eastAsia" w:asciiTheme="minorEastAsia" w:hAnsiTheme="minorEastAsia" w:eastAsiaTheme="minorEastAsia"/>
                <w:color w:val="000000"/>
                <w:szCs w:val="21"/>
              </w:rPr>
            </w:pPr>
          </w:p>
        </w:tc>
        <w:tc>
          <w:tcPr>
            <w:tcW w:w="728" w:type="dxa"/>
            <w:vAlign w:val="center"/>
          </w:tcPr>
          <w:p w14:paraId="445BD77E">
            <w:pPr>
              <w:spacing w:before="60" w:beforeLines="25" w:after="60" w:afterLines="25"/>
              <w:rPr>
                <w:rFonts w:hint="eastAsia" w:asciiTheme="minorEastAsia" w:hAnsiTheme="minorEastAsia" w:eastAsiaTheme="minorEastAsia"/>
                <w:color w:val="000000"/>
                <w:szCs w:val="21"/>
              </w:rPr>
            </w:pPr>
          </w:p>
        </w:tc>
        <w:tc>
          <w:tcPr>
            <w:tcW w:w="611" w:type="dxa"/>
            <w:vAlign w:val="center"/>
          </w:tcPr>
          <w:p w14:paraId="1266CAA1">
            <w:pPr>
              <w:spacing w:before="60" w:beforeLines="25" w:after="60" w:afterLines="25"/>
              <w:rPr>
                <w:rFonts w:hint="eastAsia" w:asciiTheme="minorEastAsia" w:hAnsiTheme="minorEastAsia" w:eastAsiaTheme="minorEastAsia"/>
                <w:color w:val="000000"/>
                <w:szCs w:val="21"/>
              </w:rPr>
            </w:pPr>
          </w:p>
        </w:tc>
        <w:tc>
          <w:tcPr>
            <w:tcW w:w="611" w:type="dxa"/>
            <w:vAlign w:val="center"/>
          </w:tcPr>
          <w:p w14:paraId="0C782B67">
            <w:pPr>
              <w:spacing w:before="60" w:beforeLines="25" w:after="60" w:afterLines="25"/>
              <w:rPr>
                <w:rFonts w:hint="eastAsia" w:asciiTheme="minorEastAsia" w:hAnsiTheme="minorEastAsia" w:eastAsiaTheme="minorEastAsia"/>
                <w:color w:val="000000"/>
                <w:szCs w:val="21"/>
              </w:rPr>
            </w:pPr>
          </w:p>
        </w:tc>
        <w:tc>
          <w:tcPr>
            <w:tcW w:w="625" w:type="dxa"/>
            <w:vAlign w:val="center"/>
          </w:tcPr>
          <w:p w14:paraId="7925C8A2">
            <w:pPr>
              <w:spacing w:before="60" w:beforeLines="25" w:after="60" w:afterLines="25"/>
              <w:rPr>
                <w:rFonts w:hint="eastAsia" w:asciiTheme="minorEastAsia" w:hAnsiTheme="minorEastAsia" w:eastAsiaTheme="minorEastAsia"/>
                <w:color w:val="000000"/>
                <w:szCs w:val="21"/>
              </w:rPr>
            </w:pPr>
          </w:p>
        </w:tc>
      </w:tr>
    </w:tbl>
    <w:p w14:paraId="3C3C14D6">
      <w:pPr>
        <w:pStyle w:val="123"/>
        <w:numPr>
          <w:ilvl w:val="0"/>
          <w:numId w:val="32"/>
        </w:numPr>
        <w:spacing w:line="360" w:lineRule="auto"/>
        <w:ind w:firstLineChars="0"/>
        <w:jc w:val="center"/>
        <w:outlineLvl w:val="0"/>
        <w:rPr>
          <w:rFonts w:hint="eastAsia" w:ascii="宋体" w:hAnsi="宋体" w:cs="仿宋"/>
          <w:b/>
          <w:sz w:val="36"/>
          <w:szCs w:val="36"/>
        </w:rPr>
        <w:sectPr>
          <w:headerReference r:id="rId17" w:type="default"/>
          <w:pgSz w:w="16838" w:h="11905" w:orient="landscape"/>
          <w:pgMar w:top="1361" w:right="1247" w:bottom="1361" w:left="1247" w:header="851" w:footer="992" w:gutter="0"/>
          <w:cols w:space="0" w:num="1"/>
          <w:docGrid w:linePitch="462" w:charSpace="0"/>
        </w:sectPr>
      </w:pPr>
      <w:r>
        <w:rPr>
          <w:rFonts w:hint="eastAsia" w:ascii="宋体" w:hAnsi="宋体" w:cs="仿宋"/>
          <w:b/>
          <w:sz w:val="36"/>
          <w:szCs w:val="36"/>
        </w:rPr>
        <w:br w:type="page"/>
      </w:r>
    </w:p>
    <w:p w14:paraId="67F81F52">
      <w:pPr>
        <w:spacing w:line="440" w:lineRule="atLeast"/>
        <w:rPr>
          <w:rFonts w:hint="eastAsia" w:asciiTheme="minorEastAsia" w:hAnsiTheme="minorEastAsia" w:eastAsiaTheme="minorEastAsia"/>
          <w:b/>
          <w:color w:val="000000"/>
          <w:sz w:val="24"/>
        </w:rPr>
      </w:pPr>
      <w:r>
        <w:rPr>
          <w:rFonts w:hint="eastAsia" w:asciiTheme="minorEastAsia" w:hAnsiTheme="minorEastAsia" w:eastAsiaTheme="minorEastAsia"/>
          <w:b/>
          <w:color w:val="000000"/>
          <w:sz w:val="24"/>
        </w:rPr>
        <w:t>（三）响应</w:t>
      </w:r>
      <w:r>
        <w:rPr>
          <w:rFonts w:asciiTheme="minorEastAsia" w:hAnsiTheme="minorEastAsia" w:eastAsiaTheme="minorEastAsia"/>
          <w:b/>
          <w:color w:val="000000"/>
          <w:sz w:val="24"/>
        </w:rPr>
        <w:t>报价：</w:t>
      </w:r>
      <w:r>
        <w:rPr>
          <w:rFonts w:hint="eastAsia" w:asciiTheme="minorEastAsia" w:hAnsiTheme="minorEastAsia" w:eastAsiaTheme="minorEastAsia"/>
          <w:b/>
          <w:color w:val="000000"/>
          <w:sz w:val="24"/>
          <w:highlight w:val="none"/>
          <w:lang w:val="en-US" w:eastAsia="zh-CN"/>
        </w:rPr>
        <w:t>3</w:t>
      </w:r>
      <w:r>
        <w:rPr>
          <w:rFonts w:asciiTheme="minorEastAsia" w:hAnsiTheme="minorEastAsia" w:eastAsiaTheme="minorEastAsia"/>
          <w:b/>
          <w:color w:val="000000"/>
          <w:sz w:val="24"/>
          <w:highlight w:val="none"/>
        </w:rPr>
        <w:t>0分</w:t>
      </w:r>
    </w:p>
    <w:tbl>
      <w:tblPr>
        <w:tblStyle w:val="88"/>
        <w:tblW w:w="93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6520"/>
        <w:gridCol w:w="851"/>
      </w:tblGrid>
      <w:tr w14:paraId="73E18B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jc w:val="center"/>
        </w:trPr>
        <w:tc>
          <w:tcPr>
            <w:tcW w:w="1980" w:type="dxa"/>
            <w:vAlign w:val="center"/>
          </w:tcPr>
          <w:p w14:paraId="34D674DE">
            <w:pPr>
              <w:widowControl/>
              <w:spacing w:line="360" w:lineRule="auto"/>
              <w:jc w:val="center"/>
              <w:rPr>
                <w:rFonts w:hint="eastAsia" w:cs="宋体" w:asciiTheme="minorEastAsia" w:hAnsiTheme="minorEastAsia" w:eastAsiaTheme="minorEastAsia"/>
                <w:b/>
                <w:bCs/>
                <w:kern w:val="0"/>
                <w:szCs w:val="21"/>
              </w:rPr>
            </w:pPr>
            <w:bookmarkStart w:id="573" w:name="_Hlk47362321"/>
            <w:r>
              <w:rPr>
                <w:rFonts w:hint="eastAsia" w:cs="宋体" w:asciiTheme="minorEastAsia" w:hAnsiTheme="minorEastAsia" w:eastAsiaTheme="minorEastAsia"/>
                <w:b/>
                <w:bCs/>
                <w:kern w:val="0"/>
                <w:szCs w:val="21"/>
              </w:rPr>
              <w:t>评审项目</w:t>
            </w:r>
          </w:p>
        </w:tc>
        <w:tc>
          <w:tcPr>
            <w:tcW w:w="6520" w:type="dxa"/>
            <w:vAlign w:val="center"/>
          </w:tcPr>
          <w:p w14:paraId="224E2797">
            <w:pPr>
              <w:widowControl/>
              <w:spacing w:line="360" w:lineRule="auto"/>
              <w:jc w:val="center"/>
              <w:rPr>
                <w:rFonts w:hint="eastAsia" w:cs="宋体" w:asciiTheme="minorEastAsia" w:hAnsiTheme="minorEastAsia" w:eastAsiaTheme="minorEastAsia"/>
                <w:b/>
                <w:bCs/>
                <w:kern w:val="0"/>
                <w:szCs w:val="21"/>
              </w:rPr>
            </w:pPr>
            <w:r>
              <w:rPr>
                <w:rFonts w:hint="eastAsia" w:cs="宋体" w:asciiTheme="minorEastAsia" w:hAnsiTheme="minorEastAsia" w:eastAsiaTheme="minorEastAsia"/>
                <w:b/>
                <w:bCs/>
                <w:kern w:val="0"/>
                <w:szCs w:val="21"/>
              </w:rPr>
              <w:t>评分标准</w:t>
            </w:r>
          </w:p>
        </w:tc>
        <w:tc>
          <w:tcPr>
            <w:tcW w:w="851" w:type="dxa"/>
            <w:vAlign w:val="center"/>
          </w:tcPr>
          <w:p w14:paraId="2B519583">
            <w:pPr>
              <w:widowControl/>
              <w:spacing w:line="360" w:lineRule="auto"/>
              <w:jc w:val="center"/>
              <w:rPr>
                <w:rFonts w:hint="eastAsia" w:cs="宋体" w:asciiTheme="minorEastAsia" w:hAnsiTheme="minorEastAsia" w:eastAsiaTheme="minorEastAsia"/>
                <w:b/>
                <w:bCs/>
                <w:kern w:val="0"/>
                <w:szCs w:val="21"/>
              </w:rPr>
            </w:pPr>
            <w:r>
              <w:rPr>
                <w:rFonts w:cs="宋体" w:asciiTheme="minorEastAsia" w:hAnsiTheme="minorEastAsia" w:eastAsiaTheme="minorEastAsia"/>
                <w:b/>
                <w:bCs/>
                <w:kern w:val="0"/>
                <w:szCs w:val="21"/>
              </w:rPr>
              <w:t>分值</w:t>
            </w:r>
          </w:p>
        </w:tc>
      </w:tr>
      <w:tr w14:paraId="169B08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1" w:hRule="atLeast"/>
          <w:jc w:val="center"/>
        </w:trPr>
        <w:tc>
          <w:tcPr>
            <w:tcW w:w="1980" w:type="dxa"/>
            <w:vAlign w:val="center"/>
          </w:tcPr>
          <w:p w14:paraId="2EA8B740">
            <w:pPr>
              <w:jc w:val="center"/>
              <w:rPr>
                <w:rFonts w:hint="eastAsia" w:asciiTheme="minorEastAsia" w:hAnsiTheme="minorEastAsia" w:eastAsiaTheme="minorEastAsia"/>
                <w:sz w:val="24"/>
              </w:rPr>
            </w:pPr>
            <w:r>
              <w:rPr>
                <w:rFonts w:hint="eastAsia" w:asciiTheme="minorEastAsia" w:hAnsiTheme="minorEastAsia" w:eastAsiaTheme="minorEastAsia"/>
                <w:sz w:val="24"/>
              </w:rPr>
              <w:t>响应价格</w:t>
            </w:r>
          </w:p>
        </w:tc>
        <w:tc>
          <w:tcPr>
            <w:tcW w:w="6520" w:type="dxa"/>
            <w:vAlign w:val="center"/>
          </w:tcPr>
          <w:p w14:paraId="198ADC5B">
            <w:pPr>
              <w:spacing w:line="360" w:lineRule="auto"/>
              <w:jc w:val="left"/>
              <w:rPr>
                <w:rFonts w:hint="eastAsia" w:asciiTheme="minorEastAsia" w:hAnsiTheme="minorEastAsia" w:eastAsiaTheme="minorEastAsia"/>
                <w:sz w:val="24"/>
              </w:rPr>
            </w:pPr>
            <w:bookmarkStart w:id="574" w:name="_Hlk501056151"/>
            <w:r>
              <w:rPr>
                <w:rFonts w:asciiTheme="minorEastAsia" w:hAnsiTheme="minorEastAsia" w:eastAsiaTheme="minorEastAsia"/>
                <w:sz w:val="24"/>
              </w:rPr>
              <w:t>有效</w:t>
            </w:r>
            <w:r>
              <w:rPr>
                <w:rFonts w:hint="eastAsia" w:asciiTheme="minorEastAsia" w:hAnsiTheme="minorEastAsia" w:eastAsiaTheme="minorEastAsia"/>
                <w:sz w:val="24"/>
              </w:rPr>
              <w:t>响应</w:t>
            </w:r>
            <w:r>
              <w:rPr>
                <w:rFonts w:asciiTheme="minorEastAsia" w:hAnsiTheme="minorEastAsia" w:eastAsiaTheme="minorEastAsia"/>
                <w:sz w:val="24"/>
              </w:rPr>
              <w:t>报价中</w:t>
            </w:r>
            <w:r>
              <w:rPr>
                <w:rFonts w:hint="eastAsia" w:asciiTheme="minorEastAsia" w:hAnsiTheme="minorEastAsia" w:eastAsiaTheme="minorEastAsia"/>
                <w:sz w:val="24"/>
              </w:rPr>
              <w:t>最低价格</w:t>
            </w:r>
            <w:r>
              <w:rPr>
                <w:rFonts w:asciiTheme="minorEastAsia" w:hAnsiTheme="minorEastAsia" w:eastAsiaTheme="minorEastAsia"/>
                <w:sz w:val="24"/>
              </w:rPr>
              <w:t>为满分</w:t>
            </w:r>
            <w:r>
              <w:rPr>
                <w:rFonts w:hint="eastAsia" w:asciiTheme="minorEastAsia" w:hAnsiTheme="minorEastAsia" w:eastAsiaTheme="minorEastAsia"/>
                <w:sz w:val="24"/>
                <w:lang w:val="en-US" w:eastAsia="zh-CN"/>
              </w:rPr>
              <w:t>30</w:t>
            </w:r>
            <w:r>
              <w:rPr>
                <w:rFonts w:asciiTheme="minorEastAsia" w:hAnsiTheme="minorEastAsia" w:eastAsiaTheme="minorEastAsia"/>
                <w:sz w:val="24"/>
              </w:rPr>
              <w:t>分，其他报价得分按下述</w:t>
            </w:r>
            <w:r>
              <w:rPr>
                <w:rFonts w:hint="eastAsia" w:asciiTheme="minorEastAsia" w:hAnsiTheme="minorEastAsia" w:eastAsiaTheme="minorEastAsia"/>
                <w:sz w:val="24"/>
                <w:lang w:eastAsia="zh-CN"/>
              </w:rPr>
              <w:t>。</w:t>
            </w:r>
            <w:r>
              <w:rPr>
                <w:rFonts w:asciiTheme="minorEastAsia" w:hAnsiTheme="minorEastAsia" w:eastAsiaTheme="minorEastAsia"/>
                <w:sz w:val="24"/>
              </w:rPr>
              <w:t>公式计算：</w:t>
            </w:r>
            <w:r>
              <w:rPr>
                <w:rFonts w:hint="eastAsia" w:asciiTheme="minorEastAsia" w:hAnsiTheme="minorEastAsia" w:eastAsiaTheme="minorEastAsia"/>
                <w:sz w:val="24"/>
                <w:lang w:val="en-US" w:eastAsia="zh-CN"/>
              </w:rPr>
              <w:t>响应</w:t>
            </w:r>
            <w:r>
              <w:rPr>
                <w:rFonts w:hint="eastAsia" w:asciiTheme="minorEastAsia" w:hAnsiTheme="minorEastAsia" w:eastAsiaTheme="minorEastAsia"/>
                <w:sz w:val="24"/>
              </w:rPr>
              <w:t>报价得分=（磋商基准价</w:t>
            </w:r>
            <w:r>
              <w:rPr>
                <w:rFonts w:asciiTheme="minorEastAsia" w:hAnsiTheme="minorEastAsia" w:eastAsiaTheme="minorEastAsia"/>
                <w:sz w:val="24"/>
              </w:rPr>
              <w:t>/</w:t>
            </w:r>
            <w:r>
              <w:rPr>
                <w:rFonts w:hint="eastAsia" w:asciiTheme="minorEastAsia" w:hAnsiTheme="minorEastAsia" w:eastAsiaTheme="minorEastAsia"/>
                <w:sz w:val="24"/>
              </w:rPr>
              <w:t>供应商</w:t>
            </w:r>
            <w:r>
              <w:rPr>
                <w:rFonts w:asciiTheme="minorEastAsia" w:hAnsiTheme="minorEastAsia" w:eastAsiaTheme="minorEastAsia"/>
                <w:sz w:val="24"/>
              </w:rPr>
              <w:t>单位</w:t>
            </w:r>
            <w:r>
              <w:rPr>
                <w:rFonts w:hint="eastAsia" w:asciiTheme="minorEastAsia" w:hAnsiTheme="minorEastAsia" w:eastAsiaTheme="minorEastAsia"/>
                <w:sz w:val="24"/>
              </w:rPr>
              <w:t>最后</w:t>
            </w:r>
            <w:r>
              <w:rPr>
                <w:rFonts w:asciiTheme="minorEastAsia" w:hAnsiTheme="minorEastAsia" w:eastAsiaTheme="minorEastAsia"/>
                <w:sz w:val="24"/>
              </w:rPr>
              <w:t>报价</w:t>
            </w:r>
            <w:r>
              <w:rPr>
                <w:rFonts w:hint="eastAsia" w:asciiTheme="minorEastAsia" w:hAnsiTheme="minorEastAsia" w:eastAsiaTheme="minorEastAsia"/>
                <w:sz w:val="24"/>
              </w:rPr>
              <w:t>）×</w:t>
            </w:r>
            <w:r>
              <w:rPr>
                <w:rFonts w:hint="eastAsia" w:asciiTheme="minorEastAsia" w:hAnsiTheme="minorEastAsia" w:eastAsiaTheme="minorEastAsia"/>
                <w:sz w:val="24"/>
                <w:lang w:val="en-US" w:eastAsia="zh-CN"/>
              </w:rPr>
              <w:t>3</w:t>
            </w:r>
            <w:r>
              <w:rPr>
                <w:rFonts w:asciiTheme="minorEastAsia" w:hAnsiTheme="minorEastAsia" w:eastAsiaTheme="minorEastAsia"/>
                <w:sz w:val="24"/>
              </w:rPr>
              <w:t>0</w:t>
            </w:r>
            <w:r>
              <w:rPr>
                <w:rFonts w:hint="eastAsia" w:asciiTheme="minorEastAsia" w:hAnsiTheme="minorEastAsia" w:eastAsiaTheme="minorEastAsia"/>
                <w:sz w:val="24"/>
              </w:rPr>
              <w:t>。</w:t>
            </w:r>
            <w:bookmarkEnd w:id="574"/>
          </w:p>
        </w:tc>
        <w:tc>
          <w:tcPr>
            <w:tcW w:w="851" w:type="dxa"/>
            <w:vAlign w:val="center"/>
          </w:tcPr>
          <w:p w14:paraId="7F345B2F">
            <w:pPr>
              <w:jc w:val="center"/>
              <w:rPr>
                <w:rFonts w:hint="eastAsia" w:asciiTheme="minorEastAsia" w:hAnsiTheme="minorEastAsia" w:eastAsiaTheme="minorEastAsia"/>
                <w:sz w:val="24"/>
              </w:rPr>
            </w:pPr>
            <w:r>
              <w:rPr>
                <w:rFonts w:hint="eastAsia" w:asciiTheme="minorEastAsia" w:hAnsiTheme="minorEastAsia" w:eastAsiaTheme="minorEastAsia"/>
                <w:sz w:val="24"/>
                <w:lang w:val="en-US" w:eastAsia="zh-CN"/>
              </w:rPr>
              <w:t>3</w:t>
            </w:r>
            <w:r>
              <w:rPr>
                <w:rFonts w:asciiTheme="minorEastAsia" w:hAnsiTheme="minorEastAsia" w:eastAsiaTheme="minorEastAsia"/>
                <w:sz w:val="24"/>
              </w:rPr>
              <w:t>0分</w:t>
            </w:r>
          </w:p>
        </w:tc>
      </w:tr>
      <w:bookmarkEnd w:id="573"/>
    </w:tbl>
    <w:p w14:paraId="54B1058B">
      <w:pPr>
        <w:spacing w:line="360" w:lineRule="auto"/>
        <w:rPr>
          <w:rFonts w:hint="eastAsia" w:asciiTheme="minorEastAsia" w:hAnsiTheme="minorEastAsia" w:eastAsiaTheme="minorEastAsia"/>
          <w:b/>
          <w:sz w:val="24"/>
        </w:rPr>
      </w:pPr>
      <w:r>
        <w:rPr>
          <w:rFonts w:hint="eastAsia" w:asciiTheme="minorEastAsia" w:hAnsiTheme="minorEastAsia" w:eastAsiaTheme="minorEastAsia"/>
          <w:b/>
          <w:sz w:val="24"/>
        </w:rPr>
        <w:t>注：</w:t>
      </w:r>
    </w:p>
    <w:p w14:paraId="262E82DC">
      <w:pPr>
        <w:snapToGrid w:val="0"/>
        <w:spacing w:line="360" w:lineRule="auto"/>
        <w:ind w:firstLine="480" w:firstLineChars="200"/>
        <w:rPr>
          <w:rFonts w:hint="eastAsia" w:asciiTheme="minorEastAsia" w:hAnsiTheme="minorEastAsia" w:eastAsiaTheme="minorEastAsia"/>
          <w:sz w:val="24"/>
        </w:rPr>
      </w:pPr>
      <w:r>
        <w:rPr>
          <w:rFonts w:hint="eastAsia" w:asciiTheme="minorEastAsia" w:hAnsiTheme="minorEastAsia" w:eastAsiaTheme="minorEastAsia"/>
          <w:sz w:val="24"/>
        </w:rPr>
        <w:t>综合评分法中的价格分统一采用低价优先法计算，即满足磋商文件要求且最终报价最低的供应商的价格为磋商基准价，其价格分为满分。其他供应商的价格分统一按照下列公式计算：</w:t>
      </w:r>
    </w:p>
    <w:p w14:paraId="615EF1D6">
      <w:pPr>
        <w:snapToGrid w:val="0"/>
        <w:spacing w:line="360" w:lineRule="auto"/>
        <w:ind w:firstLine="480" w:firstLineChars="200"/>
        <w:rPr>
          <w:rFonts w:hint="eastAsia" w:asciiTheme="minorEastAsia" w:hAnsiTheme="minorEastAsia" w:eastAsiaTheme="minorEastAsia"/>
          <w:sz w:val="24"/>
        </w:rPr>
      </w:pPr>
      <w:r>
        <w:rPr>
          <w:rFonts w:hint="eastAsia" w:asciiTheme="minorEastAsia" w:hAnsiTheme="minorEastAsia" w:eastAsiaTheme="minorEastAsia"/>
          <w:sz w:val="24"/>
          <w:lang w:val="en-US" w:eastAsia="zh-CN"/>
        </w:rPr>
        <w:t>响应</w:t>
      </w:r>
      <w:r>
        <w:rPr>
          <w:rFonts w:hint="eastAsia" w:asciiTheme="minorEastAsia" w:hAnsiTheme="minorEastAsia" w:eastAsiaTheme="minorEastAsia"/>
          <w:sz w:val="24"/>
        </w:rPr>
        <w:t>报价得分=（磋商基准价</w:t>
      </w:r>
      <w:r>
        <w:rPr>
          <w:rFonts w:asciiTheme="minorEastAsia" w:hAnsiTheme="minorEastAsia" w:eastAsiaTheme="minorEastAsia"/>
          <w:sz w:val="24"/>
        </w:rPr>
        <w:t>/</w:t>
      </w:r>
      <w:r>
        <w:rPr>
          <w:rFonts w:hint="eastAsia" w:asciiTheme="minorEastAsia" w:hAnsiTheme="minorEastAsia" w:eastAsiaTheme="minorEastAsia"/>
          <w:sz w:val="24"/>
        </w:rPr>
        <w:t>供应商</w:t>
      </w:r>
      <w:r>
        <w:rPr>
          <w:rFonts w:asciiTheme="minorEastAsia" w:hAnsiTheme="minorEastAsia" w:eastAsiaTheme="minorEastAsia"/>
          <w:sz w:val="24"/>
        </w:rPr>
        <w:t>单位</w:t>
      </w:r>
      <w:r>
        <w:rPr>
          <w:rFonts w:hint="eastAsia" w:asciiTheme="minorEastAsia" w:hAnsiTheme="minorEastAsia" w:eastAsiaTheme="minorEastAsia"/>
          <w:sz w:val="24"/>
        </w:rPr>
        <w:t>最后</w:t>
      </w:r>
      <w:r>
        <w:rPr>
          <w:rFonts w:asciiTheme="minorEastAsia" w:hAnsiTheme="minorEastAsia" w:eastAsiaTheme="minorEastAsia"/>
          <w:sz w:val="24"/>
        </w:rPr>
        <w:t>报价</w:t>
      </w:r>
      <w:r>
        <w:rPr>
          <w:rFonts w:hint="eastAsia" w:asciiTheme="minorEastAsia" w:hAnsiTheme="minorEastAsia" w:eastAsiaTheme="minorEastAsia"/>
          <w:sz w:val="24"/>
        </w:rPr>
        <w:t>）×</w:t>
      </w:r>
      <w:r>
        <w:rPr>
          <w:rFonts w:hint="eastAsia" w:asciiTheme="minorEastAsia" w:hAnsiTheme="minorEastAsia" w:eastAsiaTheme="minorEastAsia"/>
          <w:sz w:val="24"/>
          <w:lang w:val="en-US" w:eastAsia="zh-CN"/>
        </w:rPr>
        <w:t>3</w:t>
      </w:r>
      <w:r>
        <w:rPr>
          <w:rFonts w:asciiTheme="minorEastAsia" w:hAnsiTheme="minorEastAsia" w:eastAsiaTheme="minorEastAsia"/>
          <w:sz w:val="24"/>
        </w:rPr>
        <w:t>0</w:t>
      </w:r>
    </w:p>
    <w:p w14:paraId="12707643">
      <w:pPr>
        <w:snapToGrid w:val="0"/>
        <w:spacing w:line="360" w:lineRule="auto"/>
        <w:ind w:firstLine="480" w:firstLineChars="200"/>
        <w:rPr>
          <w:rFonts w:hint="eastAsia" w:ascii="等线" w:hAnsi="等线" w:eastAsia="等线"/>
          <w:szCs w:val="22"/>
        </w:rPr>
      </w:pPr>
      <w:r>
        <w:rPr>
          <w:rFonts w:hint="eastAsia" w:asciiTheme="minorEastAsia" w:hAnsiTheme="minorEastAsia" w:eastAsiaTheme="minorEastAsia"/>
          <w:sz w:val="24"/>
        </w:rPr>
        <w:t>按上述公式计算出每个供应商的报价水平得分，保留小数点后两位，小数点后第三位“四舍五入”。</w:t>
      </w:r>
      <w:r>
        <w:rPr>
          <w:rFonts w:ascii="等线" w:hAnsi="等线" w:eastAsia="等线"/>
          <w:szCs w:val="22"/>
        </w:rPr>
        <w:br w:type="page"/>
      </w:r>
    </w:p>
    <w:bookmarkEnd w:id="572"/>
    <w:p w14:paraId="7F75A1CE">
      <w:pPr>
        <w:rPr>
          <w:rFonts w:hint="eastAsia" w:ascii="等线" w:hAnsi="等线" w:eastAsia="等线"/>
          <w:szCs w:val="22"/>
        </w:rPr>
      </w:pPr>
    </w:p>
    <w:p w14:paraId="5ECD6840">
      <w:pPr>
        <w:spacing w:line="360" w:lineRule="auto"/>
        <w:jc w:val="center"/>
        <w:outlineLvl w:val="0"/>
        <w:rPr>
          <w:rFonts w:hint="eastAsia" w:ascii="宋体" w:hAnsi="宋体" w:cs="仿宋"/>
          <w:b/>
          <w:sz w:val="36"/>
          <w:szCs w:val="36"/>
          <w:highlight w:val="none"/>
        </w:rPr>
      </w:pPr>
      <w:bookmarkStart w:id="575" w:name="_Toc9424"/>
      <w:bookmarkStart w:id="576" w:name="_Toc97371945"/>
      <w:r>
        <w:rPr>
          <w:rFonts w:hint="eastAsia" w:ascii="宋体" w:hAnsi="宋体" w:cs="仿宋"/>
          <w:b/>
          <w:sz w:val="36"/>
          <w:szCs w:val="36"/>
          <w:highlight w:val="none"/>
        </w:rPr>
        <w:t>第四章 采购需求</w:t>
      </w:r>
      <w:bookmarkEnd w:id="575"/>
      <w:bookmarkEnd w:id="576"/>
    </w:p>
    <w:p w14:paraId="09254861">
      <w:pPr>
        <w:pStyle w:val="123"/>
        <w:numPr>
          <w:ilvl w:val="0"/>
          <w:numId w:val="33"/>
        </w:numPr>
        <w:spacing w:line="360" w:lineRule="auto"/>
        <w:ind w:firstLineChars="0"/>
        <w:contextualSpacing/>
        <w:rPr>
          <w:rFonts w:hint="eastAsia" w:ascii="宋体" w:hAnsi="宋体" w:cs="仿宋"/>
          <w:b/>
          <w:sz w:val="24"/>
          <w:szCs w:val="24"/>
        </w:rPr>
      </w:pPr>
      <w:r>
        <w:rPr>
          <w:rFonts w:hint="eastAsia" w:ascii="宋体" w:hAnsi="宋体" w:cs="仿宋"/>
          <w:b/>
          <w:sz w:val="24"/>
          <w:szCs w:val="24"/>
        </w:rPr>
        <w:t>项目概况</w:t>
      </w:r>
    </w:p>
    <w:p w14:paraId="76565EA4">
      <w:pPr>
        <w:spacing w:line="360" w:lineRule="auto"/>
        <w:ind w:firstLine="480" w:firstLineChars="200"/>
        <w:rPr>
          <w:rFonts w:hint="eastAsia" w:ascii="宋体" w:hAnsi="宋体" w:cs="宋体"/>
          <w:sz w:val="24"/>
        </w:rPr>
      </w:pPr>
      <w:r>
        <w:rPr>
          <w:rFonts w:hint="eastAsia" w:ascii="宋体" w:hAnsi="宋体" w:cs="宋体"/>
          <w:sz w:val="24"/>
        </w:rPr>
        <w:t>1.项目编号：11010526210200028655-XM001</w:t>
      </w:r>
    </w:p>
    <w:p w14:paraId="6A79BCA0">
      <w:pPr>
        <w:spacing w:line="360" w:lineRule="auto"/>
        <w:ind w:firstLine="480" w:firstLineChars="200"/>
        <w:contextualSpacing/>
        <w:rPr>
          <w:rFonts w:hint="eastAsia" w:ascii="宋体" w:hAnsi="宋体" w:cs="宋体"/>
          <w:sz w:val="24"/>
        </w:rPr>
      </w:pPr>
      <w:r>
        <w:rPr>
          <w:rFonts w:hint="eastAsia" w:ascii="宋体" w:hAnsi="宋体" w:cs="宋体"/>
          <w:sz w:val="24"/>
        </w:rPr>
        <w:t>2.项目名称：2026年香河园街道重点楼防水改造项目工程</w:t>
      </w:r>
    </w:p>
    <w:p w14:paraId="5B463A7D">
      <w:pPr>
        <w:spacing w:line="360" w:lineRule="auto"/>
        <w:ind w:firstLine="480" w:firstLineChars="200"/>
        <w:contextualSpacing/>
        <w:rPr>
          <w:rFonts w:hint="eastAsia" w:ascii="宋体" w:hAnsi="宋体" w:cs="宋体"/>
          <w:sz w:val="24"/>
        </w:rPr>
      </w:pPr>
      <w:r>
        <w:rPr>
          <w:rFonts w:hint="eastAsia" w:ascii="宋体" w:hAnsi="宋体" w:cs="宋体"/>
          <w:sz w:val="24"/>
        </w:rPr>
        <w:t>3.建设单位：北京市朝阳区人民政府香河园街道办事处</w:t>
      </w:r>
    </w:p>
    <w:p w14:paraId="303EAA9F">
      <w:pPr>
        <w:spacing w:line="360" w:lineRule="auto"/>
        <w:ind w:firstLine="480" w:firstLineChars="200"/>
        <w:contextualSpacing/>
        <w:rPr>
          <w:rFonts w:hint="eastAsia" w:ascii="宋体" w:hAnsi="宋体" w:cs="宋体"/>
          <w:sz w:val="24"/>
        </w:rPr>
      </w:pPr>
      <w:r>
        <w:rPr>
          <w:rFonts w:hint="eastAsia" w:ascii="宋体" w:hAnsi="宋体" w:cs="宋体"/>
          <w:sz w:val="24"/>
        </w:rPr>
        <w:t>4.资金来源：财政资金</w:t>
      </w:r>
    </w:p>
    <w:p w14:paraId="6F246E1A">
      <w:pPr>
        <w:spacing w:line="360" w:lineRule="auto"/>
        <w:ind w:firstLine="480" w:firstLineChars="200"/>
        <w:contextualSpacing/>
        <w:rPr>
          <w:rFonts w:hint="eastAsia" w:ascii="宋体" w:hAnsi="宋体" w:cs="宋体"/>
          <w:sz w:val="24"/>
        </w:rPr>
      </w:pPr>
      <w:r>
        <w:rPr>
          <w:rFonts w:hint="eastAsia" w:ascii="宋体" w:hAnsi="宋体" w:cs="宋体"/>
          <w:sz w:val="24"/>
        </w:rPr>
        <w:t>5.建设地点：北京市朝阳区</w:t>
      </w:r>
    </w:p>
    <w:p w14:paraId="63A0BB34">
      <w:pPr>
        <w:pStyle w:val="123"/>
        <w:numPr>
          <w:ilvl w:val="0"/>
          <w:numId w:val="33"/>
        </w:numPr>
        <w:spacing w:line="360" w:lineRule="auto"/>
        <w:ind w:firstLineChars="0"/>
        <w:contextualSpacing/>
        <w:rPr>
          <w:rFonts w:hint="eastAsia" w:ascii="宋体" w:hAnsi="宋体" w:cs="仿宋"/>
          <w:b/>
          <w:sz w:val="24"/>
          <w:szCs w:val="24"/>
        </w:rPr>
      </w:pPr>
      <w:r>
        <w:rPr>
          <w:rFonts w:hint="eastAsia" w:ascii="宋体" w:hAnsi="宋体" w:cs="仿宋"/>
          <w:b/>
          <w:sz w:val="24"/>
          <w:szCs w:val="24"/>
        </w:rPr>
        <w:t>工期要求</w:t>
      </w:r>
    </w:p>
    <w:p w14:paraId="283A9920">
      <w:pPr>
        <w:spacing w:line="360" w:lineRule="auto"/>
        <w:ind w:firstLine="480" w:firstLineChars="200"/>
        <w:contextualSpacing/>
        <w:rPr>
          <w:rFonts w:hint="eastAsia" w:ascii="宋体" w:hAnsi="宋体" w:cs="宋体"/>
          <w:sz w:val="24"/>
        </w:rPr>
      </w:pPr>
      <w:r>
        <w:rPr>
          <w:rFonts w:hint="eastAsia" w:ascii="宋体" w:hAnsi="宋体" w:cs="宋体"/>
          <w:sz w:val="24"/>
        </w:rPr>
        <w:t>工期：30日历天。</w:t>
      </w:r>
    </w:p>
    <w:p w14:paraId="6B11354B">
      <w:pPr>
        <w:spacing w:line="360" w:lineRule="auto"/>
        <w:ind w:firstLine="480" w:firstLineChars="200"/>
        <w:contextualSpacing/>
        <w:rPr>
          <w:rFonts w:hint="eastAsia" w:ascii="宋体" w:hAnsi="宋体" w:cs="宋体"/>
          <w:sz w:val="24"/>
          <w:highlight w:val="none"/>
        </w:rPr>
      </w:pPr>
      <w:r>
        <w:rPr>
          <w:rFonts w:hint="eastAsia" w:ascii="宋体" w:hAnsi="宋体" w:cs="宋体"/>
          <w:sz w:val="24"/>
          <w:highlight w:val="none"/>
        </w:rPr>
        <w:t>计划开工日期：2026年05月06日；</w:t>
      </w:r>
    </w:p>
    <w:p w14:paraId="0E3661D4">
      <w:pPr>
        <w:spacing w:line="360" w:lineRule="auto"/>
        <w:ind w:firstLine="480" w:firstLineChars="200"/>
        <w:contextualSpacing/>
        <w:rPr>
          <w:rFonts w:hint="eastAsia" w:ascii="宋体" w:hAnsi="宋体" w:cs="宋体"/>
          <w:sz w:val="24"/>
          <w:highlight w:val="none"/>
        </w:rPr>
      </w:pPr>
      <w:r>
        <w:rPr>
          <w:rFonts w:hint="eastAsia" w:ascii="宋体" w:hAnsi="宋体" w:cs="宋体"/>
          <w:sz w:val="24"/>
          <w:highlight w:val="none"/>
        </w:rPr>
        <w:t>计划竣工日期：2026年06月04日。</w:t>
      </w:r>
    </w:p>
    <w:p w14:paraId="5753C4ED">
      <w:pPr>
        <w:spacing w:line="360" w:lineRule="auto"/>
        <w:ind w:firstLine="480" w:firstLineChars="200"/>
        <w:contextualSpacing/>
        <w:rPr>
          <w:rFonts w:hint="eastAsia" w:ascii="宋体" w:hAnsi="宋体" w:cs="宋体"/>
          <w:sz w:val="24"/>
        </w:rPr>
      </w:pPr>
      <w:r>
        <w:rPr>
          <w:rFonts w:hint="eastAsia" w:ascii="宋体" w:hAnsi="宋体" w:cs="宋体"/>
          <w:sz w:val="24"/>
        </w:rPr>
        <w:t>（以发出的实际开工令为准）</w:t>
      </w:r>
    </w:p>
    <w:p w14:paraId="43B699CE">
      <w:pPr>
        <w:pStyle w:val="123"/>
        <w:numPr>
          <w:ilvl w:val="0"/>
          <w:numId w:val="33"/>
        </w:numPr>
        <w:spacing w:line="360" w:lineRule="auto"/>
        <w:ind w:firstLineChars="0"/>
        <w:contextualSpacing/>
        <w:rPr>
          <w:rFonts w:hint="eastAsia" w:ascii="宋体" w:hAnsi="宋体" w:cs="仿宋"/>
          <w:b/>
          <w:sz w:val="24"/>
          <w:szCs w:val="24"/>
        </w:rPr>
      </w:pPr>
      <w:r>
        <w:rPr>
          <w:rFonts w:hint="eastAsia" w:ascii="宋体" w:hAnsi="宋体" w:cs="仿宋"/>
          <w:b/>
          <w:sz w:val="24"/>
          <w:szCs w:val="24"/>
        </w:rPr>
        <w:t>技术要求</w:t>
      </w:r>
    </w:p>
    <w:p w14:paraId="4F374848">
      <w:pPr>
        <w:spacing w:line="360" w:lineRule="auto"/>
        <w:ind w:firstLine="480" w:firstLineChars="200"/>
        <w:rPr>
          <w:rFonts w:asciiTheme="minorEastAsia" w:hAnsiTheme="minorEastAsia" w:eastAsiaTheme="minorEastAsia" w:cstheme="minorEastAsia"/>
          <w:sz w:val="24"/>
        </w:rPr>
      </w:pPr>
      <w:r>
        <w:rPr>
          <w:rFonts w:hint="eastAsia" w:ascii="宋体" w:hAnsi="宋体" w:cs="仿宋"/>
          <w:sz w:val="24"/>
        </w:rPr>
        <w:t>1.工程内容：</w:t>
      </w:r>
      <w:r>
        <w:rPr>
          <w:rFonts w:hint="eastAsia" w:asciiTheme="minorEastAsia" w:hAnsiTheme="minorEastAsia" w:eastAsiaTheme="minorEastAsia" w:cstheme="minorEastAsia"/>
          <w:sz w:val="24"/>
        </w:rPr>
        <w:t>2026年香河园街道重点楼防水改造项目工程，</w:t>
      </w:r>
      <w:r>
        <w:rPr>
          <w:rFonts w:hint="eastAsia" w:ascii="宋体" w:hAnsi="宋体"/>
          <w:sz w:val="24"/>
        </w:rPr>
        <w:t>包括屋面防水新做6154.86平方米，屋面侧墙防水新做972.80平方米，金属门安装2.88平方米，加高上人孔50个等，</w:t>
      </w:r>
      <w:r>
        <w:rPr>
          <w:rFonts w:hint="eastAsia" w:asciiTheme="minorEastAsia" w:hAnsiTheme="minorEastAsia" w:eastAsiaTheme="minorEastAsia" w:cstheme="minorEastAsia"/>
          <w:sz w:val="24"/>
        </w:rPr>
        <w:t>具体内容详见工程量清单及图纸。</w:t>
      </w:r>
    </w:p>
    <w:p w14:paraId="16DCC0D5">
      <w:pPr>
        <w:spacing w:line="360" w:lineRule="auto"/>
        <w:ind w:firstLine="480" w:firstLineChars="200"/>
        <w:rPr>
          <w:rFonts w:hint="eastAsia" w:ascii="宋体" w:hAnsi="宋体" w:cs="仿宋"/>
          <w:sz w:val="24"/>
        </w:rPr>
      </w:pPr>
      <w:r>
        <w:rPr>
          <w:rFonts w:hint="eastAsia" w:ascii="宋体" w:hAnsi="宋体" w:cs="仿宋"/>
          <w:sz w:val="24"/>
        </w:rPr>
        <w:t>2.依据设计施工技术规范要求，各单项工程项目的材料、设备、施工必须达到以下现行中华人民共和国及北京市、相关行业的所有有关的法规、规范要求。成交供应商必须严格按照本合同规定适用的施工技术规范精心组织施工，按规定适用的试验检测规程进行试验和检测，按规定适用的质量检验评定标准进行工程质量的检测和评定。</w:t>
      </w:r>
    </w:p>
    <w:p w14:paraId="2DDE7A94">
      <w:pPr>
        <w:spacing w:line="360" w:lineRule="auto"/>
        <w:ind w:firstLine="480" w:firstLineChars="200"/>
        <w:rPr>
          <w:rFonts w:hint="eastAsia" w:ascii="宋体" w:hAnsi="宋体" w:cs="仿宋"/>
          <w:sz w:val="24"/>
        </w:rPr>
      </w:pPr>
      <w:r>
        <w:rPr>
          <w:rFonts w:hint="eastAsia" w:ascii="宋体" w:hAnsi="宋体" w:cs="仿宋"/>
          <w:sz w:val="24"/>
        </w:rPr>
        <w:t>施工标准及质量以国家及北京市相关现行标准为准，供应商在施工期间要合理安排工时、工序，针对本项目场地狭小对施工过程中的文明施工、安全施工及消防保卫等方面提出相应保证措施。</w:t>
      </w:r>
    </w:p>
    <w:p w14:paraId="4B115961">
      <w:pPr>
        <w:spacing w:line="360" w:lineRule="auto"/>
        <w:ind w:firstLine="480" w:firstLineChars="200"/>
        <w:rPr>
          <w:rFonts w:hint="eastAsia" w:ascii="宋体" w:hAnsi="宋体" w:cs="仿宋"/>
          <w:sz w:val="24"/>
        </w:rPr>
      </w:pPr>
      <w:r>
        <w:rPr>
          <w:rFonts w:hint="eastAsia" w:ascii="宋体" w:hAnsi="宋体" w:cs="仿宋"/>
          <w:sz w:val="24"/>
        </w:rPr>
        <w:t>工程验收在采购人建筑物所在地，验收标准执行国家及北京市现行相关施工及验收标准。</w:t>
      </w:r>
    </w:p>
    <w:p w14:paraId="739EC15E">
      <w:pPr>
        <w:spacing w:line="360" w:lineRule="auto"/>
        <w:ind w:firstLine="480" w:firstLineChars="200"/>
        <w:rPr>
          <w:rFonts w:hint="eastAsia" w:ascii="宋体" w:hAnsi="宋体" w:cs="仿宋"/>
          <w:bCs/>
          <w:sz w:val="24"/>
        </w:rPr>
      </w:pPr>
      <w:r>
        <w:rPr>
          <w:rFonts w:hint="eastAsia" w:ascii="宋体" w:hAnsi="宋体" w:cs="仿宋"/>
          <w:sz w:val="24"/>
        </w:rPr>
        <w:t>3.</w:t>
      </w:r>
      <w:r>
        <w:rPr>
          <w:rFonts w:hint="eastAsia" w:ascii="宋体" w:hAnsi="宋体" w:cs="仿宋"/>
          <w:bCs/>
          <w:sz w:val="24"/>
        </w:rPr>
        <w:t>质量标准：合格。</w:t>
      </w:r>
    </w:p>
    <w:p w14:paraId="2C6D18E7">
      <w:pPr>
        <w:spacing w:line="360" w:lineRule="auto"/>
        <w:ind w:firstLine="480" w:firstLineChars="200"/>
        <w:rPr>
          <w:rFonts w:hint="eastAsia" w:ascii="宋体" w:hAnsi="宋体" w:cs="仿宋"/>
          <w:bCs/>
          <w:sz w:val="24"/>
        </w:rPr>
      </w:pPr>
      <w:r>
        <w:rPr>
          <w:rFonts w:hint="eastAsia" w:ascii="宋体" w:hAnsi="宋体" w:cs="宋体"/>
          <w:sz w:val="24"/>
        </w:rPr>
        <w:t>4</w:t>
      </w:r>
      <w:r>
        <w:rPr>
          <w:rFonts w:ascii="宋体" w:hAnsi="宋体" w:cs="宋体"/>
          <w:sz w:val="24"/>
        </w:rPr>
        <w:t>.</w:t>
      </w:r>
      <w:r>
        <w:rPr>
          <w:rFonts w:hint="eastAsia" w:ascii="宋体" w:hAnsi="宋体" w:cs="宋体"/>
          <w:sz w:val="24"/>
        </w:rPr>
        <w:t>安全生产标准化管理目标等级：达标。</w:t>
      </w:r>
    </w:p>
    <w:p w14:paraId="7061232B">
      <w:pPr>
        <w:spacing w:line="360" w:lineRule="auto"/>
        <w:ind w:firstLine="480" w:firstLineChars="200"/>
        <w:rPr>
          <w:rFonts w:hint="eastAsia" w:ascii="宋体" w:hAnsi="宋体" w:cs="仿宋"/>
          <w:sz w:val="24"/>
        </w:rPr>
      </w:pPr>
      <w:r>
        <w:rPr>
          <w:rFonts w:hint="eastAsia" w:ascii="宋体" w:hAnsi="宋体" w:cs="仿宋"/>
          <w:sz w:val="24"/>
        </w:rPr>
        <w:t>5.验收标准：符合中华人民共和国相关法律法规的要求。</w:t>
      </w:r>
    </w:p>
    <w:p w14:paraId="598F0CE0">
      <w:pPr>
        <w:pStyle w:val="37"/>
        <w:spacing w:line="360" w:lineRule="auto"/>
        <w:ind w:left="0" w:leftChars="0" w:firstLine="0" w:firstLineChars="0"/>
        <w:rPr>
          <w:rFonts w:hint="eastAsia" w:ascii="宋体" w:hAnsi="宋体" w:cs="仿宋"/>
          <w:b/>
          <w:sz w:val="24"/>
        </w:rPr>
      </w:pPr>
      <w:r>
        <w:rPr>
          <w:rFonts w:hint="eastAsia" w:ascii="宋体" w:hAnsi="宋体" w:cs="仿宋"/>
          <w:b/>
          <w:sz w:val="24"/>
        </w:rPr>
        <w:t>四、其他要求</w:t>
      </w:r>
    </w:p>
    <w:p w14:paraId="5FEDC8B6">
      <w:pPr>
        <w:pStyle w:val="37"/>
        <w:spacing w:line="360" w:lineRule="auto"/>
        <w:ind w:left="0" w:leftChars="0" w:firstLine="480" w:firstLineChars="200"/>
        <w:rPr>
          <w:rFonts w:hint="eastAsia" w:ascii="宋体" w:hAnsi="宋体" w:cs="仿宋"/>
          <w:bCs/>
          <w:sz w:val="24"/>
        </w:rPr>
      </w:pPr>
      <w:r>
        <w:rPr>
          <w:rFonts w:hint="eastAsia" w:ascii="宋体" w:hAnsi="宋体" w:cs="仿宋"/>
          <w:bCs/>
          <w:sz w:val="24"/>
        </w:rPr>
        <w:t>供应商应针对本项目提供相关的内容。包含但不仅限于以下内容：</w:t>
      </w:r>
    </w:p>
    <w:p w14:paraId="4039D811">
      <w:pPr>
        <w:pStyle w:val="37"/>
        <w:spacing w:line="360" w:lineRule="auto"/>
        <w:ind w:left="0" w:leftChars="0" w:firstLine="0" w:firstLineChars="0"/>
        <w:rPr>
          <w:rFonts w:hint="eastAsia" w:ascii="宋体" w:hAnsi="宋体" w:cs="仿宋"/>
          <w:bCs/>
          <w:sz w:val="24"/>
        </w:rPr>
      </w:pPr>
      <w:r>
        <w:rPr>
          <w:rFonts w:hint="eastAsia" w:ascii="宋体" w:hAnsi="宋体" w:cs="仿宋"/>
          <w:bCs/>
          <w:sz w:val="24"/>
        </w:rPr>
        <w:t xml:space="preserve">    1.施工方案与技术措施：应提供对项目的施工方案与技术措施，对项目的关键点、重点、难点进行分析阐述；</w:t>
      </w:r>
    </w:p>
    <w:p w14:paraId="0622D7E0">
      <w:pPr>
        <w:pStyle w:val="37"/>
        <w:spacing w:line="360" w:lineRule="auto"/>
        <w:ind w:left="0" w:leftChars="0" w:firstLine="480" w:firstLineChars="0"/>
        <w:rPr>
          <w:rFonts w:hint="eastAsia" w:ascii="宋体" w:hAnsi="宋体" w:cs="仿宋"/>
          <w:bCs/>
          <w:sz w:val="24"/>
        </w:rPr>
      </w:pPr>
      <w:r>
        <w:rPr>
          <w:rFonts w:hint="eastAsia" w:ascii="宋体" w:hAnsi="宋体" w:cs="仿宋"/>
          <w:bCs/>
          <w:sz w:val="24"/>
        </w:rPr>
        <w:t>2.质量管理体系与保证措施：应提供对项目的质量管理体系与保证措施等内容。</w:t>
      </w:r>
    </w:p>
    <w:p w14:paraId="01C05BBC">
      <w:pPr>
        <w:pStyle w:val="37"/>
        <w:spacing w:line="360" w:lineRule="auto"/>
        <w:ind w:left="0" w:leftChars="0" w:firstLine="480" w:firstLineChars="0"/>
        <w:rPr>
          <w:rFonts w:ascii="宋体" w:hAnsi="宋体" w:cs="仿宋"/>
          <w:bCs/>
          <w:sz w:val="24"/>
        </w:rPr>
      </w:pPr>
      <w:r>
        <w:rPr>
          <w:rFonts w:hint="eastAsia" w:ascii="宋体" w:hAnsi="宋体" w:cs="仿宋"/>
          <w:bCs/>
          <w:sz w:val="24"/>
        </w:rPr>
        <w:t>3.安全和绿色施工保障措施：应提供对项目的安全和绿色施工保障措施等内容。</w:t>
      </w:r>
    </w:p>
    <w:p w14:paraId="04448DF4">
      <w:pPr>
        <w:pStyle w:val="37"/>
        <w:spacing w:line="360" w:lineRule="auto"/>
        <w:ind w:left="0" w:leftChars="0" w:firstLine="480" w:firstLineChars="200"/>
        <w:rPr>
          <w:rFonts w:hint="eastAsia" w:ascii="宋体" w:hAnsi="宋体" w:cs="仿宋"/>
          <w:bCs/>
          <w:sz w:val="24"/>
        </w:rPr>
      </w:pPr>
      <w:r>
        <w:rPr>
          <w:rFonts w:hint="eastAsia" w:ascii="宋体" w:hAnsi="宋体" w:cs="仿宋"/>
          <w:bCs/>
          <w:sz w:val="24"/>
        </w:rPr>
        <w:t>4.工程进度计划与保证措施：应提供对项目的工程进度计划与保证措施等内容。</w:t>
      </w:r>
    </w:p>
    <w:p w14:paraId="5129010E">
      <w:pPr>
        <w:pStyle w:val="37"/>
        <w:spacing w:line="360" w:lineRule="auto"/>
        <w:ind w:left="0" w:leftChars="0" w:firstLine="480" w:firstLineChars="200"/>
        <w:rPr>
          <w:rFonts w:ascii="宋体" w:hAnsi="宋体" w:cs="仿宋"/>
          <w:bCs/>
          <w:sz w:val="24"/>
        </w:rPr>
      </w:pPr>
      <w:r>
        <w:rPr>
          <w:rFonts w:ascii="宋体" w:hAnsi="宋体" w:cs="仿宋"/>
          <w:bCs/>
          <w:sz w:val="24"/>
        </w:rPr>
        <w:t>5.</w:t>
      </w:r>
      <w:bookmarkStart w:id="577" w:name="OLE_LINK9"/>
      <w:r>
        <w:rPr>
          <w:rFonts w:hint="eastAsia" w:ascii="宋体" w:hAnsi="宋体" w:cs="仿宋"/>
          <w:bCs/>
          <w:sz w:val="24"/>
        </w:rPr>
        <w:t>成品保护和工程保修工作的管理措施</w:t>
      </w:r>
      <w:r>
        <w:rPr>
          <w:rFonts w:ascii="宋体" w:hAnsi="宋体" w:cs="仿宋"/>
          <w:bCs/>
          <w:sz w:val="24"/>
        </w:rPr>
        <w:t>：应提供</w:t>
      </w:r>
      <w:r>
        <w:rPr>
          <w:rFonts w:hint="eastAsia" w:ascii="宋体" w:hAnsi="宋体" w:cs="仿宋"/>
          <w:bCs/>
          <w:sz w:val="24"/>
        </w:rPr>
        <w:t>对项目的成品保护、工程保修工作的管理措施</w:t>
      </w:r>
      <w:r>
        <w:rPr>
          <w:rFonts w:ascii="宋体" w:hAnsi="宋体" w:cs="仿宋"/>
          <w:bCs/>
          <w:sz w:val="24"/>
        </w:rPr>
        <w:t>等内容。</w:t>
      </w:r>
    </w:p>
    <w:p w14:paraId="6E30C6D1">
      <w:pPr>
        <w:pStyle w:val="37"/>
        <w:spacing w:line="360" w:lineRule="auto"/>
        <w:ind w:left="0" w:leftChars="0" w:firstLine="480" w:firstLineChars="200"/>
        <w:rPr>
          <w:rFonts w:hint="eastAsia" w:ascii="宋体" w:hAnsi="宋体" w:cs="仿宋"/>
          <w:bCs/>
          <w:sz w:val="24"/>
        </w:rPr>
      </w:pPr>
      <w:r>
        <w:rPr>
          <w:rFonts w:hint="eastAsia" w:ascii="宋体" w:hAnsi="宋体" w:cs="仿宋"/>
          <w:bCs/>
          <w:sz w:val="24"/>
        </w:rPr>
        <w:t>6.紧急情况的处理措施及预案：应提供施工中遇到的突发事件及各类突发事件的应对和处理等，如应对突发事件或安全隐患，突发事件处理方案、应急预案等。</w:t>
      </w:r>
    </w:p>
    <w:bookmarkEnd w:id="577"/>
    <w:p w14:paraId="641778AD">
      <w:pPr>
        <w:pStyle w:val="37"/>
        <w:spacing w:line="360" w:lineRule="auto"/>
        <w:ind w:left="0" w:leftChars="0" w:firstLine="0" w:firstLineChars="0"/>
        <w:rPr>
          <w:rFonts w:hint="eastAsia" w:ascii="宋体" w:hAnsi="宋体" w:cs="仿宋"/>
          <w:b/>
          <w:sz w:val="24"/>
        </w:rPr>
      </w:pPr>
      <w:r>
        <w:rPr>
          <w:rFonts w:hint="eastAsia" w:ascii="宋体" w:hAnsi="宋体" w:cs="仿宋"/>
          <w:b/>
          <w:sz w:val="24"/>
        </w:rPr>
        <w:t>五、工程量清单（另册提供）</w:t>
      </w:r>
    </w:p>
    <w:p w14:paraId="737D6667">
      <w:pPr>
        <w:widowControl/>
        <w:spacing w:line="360" w:lineRule="auto"/>
        <w:ind w:firstLine="480" w:firstLineChars="200"/>
        <w:jc w:val="left"/>
        <w:rPr>
          <w:rFonts w:hint="eastAsia" w:ascii="宋体" w:hAnsi="宋体" w:cs="宋体"/>
          <w:sz w:val="24"/>
        </w:rPr>
      </w:pPr>
      <w:r>
        <w:rPr>
          <w:rFonts w:hint="eastAsia" w:ascii="宋体" w:hAnsi="宋体" w:cs="宋体"/>
          <w:sz w:val="24"/>
        </w:rPr>
        <w:t>（一）编制依据</w:t>
      </w:r>
    </w:p>
    <w:p w14:paraId="2CCE6A4A">
      <w:pPr>
        <w:widowControl/>
        <w:spacing w:line="360" w:lineRule="auto"/>
        <w:ind w:firstLine="480" w:firstLineChars="200"/>
        <w:jc w:val="left"/>
        <w:rPr>
          <w:rFonts w:hint="eastAsia" w:ascii="宋体" w:hAnsi="宋体" w:cs="宋体"/>
          <w:sz w:val="24"/>
        </w:rPr>
      </w:pPr>
      <w:r>
        <w:rPr>
          <w:rFonts w:hint="eastAsia" w:ascii="宋体" w:hAnsi="宋体" w:cs="宋体"/>
          <w:sz w:val="24"/>
        </w:rPr>
        <w:t>1.</w:t>
      </w:r>
      <w:r>
        <w:rPr>
          <w:rFonts w:hint="eastAsia" w:ascii="宋体" w:hAnsi="宋体"/>
          <w:sz w:val="24"/>
        </w:rPr>
        <w:t>《建设工程工程量清单计价标准》（GB/T 50500-2024）</w:t>
      </w:r>
      <w:r>
        <w:rPr>
          <w:rFonts w:hint="eastAsia" w:ascii="宋体" w:hAnsi="宋体" w:cs="宋体"/>
          <w:sz w:val="24"/>
        </w:rPr>
        <w:t>及相关工程行业工程量计算标准；</w:t>
      </w:r>
    </w:p>
    <w:p w14:paraId="05D06FE1">
      <w:pPr>
        <w:widowControl/>
        <w:spacing w:line="360" w:lineRule="auto"/>
        <w:ind w:firstLine="480" w:firstLineChars="200"/>
        <w:jc w:val="left"/>
        <w:rPr>
          <w:rFonts w:hint="eastAsia" w:ascii="宋体" w:hAnsi="宋体" w:cs="宋体"/>
          <w:sz w:val="24"/>
        </w:rPr>
      </w:pPr>
      <w:r>
        <w:rPr>
          <w:rFonts w:hint="eastAsia" w:ascii="宋体" w:hAnsi="宋体" w:cs="宋体"/>
          <w:sz w:val="24"/>
        </w:rPr>
        <w:t>2.</w:t>
      </w:r>
      <w:r>
        <w:rPr>
          <w:rFonts w:hint="eastAsia" w:ascii="宋体" w:hAnsi="宋体"/>
          <w:sz w:val="24"/>
        </w:rPr>
        <w:t>《香河园街道重点楼防水改造项目工程施工图》</w:t>
      </w:r>
      <w:r>
        <w:rPr>
          <w:rFonts w:hint="eastAsia" w:ascii="宋体" w:hAnsi="宋体" w:cs="宋体"/>
          <w:sz w:val="24"/>
        </w:rPr>
        <w:t>；</w:t>
      </w:r>
    </w:p>
    <w:p w14:paraId="2860B9CC">
      <w:pPr>
        <w:widowControl/>
        <w:spacing w:line="360" w:lineRule="auto"/>
        <w:ind w:firstLine="480" w:firstLineChars="200"/>
        <w:jc w:val="left"/>
        <w:rPr>
          <w:rFonts w:hint="eastAsia" w:ascii="宋体" w:hAnsi="宋体" w:cs="宋体"/>
          <w:sz w:val="24"/>
        </w:rPr>
      </w:pPr>
      <w:r>
        <w:rPr>
          <w:rFonts w:hint="eastAsia" w:ascii="宋体" w:hAnsi="宋体" w:cs="宋体"/>
          <w:sz w:val="24"/>
        </w:rPr>
        <w:t>3.</w:t>
      </w:r>
      <w:r>
        <w:rPr>
          <w:rFonts w:hint="eastAsia" w:ascii="宋体" w:hAnsi="宋体"/>
          <w:sz w:val="24"/>
        </w:rPr>
        <w:t>与建设工程相关的标准、规范、技术资料、相关图集</w:t>
      </w:r>
      <w:r>
        <w:rPr>
          <w:rFonts w:hint="eastAsia" w:ascii="宋体" w:hAnsi="宋体" w:cs="宋体"/>
          <w:sz w:val="24"/>
        </w:rPr>
        <w:t>；</w:t>
      </w:r>
    </w:p>
    <w:p w14:paraId="21C47D49">
      <w:pPr>
        <w:widowControl/>
        <w:spacing w:line="360" w:lineRule="auto"/>
        <w:ind w:firstLine="480" w:firstLineChars="200"/>
        <w:jc w:val="left"/>
        <w:rPr>
          <w:rFonts w:hint="eastAsia" w:ascii="宋体" w:hAnsi="宋体" w:cs="宋体"/>
          <w:sz w:val="24"/>
        </w:rPr>
      </w:pPr>
      <w:r>
        <w:rPr>
          <w:rFonts w:hint="eastAsia" w:ascii="宋体" w:hAnsi="宋体" w:cs="宋体"/>
          <w:sz w:val="24"/>
        </w:rPr>
        <w:t>4.</w:t>
      </w:r>
      <w:r>
        <w:rPr>
          <w:rFonts w:hint="eastAsia" w:ascii="宋体" w:hAnsi="宋体"/>
          <w:sz w:val="24"/>
        </w:rPr>
        <w:t>国家及北京地区有关工程造价的文件规定</w:t>
      </w:r>
      <w:r>
        <w:rPr>
          <w:rFonts w:hint="eastAsia" w:ascii="宋体" w:hAnsi="宋体" w:cs="宋体"/>
          <w:sz w:val="24"/>
        </w:rPr>
        <w:t>；</w:t>
      </w:r>
    </w:p>
    <w:p w14:paraId="0A071983">
      <w:pPr>
        <w:widowControl/>
        <w:spacing w:line="360" w:lineRule="auto"/>
        <w:ind w:firstLine="480" w:firstLineChars="200"/>
        <w:jc w:val="left"/>
        <w:rPr>
          <w:rFonts w:hint="eastAsia" w:ascii="宋体" w:hAnsi="宋体" w:cs="宋体"/>
          <w:sz w:val="24"/>
        </w:rPr>
      </w:pPr>
      <w:r>
        <w:rPr>
          <w:rFonts w:hint="eastAsia" w:ascii="宋体" w:hAnsi="宋体" w:cs="宋体"/>
          <w:sz w:val="24"/>
        </w:rPr>
        <w:t>5.</w:t>
      </w:r>
      <w:r>
        <w:rPr>
          <w:rFonts w:hint="eastAsia" w:ascii="宋体" w:hAnsi="宋体"/>
          <w:sz w:val="24"/>
        </w:rPr>
        <w:t>工程特点及常规施工方案</w:t>
      </w:r>
      <w:r>
        <w:rPr>
          <w:rFonts w:hint="eastAsia" w:ascii="宋体" w:hAnsi="宋体" w:cs="宋体"/>
          <w:sz w:val="24"/>
        </w:rPr>
        <w:t>；</w:t>
      </w:r>
    </w:p>
    <w:p w14:paraId="4D6A6EB6">
      <w:pPr>
        <w:widowControl/>
        <w:spacing w:line="360" w:lineRule="auto"/>
        <w:ind w:firstLine="480" w:firstLineChars="200"/>
        <w:jc w:val="left"/>
        <w:rPr>
          <w:rFonts w:hint="eastAsia" w:ascii="宋体" w:hAnsi="宋体" w:cs="宋体"/>
          <w:sz w:val="24"/>
        </w:rPr>
      </w:pPr>
      <w:r>
        <w:rPr>
          <w:rFonts w:hint="eastAsia" w:ascii="宋体" w:hAnsi="宋体" w:cs="宋体"/>
          <w:sz w:val="24"/>
        </w:rPr>
        <w:t>6.</w:t>
      </w:r>
      <w:r>
        <w:rPr>
          <w:rFonts w:hint="eastAsia" w:ascii="宋体" w:hAnsi="宋体"/>
          <w:sz w:val="24"/>
        </w:rPr>
        <w:t>其他相关资料。</w:t>
      </w:r>
    </w:p>
    <w:p w14:paraId="072617D5">
      <w:pPr>
        <w:pStyle w:val="37"/>
        <w:spacing w:line="360" w:lineRule="auto"/>
        <w:ind w:left="0" w:leftChars="0" w:firstLine="0" w:firstLineChars="0"/>
        <w:rPr>
          <w:rFonts w:hint="eastAsia" w:ascii="宋体" w:hAnsi="宋体" w:cs="仿宋"/>
          <w:b/>
          <w:sz w:val="24"/>
        </w:rPr>
      </w:pPr>
      <w:r>
        <w:rPr>
          <w:rFonts w:hint="eastAsia" w:ascii="宋体" w:hAnsi="宋体" w:cs="仿宋"/>
          <w:b/>
          <w:sz w:val="24"/>
        </w:rPr>
        <w:t>六、图纸</w:t>
      </w:r>
    </w:p>
    <w:p w14:paraId="5B6D0671">
      <w:pPr>
        <w:pStyle w:val="37"/>
        <w:spacing w:line="360" w:lineRule="auto"/>
        <w:ind w:left="0" w:leftChars="0" w:firstLine="480" w:firstLineChars="200"/>
        <w:rPr>
          <w:rFonts w:hint="eastAsia" w:ascii="宋体" w:hAnsi="宋体" w:cs="仿宋"/>
          <w:bCs/>
          <w:sz w:val="24"/>
        </w:rPr>
      </w:pPr>
      <w:r>
        <w:rPr>
          <w:rFonts w:hint="eastAsia" w:ascii="宋体" w:hAnsi="宋体" w:cs="仿宋"/>
          <w:bCs/>
          <w:sz w:val="24"/>
        </w:rPr>
        <w:t>另册提供。</w:t>
      </w:r>
    </w:p>
    <w:p w14:paraId="009D0282">
      <w:pPr>
        <w:pStyle w:val="37"/>
        <w:spacing w:line="360" w:lineRule="auto"/>
        <w:ind w:left="1143" w:hanging="723"/>
        <w:rPr>
          <w:rFonts w:hint="eastAsia" w:ascii="宋体" w:hAnsi="宋体" w:cs="仿宋"/>
          <w:b/>
          <w:sz w:val="36"/>
          <w:szCs w:val="36"/>
        </w:rPr>
      </w:pPr>
      <w:r>
        <w:rPr>
          <w:rFonts w:hint="eastAsia" w:ascii="宋体" w:hAnsi="宋体" w:cs="仿宋"/>
          <w:b/>
          <w:sz w:val="36"/>
          <w:szCs w:val="36"/>
        </w:rPr>
        <w:br w:type="page"/>
      </w:r>
    </w:p>
    <w:p w14:paraId="2275E675">
      <w:pPr>
        <w:pStyle w:val="37"/>
        <w:spacing w:line="360" w:lineRule="auto"/>
        <w:ind w:left="0" w:leftChars="0" w:firstLine="480" w:firstLineChars="0"/>
        <w:rPr>
          <w:rFonts w:hint="eastAsia" w:ascii="宋体" w:hAnsi="宋体" w:cs="仿宋"/>
          <w:b/>
          <w:sz w:val="36"/>
          <w:szCs w:val="36"/>
        </w:rPr>
      </w:pPr>
    </w:p>
    <w:p w14:paraId="2016D6F2">
      <w:pPr>
        <w:pStyle w:val="37"/>
        <w:spacing w:line="360" w:lineRule="auto"/>
        <w:ind w:left="0" w:leftChars="0" w:firstLine="480" w:firstLineChars="0"/>
        <w:rPr>
          <w:rFonts w:hint="eastAsia" w:ascii="宋体" w:hAnsi="宋体" w:cs="仿宋"/>
          <w:b/>
          <w:sz w:val="36"/>
          <w:szCs w:val="36"/>
        </w:rPr>
      </w:pPr>
    </w:p>
    <w:p w14:paraId="2740C8FC">
      <w:pPr>
        <w:widowControl/>
        <w:spacing w:line="480" w:lineRule="auto"/>
        <w:jc w:val="center"/>
        <w:outlineLvl w:val="0"/>
        <w:rPr>
          <w:rFonts w:hint="eastAsia" w:ascii="宋体" w:hAnsi="宋体" w:cs="仿宋"/>
          <w:b/>
          <w:sz w:val="36"/>
          <w:szCs w:val="36"/>
        </w:rPr>
      </w:pPr>
      <w:r>
        <w:rPr>
          <w:rFonts w:hint="eastAsia" w:ascii="宋体" w:hAnsi="宋体" w:cs="仿宋"/>
          <w:b/>
          <w:sz w:val="36"/>
          <w:szCs w:val="36"/>
        </w:rPr>
        <w:t xml:space="preserve"> </w:t>
      </w:r>
      <w:bookmarkStart w:id="578" w:name="_Toc97371946"/>
      <w:bookmarkStart w:id="579" w:name="_Toc8403"/>
      <w:r>
        <w:rPr>
          <w:rFonts w:hint="eastAsia" w:ascii="宋体" w:hAnsi="宋体" w:cs="仿宋"/>
          <w:b/>
          <w:sz w:val="36"/>
          <w:szCs w:val="36"/>
        </w:rPr>
        <w:t>第五章 合同草案条款</w:t>
      </w:r>
      <w:bookmarkEnd w:id="578"/>
      <w:bookmarkEnd w:id="579"/>
      <w:bookmarkStart w:id="580" w:name="_Toc97371947"/>
      <w:r>
        <w:rPr>
          <w:rFonts w:hint="eastAsia" w:ascii="宋体" w:hAnsi="宋体"/>
          <w:sz w:val="32"/>
          <w:szCs w:val="32"/>
        </w:rPr>
        <w:br w:type="page"/>
      </w:r>
    </w:p>
    <w:p w14:paraId="7B6B3D2E">
      <w:pPr>
        <w:adjustRightInd w:val="0"/>
        <w:snapToGrid w:val="0"/>
        <w:spacing w:line="360" w:lineRule="auto"/>
        <w:jc w:val="left"/>
        <w:rPr>
          <w:rFonts w:hint="eastAsia" w:asciiTheme="minorEastAsia" w:hAnsiTheme="minorEastAsia" w:eastAsiaTheme="minorEastAsia"/>
        </w:rPr>
      </w:pPr>
      <w:bookmarkStart w:id="581" w:name="_Toc9094"/>
    </w:p>
    <w:p w14:paraId="5C16F6CC">
      <w:pPr>
        <w:adjustRightInd w:val="0"/>
        <w:snapToGrid w:val="0"/>
        <w:spacing w:line="360" w:lineRule="auto"/>
        <w:ind w:firstLine="420" w:firstLineChars="200"/>
        <w:jc w:val="left"/>
        <w:rPr>
          <w:rFonts w:hint="eastAsia" w:asciiTheme="minorEastAsia" w:hAnsiTheme="minorEastAsia" w:eastAsiaTheme="minorEastAsia"/>
        </w:rPr>
      </w:pPr>
    </w:p>
    <w:p w14:paraId="7806D3B0">
      <w:pPr>
        <w:adjustRightInd w:val="0"/>
        <w:snapToGrid w:val="0"/>
        <w:spacing w:line="360" w:lineRule="auto"/>
        <w:rPr>
          <w:rFonts w:hint="eastAsia" w:ascii="宋体" w:hAnsi="宋体"/>
          <w:sz w:val="30"/>
          <w:szCs w:val="30"/>
        </w:rPr>
      </w:pPr>
      <w:r>
        <w:rPr>
          <w:rFonts w:hint="eastAsia" w:ascii="宋体" w:hAnsi="宋体"/>
          <w:sz w:val="30"/>
          <w:szCs w:val="30"/>
        </w:rPr>
        <w:t xml:space="preserve">合同编号：  </w:t>
      </w:r>
    </w:p>
    <w:p w14:paraId="38F3F023">
      <w:pPr>
        <w:adjustRightInd w:val="0"/>
        <w:snapToGrid w:val="0"/>
        <w:spacing w:line="360" w:lineRule="auto"/>
        <w:rPr>
          <w:rFonts w:hint="eastAsia" w:ascii="宋体" w:hAnsi="宋体"/>
          <w:sz w:val="30"/>
          <w:szCs w:val="30"/>
        </w:rPr>
      </w:pPr>
    </w:p>
    <w:p w14:paraId="01504975">
      <w:pPr>
        <w:adjustRightInd w:val="0"/>
        <w:snapToGrid w:val="0"/>
        <w:spacing w:line="360" w:lineRule="auto"/>
        <w:rPr>
          <w:rFonts w:hint="eastAsia" w:ascii="宋体" w:hAnsi="宋体"/>
          <w:b/>
          <w:bCs/>
          <w:sz w:val="84"/>
          <w:szCs w:val="84"/>
        </w:rPr>
      </w:pPr>
    </w:p>
    <w:p w14:paraId="001EBFB6">
      <w:pPr>
        <w:adjustRightInd w:val="0"/>
        <w:snapToGrid w:val="0"/>
        <w:spacing w:line="360" w:lineRule="auto"/>
        <w:jc w:val="center"/>
        <w:rPr>
          <w:rFonts w:hint="eastAsia" w:ascii="宋体" w:hAnsi="宋体"/>
          <w:b/>
          <w:bCs/>
          <w:sz w:val="84"/>
          <w:szCs w:val="84"/>
        </w:rPr>
      </w:pPr>
      <w:r>
        <w:rPr>
          <w:rFonts w:hint="eastAsia" w:ascii="宋体" w:hAnsi="宋体"/>
          <w:b/>
          <w:bCs/>
          <w:sz w:val="84"/>
          <w:szCs w:val="84"/>
        </w:rPr>
        <w:t>施工合同</w:t>
      </w:r>
    </w:p>
    <w:p w14:paraId="36AD510E">
      <w:pPr>
        <w:adjustRightInd w:val="0"/>
        <w:snapToGrid w:val="0"/>
        <w:spacing w:line="360" w:lineRule="auto"/>
        <w:rPr>
          <w:rFonts w:hint="eastAsia" w:ascii="宋体" w:hAnsi="宋体"/>
          <w:b/>
          <w:bCs/>
          <w:sz w:val="84"/>
          <w:szCs w:val="84"/>
        </w:rPr>
      </w:pPr>
    </w:p>
    <w:p w14:paraId="320B644F">
      <w:pPr>
        <w:adjustRightInd w:val="0"/>
        <w:snapToGrid w:val="0"/>
        <w:spacing w:line="360" w:lineRule="auto"/>
        <w:rPr>
          <w:rFonts w:hint="eastAsia" w:ascii="宋体" w:hAnsi="宋体"/>
          <w:b/>
          <w:bCs/>
          <w:sz w:val="32"/>
          <w:szCs w:val="32"/>
        </w:rPr>
      </w:pPr>
    </w:p>
    <w:p w14:paraId="7A13ED15">
      <w:pPr>
        <w:adjustRightInd w:val="0"/>
        <w:snapToGrid w:val="0"/>
        <w:spacing w:line="360" w:lineRule="auto"/>
        <w:rPr>
          <w:rFonts w:hint="eastAsia" w:ascii="宋体" w:hAnsi="宋体"/>
          <w:b/>
          <w:bCs/>
          <w:sz w:val="32"/>
          <w:szCs w:val="32"/>
        </w:rPr>
      </w:pPr>
    </w:p>
    <w:p w14:paraId="697B3C48">
      <w:pPr>
        <w:adjustRightInd w:val="0"/>
        <w:snapToGrid w:val="0"/>
        <w:spacing w:line="360" w:lineRule="auto"/>
        <w:rPr>
          <w:rFonts w:hint="eastAsia" w:ascii="宋体" w:hAnsi="宋体"/>
          <w:b/>
          <w:bCs/>
          <w:sz w:val="32"/>
          <w:szCs w:val="32"/>
        </w:rPr>
      </w:pPr>
    </w:p>
    <w:p w14:paraId="37C48786">
      <w:pPr>
        <w:adjustRightInd w:val="0"/>
        <w:snapToGrid w:val="0"/>
        <w:spacing w:line="360" w:lineRule="auto"/>
        <w:rPr>
          <w:rFonts w:hint="eastAsia" w:ascii="宋体" w:hAnsi="宋体"/>
          <w:b/>
          <w:bCs/>
          <w:sz w:val="32"/>
          <w:szCs w:val="32"/>
        </w:rPr>
      </w:pPr>
    </w:p>
    <w:p w14:paraId="098FF2B4">
      <w:pPr>
        <w:adjustRightInd w:val="0"/>
        <w:snapToGrid w:val="0"/>
        <w:spacing w:line="360" w:lineRule="auto"/>
        <w:ind w:firstLine="300" w:firstLineChars="100"/>
        <w:rPr>
          <w:rFonts w:hint="eastAsia" w:ascii="宋体" w:hAnsi="宋体"/>
          <w:b/>
          <w:bCs/>
          <w:szCs w:val="21"/>
        </w:rPr>
      </w:pPr>
      <w:r>
        <w:rPr>
          <w:rFonts w:hint="eastAsia" w:ascii="宋体" w:hAnsi="宋体"/>
          <w:sz w:val="30"/>
          <w:szCs w:val="30"/>
        </w:rPr>
        <w:t>发包人（全称）：</w:t>
      </w:r>
      <w:r>
        <w:rPr>
          <w:rFonts w:hint="eastAsia" w:ascii="宋体" w:hAnsi="宋体"/>
          <w:sz w:val="30"/>
          <w:szCs w:val="30"/>
          <w:u w:val="single"/>
        </w:rPr>
        <w:t>北京市朝阳区人民政府香河园街道办事处</w:t>
      </w:r>
    </w:p>
    <w:p w14:paraId="725EA0C1">
      <w:pPr>
        <w:adjustRightInd w:val="0"/>
        <w:snapToGrid w:val="0"/>
        <w:spacing w:line="360" w:lineRule="auto"/>
        <w:rPr>
          <w:rFonts w:hint="eastAsia" w:ascii="宋体" w:hAnsi="宋体"/>
          <w:b/>
          <w:bCs/>
          <w:sz w:val="30"/>
          <w:szCs w:val="30"/>
        </w:rPr>
      </w:pPr>
    </w:p>
    <w:p w14:paraId="334A0340">
      <w:pPr>
        <w:adjustRightInd w:val="0"/>
        <w:snapToGrid w:val="0"/>
        <w:spacing w:line="360" w:lineRule="auto"/>
        <w:ind w:firstLine="300" w:firstLineChars="100"/>
        <w:rPr>
          <w:rFonts w:hint="eastAsia" w:ascii="宋体" w:hAnsi="宋体"/>
          <w:sz w:val="30"/>
          <w:szCs w:val="30"/>
          <w:u w:val="single"/>
        </w:rPr>
      </w:pPr>
      <w:r>
        <w:rPr>
          <w:rFonts w:hint="eastAsia" w:ascii="宋体" w:hAnsi="宋体"/>
          <w:sz w:val="30"/>
          <w:szCs w:val="30"/>
        </w:rPr>
        <w:t>承包人（全称）：</w:t>
      </w:r>
      <w:r>
        <w:rPr>
          <w:rFonts w:hint="eastAsia" w:ascii="宋体" w:hAnsi="宋体"/>
          <w:sz w:val="30"/>
          <w:szCs w:val="30"/>
          <w:u w:val="single"/>
        </w:rPr>
        <w:t xml:space="preserve">                                   </w:t>
      </w:r>
    </w:p>
    <w:p w14:paraId="396B80E6">
      <w:pPr>
        <w:adjustRightInd w:val="0"/>
        <w:snapToGrid w:val="0"/>
        <w:spacing w:line="360" w:lineRule="auto"/>
        <w:rPr>
          <w:rFonts w:hint="eastAsia" w:ascii="宋体" w:hAnsi="宋体"/>
          <w:b/>
          <w:bCs/>
        </w:rPr>
      </w:pPr>
    </w:p>
    <w:p w14:paraId="6C3CB871">
      <w:pPr>
        <w:adjustRightInd w:val="0"/>
        <w:snapToGrid w:val="0"/>
        <w:spacing w:line="360" w:lineRule="auto"/>
        <w:rPr>
          <w:rFonts w:hint="eastAsia" w:ascii="宋体" w:hAnsi="宋体"/>
          <w:b/>
          <w:bCs/>
        </w:rPr>
      </w:pPr>
    </w:p>
    <w:p w14:paraId="707CAC6D">
      <w:pPr>
        <w:adjustRightInd w:val="0"/>
        <w:snapToGrid w:val="0"/>
        <w:spacing w:line="360" w:lineRule="auto"/>
        <w:jc w:val="center"/>
        <w:rPr>
          <w:rFonts w:hint="eastAsia" w:ascii="宋体" w:hAnsi="宋体" w:cs="宋体"/>
          <w:b/>
          <w:bCs/>
          <w:sz w:val="32"/>
          <w:szCs w:val="32"/>
        </w:rPr>
      </w:pPr>
      <w:r>
        <w:rPr>
          <w:rFonts w:hint="eastAsia" w:ascii="宋体" w:hAnsi="宋体"/>
          <w:sz w:val="32"/>
          <w:szCs w:val="32"/>
        </w:rPr>
        <w:t xml:space="preserve"> 年   月   日</w:t>
      </w:r>
      <w:r>
        <w:rPr>
          <w:rFonts w:ascii="宋体" w:hAnsi="宋体" w:cs="宋体"/>
          <w:b/>
          <w:bCs/>
          <w:sz w:val="32"/>
          <w:szCs w:val="32"/>
        </w:rPr>
        <w:br w:type="page"/>
      </w:r>
    </w:p>
    <w:p w14:paraId="79EFC8A8">
      <w:pPr>
        <w:pStyle w:val="3"/>
        <w:ind w:left="647"/>
        <w:rPr>
          <w:rFonts w:hint="eastAsia" w:hAnsi="宋体"/>
          <w:sz w:val="28"/>
          <w:szCs w:val="28"/>
        </w:rPr>
      </w:pPr>
      <w:r>
        <w:rPr>
          <w:rFonts w:hint="eastAsia" w:hAnsi="宋体"/>
          <w:sz w:val="28"/>
          <w:szCs w:val="28"/>
        </w:rPr>
        <w:t>第一部分</w:t>
      </w:r>
      <w:r>
        <w:rPr>
          <w:rFonts w:hAnsi="宋体"/>
          <w:sz w:val="28"/>
          <w:szCs w:val="28"/>
        </w:rPr>
        <mc:AlternateContent>
          <mc:Choice Requires="wpg">
            <w:drawing>
              <wp:anchor distT="0" distB="0" distL="114300" distR="114300" simplePos="0" relativeHeight="251680768" behindDoc="0" locked="0" layoutInCell="1" allowOverlap="1">
                <wp:simplePos x="0" y="0"/>
                <wp:positionH relativeFrom="page">
                  <wp:posOffset>542925</wp:posOffset>
                </wp:positionH>
                <wp:positionV relativeFrom="page">
                  <wp:posOffset>895350</wp:posOffset>
                </wp:positionV>
                <wp:extent cx="1270" cy="8905875"/>
                <wp:effectExtent l="0" t="0" r="0" b="0"/>
                <wp:wrapNone/>
                <wp:docPr id="5" name="组合 5"/>
                <wp:cNvGraphicFramePr/>
                <a:graphic xmlns:a="http://schemas.openxmlformats.org/drawingml/2006/main">
                  <a:graphicData uri="http://schemas.microsoft.com/office/word/2010/wordprocessingGroup">
                    <wpg:wgp>
                      <wpg:cNvGrpSpPr/>
                      <wpg:grpSpPr>
                        <a:xfrm>
                          <a:off x="0" y="0"/>
                          <a:ext cx="1270" cy="8905875"/>
                          <a:chOff x="855" y="1410"/>
                          <a:chExt cx="2" cy="14025"/>
                        </a:xfrm>
                      </wpg:grpSpPr>
                      <wps:wsp>
                        <wps:cNvPr id="4" name="任意多边形 4"/>
                        <wps:cNvSpPr/>
                        <wps:spPr>
                          <a:xfrm>
                            <a:off x="855" y="1410"/>
                            <a:ext cx="2" cy="14025"/>
                          </a:xfrm>
                          <a:custGeom>
                            <a:avLst/>
                            <a:gdLst/>
                            <a:ahLst/>
                            <a:cxnLst/>
                            <a:rect l="0" t="0" r="0" b="0"/>
                            <a:pathLst>
                              <a:path h="14025">
                                <a:moveTo>
                                  <a:pt x="0" y="0"/>
                                </a:moveTo>
                                <a:lnTo>
                                  <a:pt x="0" y="14025"/>
                                </a:lnTo>
                                <a:lnTo>
                                  <a:pt x="0" y="0"/>
                                </a:lnTo>
                                <a:close/>
                              </a:path>
                            </a:pathLst>
                          </a:custGeom>
                          <a:solidFill>
                            <a:srgbClr val="000000"/>
                          </a:solidFill>
                          <a:ln>
                            <a:noFill/>
                          </a:ln>
                        </wps:spPr>
                        <wps:bodyPr upright="1"/>
                      </wps:wsp>
                    </wpg:wgp>
                  </a:graphicData>
                </a:graphic>
              </wp:anchor>
            </w:drawing>
          </mc:Choice>
          <mc:Fallback>
            <w:pict>
              <v:group id="_x0000_s1026" o:spid="_x0000_s1026" o:spt="203" style="position:absolute;left:0pt;margin-left:42.75pt;margin-top:70.5pt;height:701.25pt;width:0.1pt;mso-position-horizontal-relative:page;mso-position-vertical-relative:page;z-index:251680768;mso-width-relative:page;mso-height-relative:page;" coordorigin="855,1410" coordsize="2,14025" o:gfxdata="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">
                <o:lock v:ext="edit" aspectratio="f"/>
                <v:shape id="_x0000_s1026" o:spid="_x0000_s1026" o:spt="100" style="position:absolute;left:855;top:1410;height:14025;width:2;" fillcolor="#000000" filled="t" stroked="f" coordsize="1,14025" o:gfxdata="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zYbJ8vQAA&#10;ANoAAAAPAAAAAAAAAAEAIAAAACIAAABkcnMvZG93bnJldi54bWxQSwECFAAUAAAACACHTuJAMy8F&#10;njsAAAA5AAAAEAAAAAAAAAABACAAAAAMAQAAZHJzL3NoYXBleG1sLnhtbFBLBQYAAAAABgAGAFsB&#10;AAC2AwAAAAA=&#10;" path="m0,0l0,14025,0,0xe">
                  <v:fill on="t" focussize="0,0"/>
                  <v:stroke on="f"/>
                  <v:imagedata o:title=""/>
                  <o:lock v:ext="edit" aspectratio="f"/>
                </v:shape>
              </v:group>
            </w:pict>
          </mc:Fallback>
        </mc:AlternateContent>
      </w:r>
      <w:r>
        <w:rPr>
          <w:rFonts w:hint="eastAsia" w:hAnsi="宋体"/>
          <w:sz w:val="28"/>
          <w:szCs w:val="28"/>
        </w:rPr>
        <w:t xml:space="preserve">  </w:t>
      </w:r>
      <w:r>
        <w:rPr>
          <w:rFonts w:hAnsi="宋体"/>
          <w:sz w:val="28"/>
          <w:szCs w:val="28"/>
        </w:rPr>
        <w:t>合同协议书</w:t>
      </w:r>
    </w:p>
    <w:p w14:paraId="7EF1C6FE">
      <w:pPr>
        <w:adjustRightInd w:val="0"/>
        <w:spacing w:before="13"/>
        <w:rPr>
          <w:rFonts w:hint="eastAsia" w:ascii="宋体" w:hAnsi="宋体" w:cs="Arial Unicode MS"/>
        </w:rPr>
      </w:pPr>
    </w:p>
    <w:p w14:paraId="1C6C091E">
      <w:pPr>
        <w:adjustRightInd w:val="0"/>
        <w:spacing w:before="10"/>
        <w:rPr>
          <w:rFonts w:hint="eastAsia" w:ascii="宋体" w:hAnsi="宋体" w:cs="Arial Unicode MS"/>
          <w:sz w:val="17"/>
          <w:szCs w:val="17"/>
        </w:rPr>
      </w:pPr>
    </w:p>
    <w:p w14:paraId="77A68DB3">
      <w:pPr>
        <w:pStyle w:val="34"/>
        <w:tabs>
          <w:tab w:val="left" w:pos="3056"/>
        </w:tabs>
        <w:wordWrap w:val="0"/>
        <w:adjustRightInd w:val="0"/>
        <w:spacing w:line="371" w:lineRule="exact"/>
        <w:jc w:val="right"/>
        <w:rPr>
          <w:rFonts w:hint="eastAsia"/>
        </w:rPr>
      </w:pPr>
      <w:r>
        <w:t>编号：</w:t>
      </w:r>
      <w:r>
        <w:rPr>
          <w:rFonts w:hint="eastAsia"/>
          <w:u w:val="single" w:color="000000"/>
        </w:rPr>
        <w:t xml:space="preserve">        </w:t>
      </w:r>
    </w:p>
    <w:p w14:paraId="4B970902">
      <w:pPr>
        <w:adjustRightInd w:val="0"/>
        <w:spacing w:before="9"/>
        <w:rPr>
          <w:rFonts w:hint="eastAsia" w:ascii="宋体" w:hAnsi="宋体"/>
          <w:sz w:val="24"/>
        </w:rPr>
      </w:pPr>
    </w:p>
    <w:p w14:paraId="7C416AAA">
      <w:pPr>
        <w:adjustRightInd w:val="0"/>
        <w:snapToGrid w:val="0"/>
        <w:spacing w:line="360" w:lineRule="auto"/>
        <w:ind w:firstLine="630" w:firstLineChars="300"/>
        <w:rPr>
          <w:rFonts w:hint="eastAsia" w:ascii="宋体" w:hAnsi="宋体"/>
          <w:szCs w:val="21"/>
        </w:rPr>
      </w:pPr>
      <w:r>
        <w:rPr>
          <w:rFonts w:ascii="宋体" w:hAnsi="宋体" w:cs="Arial Unicode MS"/>
          <w:szCs w:val="21"/>
        </w:rPr>
        <w:t>发包人（全称）：</w:t>
      </w:r>
      <w:r>
        <w:rPr>
          <w:rFonts w:ascii="宋体" w:hAnsi="宋体"/>
          <w:szCs w:val="21"/>
          <w:u w:val="single" w:color="000000"/>
        </w:rPr>
        <w:t xml:space="preserve"> </w:t>
      </w:r>
      <w:r>
        <w:rPr>
          <w:rFonts w:hint="eastAsia" w:ascii="宋体" w:hAnsi="宋体"/>
          <w:szCs w:val="21"/>
          <w:u w:val="single"/>
        </w:rPr>
        <w:t>北京市朝阳区人民政府香河园街道办事处</w:t>
      </w:r>
    </w:p>
    <w:p w14:paraId="74A5ECE6">
      <w:pPr>
        <w:tabs>
          <w:tab w:val="left" w:pos="8428"/>
          <w:tab w:val="left" w:pos="8803"/>
        </w:tabs>
        <w:adjustRightInd w:val="0"/>
        <w:spacing w:before="19" w:line="360" w:lineRule="exact"/>
        <w:ind w:left="655"/>
        <w:rPr>
          <w:rFonts w:hint="eastAsia" w:ascii="宋体" w:hAnsi="宋体"/>
          <w:szCs w:val="21"/>
        </w:rPr>
      </w:pPr>
      <w:r>
        <w:rPr>
          <w:rFonts w:ascii="宋体" w:hAnsi="宋体" w:cs="Arial Unicode MS"/>
          <w:szCs w:val="21"/>
        </w:rPr>
        <w:t>法定代表人：</w:t>
      </w:r>
      <w:r>
        <w:rPr>
          <w:rFonts w:hint="eastAsia" w:ascii="宋体" w:hAnsi="宋体" w:cs="Arial Unicode MS"/>
          <w:szCs w:val="21"/>
        </w:rPr>
        <w:t xml:space="preserve"> </w:t>
      </w:r>
      <w:r>
        <w:rPr>
          <w:rFonts w:ascii="宋体" w:hAnsi="宋体"/>
          <w:szCs w:val="21"/>
          <w:u w:val="single" w:color="000000"/>
        </w:rPr>
        <w:tab/>
      </w:r>
      <w:r>
        <w:rPr>
          <w:rFonts w:ascii="宋体" w:hAnsi="宋体"/>
          <w:szCs w:val="21"/>
        </w:rPr>
        <w:t xml:space="preserve"> </w:t>
      </w:r>
    </w:p>
    <w:p w14:paraId="1C7E1830">
      <w:pPr>
        <w:tabs>
          <w:tab w:val="left" w:pos="8430"/>
        </w:tabs>
        <w:adjustRightInd w:val="0"/>
        <w:spacing w:before="19" w:line="360" w:lineRule="exact"/>
        <w:ind w:left="655"/>
        <w:rPr>
          <w:rFonts w:hint="eastAsia" w:ascii="宋体" w:hAnsi="宋体"/>
          <w:szCs w:val="21"/>
        </w:rPr>
      </w:pPr>
      <w:bookmarkStart w:id="582" w:name="OLE_LINK91"/>
      <w:bookmarkStart w:id="583" w:name="OLE_LINK90"/>
      <w:r>
        <w:rPr>
          <w:rFonts w:ascii="宋体" w:hAnsi="宋体" w:cs="Arial Unicode MS"/>
          <w:szCs w:val="21"/>
        </w:rPr>
        <w:t>法定注册地址：</w:t>
      </w:r>
      <w:r>
        <w:rPr>
          <w:rFonts w:hint="eastAsia" w:ascii="宋体" w:hAnsi="宋体" w:cs="Arial Unicode MS"/>
          <w:szCs w:val="21"/>
          <w:u w:val="single"/>
        </w:rPr>
        <w:t>北京市朝阳区西坝河南里26号楼</w:t>
      </w:r>
      <w:r>
        <w:rPr>
          <w:rFonts w:ascii="宋体" w:hAnsi="宋体"/>
          <w:szCs w:val="21"/>
          <w:u w:val="single" w:color="000000"/>
        </w:rPr>
        <w:tab/>
      </w:r>
    </w:p>
    <w:p w14:paraId="2C729AD1">
      <w:pPr>
        <w:tabs>
          <w:tab w:val="left" w:pos="8430"/>
          <w:tab w:val="left" w:pos="8803"/>
        </w:tabs>
        <w:adjustRightInd w:val="0"/>
        <w:spacing w:before="19" w:line="360" w:lineRule="exact"/>
        <w:ind w:left="655"/>
        <w:rPr>
          <w:rFonts w:hint="eastAsia" w:ascii="宋体" w:hAnsi="宋体"/>
          <w:szCs w:val="21"/>
        </w:rPr>
      </w:pPr>
      <w:r>
        <w:rPr>
          <w:rFonts w:ascii="宋体" w:hAnsi="宋体" w:cs="Arial Unicode MS"/>
          <w:szCs w:val="21"/>
        </w:rPr>
        <w:t>承包人（全称）：</w:t>
      </w:r>
      <w:r>
        <w:rPr>
          <w:rFonts w:hint="eastAsia" w:ascii="宋体" w:hAnsi="宋体" w:cs="Arial Unicode MS"/>
          <w:szCs w:val="21"/>
          <w:u w:val="single"/>
        </w:rPr>
        <w:t xml:space="preserve">  </w:t>
      </w:r>
      <w:r>
        <w:rPr>
          <w:rFonts w:hint="eastAsia" w:ascii="宋体" w:hAnsi="宋体" w:cs="Arial Unicode MS"/>
          <w:szCs w:val="21"/>
          <w:u w:val="single"/>
        </w:rPr>
        <w:tab/>
      </w:r>
    </w:p>
    <w:p w14:paraId="43AA124D">
      <w:pPr>
        <w:tabs>
          <w:tab w:val="left" w:pos="8428"/>
          <w:tab w:val="left" w:pos="8803"/>
        </w:tabs>
        <w:adjustRightInd w:val="0"/>
        <w:spacing w:before="19" w:line="360" w:lineRule="exact"/>
        <w:ind w:left="655"/>
        <w:rPr>
          <w:rFonts w:hint="eastAsia" w:ascii="宋体" w:hAnsi="宋体"/>
          <w:szCs w:val="21"/>
        </w:rPr>
      </w:pPr>
      <w:r>
        <w:rPr>
          <w:rFonts w:ascii="宋体" w:hAnsi="宋体" w:cs="Arial Unicode MS"/>
          <w:szCs w:val="21"/>
        </w:rPr>
        <w:t>法定代表人：</w:t>
      </w:r>
      <w:r>
        <w:rPr>
          <w:rFonts w:hint="eastAsia" w:ascii="宋体" w:hAnsi="宋体" w:cs="Arial Unicode MS"/>
          <w:szCs w:val="21"/>
          <w:u w:val="single"/>
        </w:rPr>
        <w:t xml:space="preserve">   </w:t>
      </w:r>
      <w:r>
        <w:rPr>
          <w:rFonts w:ascii="宋体" w:hAnsi="宋体"/>
          <w:szCs w:val="21"/>
          <w:u w:val="single" w:color="000000"/>
        </w:rPr>
        <w:tab/>
      </w:r>
      <w:r>
        <w:rPr>
          <w:rFonts w:ascii="宋体" w:hAnsi="宋体"/>
          <w:szCs w:val="21"/>
        </w:rPr>
        <w:t xml:space="preserve"> </w:t>
      </w:r>
    </w:p>
    <w:p w14:paraId="6E8CEDA9">
      <w:pPr>
        <w:tabs>
          <w:tab w:val="left" w:pos="8430"/>
          <w:tab w:val="left" w:pos="8803"/>
        </w:tabs>
        <w:adjustRightInd w:val="0"/>
        <w:spacing w:before="19" w:line="360" w:lineRule="exact"/>
        <w:ind w:firstLine="630" w:firstLineChars="300"/>
        <w:jc w:val="left"/>
        <w:rPr>
          <w:rFonts w:hint="eastAsia" w:ascii="宋体" w:hAnsi="宋体" w:cs="Arial Unicode MS"/>
          <w:szCs w:val="21"/>
          <w:u w:val="single"/>
        </w:rPr>
      </w:pPr>
      <w:r>
        <w:rPr>
          <w:rFonts w:ascii="宋体" w:hAnsi="宋体" w:cs="Arial Unicode MS"/>
          <w:szCs w:val="21"/>
        </w:rPr>
        <w:t xml:space="preserve">法定注册地址： </w:t>
      </w:r>
      <w:r>
        <w:rPr>
          <w:rFonts w:hint="eastAsia" w:ascii="宋体" w:hAnsi="宋体" w:cs="Arial Unicode MS"/>
          <w:szCs w:val="21"/>
          <w:u w:val="single"/>
        </w:rPr>
        <w:t xml:space="preserve">                                                           </w:t>
      </w:r>
    </w:p>
    <w:p w14:paraId="2F86567F">
      <w:pPr>
        <w:tabs>
          <w:tab w:val="left" w:pos="8430"/>
          <w:tab w:val="left" w:pos="8803"/>
        </w:tabs>
        <w:adjustRightInd w:val="0"/>
        <w:spacing w:before="19" w:line="360" w:lineRule="exact"/>
        <w:ind w:left="655"/>
        <w:rPr>
          <w:rFonts w:hint="eastAsia" w:ascii="宋体" w:hAnsi="宋体" w:cs="Arial Unicode MS"/>
          <w:szCs w:val="21"/>
          <w:u w:val="single"/>
        </w:rPr>
      </w:pPr>
    </w:p>
    <w:bookmarkEnd w:id="582"/>
    <w:bookmarkEnd w:id="583"/>
    <w:p w14:paraId="4FB10168">
      <w:pPr>
        <w:tabs>
          <w:tab w:val="left" w:pos="5874"/>
        </w:tabs>
        <w:adjustRightInd w:val="0"/>
        <w:spacing w:before="130" w:line="360" w:lineRule="exact"/>
        <w:ind w:left="655" w:firstLine="420"/>
        <w:rPr>
          <w:rFonts w:hint="eastAsia" w:ascii="宋体" w:hAnsi="宋体" w:cs="Arial Unicode MS"/>
          <w:szCs w:val="21"/>
        </w:rPr>
      </w:pPr>
      <w:r>
        <w:rPr>
          <w:rFonts w:ascii="宋体" w:hAnsi="宋体" w:cs="Arial Unicode MS"/>
          <w:szCs w:val="21"/>
        </w:rPr>
        <w:t>发包人为建设</w:t>
      </w:r>
      <w:r>
        <w:rPr>
          <w:rFonts w:hint="eastAsia" w:ascii="宋体" w:hAnsi="宋体"/>
          <w:szCs w:val="21"/>
          <w:u w:val="single" w:color="000000"/>
        </w:rPr>
        <w:t>2026年香河园街道重点楼防水改造项目工程</w:t>
      </w:r>
      <w:r>
        <w:rPr>
          <w:rFonts w:ascii="宋体" w:hAnsi="宋体" w:cs="Arial Unicode MS"/>
          <w:szCs w:val="21"/>
        </w:rPr>
        <w:t>（以下简称“本工程”），已接受承包人提出的 承担本工程的施工、竣工、交付并维修其任何缺陷的投标。依照《中华人民共和国招标投标法》、《中华人民共和国民法典》、《中华人民共和国建筑法》及其他有关法律、行政法规，遵循平等、自愿、公平和诚实信用的原则，双方共同达成并订立如下协议。</w:t>
      </w:r>
    </w:p>
    <w:p w14:paraId="548FC042">
      <w:pPr>
        <w:adjustRightInd w:val="0"/>
        <w:spacing w:line="341" w:lineRule="exact"/>
        <w:ind w:left="1075"/>
        <w:rPr>
          <w:rFonts w:hint="eastAsia" w:ascii="宋体" w:hAnsi="宋体" w:cs="Arial Unicode MS"/>
          <w:szCs w:val="21"/>
        </w:rPr>
      </w:pPr>
      <w:r>
        <w:rPr>
          <w:rFonts w:ascii="宋体" w:hAnsi="宋体" w:cs="Arial Unicode MS"/>
          <w:szCs w:val="21"/>
        </w:rPr>
        <w:t>一、工程概况</w:t>
      </w:r>
    </w:p>
    <w:p w14:paraId="29CF76C6">
      <w:pPr>
        <w:tabs>
          <w:tab w:val="left" w:pos="8998"/>
          <w:tab w:val="left" w:pos="9103"/>
          <w:tab w:val="left" w:pos="9191"/>
        </w:tabs>
        <w:adjustRightInd w:val="0"/>
        <w:spacing w:before="19" w:line="360" w:lineRule="exact"/>
        <w:ind w:left="1075"/>
        <w:rPr>
          <w:rFonts w:hint="eastAsia" w:ascii="宋体" w:hAnsi="宋体"/>
          <w:szCs w:val="21"/>
        </w:rPr>
      </w:pPr>
      <w:r>
        <w:rPr>
          <w:rFonts w:ascii="宋体" w:hAnsi="宋体" w:cs="Arial Unicode MS"/>
          <w:szCs w:val="21"/>
        </w:rPr>
        <w:t>工程名称：</w:t>
      </w:r>
      <w:r>
        <w:rPr>
          <w:rFonts w:hint="eastAsia" w:ascii="宋体" w:hAnsi="宋体"/>
          <w:szCs w:val="21"/>
          <w:u w:val="single" w:color="000000"/>
        </w:rPr>
        <w:t>2026年香河园街道重点楼防水改造项目工程</w:t>
      </w:r>
    </w:p>
    <w:p w14:paraId="170C58C2">
      <w:pPr>
        <w:tabs>
          <w:tab w:val="left" w:pos="8998"/>
          <w:tab w:val="left" w:pos="9103"/>
          <w:tab w:val="left" w:pos="9191"/>
        </w:tabs>
        <w:adjustRightInd w:val="0"/>
        <w:spacing w:before="19" w:line="360" w:lineRule="exact"/>
        <w:ind w:left="1075"/>
        <w:rPr>
          <w:rFonts w:hint="eastAsia" w:ascii="宋体" w:hAnsi="宋体"/>
          <w:szCs w:val="21"/>
          <w:u w:val="single"/>
        </w:rPr>
      </w:pPr>
      <w:r>
        <w:rPr>
          <w:rFonts w:ascii="宋体" w:hAnsi="宋体" w:cs="Arial Unicode MS"/>
          <w:szCs w:val="21"/>
        </w:rPr>
        <w:t>工程地点：</w:t>
      </w:r>
      <w:r>
        <w:rPr>
          <w:rFonts w:hint="eastAsia" w:ascii="宋体" w:hAnsi="宋体" w:cs="Arial Unicode MS"/>
          <w:szCs w:val="21"/>
          <w:u w:val="single"/>
        </w:rPr>
        <w:t xml:space="preserve"> 北京市朝阳区  </w:t>
      </w:r>
    </w:p>
    <w:p w14:paraId="0BA66802">
      <w:pPr>
        <w:tabs>
          <w:tab w:val="left" w:pos="8998"/>
          <w:tab w:val="left" w:pos="9103"/>
          <w:tab w:val="left" w:pos="9191"/>
        </w:tabs>
        <w:adjustRightInd w:val="0"/>
        <w:spacing w:before="19" w:line="360" w:lineRule="exact"/>
        <w:ind w:left="1075"/>
        <w:rPr>
          <w:rFonts w:ascii="宋体" w:hAnsi="宋体"/>
          <w:szCs w:val="21"/>
          <w:u w:val="single" w:color="000000"/>
        </w:rPr>
      </w:pPr>
      <w:r>
        <w:rPr>
          <w:rFonts w:ascii="宋体" w:hAnsi="宋体" w:cs="Arial Unicode MS"/>
          <w:szCs w:val="21"/>
        </w:rPr>
        <w:t>工程内容：</w:t>
      </w:r>
      <w:r>
        <w:rPr>
          <w:rFonts w:hint="eastAsia" w:ascii="宋体" w:hAnsi="宋体"/>
          <w:szCs w:val="21"/>
          <w:u w:val="single" w:color="000000"/>
        </w:rPr>
        <w:t xml:space="preserve"> 2026年香河园街道重点楼防水改造项目工程，包括屋面防水新做6154.86平方米，屋面侧墙防水新做972.80平方米，金属门安装2.88平方米，加高上人孔50个等，具体内容详见工程量清单及图纸。</w:t>
      </w:r>
    </w:p>
    <w:p w14:paraId="4FB5C140">
      <w:pPr>
        <w:tabs>
          <w:tab w:val="left" w:pos="8998"/>
          <w:tab w:val="left" w:pos="9103"/>
          <w:tab w:val="left" w:pos="9191"/>
        </w:tabs>
        <w:adjustRightInd w:val="0"/>
        <w:spacing w:before="19" w:line="360" w:lineRule="exact"/>
        <w:ind w:left="1075"/>
        <w:rPr>
          <w:rFonts w:hint="eastAsia" w:ascii="宋体" w:hAnsi="宋体" w:cs="Arial Unicode MS"/>
          <w:szCs w:val="21"/>
        </w:rPr>
      </w:pPr>
      <w:r>
        <w:rPr>
          <w:rFonts w:ascii="宋体" w:hAnsi="宋体" w:cs="Arial Unicode MS"/>
          <w:szCs w:val="21"/>
        </w:rPr>
        <w:t>群体工程应附“承包人承揽工程项目一览表”（附件二）</w:t>
      </w:r>
    </w:p>
    <w:p w14:paraId="0AC385A0">
      <w:pPr>
        <w:tabs>
          <w:tab w:val="left" w:pos="8998"/>
          <w:tab w:val="left" w:pos="9086"/>
        </w:tabs>
        <w:adjustRightInd w:val="0"/>
        <w:spacing w:line="360" w:lineRule="exact"/>
        <w:ind w:left="1075"/>
        <w:rPr>
          <w:rFonts w:hint="eastAsia" w:ascii="宋体" w:hAnsi="宋体"/>
          <w:szCs w:val="21"/>
          <w:u w:val="single" w:color="000000"/>
        </w:rPr>
      </w:pPr>
      <w:r>
        <w:rPr>
          <w:rFonts w:ascii="宋体" w:hAnsi="宋体" w:cs="Arial Unicode MS"/>
          <w:szCs w:val="21"/>
        </w:rPr>
        <w:t>工程立项批准文号：</w:t>
      </w:r>
      <w:r>
        <w:rPr>
          <w:rFonts w:hint="eastAsia" w:ascii="宋体" w:hAnsi="宋体"/>
          <w:szCs w:val="21"/>
          <w:u w:val="single" w:color="000000"/>
        </w:rPr>
        <w:t>/</w:t>
      </w:r>
    </w:p>
    <w:p w14:paraId="09EA08A5">
      <w:pPr>
        <w:tabs>
          <w:tab w:val="left" w:pos="8998"/>
          <w:tab w:val="left" w:pos="9086"/>
        </w:tabs>
        <w:adjustRightInd w:val="0"/>
        <w:spacing w:line="360" w:lineRule="exact"/>
        <w:ind w:left="1075"/>
        <w:rPr>
          <w:rFonts w:hint="eastAsia" w:ascii="宋体" w:hAnsi="宋体" w:cs="Arial Unicode MS"/>
          <w:szCs w:val="21"/>
        </w:rPr>
      </w:pPr>
      <w:r>
        <w:rPr>
          <w:rFonts w:ascii="宋体" w:hAnsi="宋体" w:cs="Arial Unicode MS"/>
          <w:szCs w:val="21"/>
        </w:rPr>
        <w:t>资金来源：</w:t>
      </w:r>
      <w:r>
        <w:rPr>
          <w:rFonts w:hint="eastAsia" w:ascii="宋体" w:hAnsi="宋体" w:cs="Arial Unicode MS"/>
          <w:szCs w:val="21"/>
          <w:u w:val="single"/>
        </w:rPr>
        <w:t>政府投资（地方）</w:t>
      </w:r>
      <w:r>
        <w:rPr>
          <w:rFonts w:ascii="宋体" w:hAnsi="宋体"/>
          <w:szCs w:val="21"/>
          <w:u w:val="single" w:color="000000"/>
        </w:rPr>
        <w:tab/>
      </w:r>
      <w:r>
        <w:rPr>
          <w:rFonts w:ascii="宋体" w:hAnsi="宋体"/>
          <w:szCs w:val="21"/>
          <w:u w:val="single" w:color="000000"/>
        </w:rPr>
        <w:tab/>
      </w:r>
      <w:r>
        <w:rPr>
          <w:rFonts w:ascii="宋体" w:hAnsi="宋体"/>
          <w:szCs w:val="21"/>
        </w:rPr>
        <w:t xml:space="preserve"> </w:t>
      </w:r>
      <w:r>
        <w:rPr>
          <w:rFonts w:ascii="宋体" w:hAnsi="宋体" w:cs="Arial Unicode MS"/>
          <w:szCs w:val="21"/>
        </w:rPr>
        <w:t>二、工程承包范围</w:t>
      </w:r>
    </w:p>
    <w:p w14:paraId="725A5A49">
      <w:pPr>
        <w:tabs>
          <w:tab w:val="left" w:pos="8981"/>
        </w:tabs>
        <w:adjustRightInd w:val="0"/>
        <w:spacing w:line="360" w:lineRule="exact"/>
        <w:ind w:left="1075"/>
        <w:rPr>
          <w:rFonts w:hint="eastAsia" w:ascii="宋体" w:hAnsi="宋体"/>
          <w:szCs w:val="21"/>
          <w:u w:val="single" w:color="000000"/>
        </w:rPr>
      </w:pPr>
      <w:r>
        <w:rPr>
          <w:rFonts w:ascii="宋体" w:hAnsi="宋体" w:cs="Arial Unicode MS"/>
          <w:szCs w:val="21"/>
        </w:rPr>
        <w:t>承包范围：</w:t>
      </w:r>
      <w:r>
        <w:rPr>
          <w:rFonts w:hint="eastAsia" w:asciiTheme="minorEastAsia" w:hAnsiTheme="minorEastAsia" w:eastAsiaTheme="minorEastAsia"/>
          <w:u w:val="single"/>
        </w:rPr>
        <w:t>工程量清单及图纸所示的全部内容</w:t>
      </w:r>
    </w:p>
    <w:p w14:paraId="0F469324">
      <w:pPr>
        <w:tabs>
          <w:tab w:val="left" w:pos="8981"/>
        </w:tabs>
        <w:adjustRightInd w:val="0"/>
        <w:spacing w:line="360" w:lineRule="exact"/>
        <w:ind w:left="1075"/>
        <w:rPr>
          <w:rFonts w:hint="eastAsia" w:ascii="宋体" w:hAnsi="宋体" w:cs="Arial Unicode MS"/>
          <w:szCs w:val="21"/>
        </w:rPr>
      </w:pPr>
      <w:r>
        <w:rPr>
          <w:rFonts w:ascii="宋体" w:hAnsi="宋体"/>
          <w:szCs w:val="21"/>
        </w:rPr>
        <w:t xml:space="preserve"> </w:t>
      </w:r>
      <w:r>
        <w:rPr>
          <w:rFonts w:ascii="宋体" w:hAnsi="宋体" w:cs="Arial Unicode MS"/>
          <w:szCs w:val="21"/>
        </w:rPr>
        <w:t>详细承包范围见第五章“技术标准和要求”。</w:t>
      </w:r>
    </w:p>
    <w:p w14:paraId="21877FDB">
      <w:pPr>
        <w:adjustRightInd w:val="0"/>
        <w:spacing w:line="341" w:lineRule="exact"/>
        <w:ind w:left="1075"/>
        <w:rPr>
          <w:rFonts w:hint="eastAsia" w:ascii="宋体" w:hAnsi="宋体" w:cs="Arial Unicode MS"/>
          <w:szCs w:val="21"/>
        </w:rPr>
      </w:pPr>
      <w:r>
        <w:rPr>
          <w:rFonts w:ascii="宋体" w:hAnsi="宋体" w:cs="Arial Unicode MS"/>
          <w:szCs w:val="21"/>
        </w:rPr>
        <w:t>三、合同工期</w:t>
      </w:r>
    </w:p>
    <w:p w14:paraId="6640BBBD">
      <w:pPr>
        <w:tabs>
          <w:tab w:val="left" w:pos="3489"/>
          <w:tab w:val="left" w:pos="4539"/>
          <w:tab w:val="left" w:pos="5694"/>
        </w:tabs>
        <w:adjustRightInd w:val="0"/>
        <w:spacing w:before="19" w:line="360" w:lineRule="exact"/>
        <w:ind w:left="1075"/>
        <w:rPr>
          <w:rFonts w:hint="eastAsia" w:ascii="宋体" w:hAnsi="宋体" w:cs="Arial Unicode MS"/>
          <w:szCs w:val="21"/>
        </w:rPr>
      </w:pPr>
      <w:r>
        <w:rPr>
          <w:rFonts w:ascii="宋体" w:hAnsi="宋体" w:cs="Arial Unicode MS"/>
          <w:szCs w:val="21"/>
        </w:rPr>
        <w:t>计划开工日期：</w:t>
      </w:r>
      <w:r>
        <w:rPr>
          <w:rFonts w:hint="eastAsia" w:ascii="宋体" w:hAnsi="宋体"/>
          <w:szCs w:val="21"/>
          <w:u w:val="single" w:color="000000"/>
        </w:rPr>
        <w:t xml:space="preserve">      </w:t>
      </w:r>
      <w:r>
        <w:rPr>
          <w:rFonts w:ascii="宋体" w:hAnsi="宋体" w:cs="Arial Unicode MS"/>
          <w:szCs w:val="21"/>
        </w:rPr>
        <w:t>年</w:t>
      </w:r>
      <w:r>
        <w:rPr>
          <w:rFonts w:hint="eastAsia" w:ascii="宋体" w:hAnsi="宋体" w:cs="Arial Unicode MS"/>
          <w:szCs w:val="21"/>
          <w:u w:val="single"/>
        </w:rPr>
        <w:t xml:space="preserve">     </w:t>
      </w:r>
      <w:r>
        <w:rPr>
          <w:rFonts w:ascii="宋体" w:hAnsi="宋体" w:cs="Arial Unicode MS"/>
          <w:szCs w:val="21"/>
        </w:rPr>
        <w:t>月</w:t>
      </w:r>
      <w:r>
        <w:rPr>
          <w:rFonts w:hint="eastAsia" w:ascii="宋体" w:hAnsi="宋体" w:cs="Arial Unicode MS"/>
          <w:szCs w:val="21"/>
          <w:u w:val="single"/>
        </w:rPr>
        <w:t xml:space="preserve">    </w:t>
      </w:r>
      <w:r>
        <w:rPr>
          <w:rFonts w:ascii="宋体" w:hAnsi="宋体" w:cs="Arial Unicode MS"/>
          <w:szCs w:val="21"/>
        </w:rPr>
        <w:t xml:space="preserve">日 </w:t>
      </w:r>
    </w:p>
    <w:p w14:paraId="5C6F30ED">
      <w:pPr>
        <w:tabs>
          <w:tab w:val="left" w:pos="3489"/>
          <w:tab w:val="left" w:pos="4539"/>
          <w:tab w:val="left" w:pos="5694"/>
        </w:tabs>
        <w:adjustRightInd w:val="0"/>
        <w:spacing w:before="19" w:line="360" w:lineRule="exact"/>
        <w:ind w:left="1075"/>
        <w:rPr>
          <w:rFonts w:hint="eastAsia" w:ascii="宋体" w:hAnsi="宋体" w:cs="Arial Unicode MS"/>
          <w:szCs w:val="21"/>
        </w:rPr>
      </w:pPr>
      <w:r>
        <w:rPr>
          <w:rFonts w:ascii="宋体" w:hAnsi="宋体" w:cs="Arial Unicode MS"/>
          <w:szCs w:val="21"/>
        </w:rPr>
        <w:t>计划竣工日期：</w:t>
      </w:r>
      <w:r>
        <w:rPr>
          <w:rFonts w:hint="eastAsia" w:ascii="宋体" w:hAnsi="宋体"/>
          <w:szCs w:val="21"/>
          <w:u w:val="single" w:color="000000"/>
        </w:rPr>
        <w:t xml:space="preserve">      </w:t>
      </w:r>
      <w:r>
        <w:rPr>
          <w:rFonts w:ascii="宋体" w:hAnsi="宋体" w:cs="Arial Unicode MS"/>
          <w:szCs w:val="21"/>
        </w:rPr>
        <w:t>年</w:t>
      </w:r>
      <w:r>
        <w:rPr>
          <w:rFonts w:hint="eastAsia" w:ascii="宋体" w:hAnsi="宋体"/>
          <w:szCs w:val="21"/>
          <w:u w:val="single" w:color="000000"/>
        </w:rPr>
        <w:t xml:space="preserve">     </w:t>
      </w:r>
      <w:r>
        <w:rPr>
          <w:rFonts w:ascii="宋体" w:hAnsi="宋体" w:cs="Arial Unicode MS"/>
          <w:szCs w:val="21"/>
        </w:rPr>
        <w:t>月</w:t>
      </w:r>
      <w:r>
        <w:rPr>
          <w:rFonts w:hint="eastAsia" w:ascii="宋体" w:hAnsi="宋体"/>
          <w:szCs w:val="21"/>
          <w:u w:val="single" w:color="000000"/>
        </w:rPr>
        <w:t xml:space="preserve">    </w:t>
      </w:r>
      <w:r>
        <w:rPr>
          <w:rFonts w:ascii="宋体" w:hAnsi="宋体" w:cs="Arial Unicode MS"/>
          <w:szCs w:val="21"/>
        </w:rPr>
        <w:t>日</w:t>
      </w:r>
    </w:p>
    <w:p w14:paraId="30B4EA30">
      <w:pPr>
        <w:tabs>
          <w:tab w:val="left" w:pos="5244"/>
        </w:tabs>
        <w:adjustRightInd w:val="0"/>
        <w:spacing w:line="360" w:lineRule="exact"/>
        <w:ind w:left="1075"/>
        <w:rPr>
          <w:rFonts w:hint="eastAsia" w:ascii="宋体" w:hAnsi="宋体" w:cs="Arial Unicode MS"/>
          <w:szCs w:val="21"/>
        </w:rPr>
      </w:pPr>
      <w:r>
        <w:rPr>
          <w:rFonts w:ascii="宋体" w:hAnsi="宋体" w:cs="Arial Unicode MS"/>
          <w:szCs w:val="21"/>
        </w:rPr>
        <w:t>工期总日历天数</w:t>
      </w:r>
      <w:r>
        <w:rPr>
          <w:rFonts w:ascii="宋体" w:hAnsi="宋体"/>
          <w:szCs w:val="21"/>
          <w:u w:val="single" w:color="000000"/>
        </w:rPr>
        <w:t xml:space="preserve"> </w:t>
      </w:r>
      <w:r>
        <w:rPr>
          <w:rFonts w:hint="eastAsia" w:ascii="宋体" w:hAnsi="宋体"/>
          <w:szCs w:val="21"/>
          <w:u w:val="single" w:color="000000"/>
        </w:rPr>
        <w:t xml:space="preserve"> 30  </w:t>
      </w:r>
      <w:r>
        <w:rPr>
          <w:rFonts w:ascii="宋体" w:hAnsi="宋体" w:cs="Arial Unicode MS"/>
          <w:szCs w:val="21"/>
        </w:rPr>
        <w:t>天</w:t>
      </w:r>
      <w:r>
        <w:rPr>
          <w:rFonts w:hint="eastAsia" w:ascii="宋体" w:hAnsi="宋体" w:cs="Arial Unicode MS"/>
          <w:szCs w:val="21"/>
          <w:lang w:eastAsia="zh-CN"/>
        </w:rPr>
        <w:t>（</w:t>
      </w:r>
      <w:r>
        <w:rPr>
          <w:rFonts w:hint="eastAsia" w:ascii="宋体" w:hAnsi="宋体" w:cs="Arial Unicode MS"/>
          <w:szCs w:val="21"/>
          <w:lang w:val="en-US" w:eastAsia="zh-CN"/>
        </w:rPr>
        <w:t>日历天</w:t>
      </w:r>
      <w:r>
        <w:rPr>
          <w:rFonts w:hint="eastAsia" w:ascii="宋体" w:hAnsi="宋体" w:cs="Arial Unicode MS"/>
          <w:szCs w:val="21"/>
          <w:lang w:eastAsia="zh-CN"/>
        </w:rPr>
        <w:t>）</w:t>
      </w:r>
      <w:r>
        <w:rPr>
          <w:rFonts w:ascii="宋体" w:hAnsi="宋体" w:cs="Arial Unicode MS"/>
          <w:szCs w:val="21"/>
        </w:rPr>
        <w:t xml:space="preserve">，自监理人发出的开工通知中载明的开工日期起算。 </w:t>
      </w:r>
    </w:p>
    <w:p w14:paraId="2788F11B">
      <w:pPr>
        <w:tabs>
          <w:tab w:val="left" w:pos="5244"/>
        </w:tabs>
        <w:adjustRightInd w:val="0"/>
        <w:spacing w:line="360" w:lineRule="exact"/>
        <w:ind w:left="1075"/>
        <w:rPr>
          <w:rFonts w:hint="eastAsia" w:ascii="宋体" w:hAnsi="宋体" w:cs="Arial Unicode MS"/>
          <w:szCs w:val="21"/>
        </w:rPr>
      </w:pPr>
      <w:r>
        <w:rPr>
          <w:rFonts w:ascii="宋体" w:hAnsi="宋体" w:cs="Arial Unicode MS"/>
          <w:szCs w:val="21"/>
        </w:rPr>
        <w:t>四、质量标准</w:t>
      </w:r>
    </w:p>
    <w:p w14:paraId="4B965F17">
      <w:pPr>
        <w:tabs>
          <w:tab w:val="left" w:pos="8981"/>
        </w:tabs>
        <w:adjustRightInd w:val="0"/>
        <w:spacing w:before="24" w:line="330" w:lineRule="exact"/>
        <w:ind w:left="1075"/>
        <w:rPr>
          <w:rFonts w:hint="eastAsia" w:ascii="宋体" w:hAnsi="宋体" w:cs="Arial Unicode MS"/>
          <w:szCs w:val="21"/>
          <w:u w:val="single"/>
        </w:rPr>
      </w:pPr>
      <w:r>
        <w:rPr>
          <w:rFonts w:ascii="宋体" w:hAnsi="宋体" w:cs="Arial Unicode MS"/>
          <w:szCs w:val="21"/>
        </w:rPr>
        <w:t>工程质量标准：</w:t>
      </w:r>
      <w:r>
        <w:rPr>
          <w:rFonts w:hint="eastAsia" w:ascii="宋体" w:hAnsi="宋体" w:cs="Arial Unicode MS"/>
          <w:szCs w:val="21"/>
          <w:u w:val="single"/>
        </w:rPr>
        <w:t xml:space="preserve">合格  </w:t>
      </w:r>
    </w:p>
    <w:p w14:paraId="62CADDBB">
      <w:pPr>
        <w:tabs>
          <w:tab w:val="left" w:pos="8981"/>
        </w:tabs>
        <w:adjustRightInd w:val="0"/>
        <w:spacing w:before="24" w:line="330" w:lineRule="exact"/>
        <w:ind w:left="1075"/>
        <w:rPr>
          <w:rFonts w:hint="eastAsia" w:ascii="宋体" w:hAnsi="宋体" w:cs="Arial Unicode MS"/>
          <w:szCs w:val="21"/>
        </w:rPr>
      </w:pPr>
      <w:r>
        <w:rPr>
          <w:rFonts w:ascii="宋体" w:hAnsi="宋体"/>
          <w:szCs w:val="21"/>
        </w:rPr>
        <w:t xml:space="preserve"> </w:t>
      </w:r>
      <w:r>
        <w:rPr>
          <w:rFonts w:ascii="宋体" w:hAnsi="宋体" w:cs="Arial Unicode MS"/>
          <w:szCs w:val="21"/>
        </w:rPr>
        <w:t>五、施工现场安全生产标准化管理目标等级要求</w:t>
      </w:r>
    </w:p>
    <w:p w14:paraId="1BA929C0">
      <w:pPr>
        <w:tabs>
          <w:tab w:val="left" w:pos="9418"/>
        </w:tabs>
        <w:adjustRightInd w:val="0"/>
        <w:spacing w:line="294" w:lineRule="exact"/>
        <w:ind w:left="1075"/>
        <w:rPr>
          <w:rFonts w:hint="eastAsia" w:ascii="宋体" w:hAnsi="宋体"/>
          <w:szCs w:val="21"/>
        </w:rPr>
      </w:pPr>
      <w:r>
        <w:rPr>
          <w:rFonts w:ascii="宋体" w:hAnsi="宋体" w:cs="Arial Unicode MS"/>
          <w:szCs w:val="21"/>
        </w:rPr>
        <w:t>施工现场安全生产标准化管理目标等级：</w:t>
      </w:r>
      <w:r>
        <w:rPr>
          <w:rFonts w:ascii="宋体" w:hAnsi="宋体"/>
          <w:szCs w:val="21"/>
          <w:u w:val="single" w:color="000000"/>
        </w:rPr>
        <w:t xml:space="preserve"> </w:t>
      </w:r>
      <w:r>
        <w:rPr>
          <w:rFonts w:hint="eastAsia" w:ascii="宋体" w:hAnsi="宋体"/>
          <w:szCs w:val="21"/>
          <w:u w:val="single" w:color="000000"/>
        </w:rPr>
        <w:t xml:space="preserve">达标 </w:t>
      </w:r>
    </w:p>
    <w:p w14:paraId="43B363EC">
      <w:pPr>
        <w:adjustRightInd w:val="0"/>
        <w:spacing w:line="353" w:lineRule="exact"/>
        <w:ind w:left="1075"/>
        <w:rPr>
          <w:rFonts w:hint="eastAsia" w:ascii="宋体" w:hAnsi="宋体" w:cs="Arial Unicode MS"/>
          <w:szCs w:val="21"/>
        </w:rPr>
      </w:pPr>
      <w:r>
        <w:rPr>
          <w:rFonts w:ascii="宋体" w:hAnsi="宋体" w:cs="Arial Unicode MS"/>
          <w:szCs w:val="21"/>
        </w:rPr>
        <w:t>六、合同形式</w:t>
      </w:r>
    </w:p>
    <w:p w14:paraId="540D1EEA">
      <w:pPr>
        <w:tabs>
          <w:tab w:val="left" w:pos="7899"/>
        </w:tabs>
        <w:adjustRightInd w:val="0"/>
        <w:spacing w:before="19" w:line="360" w:lineRule="exact"/>
        <w:ind w:left="1075"/>
        <w:rPr>
          <w:rFonts w:hint="eastAsia" w:ascii="宋体" w:hAnsi="宋体" w:cs="Arial Unicode MS"/>
          <w:szCs w:val="21"/>
        </w:rPr>
      </w:pPr>
      <w:r>
        <w:rPr>
          <w:rFonts w:ascii="宋体" w:hAnsi="宋体" w:cs="Arial Unicode MS"/>
          <w:szCs w:val="21"/>
        </w:rPr>
        <w:t>本合同采用</w:t>
      </w:r>
      <w:r>
        <w:rPr>
          <w:rFonts w:ascii="宋体" w:hAnsi="宋体"/>
          <w:szCs w:val="21"/>
          <w:u w:val="single" w:color="000000"/>
        </w:rPr>
        <w:t xml:space="preserve"> </w:t>
      </w:r>
      <w:r>
        <w:rPr>
          <w:rFonts w:hint="eastAsia" w:ascii="宋体" w:hAnsi="宋体"/>
          <w:szCs w:val="21"/>
          <w:u w:val="single" w:color="000000"/>
        </w:rPr>
        <w:t xml:space="preserve">固定单价 </w:t>
      </w:r>
      <w:r>
        <w:rPr>
          <w:rFonts w:ascii="宋体" w:hAnsi="宋体" w:cs="Arial Unicode MS"/>
          <w:szCs w:val="21"/>
        </w:rPr>
        <w:t>合同形式。</w:t>
      </w:r>
    </w:p>
    <w:p w14:paraId="1667CA1B">
      <w:pPr>
        <w:numPr>
          <w:ilvl w:val="0"/>
          <w:numId w:val="34"/>
        </w:numPr>
        <w:tabs>
          <w:tab w:val="left" w:pos="7899"/>
        </w:tabs>
        <w:adjustRightInd w:val="0"/>
        <w:spacing w:before="19" w:line="360" w:lineRule="exact"/>
        <w:jc w:val="left"/>
        <w:rPr>
          <w:rFonts w:hint="eastAsia" w:ascii="宋体" w:hAnsi="宋体" w:cs="Arial Unicode MS"/>
          <w:szCs w:val="21"/>
        </w:rPr>
      </w:pPr>
      <w:r>
        <w:rPr>
          <w:rFonts w:ascii="宋体" w:hAnsi="宋体" w:cs="Arial Unicode MS"/>
          <w:szCs w:val="21"/>
        </w:rPr>
        <w:t>签约合同价</w:t>
      </w:r>
    </w:p>
    <w:p w14:paraId="26C13225">
      <w:pPr>
        <w:tabs>
          <w:tab w:val="left" w:pos="8319"/>
        </w:tabs>
        <w:adjustRightInd w:val="0"/>
        <w:spacing w:line="318" w:lineRule="exact"/>
        <w:ind w:firstLine="1260" w:firstLineChars="600"/>
        <w:rPr>
          <w:rFonts w:hint="eastAsia" w:ascii="宋体" w:hAnsi="宋体" w:cs="Arial Unicode MS"/>
          <w:szCs w:val="21"/>
        </w:rPr>
      </w:pPr>
      <w:r>
        <w:rPr>
          <w:rFonts w:ascii="宋体" w:hAnsi="宋体"/>
        </w:rPr>
        <mc:AlternateContent>
          <mc:Choice Requires="wpg">
            <w:drawing>
              <wp:anchor distT="0" distB="0" distL="114300" distR="114300" simplePos="0" relativeHeight="251687936" behindDoc="0" locked="0" layoutInCell="1" allowOverlap="1">
                <wp:simplePos x="0" y="0"/>
                <wp:positionH relativeFrom="page">
                  <wp:posOffset>542925</wp:posOffset>
                </wp:positionH>
                <wp:positionV relativeFrom="page">
                  <wp:posOffset>895350</wp:posOffset>
                </wp:positionV>
                <wp:extent cx="1270" cy="8905875"/>
                <wp:effectExtent l="0" t="0" r="0" b="0"/>
                <wp:wrapNone/>
                <wp:docPr id="65" name="组合 65"/>
                <wp:cNvGraphicFramePr/>
                <a:graphic xmlns:a="http://schemas.openxmlformats.org/drawingml/2006/main">
                  <a:graphicData uri="http://schemas.microsoft.com/office/word/2010/wordprocessingGroup">
                    <wpg:wgp>
                      <wpg:cNvGrpSpPr/>
                      <wpg:grpSpPr>
                        <a:xfrm>
                          <a:off x="0" y="0"/>
                          <a:ext cx="1270" cy="8905875"/>
                          <a:chOff x="855" y="1410"/>
                          <a:chExt cx="2" cy="14025"/>
                        </a:xfrm>
                      </wpg:grpSpPr>
                      <wps:wsp>
                        <wps:cNvPr id="1" name="任意多边形 2"/>
                        <wps:cNvSpPr/>
                        <wps:spPr>
                          <a:xfrm>
                            <a:off x="855" y="1410"/>
                            <a:ext cx="2" cy="14025"/>
                          </a:xfrm>
                          <a:custGeom>
                            <a:avLst/>
                            <a:gdLst/>
                            <a:ahLst/>
                            <a:cxnLst/>
                            <a:rect l="0" t="0" r="0" b="0"/>
                            <a:pathLst>
                              <a:path h="14025">
                                <a:moveTo>
                                  <a:pt x="0" y="0"/>
                                </a:moveTo>
                                <a:lnTo>
                                  <a:pt x="0" y="14025"/>
                                </a:lnTo>
                                <a:lnTo>
                                  <a:pt x="0" y="0"/>
                                </a:lnTo>
                                <a:close/>
                              </a:path>
                            </a:pathLst>
                          </a:custGeom>
                          <a:solidFill>
                            <a:srgbClr val="000000"/>
                          </a:solidFill>
                          <a:ln>
                            <a:noFill/>
                          </a:ln>
                        </wps:spPr>
                        <wps:bodyPr upright="1"/>
                      </wps:wsp>
                    </wpg:wgp>
                  </a:graphicData>
                </a:graphic>
              </wp:anchor>
            </w:drawing>
          </mc:Choice>
          <mc:Fallback>
            <w:pict>
              <v:group id="_x0000_s1026" o:spid="_x0000_s1026" o:spt="203" style="position:absolute;left:0pt;margin-left:42.75pt;margin-top:70.5pt;height:701.25pt;width:0.1pt;mso-position-horizontal-relative:page;mso-position-vertical-relative:page;z-index:251687936;mso-width-relative:page;mso-height-relative:page;" coordorigin="855,1410" coordsize="2,14025" o:gfxdata="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">
                <o:lock v:ext="edit" aspectratio="f"/>
                <v:shape id="任意多边形 2" o:spid="_x0000_s1026" o:spt="100" style="position:absolute;left:855;top:1410;height:14025;width:2;" fillcolor="#000000" filled="t" stroked="f" coordsize="1,14025" o:gfxdata="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jFhHkugAAANoA&#10;AAAPAAAAAAAAAAEAIAAAACIAAABkcnMvZG93bnJldi54bWxQSwECFAAUAAAACACHTuJAMy8FnjsA&#10;AAA5AAAAEAAAAAAAAAABACAAAAAJAQAAZHJzL3NoYXBleG1sLnhtbFBLBQYAAAAABgAGAFsBAACz&#10;AwAAAAA=&#10;" path="m0,0l0,14025,0,0xe">
                  <v:fill on="t" focussize="0,0"/>
                  <v:stroke on="f"/>
                  <v:imagedata o:title=""/>
                  <o:lock v:ext="edit" aspectratio="f"/>
                </v:shape>
              </v:group>
            </w:pict>
          </mc:Fallback>
        </mc:AlternateContent>
      </w:r>
      <w:r>
        <w:rPr>
          <w:rFonts w:ascii="宋体" w:hAnsi="宋体" w:cs="Arial Unicode MS"/>
          <w:szCs w:val="21"/>
        </w:rPr>
        <w:t>金</w:t>
      </w:r>
      <w:r>
        <w:rPr>
          <w:rFonts w:hint="eastAsia" w:ascii="宋体" w:hAnsi="宋体" w:cs="Arial Unicode MS"/>
          <w:szCs w:val="21"/>
        </w:rPr>
        <w:t xml:space="preserve"> </w:t>
      </w:r>
      <w:r>
        <w:rPr>
          <w:rFonts w:ascii="宋体" w:hAnsi="宋体" w:cs="Arial Unicode MS"/>
          <w:szCs w:val="21"/>
        </w:rPr>
        <w:t>额（大写）：</w:t>
      </w:r>
      <w:r>
        <w:rPr>
          <w:rFonts w:ascii="宋体" w:hAnsi="宋体"/>
          <w:szCs w:val="21"/>
          <w:u w:val="single" w:color="000000"/>
        </w:rPr>
        <w:t xml:space="preserve"> </w:t>
      </w:r>
      <w:r>
        <w:rPr>
          <w:rFonts w:hint="eastAsia" w:ascii="宋体" w:hAnsi="宋体"/>
          <w:szCs w:val="21"/>
          <w:u w:val="single" w:color="000000"/>
        </w:rPr>
        <w:t xml:space="preserve">                                  </w:t>
      </w:r>
      <w:r>
        <w:rPr>
          <w:rFonts w:ascii="宋体" w:hAnsi="宋体" w:cs="Arial Unicode MS"/>
          <w:szCs w:val="21"/>
        </w:rPr>
        <w:t>（人民币）</w:t>
      </w:r>
    </w:p>
    <w:p w14:paraId="7C1B1220">
      <w:pPr>
        <w:widowControl/>
        <w:ind w:firstLine="1680" w:firstLineChars="800"/>
        <w:jc w:val="left"/>
        <w:rPr>
          <w:rFonts w:ascii="宋体" w:hAnsi="宋体" w:cs="Arial Unicode MS"/>
          <w:szCs w:val="21"/>
        </w:rPr>
      </w:pPr>
      <w:r>
        <w:rPr>
          <w:rFonts w:ascii="宋体" w:hAnsi="宋体" w:cs="Arial Unicode MS"/>
          <w:szCs w:val="21"/>
        </w:rPr>
        <w:t>（小写）￥：</w:t>
      </w:r>
      <w:r>
        <w:rPr>
          <w:rFonts w:hint="eastAsia" w:ascii="宋体" w:hAnsi="宋体" w:cs="Arial Unicode MS"/>
          <w:szCs w:val="21"/>
        </w:rPr>
        <w:t xml:space="preserve"> </w:t>
      </w:r>
      <w:r>
        <w:rPr>
          <w:rFonts w:hint="eastAsia" w:ascii="宋体" w:hAnsi="宋体" w:cs="Arial Unicode MS"/>
          <w:szCs w:val="21"/>
          <w:u w:val="single"/>
        </w:rPr>
        <w:t xml:space="preserve">                                 </w:t>
      </w:r>
      <w:r>
        <w:rPr>
          <w:rFonts w:ascii="宋体" w:hAnsi="宋体" w:cs="Arial Unicode MS"/>
          <w:szCs w:val="21"/>
        </w:rPr>
        <w:t xml:space="preserve">元 </w:t>
      </w:r>
    </w:p>
    <w:p w14:paraId="5CAD8217">
      <w:pPr>
        <w:widowControl/>
        <w:ind w:firstLine="1260" w:firstLineChars="600"/>
        <w:jc w:val="left"/>
        <w:rPr>
          <w:rFonts w:hint="eastAsia" w:ascii="宋体" w:hAnsi="宋体" w:cs="Arial Unicode MS"/>
          <w:szCs w:val="21"/>
        </w:rPr>
      </w:pPr>
      <w:r>
        <w:rPr>
          <w:rFonts w:ascii="宋体" w:hAnsi="宋体" w:cs="Arial Unicode MS"/>
          <w:szCs w:val="21"/>
        </w:rPr>
        <w:t>其中：安全文明施工费</w:t>
      </w:r>
      <w:r>
        <w:rPr>
          <w:rFonts w:hint="eastAsia" w:asciiTheme="minorEastAsia" w:hAnsiTheme="minorEastAsia" w:eastAsiaTheme="minorEastAsia"/>
        </w:rPr>
        <w:t>（含税）</w:t>
      </w:r>
      <w:r>
        <w:rPr>
          <w:rFonts w:ascii="宋体" w:hAnsi="宋体" w:cs="Arial Unicode MS"/>
          <w:szCs w:val="21"/>
        </w:rPr>
        <w:t>：</w:t>
      </w:r>
      <w:r>
        <w:rPr>
          <w:rFonts w:ascii="宋体" w:hAnsi="宋体"/>
          <w:szCs w:val="21"/>
          <w:u w:val="single"/>
        </w:rPr>
        <w:t xml:space="preserve"> </w:t>
      </w:r>
      <w:r>
        <w:rPr>
          <w:rFonts w:hint="eastAsia" w:ascii="宋体" w:hAnsi="宋体"/>
          <w:szCs w:val="21"/>
          <w:u w:val="single"/>
        </w:rPr>
        <w:t xml:space="preserve">                         </w:t>
      </w:r>
      <w:r>
        <w:rPr>
          <w:rFonts w:ascii="宋体" w:hAnsi="宋体" w:cs="Arial Unicode MS"/>
          <w:szCs w:val="21"/>
        </w:rPr>
        <w:t>元</w:t>
      </w:r>
    </w:p>
    <w:p w14:paraId="0764A598">
      <w:pPr>
        <w:tabs>
          <w:tab w:val="left" w:pos="8949"/>
          <w:tab w:val="left" w:pos="9684"/>
        </w:tabs>
        <w:adjustRightInd w:val="0"/>
        <w:spacing w:line="360" w:lineRule="exact"/>
        <w:ind w:left="0" w:firstLine="1890" w:firstLineChars="900"/>
        <w:rPr>
          <w:rFonts w:hint="eastAsia" w:ascii="宋体" w:hAnsi="宋体" w:cs="Arial Unicode MS"/>
          <w:szCs w:val="21"/>
        </w:rPr>
      </w:pPr>
      <w:r>
        <w:rPr>
          <w:rFonts w:ascii="宋体" w:hAnsi="宋体" w:cs="Arial Unicode MS"/>
          <w:szCs w:val="21"/>
        </w:rPr>
        <w:t>建筑垃圾运输处置费（含税）：</w:t>
      </w:r>
      <w:r>
        <w:rPr>
          <w:rFonts w:ascii="宋体" w:hAnsi="宋体"/>
          <w:szCs w:val="21"/>
          <w:u w:val="single" w:color="000000"/>
        </w:rPr>
        <w:t xml:space="preserve"> </w:t>
      </w:r>
      <w:r>
        <w:rPr>
          <w:rFonts w:hint="eastAsia" w:ascii="宋体" w:hAnsi="宋体"/>
          <w:szCs w:val="21"/>
          <w:u w:val="single" w:color="000000"/>
        </w:rPr>
        <w:t xml:space="preserve">                     </w:t>
      </w:r>
      <w:r>
        <w:rPr>
          <w:rFonts w:ascii="宋体" w:hAnsi="宋体" w:cs="Arial Unicode MS"/>
          <w:szCs w:val="21"/>
        </w:rPr>
        <w:t>元</w:t>
      </w:r>
    </w:p>
    <w:p w14:paraId="3B3167A6">
      <w:pPr>
        <w:widowControl/>
        <w:ind w:firstLine="1890" w:firstLineChars="900"/>
        <w:jc w:val="left"/>
        <w:rPr>
          <w:rFonts w:hint="eastAsia" w:ascii="宋体" w:hAnsi="宋体" w:cs="Arial Unicode MS"/>
          <w:szCs w:val="21"/>
        </w:rPr>
      </w:pPr>
      <w:r>
        <w:rPr>
          <w:rFonts w:ascii="宋体" w:hAnsi="宋体" w:cs="Arial Unicode MS"/>
          <w:szCs w:val="21"/>
        </w:rPr>
        <w:t>暂列金额（含税）：</w:t>
      </w:r>
      <w:r>
        <w:rPr>
          <w:rFonts w:ascii="宋体" w:hAnsi="宋体"/>
          <w:szCs w:val="21"/>
          <w:u w:val="single"/>
        </w:rPr>
        <w:t xml:space="preserve"> </w:t>
      </w:r>
      <w:r>
        <w:rPr>
          <w:rFonts w:hint="eastAsia" w:ascii="宋体" w:hAnsi="宋体"/>
          <w:szCs w:val="21"/>
          <w:u w:val="single"/>
        </w:rPr>
        <w:t xml:space="preserve">                               </w:t>
      </w:r>
      <w:r>
        <w:rPr>
          <w:rFonts w:ascii="宋体" w:hAnsi="宋体" w:cs="Arial Unicode MS"/>
          <w:szCs w:val="21"/>
        </w:rPr>
        <w:t>元</w:t>
      </w:r>
    </w:p>
    <w:p w14:paraId="71622451">
      <w:pPr>
        <w:tabs>
          <w:tab w:val="left" w:pos="9039"/>
        </w:tabs>
        <w:adjustRightInd w:val="0"/>
        <w:spacing w:before="21"/>
        <w:ind w:left="0" w:firstLine="1890" w:firstLineChars="900"/>
        <w:rPr>
          <w:rFonts w:hint="eastAsia" w:ascii="宋体" w:hAnsi="宋体" w:cs="Arial Unicode MS"/>
          <w:szCs w:val="21"/>
        </w:rPr>
      </w:pPr>
      <w:r>
        <w:rPr>
          <w:rFonts w:ascii="宋体" w:hAnsi="宋体" w:cs="Arial Unicode MS"/>
          <w:szCs w:val="21"/>
        </w:rPr>
        <w:t>专业工程暂估价（含税）：</w:t>
      </w:r>
      <w:r>
        <w:rPr>
          <w:rFonts w:hint="eastAsia" w:ascii="宋体" w:hAnsi="宋体"/>
          <w:szCs w:val="21"/>
          <w:u w:val="single" w:color="000000"/>
        </w:rPr>
        <w:t xml:space="preserve">                          </w:t>
      </w:r>
      <w:r>
        <w:rPr>
          <w:rFonts w:ascii="宋体" w:hAnsi="宋体" w:cs="Arial Unicode MS"/>
          <w:szCs w:val="21"/>
        </w:rPr>
        <w:t>元</w:t>
      </w:r>
    </w:p>
    <w:p w14:paraId="5D182F89">
      <w:pPr>
        <w:tabs>
          <w:tab w:val="left" w:pos="5874"/>
        </w:tabs>
        <w:adjustRightInd w:val="0"/>
        <w:spacing w:before="130" w:line="360" w:lineRule="exact"/>
        <w:ind w:left="655" w:firstLine="420"/>
        <w:rPr>
          <w:rFonts w:hint="eastAsia" w:ascii="宋体" w:hAnsi="宋体" w:cs="Arial Unicode MS"/>
          <w:szCs w:val="21"/>
        </w:rPr>
      </w:pPr>
      <w:r>
        <w:rPr>
          <w:rFonts w:hint="eastAsia" w:ascii="宋体" w:hAnsi="宋体" w:cs="Arial Unicode MS"/>
          <w:szCs w:val="21"/>
          <w:u w:val="single"/>
        </w:rPr>
        <w:t>注：承包人明确知晓并同意:由于本项目资金来源为财政资金，须执行国库集中支付的相关程序，发包人仅负责在约定时间内完成申请支付手续，实际付款到账时间及金额以财政拨付的时间及金额为准。在每次支付前，承包人需按照财政资金支付的请款要求配合发包人，向发包人提交书面支付申请并开具与支付费用等额且合法有效的发票等材料，方可办理相关申报支付手续。如承包人未能提供等额且合法有效的发票等材料或未能配合发包人进行请款，由此所产生的不利后果及损失均应由承包人自行承担，发包人无需承担由此产生的迟延支付违约责任。发包人支付前有权扣除相应的违约金和赔偿款等费用。</w:t>
      </w:r>
      <w:r>
        <w:rPr>
          <w:rFonts w:ascii="宋体" w:hAnsi="宋体" w:cs="Arial Unicode MS"/>
          <w:szCs w:val="21"/>
          <w:u w:val="single"/>
        </w:rPr>
        <w:t xml:space="preserve"> </w:t>
      </w:r>
      <w:r>
        <w:rPr>
          <w:rFonts w:ascii="宋体" w:hAnsi="宋体" w:cs="Arial Unicode MS"/>
          <w:szCs w:val="21"/>
        </w:rPr>
        <w:t xml:space="preserve">   </w:t>
      </w:r>
    </w:p>
    <w:p w14:paraId="03E47B35">
      <w:pPr>
        <w:adjustRightInd w:val="0"/>
        <w:spacing w:before="30" w:line="360" w:lineRule="exact"/>
        <w:ind w:left="1075" w:firstLine="30"/>
        <w:rPr>
          <w:rFonts w:hint="eastAsia" w:ascii="宋体" w:hAnsi="宋体" w:cs="Arial Unicode MS"/>
          <w:szCs w:val="21"/>
        </w:rPr>
      </w:pPr>
      <w:r>
        <w:rPr>
          <w:rFonts w:ascii="宋体" w:hAnsi="宋体" w:cs="Arial Unicode MS"/>
          <w:szCs w:val="21"/>
        </w:rPr>
        <w:t>八、承包人项目经理：</w:t>
      </w:r>
    </w:p>
    <w:p w14:paraId="6F574AF6">
      <w:pPr>
        <w:tabs>
          <w:tab w:val="left" w:pos="4588"/>
          <w:tab w:val="left" w:pos="4644"/>
          <w:tab w:val="left" w:pos="5484"/>
          <w:tab w:val="left" w:pos="9054"/>
          <w:tab w:val="left" w:pos="9208"/>
        </w:tabs>
        <w:adjustRightInd w:val="0"/>
        <w:spacing w:line="360" w:lineRule="exact"/>
        <w:ind w:left="1075"/>
        <w:rPr>
          <w:rFonts w:hint="eastAsia" w:ascii="宋体" w:hAnsi="宋体" w:cs="Arial Unicode MS"/>
          <w:szCs w:val="21"/>
        </w:rPr>
      </w:pPr>
      <w:r>
        <w:rPr>
          <w:rFonts w:ascii="宋体" w:hAnsi="宋体" w:cs="Arial Unicode MS"/>
          <w:szCs w:val="21"/>
        </w:rPr>
        <w:t>姓名：</w:t>
      </w:r>
      <w:r>
        <w:rPr>
          <w:rFonts w:ascii="宋体" w:hAnsi="宋体"/>
          <w:szCs w:val="21"/>
          <w:u w:val="single" w:color="000000"/>
        </w:rPr>
        <w:t xml:space="preserve"> </w:t>
      </w:r>
      <w:r>
        <w:rPr>
          <w:rFonts w:hint="eastAsia" w:ascii="宋体" w:hAnsi="宋体"/>
          <w:szCs w:val="21"/>
          <w:u w:val="single" w:color="000000"/>
        </w:rPr>
        <w:t xml:space="preserve">    </w:t>
      </w:r>
      <w:r>
        <w:rPr>
          <w:rFonts w:ascii="宋体" w:hAnsi="宋体"/>
          <w:szCs w:val="21"/>
          <w:u w:val="single" w:color="000000"/>
        </w:rPr>
        <w:tab/>
      </w:r>
      <w:r>
        <w:rPr>
          <w:rFonts w:ascii="宋体" w:hAnsi="宋体" w:cs="Arial Unicode MS"/>
          <w:szCs w:val="21"/>
        </w:rPr>
        <w:t>；</w:t>
      </w:r>
      <w:r>
        <w:rPr>
          <w:rFonts w:ascii="宋体" w:hAnsi="宋体" w:cs="Arial Unicode MS"/>
          <w:szCs w:val="21"/>
        </w:rPr>
        <w:tab/>
      </w:r>
    </w:p>
    <w:p w14:paraId="02E3ADBE">
      <w:pPr>
        <w:tabs>
          <w:tab w:val="left" w:pos="4588"/>
          <w:tab w:val="left" w:pos="4644"/>
          <w:tab w:val="left" w:pos="5484"/>
          <w:tab w:val="left" w:pos="9054"/>
          <w:tab w:val="left" w:pos="9208"/>
        </w:tabs>
        <w:adjustRightInd w:val="0"/>
        <w:spacing w:line="360" w:lineRule="exact"/>
        <w:ind w:left="1075"/>
        <w:rPr>
          <w:rFonts w:hint="eastAsia" w:ascii="宋体" w:hAnsi="宋体" w:cs="Arial Unicode MS"/>
          <w:szCs w:val="21"/>
        </w:rPr>
      </w:pPr>
      <w:r>
        <w:rPr>
          <w:rFonts w:ascii="宋体" w:hAnsi="宋体" w:cs="Arial Unicode MS"/>
          <w:szCs w:val="21"/>
        </w:rPr>
        <w:t>职称：</w:t>
      </w:r>
      <w:r>
        <w:rPr>
          <w:rFonts w:ascii="宋体" w:hAnsi="宋体"/>
          <w:szCs w:val="21"/>
          <w:u w:val="single" w:color="000000"/>
        </w:rPr>
        <w:t xml:space="preserve"> </w:t>
      </w:r>
      <w:r>
        <w:rPr>
          <w:rFonts w:hint="eastAsia" w:ascii="宋体" w:hAnsi="宋体"/>
          <w:szCs w:val="21"/>
          <w:u w:val="single" w:color="000000"/>
        </w:rPr>
        <w:t xml:space="preserve">    </w:t>
      </w:r>
      <w:r>
        <w:rPr>
          <w:rFonts w:ascii="宋体" w:hAnsi="宋体"/>
          <w:szCs w:val="21"/>
          <w:u w:val="single" w:color="000000"/>
        </w:rPr>
        <w:tab/>
      </w:r>
      <w:r>
        <w:rPr>
          <w:rFonts w:ascii="宋体" w:hAnsi="宋体"/>
          <w:szCs w:val="21"/>
          <w:u w:val="single" w:color="000000"/>
        </w:rPr>
        <w:tab/>
      </w:r>
      <w:r>
        <w:rPr>
          <w:rFonts w:ascii="宋体" w:hAnsi="宋体" w:cs="Arial Unicode MS"/>
          <w:szCs w:val="21"/>
        </w:rPr>
        <w:t xml:space="preserve">； </w:t>
      </w:r>
    </w:p>
    <w:p w14:paraId="738CF490">
      <w:pPr>
        <w:tabs>
          <w:tab w:val="left" w:pos="4588"/>
          <w:tab w:val="left" w:pos="4644"/>
          <w:tab w:val="left" w:pos="5484"/>
          <w:tab w:val="left" w:pos="9054"/>
          <w:tab w:val="left" w:pos="9208"/>
        </w:tabs>
        <w:adjustRightInd w:val="0"/>
        <w:spacing w:line="360" w:lineRule="exact"/>
        <w:ind w:left="1075"/>
        <w:rPr>
          <w:rFonts w:hint="eastAsia" w:ascii="宋体" w:hAnsi="宋体" w:cs="Arial Unicode MS"/>
          <w:szCs w:val="21"/>
        </w:rPr>
      </w:pPr>
      <w:r>
        <w:rPr>
          <w:rFonts w:ascii="宋体" w:hAnsi="宋体" w:cs="Arial Unicode MS"/>
          <w:szCs w:val="21"/>
        </w:rPr>
        <w:t>身份证号：</w:t>
      </w:r>
      <w:r>
        <w:rPr>
          <w:rFonts w:hint="eastAsia" w:ascii="宋体" w:hAnsi="宋体"/>
          <w:szCs w:val="21"/>
          <w:u w:val="single" w:color="000000"/>
        </w:rPr>
        <w:t xml:space="preserve"> </w:t>
      </w:r>
      <w:r>
        <w:rPr>
          <w:rFonts w:ascii="宋体" w:hAnsi="宋体"/>
          <w:szCs w:val="21"/>
          <w:u w:val="single" w:color="000000"/>
        </w:rPr>
        <w:tab/>
      </w:r>
      <w:r>
        <w:rPr>
          <w:rFonts w:ascii="宋体" w:hAnsi="宋体" w:cs="Arial Unicode MS"/>
          <w:szCs w:val="21"/>
        </w:rPr>
        <w:t>；</w:t>
      </w:r>
      <w:r>
        <w:rPr>
          <w:rFonts w:ascii="宋体" w:hAnsi="宋体" w:cs="Arial Unicode MS"/>
          <w:szCs w:val="21"/>
        </w:rPr>
        <w:tab/>
      </w:r>
    </w:p>
    <w:p w14:paraId="018F2E68">
      <w:pPr>
        <w:tabs>
          <w:tab w:val="left" w:pos="4588"/>
          <w:tab w:val="left" w:pos="4644"/>
          <w:tab w:val="left" w:pos="5484"/>
          <w:tab w:val="left" w:pos="9054"/>
          <w:tab w:val="left" w:pos="9208"/>
        </w:tabs>
        <w:adjustRightInd w:val="0"/>
        <w:spacing w:line="360" w:lineRule="exact"/>
        <w:ind w:left="1075"/>
        <w:rPr>
          <w:rFonts w:hint="eastAsia" w:ascii="宋体" w:hAnsi="宋体"/>
          <w:szCs w:val="21"/>
          <w:u w:val="single" w:color="000000"/>
        </w:rPr>
      </w:pPr>
      <w:r>
        <w:rPr>
          <w:rFonts w:ascii="宋体" w:hAnsi="宋体" w:cs="Arial Unicode MS"/>
          <w:szCs w:val="21"/>
        </w:rPr>
        <w:t>建造师执业资格证书号：</w:t>
      </w:r>
      <w:r>
        <w:rPr>
          <w:rFonts w:hint="eastAsia" w:ascii="宋体" w:hAnsi="宋体"/>
          <w:szCs w:val="21"/>
          <w:u w:val="single" w:color="000000"/>
        </w:rPr>
        <w:t xml:space="preserve">   </w:t>
      </w:r>
      <w:r>
        <w:rPr>
          <w:rFonts w:ascii="宋体" w:hAnsi="宋体" w:cs="Arial Unicode MS"/>
          <w:szCs w:val="21"/>
        </w:rPr>
        <w:t xml:space="preserve">； </w:t>
      </w:r>
    </w:p>
    <w:p w14:paraId="6CF3FA29">
      <w:pPr>
        <w:tabs>
          <w:tab w:val="left" w:pos="4588"/>
          <w:tab w:val="left" w:pos="4644"/>
          <w:tab w:val="left" w:pos="5484"/>
          <w:tab w:val="left" w:pos="9054"/>
          <w:tab w:val="left" w:pos="9208"/>
        </w:tabs>
        <w:adjustRightInd w:val="0"/>
        <w:spacing w:line="360" w:lineRule="exact"/>
        <w:ind w:left="1075"/>
        <w:rPr>
          <w:rFonts w:hint="eastAsia" w:ascii="宋体" w:hAnsi="宋体" w:cs="Arial Unicode MS"/>
          <w:szCs w:val="21"/>
          <w:u w:val="single"/>
        </w:rPr>
      </w:pPr>
      <w:r>
        <w:rPr>
          <w:rFonts w:ascii="宋体" w:hAnsi="宋体" w:cs="Arial Unicode MS"/>
          <w:szCs w:val="21"/>
        </w:rPr>
        <w:t>建造师注册证书号：</w:t>
      </w:r>
      <w:r>
        <w:rPr>
          <w:rFonts w:hint="eastAsia" w:ascii="宋体" w:hAnsi="宋体" w:cs="Arial Unicode MS"/>
          <w:szCs w:val="21"/>
          <w:u w:val="single"/>
        </w:rPr>
        <w:t xml:space="preserve">                   </w:t>
      </w:r>
    </w:p>
    <w:p w14:paraId="66D0E171">
      <w:pPr>
        <w:tabs>
          <w:tab w:val="left" w:pos="4588"/>
          <w:tab w:val="left" w:pos="4644"/>
          <w:tab w:val="left" w:pos="5484"/>
          <w:tab w:val="left" w:pos="9054"/>
          <w:tab w:val="left" w:pos="9208"/>
        </w:tabs>
        <w:adjustRightInd w:val="0"/>
        <w:spacing w:line="360" w:lineRule="exact"/>
        <w:ind w:left="1075"/>
        <w:rPr>
          <w:rFonts w:hint="eastAsia" w:ascii="宋体" w:hAnsi="宋体" w:cs="Arial Unicode MS"/>
          <w:szCs w:val="21"/>
        </w:rPr>
      </w:pPr>
      <w:r>
        <w:rPr>
          <w:rFonts w:ascii="宋体" w:hAnsi="宋体" w:cs="Arial Unicode MS"/>
          <w:szCs w:val="21"/>
        </w:rPr>
        <w:t>安全生产考核合格证书号：</w:t>
      </w:r>
      <w:r>
        <w:rPr>
          <w:rFonts w:hint="eastAsia" w:ascii="宋体" w:hAnsi="宋体"/>
          <w:szCs w:val="21"/>
          <w:u w:val="single" w:color="000000"/>
        </w:rPr>
        <w:t xml:space="preserve">                  </w:t>
      </w:r>
      <w:r>
        <w:rPr>
          <w:rFonts w:ascii="宋体" w:hAnsi="宋体" w:cs="Arial Unicode MS"/>
          <w:szCs w:val="21"/>
        </w:rPr>
        <w:t xml:space="preserve">。 </w:t>
      </w:r>
    </w:p>
    <w:p w14:paraId="76659CAA">
      <w:pPr>
        <w:tabs>
          <w:tab w:val="left" w:pos="4588"/>
          <w:tab w:val="left" w:pos="4644"/>
          <w:tab w:val="left" w:pos="5484"/>
          <w:tab w:val="left" w:pos="9054"/>
          <w:tab w:val="left" w:pos="9208"/>
        </w:tabs>
        <w:adjustRightInd w:val="0"/>
        <w:spacing w:line="360" w:lineRule="exact"/>
        <w:ind w:left="1075"/>
        <w:rPr>
          <w:rFonts w:hint="eastAsia" w:ascii="宋体" w:hAnsi="宋体" w:cs="Arial Unicode MS"/>
          <w:szCs w:val="21"/>
        </w:rPr>
      </w:pPr>
      <w:r>
        <w:rPr>
          <w:rFonts w:ascii="宋体" w:hAnsi="宋体" w:cs="Arial Unicode MS"/>
          <w:szCs w:val="21"/>
        </w:rPr>
        <w:t>九、合同文件的组成</w:t>
      </w:r>
    </w:p>
    <w:p w14:paraId="33382630">
      <w:pPr>
        <w:adjustRightInd w:val="0"/>
        <w:spacing w:line="360" w:lineRule="exact"/>
        <w:ind w:left="1075"/>
        <w:rPr>
          <w:rFonts w:hint="eastAsia" w:ascii="宋体" w:hAnsi="宋体" w:cs="Arial Unicode MS"/>
          <w:szCs w:val="21"/>
        </w:rPr>
      </w:pPr>
      <w:r>
        <w:rPr>
          <w:rFonts w:ascii="宋体" w:hAnsi="宋体" w:cs="Arial Unicode MS"/>
          <w:szCs w:val="21"/>
        </w:rPr>
        <w:t xml:space="preserve">下列文件共同构成合同文件： </w:t>
      </w:r>
    </w:p>
    <w:p w14:paraId="0C1DBFCE">
      <w:pPr>
        <w:adjustRightInd w:val="0"/>
        <w:spacing w:line="360" w:lineRule="exact"/>
        <w:ind w:left="1075"/>
        <w:rPr>
          <w:rFonts w:hint="eastAsia" w:ascii="宋体" w:hAnsi="宋体" w:cs="Arial Unicode MS"/>
          <w:szCs w:val="21"/>
        </w:rPr>
      </w:pPr>
      <w:r>
        <w:rPr>
          <w:rFonts w:ascii="宋体" w:hAnsi="宋体" w:cs="Arial Unicode MS"/>
          <w:szCs w:val="21"/>
        </w:rPr>
        <w:t>1、本协议书；</w:t>
      </w:r>
    </w:p>
    <w:p w14:paraId="6C53F66F">
      <w:pPr>
        <w:adjustRightInd w:val="0"/>
        <w:spacing w:line="341" w:lineRule="exact"/>
        <w:ind w:left="1075"/>
        <w:rPr>
          <w:rFonts w:hint="eastAsia" w:ascii="宋体" w:hAnsi="宋体" w:cs="Arial Unicode MS"/>
          <w:szCs w:val="21"/>
        </w:rPr>
      </w:pPr>
      <w:r>
        <w:rPr>
          <w:rFonts w:ascii="宋体" w:hAnsi="宋体" w:cs="Arial Unicode MS"/>
          <w:szCs w:val="21"/>
        </w:rPr>
        <w:t>2、中标通知书；</w:t>
      </w:r>
    </w:p>
    <w:p w14:paraId="6C21EDCB">
      <w:pPr>
        <w:adjustRightInd w:val="0"/>
        <w:spacing w:line="360" w:lineRule="exact"/>
        <w:ind w:left="1075"/>
        <w:rPr>
          <w:rFonts w:hint="eastAsia" w:ascii="宋体" w:hAnsi="宋体" w:cs="Arial Unicode MS"/>
          <w:szCs w:val="21"/>
        </w:rPr>
      </w:pPr>
      <w:r>
        <w:rPr>
          <w:rFonts w:ascii="宋体" w:hAnsi="宋体" w:cs="Arial Unicode MS"/>
          <w:szCs w:val="21"/>
        </w:rPr>
        <w:t>3、投标函及投标函附录；</w:t>
      </w:r>
    </w:p>
    <w:p w14:paraId="6CAC6D1E">
      <w:pPr>
        <w:adjustRightInd w:val="0"/>
        <w:spacing w:line="360" w:lineRule="exact"/>
        <w:ind w:left="1075"/>
        <w:rPr>
          <w:rFonts w:hint="eastAsia" w:ascii="宋体" w:hAnsi="宋体" w:cs="Arial Unicode MS"/>
          <w:szCs w:val="21"/>
        </w:rPr>
      </w:pPr>
      <w:r>
        <w:rPr>
          <w:rFonts w:ascii="宋体" w:hAnsi="宋体" w:cs="Arial Unicode MS"/>
          <w:szCs w:val="21"/>
        </w:rPr>
        <w:t>4、合同条款专用部分；</w:t>
      </w:r>
    </w:p>
    <w:p w14:paraId="2DE31927">
      <w:pPr>
        <w:adjustRightInd w:val="0"/>
        <w:spacing w:line="360" w:lineRule="exact"/>
        <w:ind w:left="1075"/>
        <w:rPr>
          <w:rFonts w:hint="eastAsia" w:ascii="宋体" w:hAnsi="宋体" w:cs="Arial Unicode MS"/>
          <w:szCs w:val="21"/>
        </w:rPr>
      </w:pPr>
      <w:r>
        <w:rPr>
          <w:rFonts w:ascii="宋体" w:hAnsi="宋体" w:cs="Arial Unicode MS"/>
          <w:szCs w:val="21"/>
        </w:rPr>
        <w:t>5、合同条款通用部分；</w:t>
      </w:r>
    </w:p>
    <w:p w14:paraId="7C48AD61">
      <w:pPr>
        <w:adjustRightInd w:val="0"/>
        <w:spacing w:line="360" w:lineRule="exact"/>
        <w:ind w:left="1075"/>
        <w:rPr>
          <w:rFonts w:hint="eastAsia" w:ascii="宋体" w:hAnsi="宋体" w:cs="Arial Unicode MS"/>
          <w:szCs w:val="21"/>
        </w:rPr>
      </w:pPr>
      <w:r>
        <w:rPr>
          <w:rFonts w:ascii="宋体" w:hAnsi="宋体" w:cs="Arial Unicode MS"/>
          <w:szCs w:val="21"/>
        </w:rPr>
        <w:t>6、技术标准和要求；</w:t>
      </w:r>
    </w:p>
    <w:p w14:paraId="0B3055A2">
      <w:pPr>
        <w:adjustRightInd w:val="0"/>
        <w:spacing w:line="360" w:lineRule="exact"/>
        <w:ind w:left="1075"/>
        <w:rPr>
          <w:rFonts w:hint="eastAsia" w:ascii="宋体" w:hAnsi="宋体" w:cs="Arial Unicode MS"/>
          <w:szCs w:val="21"/>
        </w:rPr>
      </w:pPr>
      <w:r>
        <w:rPr>
          <w:rFonts w:ascii="宋体" w:hAnsi="宋体" w:cs="Arial Unicode MS"/>
          <w:szCs w:val="21"/>
        </w:rPr>
        <w:t>7、图纸；</w:t>
      </w:r>
    </w:p>
    <w:p w14:paraId="5851D0D6">
      <w:pPr>
        <w:adjustRightInd w:val="0"/>
        <w:spacing w:line="360" w:lineRule="exact"/>
        <w:ind w:left="1075"/>
        <w:rPr>
          <w:rFonts w:hint="eastAsia" w:ascii="宋体" w:hAnsi="宋体" w:cs="Arial Unicode MS"/>
          <w:szCs w:val="21"/>
        </w:rPr>
      </w:pPr>
      <w:r>
        <w:rPr>
          <w:rFonts w:ascii="宋体" w:hAnsi="宋体" w:cs="Arial Unicode MS"/>
          <w:szCs w:val="21"/>
        </w:rPr>
        <w:t>8、已标价工程量清单；</w:t>
      </w:r>
    </w:p>
    <w:p w14:paraId="55C5894B">
      <w:pPr>
        <w:tabs>
          <w:tab w:val="left" w:pos="8844"/>
        </w:tabs>
        <w:adjustRightInd w:val="0"/>
        <w:spacing w:before="19" w:line="360" w:lineRule="exact"/>
        <w:ind w:left="1075"/>
        <w:rPr>
          <w:rFonts w:hint="eastAsia" w:ascii="宋体" w:hAnsi="宋体" w:cs="Arial Unicode MS"/>
          <w:szCs w:val="21"/>
        </w:rPr>
      </w:pPr>
      <w:r>
        <w:rPr>
          <w:rFonts w:ascii="宋体" w:hAnsi="宋体" w:cs="Arial Unicode MS"/>
          <w:szCs w:val="21"/>
        </w:rPr>
        <w:t xml:space="preserve">9、其他合同文件。 </w:t>
      </w:r>
    </w:p>
    <w:p w14:paraId="1630DD23">
      <w:pPr>
        <w:tabs>
          <w:tab w:val="left" w:pos="8844"/>
        </w:tabs>
        <w:adjustRightInd w:val="0"/>
        <w:spacing w:before="19" w:line="360" w:lineRule="exact"/>
        <w:ind w:left="1075"/>
        <w:rPr>
          <w:rFonts w:hint="eastAsia" w:ascii="宋体" w:hAnsi="宋体" w:cs="Arial Unicode MS"/>
          <w:szCs w:val="21"/>
        </w:rPr>
      </w:pPr>
      <w:r>
        <w:rPr>
          <w:rFonts w:ascii="宋体" w:hAnsi="宋体" w:cs="Arial Unicode MS"/>
          <w:szCs w:val="21"/>
        </w:rPr>
        <w:t xml:space="preserve">上述文件互相补充和解释，如有不明确或不一致之处，以合同约定次序在先者为准。 </w:t>
      </w:r>
    </w:p>
    <w:p w14:paraId="6BA047DA">
      <w:pPr>
        <w:tabs>
          <w:tab w:val="left" w:pos="8844"/>
        </w:tabs>
        <w:adjustRightInd w:val="0"/>
        <w:spacing w:before="19" w:line="360" w:lineRule="exact"/>
        <w:ind w:left="1075"/>
        <w:rPr>
          <w:rFonts w:hint="eastAsia" w:ascii="宋体" w:hAnsi="宋体" w:cs="Arial Unicode MS"/>
          <w:szCs w:val="21"/>
        </w:rPr>
      </w:pPr>
      <w:r>
        <w:rPr>
          <w:rFonts w:ascii="宋体" w:hAnsi="宋体" w:cs="Arial Unicode MS"/>
          <w:szCs w:val="21"/>
        </w:rPr>
        <w:t>十、本协议书中有关词语定义与合同条款中的定义相同。</w:t>
      </w:r>
    </w:p>
    <w:p w14:paraId="7EF1629D">
      <w:pPr>
        <w:tabs>
          <w:tab w:val="left" w:pos="8844"/>
        </w:tabs>
        <w:adjustRightInd w:val="0"/>
        <w:spacing w:before="19" w:line="360" w:lineRule="exact"/>
        <w:ind w:left="1075"/>
        <w:rPr>
          <w:rFonts w:hint="eastAsia" w:ascii="宋体" w:hAnsi="宋体" w:cs="Arial Unicode MS"/>
          <w:szCs w:val="21"/>
        </w:rPr>
      </w:pPr>
      <w:r>
        <w:rPr>
          <w:rFonts w:ascii="宋体" w:hAnsi="宋体" w:cs="Arial Unicode MS"/>
          <w:szCs w:val="21"/>
        </w:rPr>
        <w:t>十一、承包人承诺按照合同约定进行施工、竣工、交付并承担质量缺陷保修责任。</w:t>
      </w:r>
    </w:p>
    <w:p w14:paraId="0D611AF2">
      <w:pPr>
        <w:tabs>
          <w:tab w:val="left" w:pos="8844"/>
        </w:tabs>
        <w:adjustRightInd w:val="0"/>
        <w:spacing w:before="19" w:line="360" w:lineRule="exact"/>
        <w:ind w:left="1075"/>
        <w:rPr>
          <w:rFonts w:hint="eastAsia" w:ascii="宋体" w:hAnsi="宋体" w:cs="Arial Unicode MS"/>
          <w:szCs w:val="21"/>
        </w:rPr>
      </w:pPr>
      <w:r>
        <w:rPr>
          <w:rFonts w:ascii="宋体" w:hAnsi="宋体" w:cs="Arial Unicode MS"/>
          <w:szCs w:val="21"/>
        </w:rPr>
        <w:t xml:space="preserve">十二、发包人承诺按照合同约定的条件、期限和方式向承包人支付合同价款。 </w:t>
      </w:r>
    </w:p>
    <w:p w14:paraId="61537DC5">
      <w:pPr>
        <w:tabs>
          <w:tab w:val="left" w:pos="8844"/>
        </w:tabs>
        <w:adjustRightInd w:val="0"/>
        <w:spacing w:before="19" w:line="360" w:lineRule="exact"/>
        <w:ind w:left="1027" w:leftChars="489"/>
        <w:rPr>
          <w:rFonts w:hint="eastAsia" w:ascii="宋体" w:hAnsi="宋体" w:cs="Arial Unicode MS"/>
          <w:szCs w:val="21"/>
        </w:rPr>
      </w:pPr>
      <w:r>
        <w:rPr>
          <w:rFonts w:ascii="宋体" w:hAnsi="宋体" w:cs="Arial Unicode MS"/>
          <w:szCs w:val="21"/>
        </w:rPr>
        <w:t>十三、本协议书连同其他合同文件正本一式两份，合同双方各执一份；副本一式</w:t>
      </w:r>
      <w:r>
        <w:rPr>
          <w:rFonts w:hint="eastAsia" w:ascii="宋体" w:hAnsi="宋体"/>
          <w:szCs w:val="21"/>
          <w:u w:val="single" w:color="000000"/>
        </w:rPr>
        <w:t>捌</w:t>
      </w:r>
      <w:r>
        <w:rPr>
          <w:rFonts w:ascii="宋体" w:hAnsi="宋体" w:cs="Arial Unicode MS"/>
          <w:szCs w:val="21"/>
        </w:rPr>
        <w:t>份</w:t>
      </w:r>
      <w:r>
        <w:rPr>
          <w:rFonts w:hint="eastAsia" w:ascii="宋体" w:hAnsi="宋体" w:cs="Arial Unicode MS"/>
          <w:szCs w:val="21"/>
        </w:rPr>
        <w:t>，发包人执伍份，承包人执叁份</w:t>
      </w:r>
      <w:r>
        <w:rPr>
          <w:rFonts w:ascii="宋体" w:hAnsi="宋体" w:cs="Arial Unicode MS"/>
          <w:szCs w:val="21"/>
        </w:rPr>
        <w:t xml:space="preserve">。 </w:t>
      </w:r>
    </w:p>
    <w:p w14:paraId="5B0CCFD2">
      <w:pPr>
        <w:tabs>
          <w:tab w:val="left" w:pos="8844"/>
        </w:tabs>
        <w:adjustRightInd w:val="0"/>
        <w:spacing w:before="19" w:line="360" w:lineRule="exact"/>
        <w:ind w:left="1027" w:leftChars="489"/>
        <w:rPr>
          <w:rFonts w:hint="eastAsia" w:ascii="宋体" w:hAnsi="宋体" w:cs="Arial Unicode MS"/>
          <w:szCs w:val="21"/>
        </w:rPr>
      </w:pPr>
      <w:r>
        <w:rPr>
          <w:rFonts w:ascii="宋体" w:hAnsi="宋体" w:cs="Arial Unicode MS"/>
          <w:szCs w:val="21"/>
        </w:rPr>
        <w:t>十四、合同未尽事宜，双方另行签订补充协议，但不得背离本协议第九条所约定的合同文件的实质性内容。补充协议是合同文件的组成部分</w:t>
      </w:r>
      <w:r>
        <w:rPr>
          <w:rFonts w:hint="eastAsia" w:ascii="宋体" w:hAnsi="宋体" w:cs="Arial Unicode MS"/>
          <w:szCs w:val="21"/>
        </w:rPr>
        <w:t>，具有同等法律效力</w:t>
      </w:r>
      <w:r>
        <w:rPr>
          <w:rFonts w:ascii="宋体" w:hAnsi="宋体" w:cs="Arial Unicode MS"/>
          <w:szCs w:val="21"/>
        </w:rPr>
        <w:t>。</w:t>
      </w:r>
    </w:p>
    <w:p w14:paraId="158DA2A7">
      <w:pPr>
        <w:tabs>
          <w:tab w:val="left" w:pos="3654"/>
          <w:tab w:val="left" w:pos="5064"/>
          <w:tab w:val="left" w:pos="7959"/>
        </w:tabs>
        <w:adjustRightInd w:val="0"/>
        <w:spacing w:line="720" w:lineRule="atLeast"/>
        <w:ind w:left="655" w:firstLine="210" w:firstLineChars="100"/>
        <w:rPr>
          <w:rFonts w:hint="eastAsia" w:ascii="宋体" w:hAnsi="宋体" w:cs="Arial Unicode MS"/>
          <w:szCs w:val="21"/>
        </w:rPr>
      </w:pPr>
      <w:r>
        <w:rPr>
          <w:rFonts w:ascii="宋体" w:hAnsi="宋体" w:cs="Arial Unicode MS"/>
          <w:szCs w:val="21"/>
        </w:rPr>
        <w:t>发包人：</w:t>
      </w:r>
      <w:r>
        <w:rPr>
          <w:rFonts w:ascii="宋体" w:hAnsi="宋体"/>
          <w:szCs w:val="21"/>
          <w:u w:val="single" w:color="000000"/>
        </w:rPr>
        <w:t xml:space="preserve"> </w:t>
      </w:r>
      <w:r>
        <w:rPr>
          <w:rFonts w:ascii="宋体" w:hAnsi="宋体"/>
          <w:szCs w:val="21"/>
          <w:u w:val="single" w:color="000000"/>
        </w:rPr>
        <w:tab/>
      </w:r>
      <w:r>
        <w:rPr>
          <w:rFonts w:ascii="宋体" w:hAnsi="宋体" w:cs="Arial Unicode MS"/>
          <w:szCs w:val="21"/>
        </w:rPr>
        <w:t>（盖单位章） 承包人</w:t>
      </w:r>
      <w:r>
        <w:rPr>
          <w:rFonts w:hint="eastAsia" w:ascii="宋体" w:hAnsi="宋体" w:cs="Arial Unicode MS"/>
          <w:szCs w:val="21"/>
          <w:u w:val="single"/>
        </w:rPr>
        <w:t xml:space="preserve">                </w:t>
      </w:r>
      <w:r>
        <w:rPr>
          <w:rFonts w:ascii="宋体" w:hAnsi="宋体" w:cs="Arial Unicode MS"/>
          <w:szCs w:val="21"/>
        </w:rPr>
        <w:t xml:space="preserve">（盖单位章） </w:t>
      </w:r>
    </w:p>
    <w:p w14:paraId="75A5A1B4">
      <w:pPr>
        <w:tabs>
          <w:tab w:val="left" w:pos="3654"/>
          <w:tab w:val="left" w:pos="5064"/>
          <w:tab w:val="left" w:pos="7959"/>
        </w:tabs>
        <w:adjustRightInd w:val="0"/>
        <w:spacing w:line="720" w:lineRule="atLeast"/>
        <w:ind w:left="655" w:firstLine="210" w:firstLineChars="100"/>
        <w:rPr>
          <w:rFonts w:hint="eastAsia" w:ascii="宋体" w:hAnsi="宋体" w:cs="Arial Unicode MS"/>
          <w:szCs w:val="21"/>
        </w:rPr>
      </w:pPr>
      <w:r>
        <w:rPr>
          <w:rFonts w:ascii="宋体" w:hAnsi="宋体" w:cs="Arial Unicode MS"/>
          <w:szCs w:val="21"/>
        </w:rPr>
        <w:t>法定代表人或其</w:t>
      </w:r>
      <w:r>
        <w:rPr>
          <w:rFonts w:ascii="宋体" w:hAnsi="宋体" w:cs="Arial Unicode MS"/>
          <w:szCs w:val="21"/>
        </w:rPr>
        <w:tab/>
      </w:r>
      <w:r>
        <w:rPr>
          <w:rFonts w:hint="eastAsia" w:ascii="宋体" w:hAnsi="宋体" w:cs="Arial Unicode MS"/>
          <w:szCs w:val="21"/>
        </w:rPr>
        <w:t xml:space="preserve">             </w:t>
      </w:r>
      <w:r>
        <w:rPr>
          <w:rFonts w:ascii="宋体" w:hAnsi="宋体" w:cs="Arial Unicode MS"/>
          <w:szCs w:val="21"/>
        </w:rPr>
        <w:t>法定代表人或其</w:t>
      </w:r>
    </w:p>
    <w:p w14:paraId="6E3969B4">
      <w:pPr>
        <w:tabs>
          <w:tab w:val="left" w:pos="3969"/>
          <w:tab w:val="left" w:pos="5019"/>
          <w:tab w:val="left" w:pos="8379"/>
        </w:tabs>
        <w:adjustRightInd w:val="0"/>
        <w:spacing w:line="360" w:lineRule="exact"/>
        <w:ind w:left="655" w:firstLine="210" w:firstLineChars="100"/>
        <w:rPr>
          <w:rFonts w:hint="eastAsia" w:ascii="宋体" w:hAnsi="宋体" w:cs="Arial Unicode MS"/>
          <w:szCs w:val="21"/>
        </w:rPr>
      </w:pPr>
      <w:r>
        <w:rPr>
          <w:rFonts w:ascii="宋体" w:hAnsi="宋体" w:cs="Arial Unicode MS"/>
          <w:szCs w:val="21"/>
        </w:rPr>
        <w:t>委托代理人：</w:t>
      </w:r>
      <w:r>
        <w:rPr>
          <w:rFonts w:ascii="宋体" w:hAnsi="宋体"/>
          <w:szCs w:val="21"/>
          <w:u w:val="single" w:color="000000"/>
        </w:rPr>
        <w:t xml:space="preserve"> </w:t>
      </w:r>
      <w:r>
        <w:rPr>
          <w:rFonts w:ascii="宋体" w:hAnsi="宋体"/>
          <w:szCs w:val="21"/>
          <w:u w:val="single" w:color="000000"/>
        </w:rPr>
        <w:tab/>
      </w:r>
      <w:r>
        <w:rPr>
          <w:rFonts w:ascii="宋体" w:hAnsi="宋体" w:cs="Arial Unicode MS"/>
          <w:szCs w:val="21"/>
        </w:rPr>
        <w:t>（签字）</w:t>
      </w:r>
      <w:r>
        <w:rPr>
          <w:rFonts w:ascii="宋体" w:hAnsi="宋体" w:cs="Arial Unicode MS"/>
          <w:szCs w:val="21"/>
        </w:rPr>
        <w:tab/>
      </w:r>
      <w:r>
        <w:rPr>
          <w:rFonts w:ascii="宋体" w:hAnsi="宋体" w:cs="Arial Unicode MS"/>
          <w:szCs w:val="21"/>
        </w:rPr>
        <w:t>委托代理人：</w:t>
      </w:r>
      <w:r>
        <w:rPr>
          <w:rFonts w:ascii="宋体" w:hAnsi="宋体"/>
          <w:szCs w:val="21"/>
          <w:u w:val="single" w:color="000000"/>
        </w:rPr>
        <w:t xml:space="preserve"> </w:t>
      </w:r>
      <w:r>
        <w:rPr>
          <w:rFonts w:ascii="宋体" w:hAnsi="宋体"/>
          <w:szCs w:val="21"/>
          <w:u w:val="single" w:color="000000"/>
        </w:rPr>
        <w:tab/>
      </w:r>
      <w:r>
        <w:rPr>
          <w:rFonts w:ascii="宋体" w:hAnsi="宋体" w:cs="Arial Unicode MS"/>
          <w:szCs w:val="21"/>
        </w:rPr>
        <w:t>（签字）</w:t>
      </w:r>
    </w:p>
    <w:p w14:paraId="2B990D36">
      <w:pPr>
        <w:adjustRightInd w:val="0"/>
        <w:snapToGrid w:val="0"/>
        <w:spacing w:line="360" w:lineRule="auto"/>
        <w:jc w:val="center"/>
        <w:rPr>
          <w:rFonts w:hint="eastAsia" w:ascii="宋体" w:hAnsi="宋体" w:cs="宋体"/>
          <w:b/>
          <w:bCs/>
          <w:sz w:val="32"/>
          <w:szCs w:val="32"/>
        </w:rPr>
      </w:pPr>
    </w:p>
    <w:p w14:paraId="299C9CF9">
      <w:pPr>
        <w:tabs>
          <w:tab w:val="left" w:pos="5891"/>
          <w:tab w:val="left" w:pos="5981"/>
          <w:tab w:val="left" w:pos="8379"/>
        </w:tabs>
        <w:adjustRightInd w:val="0"/>
        <w:spacing w:line="360" w:lineRule="exact"/>
        <w:ind w:left="655" w:firstLine="210" w:firstLineChars="100"/>
        <w:rPr>
          <w:rFonts w:hint="eastAsia" w:ascii="宋体" w:hAnsi="宋体" w:cs="Arial Unicode MS"/>
          <w:szCs w:val="21"/>
        </w:rPr>
      </w:pPr>
      <w:r>
        <w:rPr>
          <w:rFonts w:hint="eastAsia" w:ascii="宋体" w:hAnsi="宋体" w:cs="Arial Unicode MS"/>
          <w:szCs w:val="21"/>
        </w:rPr>
        <w:t xml:space="preserve">  签订日期：    年    月               签订日期：    年    月   日</w:t>
      </w:r>
    </w:p>
    <w:p w14:paraId="783EB374">
      <w:pPr>
        <w:rPr>
          <w:rFonts w:hint="eastAsia" w:ascii="宋体" w:hAnsi="宋体" w:cs="宋体"/>
          <w:b/>
          <w:bCs/>
          <w:sz w:val="32"/>
          <w:szCs w:val="32"/>
        </w:rPr>
      </w:pPr>
      <w:r>
        <w:rPr>
          <w:rFonts w:ascii="宋体" w:hAnsi="宋体" w:cs="宋体"/>
          <w:b/>
          <w:bCs/>
          <w:sz w:val="32"/>
          <w:szCs w:val="32"/>
        </w:rPr>
        <w:br w:type="page"/>
      </w:r>
    </w:p>
    <w:p w14:paraId="18774F6C">
      <w:pPr>
        <w:pStyle w:val="3"/>
        <w:ind w:left="647"/>
        <w:rPr>
          <w:rFonts w:hint="eastAsia" w:hAnsi="宋体"/>
          <w:sz w:val="28"/>
          <w:szCs w:val="28"/>
        </w:rPr>
      </w:pPr>
      <w:r>
        <w:rPr>
          <w:rFonts w:hint="eastAsia" w:hAnsi="宋体"/>
          <w:sz w:val="28"/>
          <w:szCs w:val="28"/>
        </w:rPr>
        <w:t xml:space="preserve">第二部分   </w:t>
      </w:r>
      <w:r>
        <w:rPr>
          <w:rFonts w:hAnsi="宋体"/>
          <w:sz w:val="28"/>
          <w:szCs w:val="28"/>
        </w:rPr>
        <w:t>合同条款通用部分</w:t>
      </w:r>
    </w:p>
    <w:p w14:paraId="342E9377">
      <w:pPr>
        <w:keepNext/>
        <w:keepLines/>
        <w:spacing w:before="120" w:beforeLines="50" w:after="120" w:afterLines="50" w:line="360" w:lineRule="auto"/>
        <w:outlineLvl w:val="1"/>
        <w:rPr>
          <w:rFonts w:hint="eastAsia" w:ascii="宋体" w:hAnsi="宋体" w:cs="宋体"/>
          <w:sz w:val="28"/>
          <w:szCs w:val="20"/>
        </w:rPr>
      </w:pPr>
      <w:bookmarkStart w:id="584" w:name="_Toc486580042"/>
      <w:bookmarkStart w:id="585" w:name="_Toc489279853"/>
      <w:bookmarkStart w:id="586" w:name="_Toc342296262"/>
      <w:bookmarkStart w:id="587" w:name="_Toc117350406"/>
      <w:bookmarkStart w:id="588" w:name="_Toc480486724"/>
      <w:bookmarkStart w:id="589" w:name="_Toc483668071"/>
      <w:bookmarkStart w:id="590" w:name="_Toc480486894"/>
      <w:bookmarkStart w:id="591" w:name="_Toc490222487"/>
      <w:bookmarkStart w:id="592" w:name="_Toc338944704"/>
      <w:r>
        <w:rPr>
          <w:rFonts w:ascii="宋体" w:hAnsi="宋体" w:cs="宋体"/>
          <w:sz w:val="28"/>
          <w:szCs w:val="20"/>
        </w:rPr>
        <w:t>1.</w:t>
      </w:r>
      <w:r>
        <w:rPr>
          <w:rFonts w:hint="eastAsia" w:ascii="宋体" w:hAnsi="宋体" w:cs="宋体"/>
          <w:sz w:val="28"/>
          <w:szCs w:val="20"/>
        </w:rPr>
        <w:t>一般约定</w:t>
      </w:r>
      <w:bookmarkEnd w:id="584"/>
      <w:bookmarkEnd w:id="585"/>
      <w:bookmarkEnd w:id="586"/>
      <w:bookmarkEnd w:id="587"/>
      <w:bookmarkEnd w:id="588"/>
      <w:bookmarkEnd w:id="589"/>
      <w:bookmarkEnd w:id="590"/>
      <w:bookmarkEnd w:id="591"/>
      <w:bookmarkEnd w:id="592"/>
    </w:p>
    <w:p w14:paraId="79DBFCAA">
      <w:pPr>
        <w:keepNext/>
        <w:keepLines/>
        <w:spacing w:before="120" w:beforeLines="50" w:after="120" w:afterLines="50" w:line="360" w:lineRule="auto"/>
        <w:outlineLvl w:val="2"/>
        <w:rPr>
          <w:rFonts w:hint="eastAsia" w:ascii="宋体" w:hAnsi="宋体"/>
          <w:sz w:val="24"/>
          <w:szCs w:val="20"/>
        </w:rPr>
      </w:pPr>
      <w:bookmarkStart w:id="593" w:name="_Toc489279854"/>
      <w:bookmarkStart w:id="594" w:name="_Toc486580043"/>
      <w:bookmarkStart w:id="595" w:name="_Toc480486725"/>
      <w:bookmarkStart w:id="596" w:name="_Toc480486895"/>
      <w:bookmarkStart w:id="597" w:name="_Toc338944705"/>
      <w:bookmarkStart w:id="598" w:name="_Toc483668072"/>
      <w:bookmarkStart w:id="599" w:name="_Toc490222488"/>
      <w:bookmarkStart w:id="600" w:name="_Toc117350407"/>
      <w:bookmarkStart w:id="601" w:name="_Toc342296263"/>
      <w:r>
        <w:rPr>
          <w:rFonts w:ascii="宋体" w:hAnsi="宋体"/>
          <w:sz w:val="24"/>
          <w:szCs w:val="20"/>
        </w:rPr>
        <w:t xml:space="preserve">1.1  </w:t>
      </w:r>
      <w:r>
        <w:rPr>
          <w:rFonts w:hint="eastAsia" w:ascii="宋体" w:hAnsi="宋体"/>
          <w:sz w:val="24"/>
          <w:szCs w:val="20"/>
        </w:rPr>
        <w:t>词语定义</w:t>
      </w:r>
      <w:bookmarkEnd w:id="593"/>
      <w:bookmarkEnd w:id="594"/>
      <w:bookmarkEnd w:id="595"/>
      <w:bookmarkEnd w:id="596"/>
      <w:bookmarkEnd w:id="597"/>
      <w:bookmarkEnd w:id="598"/>
      <w:bookmarkEnd w:id="599"/>
      <w:bookmarkEnd w:id="600"/>
      <w:bookmarkEnd w:id="601"/>
    </w:p>
    <w:p w14:paraId="07790E0E">
      <w:pPr>
        <w:spacing w:line="360" w:lineRule="auto"/>
        <w:ind w:firstLine="420" w:firstLineChars="200"/>
        <w:rPr>
          <w:rFonts w:hint="eastAsia" w:ascii="宋体" w:hAnsi="宋体"/>
        </w:rPr>
      </w:pPr>
      <w:r>
        <w:rPr>
          <w:rFonts w:hint="eastAsia" w:ascii="宋体" w:hAnsi="宋体"/>
        </w:rPr>
        <w:t>合同条款通用部分、合同条款专用部分中的下列词语应具有本款所赋予的含义。</w:t>
      </w:r>
    </w:p>
    <w:p w14:paraId="4A1CF225">
      <w:pPr>
        <w:spacing w:line="360" w:lineRule="auto"/>
        <w:ind w:firstLine="420" w:firstLineChars="200"/>
        <w:rPr>
          <w:rFonts w:hint="eastAsia" w:ascii="宋体" w:hAnsi="宋体"/>
        </w:rPr>
      </w:pPr>
      <w:bookmarkStart w:id="602" w:name="_Toc480486896"/>
      <w:r>
        <w:rPr>
          <w:rFonts w:ascii="宋体" w:hAnsi="宋体"/>
        </w:rPr>
        <w:t xml:space="preserve">1.1.1  </w:t>
      </w:r>
      <w:r>
        <w:rPr>
          <w:rFonts w:hint="eastAsia" w:ascii="宋体" w:hAnsi="宋体"/>
        </w:rPr>
        <w:t>合同</w:t>
      </w:r>
      <w:bookmarkEnd w:id="602"/>
    </w:p>
    <w:p w14:paraId="53826515">
      <w:pPr>
        <w:spacing w:line="360" w:lineRule="auto"/>
        <w:ind w:firstLine="630" w:firstLineChars="300"/>
        <w:rPr>
          <w:rFonts w:hint="eastAsia" w:ascii="宋体" w:hAnsi="宋体"/>
        </w:rPr>
      </w:pPr>
      <w:r>
        <w:rPr>
          <w:rFonts w:ascii="宋体" w:hAnsi="宋体"/>
        </w:rPr>
        <w:t xml:space="preserve">1.1.1.1  </w:t>
      </w:r>
      <w:r>
        <w:rPr>
          <w:rFonts w:hint="eastAsia" w:ascii="宋体" w:hAnsi="宋体"/>
        </w:rPr>
        <w:t>合同文件（或称合同）：指合同协议书、中标通知书、投标函及投标函附录、合同条款专用部分、合同条款通用部分、技术标准和要求、图纸、已标价工程量清单，以及其他合同文件。</w:t>
      </w:r>
    </w:p>
    <w:p w14:paraId="4C6CC932">
      <w:pPr>
        <w:spacing w:line="360" w:lineRule="auto"/>
        <w:ind w:firstLine="630" w:firstLineChars="300"/>
        <w:rPr>
          <w:rFonts w:hint="eastAsia" w:ascii="宋体" w:hAnsi="宋体"/>
        </w:rPr>
      </w:pPr>
      <w:r>
        <w:rPr>
          <w:rFonts w:ascii="宋体" w:hAnsi="宋体"/>
        </w:rPr>
        <w:t xml:space="preserve">1.1.1.2  </w:t>
      </w:r>
      <w:r>
        <w:rPr>
          <w:rFonts w:hint="eastAsia" w:ascii="宋体" w:hAnsi="宋体"/>
        </w:rPr>
        <w:t>合同协议书：指第</w:t>
      </w:r>
      <w:r>
        <w:rPr>
          <w:rFonts w:ascii="宋体" w:hAnsi="宋体"/>
        </w:rPr>
        <w:t>1.5</w:t>
      </w:r>
      <w:r>
        <w:rPr>
          <w:rFonts w:hint="eastAsia" w:ascii="宋体" w:hAnsi="宋体"/>
        </w:rPr>
        <w:t>款所指的合同协议书。</w:t>
      </w:r>
    </w:p>
    <w:p w14:paraId="046F5298">
      <w:pPr>
        <w:spacing w:line="360" w:lineRule="auto"/>
        <w:ind w:firstLine="630" w:firstLineChars="300"/>
        <w:rPr>
          <w:rFonts w:hint="eastAsia" w:ascii="宋体" w:hAnsi="宋体"/>
        </w:rPr>
      </w:pPr>
      <w:r>
        <w:rPr>
          <w:rFonts w:ascii="宋体" w:hAnsi="宋体"/>
        </w:rPr>
        <w:t xml:space="preserve">1.1.1.3  </w:t>
      </w:r>
      <w:r>
        <w:rPr>
          <w:rFonts w:hint="eastAsia" w:ascii="宋体" w:hAnsi="宋体"/>
        </w:rPr>
        <w:t>中标通知书：指发包人通知承包人中标的函件。</w:t>
      </w:r>
    </w:p>
    <w:p w14:paraId="3DC03303">
      <w:pPr>
        <w:spacing w:line="360" w:lineRule="auto"/>
        <w:ind w:firstLine="630" w:firstLineChars="300"/>
        <w:rPr>
          <w:rFonts w:hint="eastAsia" w:ascii="宋体" w:hAnsi="宋体"/>
        </w:rPr>
      </w:pPr>
      <w:r>
        <w:rPr>
          <w:rFonts w:ascii="宋体" w:hAnsi="宋体"/>
        </w:rPr>
        <w:t xml:space="preserve">1.1.1.4  </w:t>
      </w:r>
      <w:r>
        <w:rPr>
          <w:rFonts w:hint="eastAsia" w:ascii="宋体" w:hAnsi="宋体"/>
        </w:rPr>
        <w:t>投标函：指构成合同文件组成部分的由承包人填写并签署的投标函。</w:t>
      </w:r>
    </w:p>
    <w:p w14:paraId="1171D0DC">
      <w:pPr>
        <w:spacing w:line="360" w:lineRule="auto"/>
        <w:ind w:firstLine="630" w:firstLineChars="300"/>
        <w:rPr>
          <w:rFonts w:hint="eastAsia" w:ascii="宋体" w:hAnsi="宋体"/>
        </w:rPr>
      </w:pPr>
      <w:r>
        <w:rPr>
          <w:rFonts w:ascii="宋体" w:hAnsi="宋体"/>
        </w:rPr>
        <w:t xml:space="preserve">1.1.1.5  </w:t>
      </w:r>
      <w:r>
        <w:rPr>
          <w:rFonts w:hint="eastAsia" w:ascii="宋体" w:hAnsi="宋体"/>
        </w:rPr>
        <w:t>投标函附录：指附在投标函后构成合同文件的投标函附录。</w:t>
      </w:r>
    </w:p>
    <w:p w14:paraId="5666486F">
      <w:pPr>
        <w:spacing w:line="360" w:lineRule="auto"/>
        <w:ind w:firstLine="630" w:firstLineChars="300"/>
        <w:rPr>
          <w:rFonts w:hint="eastAsia" w:ascii="宋体" w:hAnsi="宋体"/>
        </w:rPr>
      </w:pPr>
      <w:r>
        <w:rPr>
          <w:rFonts w:ascii="宋体" w:hAnsi="宋体"/>
        </w:rPr>
        <w:t xml:space="preserve">1.1.1.6  </w:t>
      </w:r>
      <w:r>
        <w:rPr>
          <w:rFonts w:hint="eastAsia" w:ascii="宋体" w:hAnsi="宋体"/>
        </w:rPr>
        <w:t>合同条款：指构成合同文件组成部分的合同条款通用部分和（或）合同条款专用部分。</w:t>
      </w:r>
    </w:p>
    <w:p w14:paraId="2CF5B33A">
      <w:pPr>
        <w:spacing w:line="360" w:lineRule="auto"/>
        <w:ind w:firstLine="630" w:firstLineChars="300"/>
        <w:rPr>
          <w:rFonts w:hint="eastAsia" w:ascii="宋体" w:hAnsi="宋体"/>
        </w:rPr>
      </w:pPr>
      <w:r>
        <w:rPr>
          <w:rFonts w:ascii="宋体" w:hAnsi="宋体"/>
        </w:rPr>
        <w:t xml:space="preserve">1.1.1.7  </w:t>
      </w:r>
      <w:r>
        <w:rPr>
          <w:rFonts w:hint="eastAsia" w:ascii="宋体" w:hAnsi="宋体"/>
        </w:rPr>
        <w:t>技术标准和要求：指构成合同文件组成部分的名为技术标准和要求的文件，包括合同双方当事人约定对其所作的修改或补充。</w:t>
      </w:r>
    </w:p>
    <w:p w14:paraId="68E976EF">
      <w:pPr>
        <w:spacing w:line="360" w:lineRule="auto"/>
        <w:ind w:firstLine="630" w:firstLineChars="300"/>
        <w:rPr>
          <w:rFonts w:hint="eastAsia" w:ascii="宋体" w:hAnsi="宋体"/>
        </w:rPr>
      </w:pPr>
      <w:r>
        <w:rPr>
          <w:rFonts w:ascii="宋体" w:hAnsi="宋体"/>
        </w:rPr>
        <w:t xml:space="preserve">1.1.1.8  </w:t>
      </w:r>
      <w:r>
        <w:rPr>
          <w:rFonts w:hint="eastAsia" w:ascii="宋体" w:hAnsi="宋体"/>
        </w:rPr>
        <w:t>图纸：指包含在合同中的工程图纸，以及由发包人按合同约定提供的任何补充和修改的图纸，包括配套的说明。</w:t>
      </w:r>
    </w:p>
    <w:p w14:paraId="5F8497DF">
      <w:pPr>
        <w:spacing w:line="360" w:lineRule="auto"/>
        <w:ind w:firstLine="630" w:firstLineChars="300"/>
        <w:rPr>
          <w:rFonts w:hint="eastAsia" w:ascii="宋体" w:hAnsi="宋体"/>
        </w:rPr>
      </w:pPr>
      <w:r>
        <w:rPr>
          <w:rFonts w:ascii="宋体" w:hAnsi="宋体"/>
        </w:rPr>
        <w:t xml:space="preserve">1.1.1.9  </w:t>
      </w:r>
      <w:r>
        <w:rPr>
          <w:rFonts w:hint="eastAsia" w:ascii="宋体" w:hAnsi="宋体"/>
        </w:rPr>
        <w:t>已标价工程量清单：指构成合同文件组成部分的由承包人按照规定的格式和要求填写并标明价格的工程量清单。</w:t>
      </w:r>
    </w:p>
    <w:p w14:paraId="7CC3392C">
      <w:pPr>
        <w:spacing w:line="360" w:lineRule="auto"/>
        <w:ind w:firstLine="630" w:firstLineChars="300"/>
        <w:rPr>
          <w:rFonts w:hint="eastAsia" w:ascii="宋体" w:hAnsi="宋体"/>
        </w:rPr>
      </w:pPr>
      <w:r>
        <w:rPr>
          <w:rFonts w:ascii="宋体" w:hAnsi="宋体"/>
        </w:rPr>
        <w:t xml:space="preserve">1.1.1.10  </w:t>
      </w:r>
      <w:r>
        <w:rPr>
          <w:rFonts w:hint="eastAsia" w:ascii="宋体" w:hAnsi="宋体"/>
        </w:rPr>
        <w:t>其他合同文件：指经合同双方当事人确认构成合同文件的其他文件。</w:t>
      </w:r>
    </w:p>
    <w:p w14:paraId="68755427">
      <w:pPr>
        <w:spacing w:line="360" w:lineRule="auto"/>
        <w:ind w:firstLine="420" w:firstLineChars="200"/>
        <w:rPr>
          <w:rFonts w:hint="eastAsia" w:ascii="宋体" w:hAnsi="宋体"/>
        </w:rPr>
      </w:pPr>
      <w:bookmarkStart w:id="603" w:name="_Toc480486897"/>
      <w:r>
        <w:rPr>
          <w:rFonts w:ascii="宋体" w:hAnsi="宋体"/>
        </w:rPr>
        <w:t xml:space="preserve">1.1.2  </w:t>
      </w:r>
      <w:r>
        <w:rPr>
          <w:rFonts w:hint="eastAsia" w:ascii="宋体" w:hAnsi="宋体"/>
        </w:rPr>
        <w:t>合同当事人和人员</w:t>
      </w:r>
      <w:bookmarkEnd w:id="603"/>
    </w:p>
    <w:p w14:paraId="782A5014">
      <w:pPr>
        <w:spacing w:line="360" w:lineRule="auto"/>
        <w:ind w:firstLine="630" w:firstLineChars="300"/>
        <w:rPr>
          <w:rFonts w:hint="eastAsia" w:ascii="宋体" w:hAnsi="宋体"/>
        </w:rPr>
      </w:pPr>
      <w:r>
        <w:rPr>
          <w:rFonts w:ascii="宋体" w:hAnsi="宋体"/>
        </w:rPr>
        <w:t xml:space="preserve">1.1.2.1  </w:t>
      </w:r>
      <w:r>
        <w:rPr>
          <w:rFonts w:hint="eastAsia" w:ascii="宋体" w:hAnsi="宋体"/>
        </w:rPr>
        <w:t>合同当事人：指发包人和（或）承包人。</w:t>
      </w:r>
    </w:p>
    <w:p w14:paraId="0A4F0F66">
      <w:pPr>
        <w:spacing w:line="360" w:lineRule="auto"/>
        <w:ind w:firstLine="630" w:firstLineChars="300"/>
        <w:rPr>
          <w:rFonts w:hint="eastAsia" w:ascii="宋体" w:hAnsi="宋体"/>
        </w:rPr>
      </w:pPr>
      <w:r>
        <w:rPr>
          <w:rFonts w:ascii="宋体" w:hAnsi="宋体"/>
        </w:rPr>
        <w:t xml:space="preserve">1.1.2.2  </w:t>
      </w:r>
      <w:r>
        <w:rPr>
          <w:rFonts w:hint="eastAsia" w:ascii="宋体" w:hAnsi="宋体"/>
        </w:rPr>
        <w:t>发包人：指合同协议书中约定，具有工程发包主体资格和承诺按照合同约定的条件、期限和方式向承包人支付工程价款的当事人，以及取得该当事人资格的合法继承人。发包人名称见合同条款专用部分。</w:t>
      </w:r>
    </w:p>
    <w:p w14:paraId="160E608C">
      <w:pPr>
        <w:spacing w:line="360" w:lineRule="auto"/>
        <w:ind w:firstLine="630" w:firstLineChars="300"/>
        <w:rPr>
          <w:rFonts w:hint="eastAsia" w:ascii="宋体" w:hAnsi="宋体"/>
        </w:rPr>
      </w:pPr>
      <w:r>
        <w:rPr>
          <w:rFonts w:ascii="宋体" w:hAnsi="宋体"/>
        </w:rPr>
        <w:t xml:space="preserve">1.1.2.3  </w:t>
      </w:r>
      <w:r>
        <w:rPr>
          <w:rFonts w:hint="eastAsia" w:ascii="宋体" w:hAnsi="宋体"/>
        </w:rPr>
        <w:t>承包人：指合同协议书中约定，具有合同工程承包主体资格，并承诺按照合同约定进行施工、竣工、交付并承担质量缺陷保修责任的当事人，以及取得该当事人资格的合法继承人。承包人名称见合同条款专用部分。</w:t>
      </w:r>
    </w:p>
    <w:p w14:paraId="409A9FF2">
      <w:pPr>
        <w:spacing w:line="360" w:lineRule="auto"/>
        <w:ind w:firstLine="630" w:firstLineChars="300"/>
        <w:rPr>
          <w:rFonts w:hint="eastAsia" w:ascii="宋体" w:hAnsi="宋体"/>
        </w:rPr>
      </w:pPr>
      <w:r>
        <w:rPr>
          <w:rFonts w:ascii="宋体" w:hAnsi="宋体"/>
        </w:rPr>
        <w:t xml:space="preserve">1.1.2.4  </w:t>
      </w:r>
      <w:r>
        <w:rPr>
          <w:rFonts w:hint="eastAsia" w:ascii="宋体" w:hAnsi="宋体"/>
        </w:rPr>
        <w:t>承包人项目经理：指承包人派驻施工场地的全权负责人。</w:t>
      </w:r>
    </w:p>
    <w:p w14:paraId="06F6CC87">
      <w:pPr>
        <w:spacing w:line="360" w:lineRule="auto"/>
        <w:ind w:firstLine="630" w:firstLineChars="300"/>
        <w:rPr>
          <w:rFonts w:hint="eastAsia" w:ascii="宋体" w:hAnsi="宋体"/>
        </w:rPr>
      </w:pPr>
      <w:r>
        <w:rPr>
          <w:rFonts w:ascii="宋体" w:hAnsi="宋体"/>
        </w:rPr>
        <w:t xml:space="preserve">1.1.2.5  </w:t>
      </w:r>
      <w:r>
        <w:rPr>
          <w:rFonts w:hint="eastAsia" w:ascii="宋体" w:hAnsi="宋体"/>
        </w:rPr>
        <w:t>分包人：指从承包人处分包合同中某一部分工程，并与其签订分包合同的分包人。</w:t>
      </w:r>
    </w:p>
    <w:p w14:paraId="451100B4">
      <w:pPr>
        <w:spacing w:line="360" w:lineRule="auto"/>
        <w:ind w:firstLine="630" w:firstLineChars="300"/>
        <w:rPr>
          <w:rFonts w:hint="eastAsia" w:ascii="宋体" w:hAnsi="宋体"/>
        </w:rPr>
      </w:pPr>
      <w:r>
        <w:rPr>
          <w:rFonts w:ascii="宋体" w:hAnsi="宋体"/>
        </w:rPr>
        <w:t xml:space="preserve">1.1.2.6  </w:t>
      </w:r>
      <w:r>
        <w:rPr>
          <w:rFonts w:hint="eastAsia" w:ascii="宋体" w:hAnsi="宋体"/>
        </w:rPr>
        <w:t>监理人：指发包人委托的对合同履行实施管理的法人或其他组织。监理人名称见合同条款专用部分。</w:t>
      </w:r>
    </w:p>
    <w:p w14:paraId="3854D2EE">
      <w:pPr>
        <w:spacing w:line="360" w:lineRule="auto"/>
        <w:ind w:firstLine="630" w:firstLineChars="300"/>
        <w:rPr>
          <w:rFonts w:hint="eastAsia" w:ascii="宋体" w:hAnsi="宋体"/>
        </w:rPr>
      </w:pPr>
      <w:r>
        <w:rPr>
          <w:rFonts w:ascii="宋体" w:hAnsi="宋体"/>
        </w:rPr>
        <w:t xml:space="preserve">1.1.2.7  </w:t>
      </w:r>
      <w:r>
        <w:rPr>
          <w:rFonts w:hint="eastAsia" w:ascii="宋体" w:hAnsi="宋体"/>
        </w:rPr>
        <w:t>总监理工程师（总监）：指由监理人委派常驻施工场地对合同履行实施管理的全权负责人。</w:t>
      </w:r>
    </w:p>
    <w:p w14:paraId="292CD0A0">
      <w:pPr>
        <w:spacing w:line="360" w:lineRule="auto"/>
        <w:ind w:firstLine="630" w:firstLineChars="300"/>
        <w:rPr>
          <w:rFonts w:hint="eastAsia" w:ascii="宋体" w:hAnsi="宋体"/>
        </w:rPr>
      </w:pPr>
      <w:r>
        <w:rPr>
          <w:rFonts w:ascii="宋体" w:hAnsi="宋体"/>
        </w:rPr>
        <w:t xml:space="preserve">1.1.2.8  </w:t>
      </w:r>
      <w:r>
        <w:rPr>
          <w:rFonts w:hint="eastAsia" w:ascii="宋体" w:hAnsi="宋体"/>
        </w:rPr>
        <w:t>发包人代表：指由发包人指定的派驻施工场地（现场）的全权代表。发包人代表相关信息见合同条款专用部分。</w:t>
      </w:r>
    </w:p>
    <w:p w14:paraId="374C4DA3">
      <w:pPr>
        <w:spacing w:line="360" w:lineRule="auto"/>
        <w:ind w:firstLine="630" w:firstLineChars="300"/>
        <w:rPr>
          <w:rFonts w:hint="eastAsia" w:ascii="宋体" w:hAnsi="宋体"/>
        </w:rPr>
      </w:pPr>
      <w:r>
        <w:rPr>
          <w:rFonts w:ascii="宋体" w:hAnsi="宋体"/>
        </w:rPr>
        <w:t xml:space="preserve">1.1.2.9  </w:t>
      </w:r>
      <w:r>
        <w:rPr>
          <w:rFonts w:hint="eastAsia" w:ascii="宋体" w:hAnsi="宋体"/>
        </w:rPr>
        <w:t>专业分包人：指根据合同条款第</w:t>
      </w:r>
      <w:r>
        <w:rPr>
          <w:rFonts w:ascii="宋体" w:hAnsi="宋体"/>
        </w:rPr>
        <w:t>15.8.1</w:t>
      </w:r>
      <w:r>
        <w:rPr>
          <w:rFonts w:hint="eastAsia" w:ascii="宋体" w:hAnsi="宋体"/>
        </w:rPr>
        <w:t>项的约定，由发包人和承包人以招标方式选择的分包人。</w:t>
      </w:r>
    </w:p>
    <w:p w14:paraId="054B32F2">
      <w:pPr>
        <w:spacing w:line="360" w:lineRule="auto"/>
        <w:ind w:firstLine="630" w:firstLineChars="300"/>
        <w:rPr>
          <w:rFonts w:hint="eastAsia" w:ascii="宋体" w:hAnsi="宋体"/>
        </w:rPr>
      </w:pPr>
      <w:r>
        <w:rPr>
          <w:rFonts w:ascii="宋体" w:hAnsi="宋体"/>
        </w:rPr>
        <w:t xml:space="preserve">1.1.2.10  </w:t>
      </w:r>
      <w:r>
        <w:rPr>
          <w:rFonts w:hint="eastAsia" w:ascii="宋体" w:hAnsi="宋体"/>
        </w:rPr>
        <w:t>专项供应商：指根据合同条款第</w:t>
      </w:r>
      <w:r>
        <w:rPr>
          <w:rFonts w:ascii="宋体" w:hAnsi="宋体"/>
        </w:rPr>
        <w:t>15.8.1</w:t>
      </w:r>
      <w:r>
        <w:rPr>
          <w:rFonts w:hint="eastAsia" w:ascii="宋体" w:hAnsi="宋体"/>
        </w:rPr>
        <w:t>项的约定，由发包人和承包人以招标方式选择的供应商。</w:t>
      </w:r>
    </w:p>
    <w:p w14:paraId="30EE2164">
      <w:pPr>
        <w:spacing w:line="360" w:lineRule="auto"/>
        <w:ind w:firstLine="630" w:firstLineChars="300"/>
        <w:rPr>
          <w:rFonts w:hint="eastAsia" w:ascii="宋体" w:hAnsi="宋体"/>
        </w:rPr>
      </w:pPr>
      <w:r>
        <w:rPr>
          <w:rFonts w:ascii="宋体" w:hAnsi="宋体"/>
        </w:rPr>
        <w:t xml:space="preserve">1.1.2.11  </w:t>
      </w:r>
      <w:r>
        <w:rPr>
          <w:rFonts w:hint="eastAsia" w:ascii="宋体" w:hAnsi="宋体"/>
        </w:rPr>
        <w:t>独立承包人：指与发包人直接订立工程承包合同，负责实施与工程有关的其他工作的当事人。</w:t>
      </w:r>
    </w:p>
    <w:p w14:paraId="3A83CB00">
      <w:pPr>
        <w:spacing w:line="360" w:lineRule="auto"/>
        <w:ind w:firstLine="420" w:firstLineChars="200"/>
        <w:rPr>
          <w:rFonts w:hint="eastAsia" w:ascii="宋体" w:hAnsi="宋体"/>
        </w:rPr>
      </w:pPr>
      <w:r>
        <w:rPr>
          <w:rFonts w:ascii="宋体" w:hAnsi="宋体"/>
        </w:rPr>
        <w:t xml:space="preserve">1.1.3  </w:t>
      </w:r>
      <w:r>
        <w:rPr>
          <w:rFonts w:hint="eastAsia" w:ascii="宋体" w:hAnsi="宋体"/>
        </w:rPr>
        <w:t>工程和设备</w:t>
      </w:r>
    </w:p>
    <w:p w14:paraId="6D0F9863">
      <w:pPr>
        <w:spacing w:line="360" w:lineRule="auto"/>
        <w:ind w:firstLine="630" w:firstLineChars="300"/>
        <w:rPr>
          <w:rFonts w:hint="eastAsia" w:ascii="宋体" w:hAnsi="宋体"/>
        </w:rPr>
      </w:pPr>
      <w:r>
        <w:rPr>
          <w:rFonts w:ascii="宋体" w:hAnsi="宋体"/>
        </w:rPr>
        <w:t xml:space="preserve">1.1.3.1  </w:t>
      </w:r>
      <w:r>
        <w:rPr>
          <w:rFonts w:hint="eastAsia" w:ascii="宋体" w:hAnsi="宋体"/>
        </w:rPr>
        <w:t>工程：指永久工程和（或）临时工程。</w:t>
      </w:r>
    </w:p>
    <w:p w14:paraId="0A56028F">
      <w:pPr>
        <w:spacing w:line="360" w:lineRule="auto"/>
        <w:ind w:firstLine="630" w:firstLineChars="300"/>
        <w:rPr>
          <w:rFonts w:hint="eastAsia" w:ascii="宋体" w:hAnsi="宋体"/>
        </w:rPr>
      </w:pPr>
      <w:r>
        <w:rPr>
          <w:rFonts w:ascii="宋体" w:hAnsi="宋体"/>
        </w:rPr>
        <w:t xml:space="preserve">1.1.3.2  </w:t>
      </w:r>
      <w:r>
        <w:rPr>
          <w:rFonts w:hint="eastAsia" w:ascii="宋体" w:hAnsi="宋体"/>
        </w:rPr>
        <w:t>永久工程：指按照合同约定所需建造、完成并移交给发包人的工程，包括工程设备。永久工程的约定见合同条款专用部分。</w:t>
      </w:r>
    </w:p>
    <w:p w14:paraId="20ACCD57">
      <w:pPr>
        <w:spacing w:line="360" w:lineRule="auto"/>
        <w:ind w:firstLine="630" w:firstLineChars="300"/>
        <w:rPr>
          <w:rFonts w:hint="eastAsia" w:ascii="宋体" w:hAnsi="宋体"/>
        </w:rPr>
      </w:pPr>
      <w:r>
        <w:rPr>
          <w:rFonts w:ascii="宋体" w:hAnsi="宋体"/>
        </w:rPr>
        <w:t xml:space="preserve">1.1.3.3  </w:t>
      </w:r>
      <w:r>
        <w:rPr>
          <w:rFonts w:hint="eastAsia" w:ascii="宋体" w:hAnsi="宋体"/>
        </w:rPr>
        <w:t>临时工程：指为完成合同约定的永久工程所修建的各类临时性工程，不包括施工设备。临时工程的约定见合同条款专用部分。</w:t>
      </w:r>
    </w:p>
    <w:p w14:paraId="204E4E96">
      <w:pPr>
        <w:spacing w:line="360" w:lineRule="auto"/>
        <w:ind w:firstLine="630" w:firstLineChars="300"/>
        <w:rPr>
          <w:rFonts w:hint="eastAsia" w:ascii="宋体" w:hAnsi="宋体"/>
        </w:rPr>
      </w:pPr>
      <w:r>
        <w:rPr>
          <w:rFonts w:ascii="宋体" w:hAnsi="宋体"/>
        </w:rPr>
        <w:t xml:space="preserve">1.1.3.4  </w:t>
      </w:r>
      <w:r>
        <w:rPr>
          <w:rFonts w:hint="eastAsia" w:ascii="宋体" w:hAnsi="宋体"/>
        </w:rPr>
        <w:t>单位工程：指具有相对独立的设计文件，能够独立组织施工并能形成独立使用功能的永久工程的组成部分。</w:t>
      </w:r>
    </w:p>
    <w:p w14:paraId="77298B02">
      <w:pPr>
        <w:spacing w:line="360" w:lineRule="auto"/>
        <w:ind w:firstLine="630" w:firstLineChars="300"/>
        <w:rPr>
          <w:rFonts w:hint="eastAsia" w:ascii="宋体" w:hAnsi="宋体"/>
        </w:rPr>
      </w:pPr>
      <w:r>
        <w:rPr>
          <w:rFonts w:ascii="宋体" w:hAnsi="宋体"/>
        </w:rPr>
        <w:t xml:space="preserve">1.1.3.5  </w:t>
      </w:r>
      <w:r>
        <w:rPr>
          <w:rFonts w:hint="eastAsia" w:ascii="宋体" w:hAnsi="宋体"/>
        </w:rPr>
        <w:t>工程设备：指构成或计划构成永久工程一部分的机电设备、金属结构设备、仪器装置及其他类似的设备和装置。</w:t>
      </w:r>
    </w:p>
    <w:p w14:paraId="0FC6C69D">
      <w:pPr>
        <w:spacing w:line="360" w:lineRule="auto"/>
        <w:ind w:firstLine="630" w:firstLineChars="300"/>
        <w:rPr>
          <w:rFonts w:hint="eastAsia" w:ascii="宋体" w:hAnsi="宋体"/>
        </w:rPr>
      </w:pPr>
      <w:r>
        <w:rPr>
          <w:rFonts w:ascii="宋体" w:hAnsi="宋体"/>
        </w:rPr>
        <w:t xml:space="preserve">1.1.3.6  </w:t>
      </w:r>
      <w:r>
        <w:rPr>
          <w:rFonts w:hint="eastAsia" w:ascii="宋体" w:hAnsi="宋体"/>
        </w:rPr>
        <w:t>施工设备：指为完成合同约定的各项工作所需的设备、器具和其他物品，不包括临时工程和材料。</w:t>
      </w:r>
    </w:p>
    <w:p w14:paraId="57BE2450">
      <w:pPr>
        <w:spacing w:line="360" w:lineRule="auto"/>
        <w:ind w:firstLine="630" w:firstLineChars="300"/>
        <w:rPr>
          <w:rFonts w:hint="eastAsia" w:ascii="宋体" w:hAnsi="宋体"/>
        </w:rPr>
      </w:pPr>
      <w:r>
        <w:rPr>
          <w:rFonts w:ascii="宋体" w:hAnsi="宋体"/>
        </w:rPr>
        <w:t xml:space="preserve">1.1.3.7  </w:t>
      </w:r>
      <w:r>
        <w:rPr>
          <w:rFonts w:hint="eastAsia" w:ascii="宋体" w:hAnsi="宋体"/>
        </w:rPr>
        <w:t>临时设施：指为完成合同约定的各项工作所服务的临时性生产和生活设施。</w:t>
      </w:r>
    </w:p>
    <w:p w14:paraId="34840281">
      <w:pPr>
        <w:spacing w:line="360" w:lineRule="auto"/>
        <w:ind w:firstLine="630" w:firstLineChars="300"/>
        <w:rPr>
          <w:rFonts w:hint="eastAsia" w:ascii="宋体" w:hAnsi="宋体"/>
        </w:rPr>
      </w:pPr>
      <w:r>
        <w:rPr>
          <w:rFonts w:ascii="宋体" w:hAnsi="宋体"/>
        </w:rPr>
        <w:t xml:space="preserve">1.1.3.8  </w:t>
      </w:r>
      <w:r>
        <w:rPr>
          <w:rFonts w:hint="eastAsia" w:ascii="宋体" w:hAnsi="宋体"/>
        </w:rPr>
        <w:t>承包人设备：指承包人自带的施工设备。</w:t>
      </w:r>
    </w:p>
    <w:p w14:paraId="4760E8DA">
      <w:pPr>
        <w:spacing w:line="360" w:lineRule="auto"/>
        <w:ind w:firstLine="630" w:firstLineChars="300"/>
        <w:rPr>
          <w:rFonts w:hint="eastAsia" w:ascii="宋体" w:hAnsi="宋体"/>
        </w:rPr>
      </w:pPr>
      <w:r>
        <w:rPr>
          <w:rFonts w:ascii="宋体" w:hAnsi="宋体"/>
        </w:rPr>
        <w:t xml:space="preserve">1.1.3.9  </w:t>
      </w:r>
      <w:r>
        <w:rPr>
          <w:rFonts w:hint="eastAsia" w:ascii="宋体" w:hAnsi="宋体"/>
        </w:rPr>
        <w:t>施工场地（或称工地、现场）：指用于合同工程施工的场所，以及在合同中指定作为施工场地组成部分的其他场所，包括永久占地和临时占地。</w:t>
      </w:r>
    </w:p>
    <w:p w14:paraId="6BD1D2CD">
      <w:pPr>
        <w:spacing w:line="360" w:lineRule="auto"/>
        <w:ind w:firstLine="630" w:firstLineChars="300"/>
        <w:rPr>
          <w:rFonts w:hint="eastAsia" w:ascii="宋体" w:hAnsi="宋体"/>
        </w:rPr>
      </w:pPr>
      <w:r>
        <w:rPr>
          <w:rFonts w:ascii="宋体" w:hAnsi="宋体"/>
        </w:rPr>
        <w:t xml:space="preserve">1.1.3.10  </w:t>
      </w:r>
      <w:r>
        <w:rPr>
          <w:rFonts w:hint="eastAsia" w:ascii="宋体" w:hAnsi="宋体"/>
        </w:rPr>
        <w:t>永久占地：指为实施合同工程需永久占用的土地。永久占地的约定见合同条款专用部分。</w:t>
      </w:r>
    </w:p>
    <w:p w14:paraId="6B90F9FB">
      <w:pPr>
        <w:spacing w:line="360" w:lineRule="auto"/>
        <w:ind w:firstLine="630" w:firstLineChars="300"/>
        <w:rPr>
          <w:rFonts w:hint="eastAsia" w:ascii="宋体" w:hAnsi="宋体"/>
        </w:rPr>
      </w:pPr>
      <w:r>
        <w:rPr>
          <w:rFonts w:ascii="宋体" w:hAnsi="宋体"/>
        </w:rPr>
        <w:t xml:space="preserve">1.1.3.11  </w:t>
      </w:r>
      <w:r>
        <w:rPr>
          <w:rFonts w:hint="eastAsia" w:ascii="宋体" w:hAnsi="宋体"/>
        </w:rPr>
        <w:t>临时占地：指为实施合同工程需临时占用的土地。临时占地的约定见合同条款专用部分。</w:t>
      </w:r>
    </w:p>
    <w:p w14:paraId="33D30799">
      <w:pPr>
        <w:spacing w:line="360" w:lineRule="auto"/>
        <w:ind w:firstLine="630" w:firstLineChars="300"/>
        <w:rPr>
          <w:rFonts w:hint="eastAsia" w:ascii="宋体" w:hAnsi="宋体"/>
        </w:rPr>
      </w:pPr>
      <w:r>
        <w:rPr>
          <w:rFonts w:ascii="宋体" w:hAnsi="宋体"/>
        </w:rPr>
        <w:t xml:space="preserve">1.1.3.12  </w:t>
      </w:r>
      <w:r>
        <w:rPr>
          <w:rFonts w:hint="eastAsia" w:ascii="宋体" w:hAnsi="宋体"/>
        </w:rPr>
        <w:t>材料：指构成或将构成永久工程组成部分的各类物品</w:t>
      </w:r>
      <w:r>
        <w:rPr>
          <w:rFonts w:ascii="宋体" w:hAnsi="宋体"/>
        </w:rPr>
        <w:t>(</w:t>
      </w:r>
      <w:r>
        <w:rPr>
          <w:rFonts w:hint="eastAsia" w:ascii="宋体" w:hAnsi="宋体"/>
        </w:rPr>
        <w:t>工程设备除外</w:t>
      </w:r>
      <w:r>
        <w:rPr>
          <w:rFonts w:ascii="宋体" w:hAnsi="宋体"/>
        </w:rPr>
        <w:t>)</w:t>
      </w:r>
      <w:r>
        <w:rPr>
          <w:rFonts w:hint="eastAsia" w:ascii="宋体" w:hAnsi="宋体"/>
        </w:rPr>
        <w:t>，包括合同中可能约定的承包人仅负责供应的材料。</w:t>
      </w:r>
    </w:p>
    <w:p w14:paraId="41D74456">
      <w:pPr>
        <w:spacing w:line="360" w:lineRule="auto"/>
        <w:ind w:firstLine="420" w:firstLineChars="200"/>
        <w:rPr>
          <w:rFonts w:hint="eastAsia" w:ascii="宋体" w:hAnsi="宋体"/>
        </w:rPr>
      </w:pPr>
      <w:r>
        <w:rPr>
          <w:rFonts w:ascii="宋体" w:hAnsi="宋体"/>
        </w:rPr>
        <w:t xml:space="preserve">1.1.4  </w:t>
      </w:r>
      <w:r>
        <w:rPr>
          <w:rFonts w:hint="eastAsia" w:ascii="宋体" w:hAnsi="宋体"/>
        </w:rPr>
        <w:t>日期</w:t>
      </w:r>
    </w:p>
    <w:p w14:paraId="7A656337">
      <w:pPr>
        <w:spacing w:line="360" w:lineRule="auto"/>
        <w:ind w:firstLine="630" w:firstLineChars="300"/>
        <w:rPr>
          <w:rFonts w:hint="eastAsia" w:ascii="宋体" w:hAnsi="宋体"/>
        </w:rPr>
      </w:pPr>
      <w:r>
        <w:rPr>
          <w:rFonts w:ascii="宋体" w:hAnsi="宋体"/>
        </w:rPr>
        <w:t xml:space="preserve">1.1.4.1  </w:t>
      </w:r>
      <w:r>
        <w:rPr>
          <w:rFonts w:hint="eastAsia" w:ascii="宋体" w:hAnsi="宋体"/>
        </w:rPr>
        <w:t>开工通知：指监理人按第</w:t>
      </w:r>
      <w:r>
        <w:rPr>
          <w:rFonts w:ascii="宋体" w:hAnsi="宋体"/>
        </w:rPr>
        <w:t>11.1</w:t>
      </w:r>
      <w:r>
        <w:rPr>
          <w:rFonts w:hint="eastAsia" w:ascii="宋体" w:hAnsi="宋体"/>
        </w:rPr>
        <w:t>款通知承包人开工的函件。</w:t>
      </w:r>
    </w:p>
    <w:p w14:paraId="1E9C3C3A">
      <w:pPr>
        <w:spacing w:line="360" w:lineRule="auto"/>
        <w:ind w:firstLine="630" w:firstLineChars="300"/>
        <w:rPr>
          <w:rFonts w:hint="eastAsia" w:ascii="宋体" w:hAnsi="宋体"/>
        </w:rPr>
      </w:pPr>
      <w:r>
        <w:rPr>
          <w:rFonts w:ascii="宋体" w:hAnsi="宋体"/>
        </w:rPr>
        <w:t xml:space="preserve">1.1.4.2  </w:t>
      </w:r>
      <w:r>
        <w:rPr>
          <w:rFonts w:hint="eastAsia" w:ascii="宋体" w:hAnsi="宋体"/>
        </w:rPr>
        <w:t>开工日期：指监理人按第</w:t>
      </w:r>
      <w:r>
        <w:rPr>
          <w:rFonts w:ascii="宋体" w:hAnsi="宋体"/>
        </w:rPr>
        <w:t>11.1</w:t>
      </w:r>
      <w:r>
        <w:rPr>
          <w:rFonts w:hint="eastAsia" w:ascii="宋体" w:hAnsi="宋体"/>
        </w:rPr>
        <w:t>款发出的开工通知中写明的开工日期。</w:t>
      </w:r>
    </w:p>
    <w:p w14:paraId="6ABF51A9">
      <w:pPr>
        <w:spacing w:line="360" w:lineRule="auto"/>
        <w:ind w:firstLine="630" w:firstLineChars="300"/>
        <w:rPr>
          <w:rFonts w:hint="eastAsia" w:ascii="宋体" w:hAnsi="宋体"/>
        </w:rPr>
      </w:pPr>
      <w:r>
        <w:rPr>
          <w:rFonts w:ascii="宋体" w:hAnsi="宋体"/>
        </w:rPr>
        <w:t xml:space="preserve">1.1.4.3  </w:t>
      </w:r>
      <w:r>
        <w:rPr>
          <w:rFonts w:hint="eastAsia" w:ascii="宋体" w:hAnsi="宋体"/>
        </w:rPr>
        <w:t>工期：指承包人在投标函中承诺的完成合同工程所需的期限，包括按第</w:t>
      </w:r>
      <w:r>
        <w:rPr>
          <w:rFonts w:ascii="宋体" w:hAnsi="宋体"/>
        </w:rPr>
        <w:t>11.3</w:t>
      </w:r>
      <w:r>
        <w:rPr>
          <w:rFonts w:hint="eastAsia" w:ascii="宋体" w:hAnsi="宋体"/>
        </w:rPr>
        <w:t>款、第</w:t>
      </w:r>
      <w:r>
        <w:rPr>
          <w:rFonts w:ascii="宋体" w:hAnsi="宋体"/>
        </w:rPr>
        <w:t>11.4</w:t>
      </w:r>
      <w:r>
        <w:rPr>
          <w:rFonts w:hint="eastAsia" w:ascii="宋体" w:hAnsi="宋体"/>
        </w:rPr>
        <w:t>款和第</w:t>
      </w:r>
      <w:r>
        <w:rPr>
          <w:rFonts w:ascii="宋体" w:hAnsi="宋体"/>
        </w:rPr>
        <w:t>11.6</w:t>
      </w:r>
      <w:r>
        <w:rPr>
          <w:rFonts w:hint="eastAsia" w:ascii="宋体" w:hAnsi="宋体"/>
        </w:rPr>
        <w:t>款约定所作的变更。</w:t>
      </w:r>
    </w:p>
    <w:p w14:paraId="48ACC35E">
      <w:pPr>
        <w:spacing w:line="360" w:lineRule="auto"/>
        <w:ind w:firstLine="630" w:firstLineChars="300"/>
        <w:rPr>
          <w:rFonts w:hint="eastAsia" w:ascii="宋体" w:hAnsi="宋体"/>
        </w:rPr>
      </w:pPr>
      <w:r>
        <w:rPr>
          <w:rFonts w:ascii="宋体" w:hAnsi="宋体"/>
        </w:rPr>
        <w:t xml:space="preserve">1.1.4.4  </w:t>
      </w:r>
      <w:r>
        <w:rPr>
          <w:rFonts w:hint="eastAsia" w:ascii="宋体" w:hAnsi="宋体"/>
        </w:rPr>
        <w:t>竣工日期：指第</w:t>
      </w:r>
      <w:r>
        <w:rPr>
          <w:rFonts w:ascii="宋体" w:hAnsi="宋体"/>
        </w:rPr>
        <w:t>1.1.4.3</w:t>
      </w:r>
      <w:r>
        <w:rPr>
          <w:rFonts w:hint="eastAsia" w:ascii="宋体" w:hAnsi="宋体"/>
        </w:rPr>
        <w:t>目约定工期届满时的日期。实际竣工日期以工程接收证书中写明的日期为准。</w:t>
      </w:r>
    </w:p>
    <w:p w14:paraId="26CFDA78">
      <w:pPr>
        <w:spacing w:line="360" w:lineRule="auto"/>
        <w:ind w:firstLine="630" w:firstLineChars="300"/>
        <w:rPr>
          <w:rFonts w:hint="eastAsia" w:ascii="宋体" w:hAnsi="宋体"/>
        </w:rPr>
      </w:pPr>
      <w:r>
        <w:rPr>
          <w:rFonts w:ascii="宋体" w:hAnsi="宋体"/>
        </w:rPr>
        <w:t xml:space="preserve">1.1.4.5  </w:t>
      </w:r>
      <w:r>
        <w:rPr>
          <w:rFonts w:hint="eastAsia" w:ascii="宋体" w:hAnsi="宋体"/>
        </w:rPr>
        <w:t>缺陷责任期：指履行第</w:t>
      </w:r>
      <w:r>
        <w:rPr>
          <w:rFonts w:ascii="宋体" w:hAnsi="宋体"/>
        </w:rPr>
        <w:t>19.2</w:t>
      </w:r>
      <w:r>
        <w:rPr>
          <w:rFonts w:hint="eastAsia" w:ascii="宋体" w:hAnsi="宋体"/>
        </w:rPr>
        <w:t>款约定的缺陷责任的期限，包括根据第</w:t>
      </w:r>
      <w:r>
        <w:rPr>
          <w:rFonts w:ascii="宋体" w:hAnsi="宋体"/>
        </w:rPr>
        <w:t>19.3</w:t>
      </w:r>
      <w:r>
        <w:rPr>
          <w:rFonts w:hint="eastAsia" w:ascii="宋体" w:hAnsi="宋体"/>
        </w:rPr>
        <w:t>款约定所作的延长。缺陷责任期的具体期限见合同条款专用部分。</w:t>
      </w:r>
    </w:p>
    <w:p w14:paraId="0EFD07F6">
      <w:pPr>
        <w:spacing w:line="360" w:lineRule="auto"/>
        <w:ind w:firstLine="630" w:firstLineChars="300"/>
        <w:rPr>
          <w:rFonts w:hint="eastAsia" w:ascii="宋体" w:hAnsi="宋体"/>
        </w:rPr>
      </w:pPr>
      <w:r>
        <w:rPr>
          <w:rFonts w:ascii="宋体" w:hAnsi="宋体"/>
        </w:rPr>
        <w:t xml:space="preserve">1.1.4.6  </w:t>
      </w:r>
      <w:r>
        <w:rPr>
          <w:rFonts w:hint="eastAsia" w:ascii="宋体" w:hAnsi="宋体"/>
        </w:rPr>
        <w:t>基准日期：指投标截止时间前</w:t>
      </w:r>
      <w:r>
        <w:rPr>
          <w:rFonts w:ascii="宋体" w:hAnsi="宋体"/>
        </w:rPr>
        <w:t>28</w:t>
      </w:r>
      <w:r>
        <w:rPr>
          <w:rFonts w:hint="eastAsia" w:ascii="宋体" w:hAnsi="宋体"/>
        </w:rPr>
        <w:t>天的日期。</w:t>
      </w:r>
    </w:p>
    <w:p w14:paraId="1C271E18">
      <w:pPr>
        <w:spacing w:line="360" w:lineRule="auto"/>
        <w:ind w:firstLine="630" w:firstLineChars="300"/>
        <w:rPr>
          <w:rFonts w:hint="eastAsia" w:ascii="宋体" w:hAnsi="宋体"/>
        </w:rPr>
      </w:pPr>
      <w:r>
        <w:rPr>
          <w:rFonts w:ascii="宋体" w:hAnsi="宋体"/>
        </w:rPr>
        <w:t xml:space="preserve">1.1.4.7  </w:t>
      </w:r>
      <w:r>
        <w:rPr>
          <w:rFonts w:hint="eastAsia" w:ascii="宋体" w:hAnsi="宋体"/>
        </w:rPr>
        <w:t>天：除特别指明外，指日历天。合同中按天计算时间的，开始当天不计入，从次日开始计算。期限最后一天的截止时间为当天</w:t>
      </w:r>
      <w:r>
        <w:rPr>
          <w:rFonts w:ascii="宋体" w:hAnsi="宋体"/>
        </w:rPr>
        <w:t>24:00</w:t>
      </w:r>
      <w:r>
        <w:rPr>
          <w:rFonts w:hint="eastAsia" w:ascii="宋体" w:hAnsi="宋体"/>
        </w:rPr>
        <w:t>。</w:t>
      </w:r>
    </w:p>
    <w:p w14:paraId="23BA3B43">
      <w:pPr>
        <w:spacing w:line="360" w:lineRule="auto"/>
        <w:ind w:firstLine="630" w:firstLineChars="300"/>
        <w:rPr>
          <w:rFonts w:hint="eastAsia" w:ascii="宋体" w:hAnsi="宋体"/>
        </w:rPr>
      </w:pPr>
      <w:r>
        <w:rPr>
          <w:rFonts w:ascii="宋体" w:hAnsi="宋体"/>
        </w:rPr>
        <w:t xml:space="preserve">1.1.4.8  </w:t>
      </w:r>
      <w:r>
        <w:rPr>
          <w:rFonts w:hint="eastAsia" w:ascii="宋体" w:hAnsi="宋体"/>
        </w:rPr>
        <w:t>保修期：是根据现行有关法律规定，在合同条款第</w:t>
      </w:r>
      <w:r>
        <w:rPr>
          <w:rFonts w:ascii="宋体" w:hAnsi="宋体"/>
        </w:rPr>
        <w:t>19.7</w:t>
      </w:r>
      <w:r>
        <w:rPr>
          <w:rFonts w:hint="eastAsia" w:ascii="宋体" w:hAnsi="宋体"/>
        </w:rPr>
        <w:t>款中约定的由承包人负责对合同约定的保修范围内发生的质量问题履行保修义务并对造成的损失承担赔偿责任的期限。</w:t>
      </w:r>
    </w:p>
    <w:p w14:paraId="3A804A30">
      <w:pPr>
        <w:spacing w:line="360" w:lineRule="auto"/>
        <w:ind w:firstLine="420" w:firstLineChars="200"/>
        <w:rPr>
          <w:rFonts w:hint="eastAsia" w:ascii="宋体" w:hAnsi="宋体"/>
        </w:rPr>
      </w:pPr>
      <w:r>
        <w:rPr>
          <w:rFonts w:ascii="宋体" w:hAnsi="宋体"/>
        </w:rPr>
        <w:t xml:space="preserve">1.1.5  </w:t>
      </w:r>
      <w:r>
        <w:rPr>
          <w:rFonts w:hint="eastAsia" w:ascii="宋体" w:hAnsi="宋体"/>
        </w:rPr>
        <w:t>合同价格和费用</w:t>
      </w:r>
    </w:p>
    <w:p w14:paraId="66AAECE6">
      <w:pPr>
        <w:spacing w:line="360" w:lineRule="auto"/>
        <w:ind w:firstLine="630" w:firstLineChars="300"/>
        <w:rPr>
          <w:rFonts w:hint="eastAsia" w:ascii="宋体" w:hAnsi="宋体"/>
        </w:rPr>
      </w:pPr>
      <w:r>
        <w:rPr>
          <w:rFonts w:ascii="宋体" w:hAnsi="宋体"/>
        </w:rPr>
        <w:t xml:space="preserve">1.1.5.1  </w:t>
      </w:r>
      <w:r>
        <w:rPr>
          <w:rFonts w:hint="eastAsia" w:ascii="宋体" w:hAnsi="宋体"/>
        </w:rPr>
        <w:t>签约合同价：指签订合同时合同协议书中写明的，包括了暂列金额、暂估价的合同总金额。</w:t>
      </w:r>
    </w:p>
    <w:p w14:paraId="464F2F1D">
      <w:pPr>
        <w:spacing w:line="360" w:lineRule="auto"/>
        <w:ind w:firstLine="630" w:firstLineChars="300"/>
        <w:rPr>
          <w:rFonts w:hint="eastAsia" w:ascii="宋体" w:hAnsi="宋体"/>
        </w:rPr>
      </w:pPr>
      <w:r>
        <w:rPr>
          <w:rFonts w:ascii="宋体" w:hAnsi="宋体"/>
        </w:rPr>
        <w:t xml:space="preserve">1.1.5.2  </w:t>
      </w:r>
      <w:r>
        <w:rPr>
          <w:rFonts w:hint="eastAsia" w:ascii="宋体" w:hAnsi="宋体"/>
        </w:rPr>
        <w:t>合同价格：指承包人按合同约定完成了包括缺陷责任期内的全部承包工作后，发包人应付给承包人的金额，包括在履行合同过程中按合同约定进行的变更和调整。</w:t>
      </w:r>
    </w:p>
    <w:p w14:paraId="66CF332A">
      <w:pPr>
        <w:spacing w:line="360" w:lineRule="auto"/>
        <w:ind w:firstLine="630" w:firstLineChars="300"/>
        <w:rPr>
          <w:rFonts w:hint="eastAsia" w:ascii="宋体" w:hAnsi="宋体"/>
        </w:rPr>
      </w:pPr>
      <w:r>
        <w:rPr>
          <w:rFonts w:ascii="宋体" w:hAnsi="宋体"/>
        </w:rPr>
        <w:t xml:space="preserve">1.1.5.3  </w:t>
      </w:r>
      <w:r>
        <w:rPr>
          <w:rFonts w:hint="eastAsia" w:ascii="宋体" w:hAnsi="宋体"/>
        </w:rPr>
        <w:t>费用：指为履行合同所发生的或将要发生的所有合理开支，包括管理费和应分摊的其他费用，但不包括利润。</w:t>
      </w:r>
    </w:p>
    <w:p w14:paraId="35EAC4F9">
      <w:pPr>
        <w:spacing w:line="360" w:lineRule="auto"/>
        <w:ind w:firstLine="630" w:firstLineChars="300"/>
        <w:rPr>
          <w:rFonts w:hint="eastAsia" w:ascii="宋体" w:hAnsi="宋体"/>
        </w:rPr>
      </w:pPr>
      <w:r>
        <w:rPr>
          <w:rFonts w:ascii="宋体" w:hAnsi="宋体"/>
        </w:rPr>
        <w:t xml:space="preserve">1.1.5.4  </w:t>
      </w:r>
      <w:r>
        <w:rPr>
          <w:rFonts w:hint="eastAsia" w:ascii="宋体" w:hAnsi="宋体"/>
        </w:rPr>
        <w:t>暂列金额：指已标价工程量清单中所列的暂列金额，用于在签订协议书时尚未确定或不可预见变更的施工及其所需材料、工程设备、服务等的金额，包括以计日工方式支付的金额。</w:t>
      </w:r>
    </w:p>
    <w:p w14:paraId="0A9361D2">
      <w:pPr>
        <w:spacing w:line="360" w:lineRule="auto"/>
        <w:ind w:firstLine="630" w:firstLineChars="300"/>
        <w:rPr>
          <w:rFonts w:hint="eastAsia" w:ascii="宋体" w:hAnsi="宋体"/>
        </w:rPr>
      </w:pPr>
      <w:r>
        <w:rPr>
          <w:rFonts w:ascii="宋体" w:hAnsi="宋体"/>
        </w:rPr>
        <w:t xml:space="preserve">1.1.5.5  </w:t>
      </w:r>
      <w:r>
        <w:rPr>
          <w:rFonts w:hint="eastAsia" w:ascii="宋体" w:hAnsi="宋体"/>
        </w:rPr>
        <w:t>暂估价：指发包人在工程量清单中给定的用于支付必然发生但暂时不能确定价格的材料、设备以及专业工程的金额。</w:t>
      </w:r>
    </w:p>
    <w:p w14:paraId="531C7534">
      <w:pPr>
        <w:spacing w:line="360" w:lineRule="auto"/>
        <w:ind w:firstLine="630" w:firstLineChars="300"/>
        <w:rPr>
          <w:rFonts w:hint="eastAsia" w:ascii="宋体" w:hAnsi="宋体"/>
        </w:rPr>
      </w:pPr>
      <w:r>
        <w:rPr>
          <w:rFonts w:ascii="宋体" w:hAnsi="宋体"/>
        </w:rPr>
        <w:t xml:space="preserve">1.1.5.6  </w:t>
      </w:r>
      <w:r>
        <w:rPr>
          <w:rFonts w:hint="eastAsia" w:ascii="宋体" w:hAnsi="宋体"/>
        </w:rPr>
        <w:t>计日工：指对零星工作采取的一种计价方式，按合同中的计日工子目及其单价计价付款。</w:t>
      </w:r>
    </w:p>
    <w:p w14:paraId="05C92369">
      <w:pPr>
        <w:spacing w:line="360" w:lineRule="auto"/>
        <w:ind w:firstLine="630" w:firstLineChars="300"/>
        <w:rPr>
          <w:rFonts w:hint="eastAsia" w:ascii="宋体" w:hAnsi="宋体"/>
        </w:rPr>
      </w:pPr>
      <w:r>
        <w:rPr>
          <w:rFonts w:ascii="宋体" w:hAnsi="宋体"/>
        </w:rPr>
        <w:t xml:space="preserve">1.1.5.7  </w:t>
      </w:r>
      <w:r>
        <w:rPr>
          <w:rFonts w:hint="eastAsia" w:ascii="宋体" w:hAnsi="宋体"/>
        </w:rPr>
        <w:t>质量保证金（或称保留金）：指按第</w:t>
      </w:r>
      <w:r>
        <w:rPr>
          <w:rFonts w:ascii="宋体" w:hAnsi="宋体"/>
        </w:rPr>
        <w:t>17.4.1</w:t>
      </w:r>
      <w:r>
        <w:rPr>
          <w:rFonts w:hint="eastAsia" w:ascii="宋体" w:hAnsi="宋体"/>
        </w:rPr>
        <w:t>项约定用于保证在缺陷责任期内履行缺陷修复义务的金额。</w:t>
      </w:r>
    </w:p>
    <w:p w14:paraId="10602C9E">
      <w:pPr>
        <w:spacing w:line="360" w:lineRule="auto"/>
        <w:ind w:firstLine="420" w:firstLineChars="200"/>
        <w:rPr>
          <w:rFonts w:hint="eastAsia" w:ascii="宋体" w:hAnsi="宋体"/>
        </w:rPr>
      </w:pPr>
      <w:r>
        <w:rPr>
          <w:rFonts w:ascii="宋体" w:hAnsi="宋体"/>
        </w:rPr>
        <w:t xml:space="preserve">1.1.6  </w:t>
      </w:r>
      <w:r>
        <w:rPr>
          <w:rFonts w:hint="eastAsia" w:ascii="宋体" w:hAnsi="宋体"/>
        </w:rPr>
        <w:t>书面形式</w:t>
      </w:r>
    </w:p>
    <w:p w14:paraId="549C6916">
      <w:pPr>
        <w:spacing w:line="360" w:lineRule="auto"/>
        <w:ind w:firstLine="420" w:firstLineChars="200"/>
        <w:rPr>
          <w:rFonts w:hint="eastAsia" w:ascii="宋体" w:hAnsi="宋体"/>
        </w:rPr>
      </w:pPr>
      <w:r>
        <w:rPr>
          <w:rFonts w:hint="eastAsia" w:ascii="宋体" w:hAnsi="宋体"/>
        </w:rPr>
        <w:t>书面形式：指合同文件、信函、电报、传真等可以有形地表现所载内容的形式。</w:t>
      </w:r>
    </w:p>
    <w:p w14:paraId="0F7859F8">
      <w:pPr>
        <w:spacing w:line="360" w:lineRule="auto"/>
        <w:ind w:firstLine="420" w:firstLineChars="200"/>
        <w:rPr>
          <w:rFonts w:hint="eastAsia" w:ascii="宋体" w:hAnsi="宋体"/>
        </w:rPr>
      </w:pPr>
      <w:r>
        <w:rPr>
          <w:rFonts w:ascii="宋体" w:hAnsi="宋体"/>
        </w:rPr>
        <w:t xml:space="preserve">1.1.7  </w:t>
      </w:r>
      <w:r>
        <w:rPr>
          <w:rFonts w:hint="eastAsia" w:ascii="宋体" w:hAnsi="宋体"/>
        </w:rPr>
        <w:t>争议评审组</w:t>
      </w:r>
    </w:p>
    <w:p w14:paraId="172044EE">
      <w:pPr>
        <w:spacing w:line="360" w:lineRule="auto"/>
        <w:ind w:firstLine="420" w:firstLineChars="200"/>
        <w:rPr>
          <w:rFonts w:hint="eastAsia" w:ascii="宋体" w:hAnsi="宋体"/>
        </w:rPr>
      </w:pPr>
      <w:r>
        <w:rPr>
          <w:rFonts w:hint="eastAsia" w:ascii="宋体" w:hAnsi="宋体"/>
        </w:rPr>
        <w:t>争议评审组：是由发包人和承包人共同聘请的人员组成的独立、公正的第三方临时性组织，一般由一名或者三名合同管理和（或）工程管理专家组成。争议评审组负责对发包人和（或）承包人提请进行评审的本合同项下的争议进行评审并在规定的期限内给出评审意见，合同双方在规定的期限内均未对评审意见提出异议时，评审意见对合同双方有最终约束力。发包人和承包人应当分别与接受聘请的争议评审专家签订聘用协议，就评审的争议范围、评审意见效力等必要事项做出约定。</w:t>
      </w:r>
    </w:p>
    <w:p w14:paraId="4C011D07">
      <w:pPr>
        <w:spacing w:line="360" w:lineRule="auto"/>
        <w:ind w:firstLine="420" w:firstLineChars="200"/>
        <w:rPr>
          <w:rFonts w:hint="eastAsia" w:ascii="宋体" w:hAnsi="宋体"/>
        </w:rPr>
      </w:pPr>
      <w:r>
        <w:rPr>
          <w:rFonts w:ascii="宋体" w:hAnsi="宋体"/>
        </w:rPr>
        <w:t xml:space="preserve">1.1.8  </w:t>
      </w:r>
      <w:r>
        <w:rPr>
          <w:rFonts w:hint="eastAsia" w:ascii="宋体" w:hAnsi="宋体"/>
        </w:rPr>
        <w:t>其他需要补充的内容</w:t>
      </w:r>
    </w:p>
    <w:p w14:paraId="61C362B8">
      <w:pPr>
        <w:spacing w:line="360" w:lineRule="auto"/>
        <w:ind w:firstLine="420" w:firstLineChars="200"/>
        <w:rPr>
          <w:rFonts w:hint="eastAsia" w:ascii="宋体" w:hAnsi="宋体"/>
        </w:rPr>
      </w:pPr>
      <w:r>
        <w:rPr>
          <w:rFonts w:hint="eastAsia" w:ascii="宋体" w:hAnsi="宋体"/>
        </w:rPr>
        <w:t>其他需要补充的内容见合同条款专用部分。</w:t>
      </w:r>
    </w:p>
    <w:p w14:paraId="1FAF0A22">
      <w:pPr>
        <w:keepNext/>
        <w:keepLines/>
        <w:spacing w:before="120" w:beforeLines="50" w:after="120" w:afterLines="50" w:line="360" w:lineRule="auto"/>
        <w:outlineLvl w:val="2"/>
        <w:rPr>
          <w:rFonts w:hint="eastAsia" w:ascii="宋体" w:hAnsi="宋体"/>
          <w:sz w:val="24"/>
          <w:szCs w:val="20"/>
        </w:rPr>
      </w:pPr>
      <w:bookmarkStart w:id="604" w:name="_Toc117350408"/>
      <w:bookmarkStart w:id="605" w:name="_Toc489279855"/>
      <w:bookmarkStart w:id="606" w:name="_Toc480486726"/>
      <w:bookmarkStart w:id="607" w:name="_Toc486580044"/>
      <w:bookmarkStart w:id="608" w:name="_Toc152042391"/>
      <w:bookmarkStart w:id="609" w:name="_Toc179632631"/>
      <w:bookmarkStart w:id="610" w:name="_Toc338944706"/>
      <w:bookmarkStart w:id="611" w:name="_Toc490222489"/>
      <w:bookmarkStart w:id="612" w:name="_Toc483668073"/>
      <w:bookmarkStart w:id="613" w:name="_Toc342296264"/>
      <w:bookmarkStart w:id="614" w:name="_Toc144974581"/>
      <w:bookmarkStart w:id="615" w:name="_Toc480486898"/>
      <w:bookmarkStart w:id="616" w:name="_Toc152045613"/>
      <w:r>
        <w:rPr>
          <w:rFonts w:ascii="宋体" w:hAnsi="宋体"/>
          <w:sz w:val="24"/>
          <w:szCs w:val="20"/>
        </w:rPr>
        <w:t xml:space="preserve">1.2  </w:t>
      </w:r>
      <w:r>
        <w:rPr>
          <w:rFonts w:hint="eastAsia" w:ascii="宋体" w:hAnsi="宋体"/>
          <w:sz w:val="24"/>
          <w:szCs w:val="20"/>
        </w:rPr>
        <w:t>语言文字</w:t>
      </w:r>
      <w:bookmarkEnd w:id="604"/>
      <w:bookmarkEnd w:id="605"/>
      <w:bookmarkEnd w:id="606"/>
      <w:bookmarkEnd w:id="607"/>
      <w:bookmarkEnd w:id="608"/>
      <w:bookmarkEnd w:id="609"/>
      <w:bookmarkEnd w:id="610"/>
      <w:bookmarkEnd w:id="611"/>
      <w:bookmarkEnd w:id="612"/>
      <w:bookmarkEnd w:id="613"/>
      <w:bookmarkEnd w:id="614"/>
      <w:bookmarkEnd w:id="615"/>
      <w:bookmarkEnd w:id="616"/>
    </w:p>
    <w:p w14:paraId="1924734D">
      <w:pPr>
        <w:spacing w:line="360" w:lineRule="auto"/>
        <w:ind w:firstLine="420" w:firstLineChars="200"/>
        <w:rPr>
          <w:rFonts w:hint="eastAsia" w:ascii="宋体" w:hAnsi="宋体"/>
        </w:rPr>
      </w:pPr>
      <w:r>
        <w:rPr>
          <w:rFonts w:hint="eastAsia" w:ascii="宋体" w:hAnsi="宋体"/>
        </w:rPr>
        <w:t>除专用术语外，合同使用的语言文字为中文。必要时专用术语应附有中文注释。</w:t>
      </w:r>
    </w:p>
    <w:p w14:paraId="26680640">
      <w:pPr>
        <w:keepNext/>
        <w:keepLines/>
        <w:spacing w:before="120" w:beforeLines="50" w:after="120" w:afterLines="50" w:line="360" w:lineRule="auto"/>
        <w:outlineLvl w:val="2"/>
        <w:rPr>
          <w:rFonts w:hint="eastAsia" w:ascii="宋体" w:hAnsi="宋体"/>
          <w:sz w:val="24"/>
          <w:szCs w:val="20"/>
        </w:rPr>
      </w:pPr>
      <w:bookmarkStart w:id="617" w:name="_Toc490222490"/>
      <w:bookmarkStart w:id="618" w:name="_Toc342296265"/>
      <w:bookmarkStart w:id="619" w:name="_Toc179632632"/>
      <w:bookmarkStart w:id="620" w:name="_Toc480486727"/>
      <w:bookmarkStart w:id="621" w:name="_Toc338944707"/>
      <w:bookmarkStart w:id="622" w:name="_Toc152042392"/>
      <w:bookmarkStart w:id="623" w:name="_Toc489279856"/>
      <w:bookmarkStart w:id="624" w:name="_Toc117350409"/>
      <w:bookmarkStart w:id="625" w:name="_Toc480486899"/>
      <w:bookmarkStart w:id="626" w:name="_Toc483668074"/>
      <w:bookmarkStart w:id="627" w:name="_Toc152045614"/>
      <w:bookmarkStart w:id="628" w:name="_Toc144974582"/>
      <w:bookmarkStart w:id="629" w:name="_Toc486580045"/>
      <w:r>
        <w:rPr>
          <w:rFonts w:ascii="宋体" w:hAnsi="宋体"/>
          <w:sz w:val="24"/>
          <w:szCs w:val="20"/>
        </w:rPr>
        <w:t xml:space="preserve">1.3  </w:t>
      </w:r>
      <w:r>
        <w:rPr>
          <w:rFonts w:hint="eastAsia" w:ascii="宋体" w:hAnsi="宋体"/>
          <w:sz w:val="24"/>
          <w:szCs w:val="20"/>
        </w:rPr>
        <w:t>法律</w:t>
      </w:r>
      <w:bookmarkEnd w:id="617"/>
      <w:bookmarkEnd w:id="618"/>
      <w:bookmarkEnd w:id="619"/>
      <w:bookmarkEnd w:id="620"/>
      <w:bookmarkEnd w:id="621"/>
      <w:bookmarkEnd w:id="622"/>
      <w:bookmarkEnd w:id="623"/>
      <w:bookmarkEnd w:id="624"/>
      <w:bookmarkEnd w:id="625"/>
      <w:bookmarkEnd w:id="626"/>
      <w:bookmarkEnd w:id="627"/>
      <w:bookmarkEnd w:id="628"/>
      <w:bookmarkEnd w:id="629"/>
    </w:p>
    <w:p w14:paraId="7FC47E57">
      <w:pPr>
        <w:spacing w:line="360" w:lineRule="auto"/>
        <w:ind w:firstLine="420" w:firstLineChars="200"/>
        <w:rPr>
          <w:rFonts w:hint="eastAsia" w:ascii="宋体" w:hAnsi="宋体"/>
        </w:rPr>
      </w:pPr>
      <w:r>
        <w:rPr>
          <w:rFonts w:hint="eastAsia" w:ascii="宋体" w:hAnsi="宋体"/>
        </w:rPr>
        <w:t>适用于合同的法律包括中华人民共和国法律、行政法规、部门规章，以及工程所在地的地方法规、自治条例、单行条例和地方政府规章。</w:t>
      </w:r>
    </w:p>
    <w:p w14:paraId="302FDF8B">
      <w:pPr>
        <w:keepNext/>
        <w:keepLines/>
        <w:spacing w:before="120" w:beforeLines="50" w:after="120" w:afterLines="50" w:line="360" w:lineRule="auto"/>
        <w:outlineLvl w:val="2"/>
        <w:rPr>
          <w:rFonts w:hint="eastAsia" w:ascii="宋体" w:hAnsi="宋体"/>
          <w:sz w:val="24"/>
          <w:szCs w:val="20"/>
        </w:rPr>
      </w:pPr>
      <w:bookmarkStart w:id="630" w:name="_Toc342296266"/>
      <w:bookmarkStart w:id="631" w:name="_Toc490222491"/>
      <w:bookmarkStart w:id="632" w:name="_Toc489279857"/>
      <w:bookmarkStart w:id="633" w:name="_Toc480486900"/>
      <w:bookmarkStart w:id="634" w:name="_Toc486580046"/>
      <w:bookmarkStart w:id="635" w:name="_Toc338944708"/>
      <w:bookmarkStart w:id="636" w:name="_Toc483668075"/>
      <w:bookmarkStart w:id="637" w:name="_Toc117350410"/>
      <w:bookmarkStart w:id="638" w:name="_Toc480486728"/>
      <w:r>
        <w:rPr>
          <w:rFonts w:ascii="宋体" w:hAnsi="宋体"/>
          <w:sz w:val="24"/>
          <w:szCs w:val="20"/>
        </w:rPr>
        <w:t xml:space="preserve">1.4  </w:t>
      </w:r>
      <w:r>
        <w:rPr>
          <w:rFonts w:hint="eastAsia" w:ascii="宋体" w:hAnsi="宋体"/>
          <w:sz w:val="24"/>
          <w:szCs w:val="20"/>
        </w:rPr>
        <w:t>合同文件的优先顺序</w:t>
      </w:r>
      <w:bookmarkEnd w:id="630"/>
      <w:bookmarkEnd w:id="631"/>
      <w:bookmarkEnd w:id="632"/>
      <w:bookmarkEnd w:id="633"/>
      <w:bookmarkEnd w:id="634"/>
      <w:bookmarkEnd w:id="635"/>
      <w:bookmarkEnd w:id="636"/>
      <w:bookmarkEnd w:id="637"/>
      <w:bookmarkEnd w:id="638"/>
    </w:p>
    <w:p w14:paraId="379FAECA">
      <w:pPr>
        <w:spacing w:line="360" w:lineRule="auto"/>
        <w:ind w:firstLine="420" w:firstLineChars="200"/>
        <w:rPr>
          <w:rFonts w:hint="eastAsia" w:ascii="宋体" w:hAnsi="宋体"/>
        </w:rPr>
      </w:pPr>
      <w:r>
        <w:rPr>
          <w:rFonts w:hint="eastAsia" w:ascii="宋体" w:hAnsi="宋体"/>
        </w:rPr>
        <w:t>组成合同的各项文件应互相解释，互为说明。除合同条款专用部分另有约定外，解释合同文件的优先顺序如下：</w:t>
      </w:r>
    </w:p>
    <w:p w14:paraId="04014651">
      <w:pPr>
        <w:spacing w:line="360" w:lineRule="auto"/>
        <w:ind w:firstLine="315" w:firstLineChars="150"/>
        <w:rPr>
          <w:rFonts w:hint="eastAsia" w:ascii="宋体" w:hAnsi="宋体"/>
        </w:rPr>
      </w:pPr>
      <w:r>
        <w:rPr>
          <w:rFonts w:hint="eastAsia" w:ascii="宋体" w:hAnsi="宋体"/>
        </w:rPr>
        <w:t>（</w:t>
      </w:r>
      <w:r>
        <w:rPr>
          <w:rFonts w:ascii="宋体" w:hAnsi="宋体"/>
        </w:rPr>
        <w:t>1</w:t>
      </w:r>
      <w:r>
        <w:rPr>
          <w:rFonts w:hint="eastAsia" w:ascii="宋体" w:hAnsi="宋体"/>
        </w:rPr>
        <w:t>）合同协议书；</w:t>
      </w:r>
    </w:p>
    <w:p w14:paraId="3FF3371D">
      <w:pPr>
        <w:spacing w:line="360" w:lineRule="auto"/>
        <w:ind w:firstLine="315" w:firstLineChars="150"/>
        <w:rPr>
          <w:rFonts w:hint="eastAsia" w:ascii="宋体" w:hAnsi="宋体"/>
        </w:rPr>
      </w:pPr>
      <w:r>
        <w:rPr>
          <w:rFonts w:hint="eastAsia" w:ascii="宋体" w:hAnsi="宋体"/>
        </w:rPr>
        <w:t>（</w:t>
      </w:r>
      <w:r>
        <w:rPr>
          <w:rFonts w:ascii="宋体" w:hAnsi="宋体"/>
        </w:rPr>
        <w:t>2</w:t>
      </w:r>
      <w:r>
        <w:rPr>
          <w:rFonts w:hint="eastAsia" w:ascii="宋体" w:hAnsi="宋体"/>
        </w:rPr>
        <w:t>）中标通知书；</w:t>
      </w:r>
    </w:p>
    <w:p w14:paraId="70963B62">
      <w:pPr>
        <w:spacing w:line="360" w:lineRule="auto"/>
        <w:ind w:firstLine="315" w:firstLineChars="150"/>
        <w:rPr>
          <w:rFonts w:hint="eastAsia" w:ascii="宋体" w:hAnsi="宋体"/>
        </w:rPr>
      </w:pPr>
      <w:r>
        <w:rPr>
          <w:rFonts w:hint="eastAsia" w:ascii="宋体" w:hAnsi="宋体"/>
        </w:rPr>
        <w:t>（</w:t>
      </w:r>
      <w:r>
        <w:rPr>
          <w:rFonts w:ascii="宋体" w:hAnsi="宋体"/>
        </w:rPr>
        <w:t>3</w:t>
      </w:r>
      <w:r>
        <w:rPr>
          <w:rFonts w:hint="eastAsia" w:ascii="宋体" w:hAnsi="宋体"/>
        </w:rPr>
        <w:t>）投标函及投标函附录；</w:t>
      </w:r>
    </w:p>
    <w:p w14:paraId="4E71155D">
      <w:pPr>
        <w:spacing w:line="360" w:lineRule="auto"/>
        <w:ind w:firstLine="315" w:firstLineChars="150"/>
        <w:rPr>
          <w:rFonts w:hint="eastAsia" w:ascii="宋体" w:hAnsi="宋体"/>
        </w:rPr>
      </w:pPr>
      <w:r>
        <w:rPr>
          <w:rFonts w:hint="eastAsia" w:ascii="宋体" w:hAnsi="宋体"/>
        </w:rPr>
        <w:t>（</w:t>
      </w:r>
      <w:r>
        <w:rPr>
          <w:rFonts w:ascii="宋体" w:hAnsi="宋体"/>
        </w:rPr>
        <w:t>4</w:t>
      </w:r>
      <w:r>
        <w:rPr>
          <w:rFonts w:hint="eastAsia" w:ascii="宋体" w:hAnsi="宋体"/>
        </w:rPr>
        <w:t>）合同条款专用部分；</w:t>
      </w:r>
    </w:p>
    <w:p w14:paraId="634D66E0">
      <w:pPr>
        <w:spacing w:line="360" w:lineRule="auto"/>
        <w:ind w:firstLine="315" w:firstLineChars="150"/>
        <w:rPr>
          <w:rFonts w:hint="eastAsia" w:ascii="宋体" w:hAnsi="宋体"/>
        </w:rPr>
      </w:pPr>
      <w:r>
        <w:rPr>
          <w:rFonts w:hint="eastAsia" w:ascii="宋体" w:hAnsi="宋体"/>
        </w:rPr>
        <w:t>（</w:t>
      </w:r>
      <w:r>
        <w:rPr>
          <w:rFonts w:ascii="宋体" w:hAnsi="宋体"/>
        </w:rPr>
        <w:t>5</w:t>
      </w:r>
      <w:r>
        <w:rPr>
          <w:rFonts w:hint="eastAsia" w:ascii="宋体" w:hAnsi="宋体"/>
        </w:rPr>
        <w:t>）合同条款通用部分；</w:t>
      </w:r>
    </w:p>
    <w:p w14:paraId="2B709444">
      <w:pPr>
        <w:spacing w:line="360" w:lineRule="auto"/>
        <w:ind w:firstLine="315" w:firstLineChars="150"/>
        <w:rPr>
          <w:rFonts w:hint="eastAsia" w:ascii="宋体" w:hAnsi="宋体"/>
        </w:rPr>
      </w:pPr>
      <w:r>
        <w:rPr>
          <w:rFonts w:hint="eastAsia" w:ascii="宋体" w:hAnsi="宋体"/>
        </w:rPr>
        <w:t>（</w:t>
      </w:r>
      <w:r>
        <w:rPr>
          <w:rFonts w:ascii="宋体" w:hAnsi="宋体"/>
        </w:rPr>
        <w:t>6</w:t>
      </w:r>
      <w:r>
        <w:rPr>
          <w:rFonts w:hint="eastAsia" w:ascii="宋体" w:hAnsi="宋体"/>
        </w:rPr>
        <w:t>）技术标准和要求；</w:t>
      </w:r>
    </w:p>
    <w:p w14:paraId="18F4B5F8">
      <w:pPr>
        <w:spacing w:line="360" w:lineRule="auto"/>
        <w:ind w:firstLine="315" w:firstLineChars="150"/>
        <w:rPr>
          <w:rFonts w:hint="eastAsia" w:ascii="宋体" w:hAnsi="宋体"/>
        </w:rPr>
      </w:pPr>
      <w:r>
        <w:rPr>
          <w:rFonts w:hint="eastAsia" w:ascii="宋体" w:hAnsi="宋体"/>
        </w:rPr>
        <w:t>（</w:t>
      </w:r>
      <w:r>
        <w:rPr>
          <w:rFonts w:ascii="宋体" w:hAnsi="宋体"/>
        </w:rPr>
        <w:t>7</w:t>
      </w:r>
      <w:r>
        <w:rPr>
          <w:rFonts w:hint="eastAsia" w:ascii="宋体" w:hAnsi="宋体"/>
        </w:rPr>
        <w:t>）图纸；</w:t>
      </w:r>
    </w:p>
    <w:p w14:paraId="7EF5A695">
      <w:pPr>
        <w:spacing w:line="360" w:lineRule="auto"/>
        <w:ind w:firstLine="315" w:firstLineChars="150"/>
        <w:rPr>
          <w:rFonts w:hint="eastAsia" w:ascii="宋体" w:hAnsi="宋体"/>
        </w:rPr>
      </w:pPr>
      <w:r>
        <w:rPr>
          <w:rFonts w:hint="eastAsia" w:ascii="宋体" w:hAnsi="宋体"/>
        </w:rPr>
        <w:t>（</w:t>
      </w:r>
      <w:r>
        <w:rPr>
          <w:rFonts w:ascii="宋体" w:hAnsi="宋体"/>
        </w:rPr>
        <w:t>8</w:t>
      </w:r>
      <w:r>
        <w:rPr>
          <w:rFonts w:hint="eastAsia" w:ascii="宋体" w:hAnsi="宋体"/>
        </w:rPr>
        <w:t>）已标价工程量清单；</w:t>
      </w:r>
    </w:p>
    <w:p w14:paraId="3104AAE0">
      <w:pPr>
        <w:spacing w:line="360" w:lineRule="auto"/>
        <w:ind w:firstLine="315" w:firstLineChars="150"/>
        <w:rPr>
          <w:rFonts w:hint="eastAsia" w:ascii="宋体" w:hAnsi="宋体"/>
        </w:rPr>
      </w:pPr>
      <w:r>
        <w:rPr>
          <w:rFonts w:hint="eastAsia" w:ascii="宋体" w:hAnsi="宋体"/>
        </w:rPr>
        <w:t>（</w:t>
      </w:r>
      <w:r>
        <w:rPr>
          <w:rFonts w:ascii="宋体" w:hAnsi="宋体"/>
        </w:rPr>
        <w:t>9</w:t>
      </w:r>
      <w:r>
        <w:rPr>
          <w:rFonts w:hint="eastAsia" w:ascii="宋体" w:hAnsi="宋体"/>
        </w:rPr>
        <w:t>）其他合同文件。</w:t>
      </w:r>
    </w:p>
    <w:p w14:paraId="1B1C19E3">
      <w:pPr>
        <w:spacing w:line="360" w:lineRule="auto"/>
        <w:ind w:firstLine="420" w:firstLineChars="200"/>
        <w:rPr>
          <w:rFonts w:hint="eastAsia" w:ascii="宋体" w:hAnsi="宋体" w:cs="Arial"/>
        </w:rPr>
      </w:pPr>
      <w:r>
        <w:rPr>
          <w:rFonts w:hint="eastAsia" w:ascii="宋体" w:hAnsi="宋体" w:cs="Arial"/>
        </w:rPr>
        <w:t>附注：</w:t>
      </w:r>
      <w:r>
        <w:rPr>
          <w:rFonts w:hint="eastAsia" w:ascii="宋体" w:hAnsi="宋体"/>
        </w:rPr>
        <w:t>构成合同文件的</w:t>
      </w:r>
      <w:r>
        <w:rPr>
          <w:rFonts w:hint="eastAsia" w:ascii="宋体" w:hAnsi="宋体" w:cs="Arial"/>
        </w:rPr>
        <w:t>图纸与技术标准和要求之间有矛盾或者不一致的，应以其中要求较严格的标准为准。</w:t>
      </w:r>
    </w:p>
    <w:p w14:paraId="2019CA05">
      <w:pPr>
        <w:spacing w:line="360" w:lineRule="auto"/>
        <w:ind w:firstLine="420" w:firstLineChars="200"/>
        <w:rPr>
          <w:rFonts w:hint="eastAsia" w:ascii="宋体" w:hAnsi="宋体"/>
        </w:rPr>
      </w:pPr>
      <w:r>
        <w:rPr>
          <w:rFonts w:hint="eastAsia" w:ascii="宋体" w:hAnsi="宋体" w:cs="Arial"/>
        </w:rPr>
        <w:t>合同双方在合同履行过程中签署的不背离合同实质性内容的补充协议，应当视为合同文件的有效组成部分，其解释顺序视其内容与其他合同文件的相互关系而定。</w:t>
      </w:r>
    </w:p>
    <w:p w14:paraId="1867F045">
      <w:pPr>
        <w:keepNext/>
        <w:keepLines/>
        <w:spacing w:before="120" w:beforeLines="50" w:after="120" w:afterLines="50" w:line="360" w:lineRule="auto"/>
        <w:outlineLvl w:val="2"/>
        <w:rPr>
          <w:rFonts w:hint="eastAsia" w:ascii="宋体" w:hAnsi="宋体"/>
          <w:sz w:val="24"/>
          <w:szCs w:val="20"/>
        </w:rPr>
      </w:pPr>
      <w:bookmarkStart w:id="639" w:name="_Toc483668076"/>
      <w:bookmarkStart w:id="640" w:name="_Toc489279858"/>
      <w:bookmarkStart w:id="641" w:name="_Toc480486729"/>
      <w:bookmarkStart w:id="642" w:name="_Toc338944709"/>
      <w:bookmarkStart w:id="643" w:name="_Toc490222492"/>
      <w:bookmarkStart w:id="644" w:name="_Toc480486901"/>
      <w:bookmarkStart w:id="645" w:name="_Toc486580047"/>
      <w:bookmarkStart w:id="646" w:name="_Toc117350411"/>
      <w:bookmarkStart w:id="647" w:name="_Toc342296267"/>
      <w:r>
        <w:rPr>
          <w:rFonts w:ascii="宋体" w:hAnsi="宋体"/>
          <w:sz w:val="24"/>
          <w:szCs w:val="20"/>
        </w:rPr>
        <w:t xml:space="preserve">1.5  </w:t>
      </w:r>
      <w:r>
        <w:rPr>
          <w:rFonts w:hint="eastAsia" w:ascii="宋体" w:hAnsi="宋体"/>
          <w:sz w:val="24"/>
          <w:szCs w:val="20"/>
        </w:rPr>
        <w:t>合同协议书</w:t>
      </w:r>
      <w:bookmarkEnd w:id="639"/>
      <w:bookmarkEnd w:id="640"/>
      <w:bookmarkEnd w:id="641"/>
      <w:bookmarkEnd w:id="642"/>
      <w:bookmarkEnd w:id="643"/>
      <w:bookmarkEnd w:id="644"/>
      <w:bookmarkEnd w:id="645"/>
      <w:bookmarkEnd w:id="646"/>
      <w:bookmarkEnd w:id="647"/>
    </w:p>
    <w:p w14:paraId="6679415C">
      <w:pPr>
        <w:spacing w:line="360" w:lineRule="auto"/>
        <w:ind w:firstLine="420" w:firstLineChars="200"/>
        <w:rPr>
          <w:rFonts w:hint="eastAsia" w:ascii="宋体" w:hAnsi="宋体"/>
        </w:rPr>
      </w:pPr>
      <w:r>
        <w:rPr>
          <w:rFonts w:hint="eastAsia" w:ascii="宋体" w:hAnsi="宋体"/>
        </w:rPr>
        <w:t>指由发包人与承包人共同签署的用于明确当事人合同关系的文件。承包人按照中标通知书规定的时间与发包人签订的合同协议书，除法律另有规定或合同条款专用部分另有约定外，发包人和承包人的法定代表人或其</w:t>
      </w:r>
      <w:r>
        <w:rPr>
          <w:rFonts w:hint="eastAsia" w:ascii="宋体" w:hAnsi="宋体" w:cs="Arial"/>
          <w:szCs w:val="21"/>
        </w:rPr>
        <w:t>委托代理人</w:t>
      </w:r>
      <w:r>
        <w:rPr>
          <w:rFonts w:hint="eastAsia" w:ascii="宋体" w:hAnsi="宋体"/>
        </w:rPr>
        <w:t>在合同协议书上签字并盖单位章后，合同生效。合同生效的条件见合同条款专用部分。</w:t>
      </w:r>
    </w:p>
    <w:p w14:paraId="54CD4C66">
      <w:pPr>
        <w:keepNext/>
        <w:keepLines/>
        <w:spacing w:before="120" w:beforeLines="50" w:after="120" w:afterLines="50" w:line="360" w:lineRule="auto"/>
        <w:outlineLvl w:val="2"/>
        <w:rPr>
          <w:rFonts w:hint="eastAsia" w:ascii="宋体" w:hAnsi="宋体"/>
          <w:sz w:val="24"/>
          <w:szCs w:val="20"/>
        </w:rPr>
      </w:pPr>
      <w:bookmarkStart w:id="648" w:name="_Toc338944710"/>
      <w:bookmarkStart w:id="649" w:name="_Toc490222493"/>
      <w:bookmarkStart w:id="650" w:name="_Toc480486730"/>
      <w:bookmarkStart w:id="651" w:name="_Toc480486902"/>
      <w:bookmarkStart w:id="652" w:name="_Toc486580048"/>
      <w:bookmarkStart w:id="653" w:name="_Toc117350412"/>
      <w:bookmarkStart w:id="654" w:name="_Toc342296268"/>
      <w:bookmarkStart w:id="655" w:name="_Toc489279859"/>
      <w:bookmarkStart w:id="656" w:name="_Toc483668077"/>
      <w:r>
        <w:rPr>
          <w:rFonts w:ascii="宋体" w:hAnsi="宋体"/>
          <w:sz w:val="24"/>
          <w:szCs w:val="20"/>
        </w:rPr>
        <w:t xml:space="preserve">1.6  </w:t>
      </w:r>
      <w:r>
        <w:rPr>
          <w:rFonts w:hint="eastAsia" w:ascii="宋体" w:hAnsi="宋体"/>
          <w:sz w:val="24"/>
          <w:szCs w:val="20"/>
        </w:rPr>
        <w:t>图纸和承包人文件</w:t>
      </w:r>
      <w:bookmarkEnd w:id="648"/>
      <w:bookmarkEnd w:id="649"/>
      <w:bookmarkEnd w:id="650"/>
      <w:bookmarkEnd w:id="651"/>
      <w:bookmarkEnd w:id="652"/>
      <w:bookmarkEnd w:id="653"/>
      <w:bookmarkEnd w:id="654"/>
      <w:bookmarkEnd w:id="655"/>
      <w:bookmarkEnd w:id="656"/>
    </w:p>
    <w:p w14:paraId="62F8C70F">
      <w:pPr>
        <w:spacing w:line="360" w:lineRule="auto"/>
        <w:ind w:firstLine="420" w:firstLineChars="200"/>
        <w:rPr>
          <w:rFonts w:hint="eastAsia" w:ascii="宋体" w:hAnsi="宋体"/>
        </w:rPr>
      </w:pPr>
      <w:r>
        <w:rPr>
          <w:rFonts w:ascii="宋体" w:hAnsi="宋体"/>
        </w:rPr>
        <w:t xml:space="preserve">1.6.1  </w:t>
      </w:r>
      <w:r>
        <w:rPr>
          <w:rFonts w:hint="eastAsia" w:ascii="宋体" w:hAnsi="宋体"/>
        </w:rPr>
        <w:t>图纸的提供</w:t>
      </w:r>
    </w:p>
    <w:p w14:paraId="7CF97AC3">
      <w:pPr>
        <w:spacing w:line="360" w:lineRule="auto"/>
        <w:ind w:firstLine="420" w:firstLineChars="200"/>
        <w:rPr>
          <w:rFonts w:hint="eastAsia" w:ascii="宋体" w:hAnsi="宋体"/>
        </w:rPr>
      </w:pPr>
      <w:r>
        <w:rPr>
          <w:rFonts w:hint="eastAsia" w:ascii="宋体" w:hAnsi="宋体"/>
        </w:rPr>
        <w:t>（</w:t>
      </w:r>
      <w:r>
        <w:rPr>
          <w:rFonts w:ascii="宋体" w:hAnsi="宋体"/>
        </w:rPr>
        <w:t>1</w:t>
      </w:r>
      <w:r>
        <w:rPr>
          <w:rFonts w:hint="eastAsia" w:ascii="宋体" w:hAnsi="宋体"/>
        </w:rPr>
        <w:t>）发包人按照合同约定向承包人提供图纸。承包人需要增加图纸套数的，发包人应代为复制，复制费用由承包人承担。</w:t>
      </w:r>
    </w:p>
    <w:p w14:paraId="09E795C3">
      <w:pPr>
        <w:spacing w:line="360" w:lineRule="auto"/>
        <w:ind w:firstLine="420" w:firstLineChars="200"/>
        <w:rPr>
          <w:rFonts w:hint="eastAsia" w:ascii="宋体" w:hAnsi="宋体"/>
        </w:rPr>
      </w:pPr>
      <w:r>
        <w:rPr>
          <w:rFonts w:hint="eastAsia" w:ascii="宋体" w:hAnsi="宋体"/>
        </w:rPr>
        <w:t>（2）依据合同条款专用部分第10.1款约定制定的合同进度计划，或依据合同条款专用部分第10.2款约定修订的合同进度计划，经监理人批准后7日内，承包人应当根据合同进度计划或合同进度计划修订和本项约定的图纸提供期限和数量，编制或者修改图纸供应计划并报送监理人，其中应当载明承包人对各最新版本图纸(包括第1.6.3项约定的图纸修改图)的最迟需求时间，监理人应当在收到图纸供应计划后7天内批复或提出修改意见。</w:t>
      </w:r>
    </w:p>
    <w:p w14:paraId="14690454">
      <w:pPr>
        <w:spacing w:line="360" w:lineRule="auto"/>
        <w:ind w:firstLine="420" w:firstLineChars="200"/>
        <w:rPr>
          <w:rFonts w:hint="eastAsia" w:ascii="宋体" w:hAnsi="宋体"/>
        </w:rPr>
      </w:pPr>
      <w:r>
        <w:rPr>
          <w:rFonts w:hint="eastAsia" w:ascii="宋体" w:hAnsi="宋体"/>
        </w:rPr>
        <w:t>（3）经监理人批准最新的图纸供应计划对合同双方有合同约束力，应当作为发包人或者监理人向承包人提供图纸的主要依据。</w:t>
      </w:r>
    </w:p>
    <w:p w14:paraId="1BD7BD9F">
      <w:pPr>
        <w:spacing w:line="360" w:lineRule="auto"/>
        <w:ind w:firstLine="420" w:firstLineChars="200"/>
        <w:rPr>
          <w:rFonts w:hint="eastAsia" w:ascii="宋体" w:hAnsi="宋体"/>
        </w:rPr>
      </w:pPr>
      <w:r>
        <w:rPr>
          <w:rFonts w:hint="eastAsia" w:ascii="宋体" w:hAnsi="宋体"/>
        </w:rPr>
        <w:t>（</w:t>
      </w:r>
      <w:r>
        <w:rPr>
          <w:rFonts w:ascii="宋体" w:hAnsi="宋体"/>
        </w:rPr>
        <w:t>4</w:t>
      </w:r>
      <w:r>
        <w:rPr>
          <w:rFonts w:hint="eastAsia" w:ascii="宋体" w:hAnsi="宋体"/>
        </w:rPr>
        <w:t>）承包人未按照约定的时间向监理人提交图纸供应计划</w:t>
      </w:r>
      <w:r>
        <w:rPr>
          <w:rFonts w:ascii="宋体" w:hAnsi="宋体"/>
        </w:rPr>
        <w:t>,</w:t>
      </w:r>
      <w:r>
        <w:rPr>
          <w:rFonts w:hint="eastAsia" w:ascii="宋体" w:hAnsi="宋体"/>
        </w:rPr>
        <w:t>致使发包人或者监理人未能在约定的时间内提供相应图纸或者承包人未按照图纸供应计划组织施工所造成的费用增加和（或）工期延误由承包人承担。</w:t>
      </w:r>
    </w:p>
    <w:p w14:paraId="3E922B98">
      <w:pPr>
        <w:spacing w:line="360" w:lineRule="auto"/>
        <w:ind w:firstLine="420" w:firstLineChars="200"/>
        <w:rPr>
          <w:rFonts w:hint="eastAsia" w:ascii="宋体" w:hAnsi="宋体"/>
        </w:rPr>
      </w:pPr>
      <w:r>
        <w:rPr>
          <w:rFonts w:hint="eastAsia" w:ascii="宋体" w:hAnsi="宋体"/>
        </w:rPr>
        <w:t>（</w:t>
      </w:r>
      <w:r>
        <w:rPr>
          <w:rFonts w:ascii="宋体" w:hAnsi="宋体"/>
        </w:rPr>
        <w:t>5</w:t>
      </w:r>
      <w:r>
        <w:rPr>
          <w:rFonts w:hint="eastAsia" w:ascii="宋体" w:hAnsi="宋体"/>
        </w:rPr>
        <w:t>）发包人提供图纸的期限、数量和其他约定见合同条款专用部分。</w:t>
      </w:r>
    </w:p>
    <w:p w14:paraId="089F2DDB">
      <w:pPr>
        <w:spacing w:line="360" w:lineRule="auto"/>
        <w:ind w:firstLine="420" w:firstLineChars="200"/>
        <w:rPr>
          <w:rFonts w:hint="eastAsia" w:ascii="宋体" w:hAnsi="宋体"/>
        </w:rPr>
      </w:pPr>
      <w:r>
        <w:rPr>
          <w:rFonts w:ascii="宋体" w:hAnsi="宋体"/>
        </w:rPr>
        <w:t xml:space="preserve">1.6.2  </w:t>
      </w:r>
      <w:r>
        <w:rPr>
          <w:rFonts w:hint="eastAsia" w:ascii="宋体" w:hAnsi="宋体"/>
        </w:rPr>
        <w:t>承包人提供的文件</w:t>
      </w:r>
    </w:p>
    <w:p w14:paraId="5DAED08C">
      <w:pPr>
        <w:spacing w:line="360" w:lineRule="auto"/>
        <w:ind w:firstLine="420" w:firstLineChars="200"/>
        <w:rPr>
          <w:rFonts w:hint="eastAsia" w:ascii="宋体" w:hAnsi="宋体"/>
        </w:rPr>
      </w:pPr>
      <w:r>
        <w:rPr>
          <w:rFonts w:hint="eastAsia" w:ascii="宋体" w:hAnsi="宋体"/>
        </w:rPr>
        <w:t>（</w:t>
      </w:r>
      <w:r>
        <w:rPr>
          <w:rFonts w:ascii="宋体" w:hAnsi="宋体"/>
        </w:rPr>
        <w:t>1</w:t>
      </w:r>
      <w:r>
        <w:rPr>
          <w:rFonts w:hint="eastAsia" w:ascii="宋体" w:hAnsi="宋体"/>
        </w:rPr>
        <w:t>）由承包人提供的文件包括部分工程的大样图、加工图等，承包人应当按照约定的范围、数量和期限报送监理人，监理人应当在约定的期限内批复。承包人提供文件的范围、数量、期限和监理人批复期限以及其他约定见合同条款专用部分。</w:t>
      </w:r>
    </w:p>
    <w:p w14:paraId="16836839">
      <w:pPr>
        <w:spacing w:line="360" w:lineRule="auto"/>
        <w:ind w:firstLine="420" w:firstLineChars="200"/>
        <w:rPr>
          <w:rFonts w:hint="eastAsia" w:ascii="宋体" w:hAnsi="宋体"/>
        </w:rPr>
      </w:pPr>
      <w:r>
        <w:rPr>
          <w:rFonts w:hint="eastAsia" w:ascii="宋体" w:hAnsi="宋体"/>
        </w:rPr>
        <w:t>（</w:t>
      </w:r>
      <w:r>
        <w:rPr>
          <w:rFonts w:ascii="宋体" w:hAnsi="宋体"/>
        </w:rPr>
        <w:t>2</w:t>
      </w:r>
      <w:r>
        <w:rPr>
          <w:rFonts w:hint="eastAsia" w:ascii="宋体" w:hAnsi="宋体"/>
        </w:rPr>
        <w:t>）除合同条款第</w:t>
      </w:r>
      <w:r>
        <w:rPr>
          <w:rFonts w:ascii="宋体" w:hAnsi="宋体"/>
        </w:rPr>
        <w:t>4.1.10</w:t>
      </w:r>
      <w:r>
        <w:rPr>
          <w:rFonts w:hint="eastAsia" w:ascii="宋体" w:hAnsi="宋体"/>
        </w:rPr>
        <w:t>项约定的由承包人提供的设计文件外，本项约定的其他应由承包人提供的文件，包括必要的加工图和大样图，均不能作为合同计量与支付的依据文件。</w:t>
      </w:r>
    </w:p>
    <w:p w14:paraId="4A42129F">
      <w:pPr>
        <w:spacing w:line="360" w:lineRule="auto"/>
        <w:ind w:firstLine="420" w:firstLineChars="200"/>
        <w:rPr>
          <w:rFonts w:hint="eastAsia" w:ascii="宋体" w:hAnsi="宋体"/>
        </w:rPr>
      </w:pPr>
      <w:r>
        <w:rPr>
          <w:rFonts w:ascii="宋体" w:hAnsi="宋体"/>
        </w:rPr>
        <w:t xml:space="preserve">1.6.3  </w:t>
      </w:r>
      <w:r>
        <w:rPr>
          <w:rFonts w:hint="eastAsia" w:ascii="宋体" w:hAnsi="宋体"/>
        </w:rPr>
        <w:t>图纸的修改</w:t>
      </w:r>
    </w:p>
    <w:p w14:paraId="63D13547">
      <w:pPr>
        <w:spacing w:line="360" w:lineRule="auto"/>
        <w:ind w:firstLine="420" w:firstLineChars="200"/>
        <w:rPr>
          <w:rFonts w:hint="eastAsia" w:ascii="宋体" w:hAnsi="宋体"/>
        </w:rPr>
      </w:pPr>
      <w:r>
        <w:rPr>
          <w:rFonts w:hint="eastAsia" w:ascii="宋体" w:hAnsi="宋体"/>
        </w:rPr>
        <w:t>图纸需要修改和补充的，监理人应当按照合同条款第</w:t>
      </w:r>
      <w:r>
        <w:rPr>
          <w:rFonts w:ascii="宋体" w:hAnsi="宋体"/>
        </w:rPr>
        <w:t>1.6.1</w:t>
      </w:r>
      <w:r>
        <w:rPr>
          <w:rFonts w:hint="eastAsia" w:ascii="宋体" w:hAnsi="宋体"/>
        </w:rPr>
        <w:t>（</w:t>
      </w:r>
      <w:r>
        <w:rPr>
          <w:rFonts w:ascii="宋体" w:hAnsi="宋体"/>
        </w:rPr>
        <w:t>2</w:t>
      </w:r>
      <w:r>
        <w:rPr>
          <w:rFonts w:hint="eastAsia" w:ascii="宋体" w:hAnsi="宋体"/>
        </w:rPr>
        <w:t>）目约定的有合同约束力的图纸供应计划，签发图纸修改图给承包人。承包人应按修改后的图纸施工。</w:t>
      </w:r>
    </w:p>
    <w:p w14:paraId="6BF5C4A0">
      <w:pPr>
        <w:spacing w:line="360" w:lineRule="auto"/>
        <w:ind w:firstLine="420" w:firstLineChars="200"/>
        <w:rPr>
          <w:rFonts w:hint="eastAsia" w:ascii="宋体" w:hAnsi="宋体"/>
        </w:rPr>
      </w:pPr>
      <w:r>
        <w:rPr>
          <w:rFonts w:ascii="宋体" w:hAnsi="宋体"/>
        </w:rPr>
        <w:t xml:space="preserve">1.6.4  </w:t>
      </w:r>
      <w:r>
        <w:rPr>
          <w:rFonts w:hint="eastAsia" w:ascii="宋体" w:hAnsi="宋体"/>
        </w:rPr>
        <w:t>图纸的错误</w:t>
      </w:r>
    </w:p>
    <w:p w14:paraId="4E85142D">
      <w:pPr>
        <w:spacing w:line="360" w:lineRule="auto"/>
        <w:ind w:firstLine="420" w:firstLineChars="200"/>
        <w:rPr>
          <w:rFonts w:hint="eastAsia" w:ascii="宋体" w:hAnsi="宋体"/>
        </w:rPr>
      </w:pPr>
      <w:r>
        <w:rPr>
          <w:rFonts w:hint="eastAsia" w:ascii="宋体" w:hAnsi="宋体"/>
        </w:rPr>
        <w:t>承包人发现发包人提供的图纸存在明显错误或疏忽，应及时通知监理人。</w:t>
      </w:r>
    </w:p>
    <w:p w14:paraId="6263EB78">
      <w:pPr>
        <w:spacing w:line="360" w:lineRule="auto"/>
        <w:ind w:firstLine="420" w:firstLineChars="200"/>
        <w:rPr>
          <w:rFonts w:hint="eastAsia" w:ascii="宋体" w:hAnsi="宋体"/>
        </w:rPr>
      </w:pPr>
      <w:r>
        <w:rPr>
          <w:rFonts w:ascii="宋体" w:hAnsi="宋体"/>
        </w:rPr>
        <w:t xml:space="preserve">1.6.5  </w:t>
      </w:r>
      <w:r>
        <w:rPr>
          <w:rFonts w:hint="eastAsia" w:ascii="宋体" w:hAnsi="宋体"/>
        </w:rPr>
        <w:t>图纸和承包人文件的保管</w:t>
      </w:r>
    </w:p>
    <w:p w14:paraId="2E4D54BA">
      <w:pPr>
        <w:spacing w:line="360" w:lineRule="auto"/>
        <w:ind w:firstLine="420" w:firstLineChars="200"/>
        <w:rPr>
          <w:rFonts w:hint="eastAsia" w:ascii="宋体" w:hAnsi="宋体"/>
        </w:rPr>
      </w:pPr>
      <w:r>
        <w:rPr>
          <w:rFonts w:hint="eastAsia" w:ascii="宋体" w:hAnsi="宋体"/>
        </w:rPr>
        <w:t>监理人和承包人均应在施工场地各保存一套完整的包含第</w:t>
      </w:r>
      <w:r>
        <w:rPr>
          <w:rFonts w:ascii="宋体" w:hAnsi="宋体"/>
        </w:rPr>
        <w:t>1.6.1</w:t>
      </w:r>
      <w:r>
        <w:rPr>
          <w:rFonts w:hint="eastAsia" w:ascii="宋体" w:hAnsi="宋体"/>
        </w:rPr>
        <w:t>项、第</w:t>
      </w:r>
      <w:r>
        <w:rPr>
          <w:rFonts w:ascii="宋体" w:hAnsi="宋体"/>
        </w:rPr>
        <w:t>1.6.2</w:t>
      </w:r>
      <w:r>
        <w:rPr>
          <w:rFonts w:hint="eastAsia" w:ascii="宋体" w:hAnsi="宋体"/>
        </w:rPr>
        <w:t>项、第</w:t>
      </w:r>
      <w:r>
        <w:rPr>
          <w:rFonts w:ascii="宋体" w:hAnsi="宋体"/>
        </w:rPr>
        <w:t>1.6.3</w:t>
      </w:r>
      <w:r>
        <w:rPr>
          <w:rFonts w:hint="eastAsia" w:ascii="宋体" w:hAnsi="宋体"/>
        </w:rPr>
        <w:t>项约定内容的图纸和承包人文件。</w:t>
      </w:r>
    </w:p>
    <w:p w14:paraId="67B84041">
      <w:pPr>
        <w:keepNext/>
        <w:keepLines/>
        <w:spacing w:before="120" w:beforeLines="50" w:after="120" w:afterLines="50" w:line="360" w:lineRule="auto"/>
        <w:outlineLvl w:val="2"/>
        <w:rPr>
          <w:rFonts w:hint="eastAsia" w:ascii="宋体" w:hAnsi="宋体"/>
          <w:sz w:val="24"/>
          <w:szCs w:val="20"/>
        </w:rPr>
      </w:pPr>
      <w:bookmarkStart w:id="657" w:name="_Toc489279860"/>
      <w:bookmarkStart w:id="658" w:name="_Toc480486903"/>
      <w:bookmarkStart w:id="659" w:name="_Toc490222494"/>
      <w:bookmarkStart w:id="660" w:name="_Toc486580049"/>
      <w:bookmarkStart w:id="661" w:name="_Toc117350413"/>
      <w:bookmarkStart w:id="662" w:name="_Toc338944711"/>
      <w:bookmarkStart w:id="663" w:name="_Toc483668078"/>
      <w:bookmarkStart w:id="664" w:name="_Toc342296269"/>
      <w:bookmarkStart w:id="665" w:name="_Toc480486731"/>
      <w:r>
        <w:rPr>
          <w:rFonts w:ascii="宋体" w:hAnsi="宋体"/>
          <w:sz w:val="24"/>
          <w:szCs w:val="20"/>
        </w:rPr>
        <w:t xml:space="preserve">1.7  </w:t>
      </w:r>
      <w:r>
        <w:rPr>
          <w:rFonts w:hint="eastAsia" w:ascii="宋体" w:hAnsi="宋体"/>
          <w:sz w:val="24"/>
          <w:szCs w:val="20"/>
        </w:rPr>
        <w:t>联络</w:t>
      </w:r>
      <w:bookmarkEnd w:id="657"/>
      <w:bookmarkEnd w:id="658"/>
      <w:bookmarkEnd w:id="659"/>
      <w:bookmarkEnd w:id="660"/>
      <w:bookmarkEnd w:id="661"/>
      <w:bookmarkEnd w:id="662"/>
      <w:bookmarkEnd w:id="663"/>
      <w:bookmarkEnd w:id="664"/>
      <w:bookmarkEnd w:id="665"/>
    </w:p>
    <w:p w14:paraId="2285F1E7">
      <w:pPr>
        <w:spacing w:line="360" w:lineRule="auto"/>
        <w:ind w:firstLine="420" w:firstLineChars="200"/>
        <w:rPr>
          <w:rFonts w:hint="eastAsia" w:ascii="宋体" w:hAnsi="宋体"/>
        </w:rPr>
      </w:pPr>
      <w:r>
        <w:rPr>
          <w:rFonts w:ascii="宋体" w:hAnsi="宋体"/>
        </w:rPr>
        <w:t xml:space="preserve">1.7.1  </w:t>
      </w:r>
      <w:r>
        <w:rPr>
          <w:rFonts w:hint="eastAsia" w:ascii="宋体" w:hAnsi="宋体"/>
        </w:rPr>
        <w:t>与合同有关的通知、批准、证明、证书、指示、要求、请求、同意、意见、确定和决定等，均应采用书面形式。</w:t>
      </w:r>
    </w:p>
    <w:p w14:paraId="079E012A">
      <w:pPr>
        <w:spacing w:line="360" w:lineRule="auto"/>
        <w:ind w:firstLine="420" w:firstLineChars="200"/>
        <w:rPr>
          <w:rFonts w:hint="eastAsia" w:ascii="宋体" w:hAnsi="宋体"/>
        </w:rPr>
      </w:pPr>
      <w:r>
        <w:rPr>
          <w:rFonts w:ascii="宋体" w:hAnsi="宋体"/>
        </w:rPr>
        <w:t xml:space="preserve">1.7.2  </w:t>
      </w:r>
      <w:r>
        <w:rPr>
          <w:rFonts w:hint="eastAsia" w:ascii="宋体" w:hAnsi="宋体"/>
        </w:rPr>
        <w:t>第</w:t>
      </w:r>
      <w:r>
        <w:rPr>
          <w:rFonts w:ascii="宋体" w:hAnsi="宋体"/>
        </w:rPr>
        <w:t>1.7.1</w:t>
      </w:r>
      <w:r>
        <w:rPr>
          <w:rFonts w:hint="eastAsia" w:ascii="宋体" w:hAnsi="宋体"/>
        </w:rPr>
        <w:t>项中的通知、批准、证明、证书、指示、要求、请求、同意、意见、确定和决定等来往函件，均应在合同约定的期限内送达指定地点和接收人，并办理签收手续。</w:t>
      </w:r>
    </w:p>
    <w:p w14:paraId="539F5E5B">
      <w:pPr>
        <w:spacing w:line="360" w:lineRule="auto"/>
        <w:ind w:firstLine="420" w:firstLineChars="200"/>
        <w:rPr>
          <w:rFonts w:hint="eastAsia" w:ascii="宋体" w:hAnsi="宋体"/>
        </w:rPr>
      </w:pPr>
      <w:r>
        <w:rPr>
          <w:rFonts w:hint="eastAsia" w:ascii="宋体" w:hAnsi="宋体"/>
        </w:rPr>
        <w:t>（</w:t>
      </w:r>
      <w:r>
        <w:rPr>
          <w:rFonts w:ascii="宋体" w:hAnsi="宋体"/>
        </w:rPr>
        <w:t>1</w:t>
      </w:r>
      <w:r>
        <w:rPr>
          <w:rFonts w:hint="eastAsia" w:ascii="宋体" w:hAnsi="宋体"/>
        </w:rPr>
        <w:t>）联络来往信函的送达期限：合同约定了发出期限的，送达期限为合同约定的发出期限后的</w:t>
      </w:r>
      <w:r>
        <w:rPr>
          <w:rFonts w:ascii="宋体" w:hAnsi="宋体"/>
        </w:rPr>
        <w:t>24</w:t>
      </w:r>
      <w:r>
        <w:rPr>
          <w:rFonts w:hint="eastAsia" w:ascii="宋体" w:hAnsi="宋体"/>
        </w:rPr>
        <w:t>小时内；合同约定了通知、提供或者报送期限的，通知、提供或者报送期限即为送达期限。</w:t>
      </w:r>
    </w:p>
    <w:p w14:paraId="23F3A872">
      <w:pPr>
        <w:spacing w:line="360" w:lineRule="auto"/>
        <w:ind w:firstLine="420" w:firstLineChars="200"/>
        <w:rPr>
          <w:rFonts w:hint="eastAsia" w:ascii="宋体" w:hAnsi="宋体"/>
        </w:rPr>
      </w:pPr>
      <w:r>
        <w:rPr>
          <w:rFonts w:hint="eastAsia" w:ascii="宋体" w:hAnsi="宋体"/>
        </w:rPr>
        <w:t>（</w:t>
      </w:r>
      <w:r>
        <w:rPr>
          <w:rFonts w:ascii="宋体" w:hAnsi="宋体"/>
        </w:rPr>
        <w:t>2</w:t>
      </w:r>
      <w:r>
        <w:rPr>
          <w:rFonts w:hint="eastAsia" w:ascii="宋体" w:hAnsi="宋体"/>
        </w:rPr>
        <w:t>）发包人指定的接收人和接收地点见合同条款专用部分。</w:t>
      </w:r>
    </w:p>
    <w:p w14:paraId="5591D9A8">
      <w:pPr>
        <w:spacing w:line="360" w:lineRule="auto"/>
        <w:ind w:firstLine="420" w:firstLineChars="200"/>
        <w:rPr>
          <w:rFonts w:hint="eastAsia" w:ascii="宋体" w:hAnsi="宋体"/>
        </w:rPr>
      </w:pPr>
      <w:r>
        <w:rPr>
          <w:rFonts w:hint="eastAsia" w:ascii="宋体" w:hAnsi="宋体"/>
        </w:rPr>
        <w:t>（</w:t>
      </w:r>
      <w:r>
        <w:rPr>
          <w:rFonts w:ascii="宋体" w:hAnsi="宋体"/>
        </w:rPr>
        <w:t>3</w:t>
      </w:r>
      <w:r>
        <w:rPr>
          <w:rFonts w:hint="eastAsia" w:ascii="宋体" w:hAnsi="宋体"/>
        </w:rPr>
        <w:t>）监理人指定的接收人和接收地点见合同条款专用部分。</w:t>
      </w:r>
    </w:p>
    <w:p w14:paraId="5757DD5E">
      <w:pPr>
        <w:spacing w:line="360" w:lineRule="auto"/>
        <w:ind w:firstLine="420" w:firstLineChars="200"/>
        <w:rPr>
          <w:rFonts w:hint="eastAsia" w:ascii="宋体" w:hAnsi="宋体"/>
        </w:rPr>
      </w:pPr>
      <w:r>
        <w:rPr>
          <w:rFonts w:hint="eastAsia" w:ascii="宋体" w:hAnsi="宋体"/>
        </w:rPr>
        <w:t>（</w:t>
      </w:r>
      <w:r>
        <w:rPr>
          <w:rFonts w:ascii="宋体" w:hAnsi="宋体"/>
        </w:rPr>
        <w:t>4</w:t>
      </w:r>
      <w:r>
        <w:rPr>
          <w:rFonts w:hint="eastAsia" w:ascii="宋体" w:hAnsi="宋体"/>
        </w:rPr>
        <w:t>）承包人指定的接收人为合同协议书中载明的承包人项目经理本人或者项目经理的授权代表。承包人应在收到开工通知后</w:t>
      </w:r>
      <w:r>
        <w:rPr>
          <w:rFonts w:ascii="宋体" w:hAnsi="宋体"/>
        </w:rPr>
        <w:t>7</w:t>
      </w:r>
      <w:r>
        <w:rPr>
          <w:rFonts w:hint="eastAsia" w:ascii="宋体" w:hAnsi="宋体"/>
        </w:rPr>
        <w:t>天内，按照合同条款第</w:t>
      </w:r>
      <w:r>
        <w:rPr>
          <w:rFonts w:ascii="宋体" w:hAnsi="宋体"/>
        </w:rPr>
        <w:t>4.5.4</w:t>
      </w:r>
      <w:r>
        <w:rPr>
          <w:rFonts w:hint="eastAsia" w:ascii="宋体" w:hAnsi="宋体"/>
        </w:rPr>
        <w:t>项的约定，将授权代表其接收来往信函的项目经理的授权代表姓名和授权范围通知监理人。除合同另有约定外，承包人施工场地管理机构的办公地点即为承包人指定的接收地点。</w:t>
      </w:r>
    </w:p>
    <w:p w14:paraId="60D44918">
      <w:pPr>
        <w:spacing w:line="360" w:lineRule="auto"/>
        <w:ind w:firstLine="420" w:firstLineChars="200"/>
        <w:rPr>
          <w:rFonts w:hint="eastAsia" w:ascii="宋体" w:hAnsi="宋体"/>
        </w:rPr>
      </w:pPr>
      <w:r>
        <w:rPr>
          <w:rFonts w:hint="eastAsia" w:ascii="宋体" w:hAnsi="宋体"/>
        </w:rPr>
        <w:t>（</w:t>
      </w:r>
      <w:r>
        <w:rPr>
          <w:rFonts w:ascii="宋体" w:hAnsi="宋体"/>
        </w:rPr>
        <w:t>5</w:t>
      </w:r>
      <w:r>
        <w:rPr>
          <w:rFonts w:hint="eastAsia" w:ascii="宋体" w:hAnsi="宋体"/>
        </w:rPr>
        <w:t>）发包人（包括监理人）和承包人中任何一方指定的接收人或者接收地点发生变动，应当在实际变动前提前至少一个工作日以书面形式通知另一方。发包人（包括监理人）和承包人应当确保其各自指定的接收人在法定的和（或）符合合同约定的工作时间内始终工作在指定的接收地点，指定接收人离开工作岗位而无法及时签收来往信函视为拒不签收。</w:t>
      </w:r>
    </w:p>
    <w:p w14:paraId="4B0517C7">
      <w:pPr>
        <w:spacing w:line="360" w:lineRule="auto"/>
        <w:ind w:firstLine="420" w:firstLineChars="200"/>
        <w:rPr>
          <w:rFonts w:hint="eastAsia" w:ascii="宋体" w:hAnsi="宋体"/>
        </w:rPr>
      </w:pPr>
      <w:r>
        <w:rPr>
          <w:rFonts w:hint="eastAsia" w:ascii="宋体" w:hAnsi="宋体"/>
        </w:rPr>
        <w:t>（</w:t>
      </w:r>
      <w:r>
        <w:rPr>
          <w:rFonts w:ascii="宋体" w:hAnsi="宋体"/>
        </w:rPr>
        <w:t>6</w:t>
      </w:r>
      <w:r>
        <w:rPr>
          <w:rFonts w:hint="eastAsia" w:ascii="宋体" w:hAnsi="宋体"/>
        </w:rPr>
        <w:t>）发包人（包括监理人）和承包人中任何一方均应当及时签收另一方送达其指定接收地点的来往信函，拒不签收的，送达信函的一方可以采用挂号或者公证方式送达，由此所造成的直接的和间接的费用增加（包括被迫采用特殊送达方式所发生的费用）和（或）延误的工期由拒绝签收一方承担。</w:t>
      </w:r>
    </w:p>
    <w:p w14:paraId="1D6E0303">
      <w:pPr>
        <w:keepNext/>
        <w:keepLines/>
        <w:spacing w:before="120" w:beforeLines="50" w:after="120" w:afterLines="50" w:line="360" w:lineRule="auto"/>
        <w:outlineLvl w:val="2"/>
        <w:rPr>
          <w:rFonts w:hint="eastAsia" w:ascii="宋体" w:hAnsi="宋体"/>
          <w:sz w:val="24"/>
          <w:szCs w:val="20"/>
        </w:rPr>
      </w:pPr>
      <w:bookmarkStart w:id="666" w:name="_Toc117350414"/>
      <w:bookmarkStart w:id="667" w:name="_Toc342296270"/>
      <w:bookmarkStart w:id="668" w:name="_Toc179632637"/>
      <w:bookmarkStart w:id="669" w:name="_Toc480486732"/>
      <w:bookmarkStart w:id="670" w:name="_Toc338944712"/>
      <w:bookmarkStart w:id="671" w:name="_Toc486580050"/>
      <w:bookmarkStart w:id="672" w:name="_Toc480486904"/>
      <w:bookmarkStart w:id="673" w:name="_Toc144974587"/>
      <w:bookmarkStart w:id="674" w:name="_Toc490222495"/>
      <w:bookmarkStart w:id="675" w:name="_Toc489279861"/>
      <w:bookmarkStart w:id="676" w:name="_Toc483668079"/>
      <w:bookmarkStart w:id="677" w:name="_Toc152042397"/>
      <w:bookmarkStart w:id="678" w:name="_Toc152045619"/>
      <w:r>
        <w:rPr>
          <w:rFonts w:ascii="宋体" w:hAnsi="宋体"/>
          <w:sz w:val="24"/>
          <w:szCs w:val="20"/>
        </w:rPr>
        <w:t xml:space="preserve">1.8  </w:t>
      </w:r>
      <w:r>
        <w:rPr>
          <w:rFonts w:hint="eastAsia" w:ascii="宋体" w:hAnsi="宋体"/>
          <w:sz w:val="24"/>
          <w:szCs w:val="20"/>
        </w:rPr>
        <w:t>转让</w:t>
      </w:r>
      <w:bookmarkEnd w:id="666"/>
      <w:bookmarkEnd w:id="667"/>
      <w:bookmarkEnd w:id="668"/>
      <w:bookmarkEnd w:id="669"/>
      <w:bookmarkEnd w:id="670"/>
      <w:bookmarkEnd w:id="671"/>
      <w:bookmarkEnd w:id="672"/>
      <w:bookmarkEnd w:id="673"/>
      <w:bookmarkEnd w:id="674"/>
      <w:bookmarkEnd w:id="675"/>
      <w:bookmarkEnd w:id="676"/>
      <w:bookmarkEnd w:id="677"/>
      <w:bookmarkEnd w:id="678"/>
    </w:p>
    <w:p w14:paraId="20765C23">
      <w:pPr>
        <w:spacing w:line="360" w:lineRule="auto"/>
        <w:ind w:firstLine="420" w:firstLineChars="200"/>
        <w:rPr>
          <w:rFonts w:hint="eastAsia" w:ascii="宋体" w:hAnsi="宋体"/>
        </w:rPr>
      </w:pPr>
      <w:r>
        <w:rPr>
          <w:rFonts w:hint="eastAsia" w:ascii="宋体" w:hAnsi="宋体"/>
        </w:rPr>
        <w:t>除合同另有约定外，未经对方当事人同意，一方当事人不得将合同权利全部或部分转让给第三人，也不得全部或部分转移合同义务。</w:t>
      </w:r>
    </w:p>
    <w:p w14:paraId="77B98094">
      <w:pPr>
        <w:keepNext/>
        <w:keepLines/>
        <w:spacing w:before="120" w:beforeLines="50" w:after="120" w:afterLines="50" w:line="360" w:lineRule="auto"/>
        <w:outlineLvl w:val="2"/>
        <w:rPr>
          <w:rFonts w:hint="eastAsia" w:ascii="宋体" w:hAnsi="宋体"/>
          <w:sz w:val="24"/>
          <w:szCs w:val="20"/>
        </w:rPr>
      </w:pPr>
      <w:bookmarkStart w:id="679" w:name="_Toc480486733"/>
      <w:bookmarkStart w:id="680" w:name="_Toc117350415"/>
      <w:bookmarkStart w:id="681" w:name="_Toc179632638"/>
      <w:bookmarkStart w:id="682" w:name="_Toc342296271"/>
      <w:bookmarkStart w:id="683" w:name="_Toc483668080"/>
      <w:bookmarkStart w:id="684" w:name="_Toc338944713"/>
      <w:bookmarkStart w:id="685" w:name="_Toc490222496"/>
      <w:bookmarkStart w:id="686" w:name="_Toc480486905"/>
      <w:bookmarkStart w:id="687" w:name="_Toc152045620"/>
      <w:bookmarkStart w:id="688" w:name="_Toc144974588"/>
      <w:bookmarkStart w:id="689" w:name="_Toc152042398"/>
      <w:bookmarkStart w:id="690" w:name="_Toc486580051"/>
      <w:bookmarkStart w:id="691" w:name="_Toc489279862"/>
      <w:r>
        <w:rPr>
          <w:rFonts w:ascii="宋体" w:hAnsi="宋体"/>
          <w:sz w:val="24"/>
          <w:szCs w:val="20"/>
        </w:rPr>
        <w:t xml:space="preserve">1.9  </w:t>
      </w:r>
      <w:r>
        <w:rPr>
          <w:rFonts w:hint="eastAsia" w:ascii="宋体" w:hAnsi="宋体"/>
          <w:sz w:val="24"/>
          <w:szCs w:val="20"/>
        </w:rPr>
        <w:t>严禁贿赂</w:t>
      </w:r>
      <w:bookmarkEnd w:id="679"/>
      <w:bookmarkEnd w:id="680"/>
      <w:bookmarkEnd w:id="681"/>
      <w:bookmarkEnd w:id="682"/>
      <w:bookmarkEnd w:id="683"/>
      <w:bookmarkEnd w:id="684"/>
      <w:bookmarkEnd w:id="685"/>
      <w:bookmarkEnd w:id="686"/>
      <w:bookmarkEnd w:id="687"/>
      <w:bookmarkEnd w:id="688"/>
      <w:bookmarkEnd w:id="689"/>
      <w:bookmarkEnd w:id="690"/>
      <w:bookmarkEnd w:id="691"/>
    </w:p>
    <w:p w14:paraId="2286B41D">
      <w:pPr>
        <w:spacing w:line="360" w:lineRule="auto"/>
        <w:ind w:firstLine="420" w:firstLineChars="200"/>
        <w:rPr>
          <w:rFonts w:hint="eastAsia" w:ascii="宋体" w:hAnsi="宋体"/>
        </w:rPr>
      </w:pPr>
      <w:r>
        <w:rPr>
          <w:rFonts w:hint="eastAsia" w:ascii="宋体" w:hAnsi="宋体"/>
        </w:rPr>
        <w:t>合同双方当事人不得以贿赂或变相贿赂的方式，谋取不当利益或损害对方权益。因贿赂造成对方损失的，行为人应赔偿损失，并承担相应的法律责任。</w:t>
      </w:r>
    </w:p>
    <w:p w14:paraId="24B88A3D">
      <w:pPr>
        <w:keepNext/>
        <w:keepLines/>
        <w:spacing w:before="120" w:beforeLines="50" w:after="120" w:afterLines="50" w:line="360" w:lineRule="auto"/>
        <w:outlineLvl w:val="2"/>
        <w:rPr>
          <w:rFonts w:hint="eastAsia" w:ascii="宋体" w:hAnsi="宋体"/>
          <w:sz w:val="24"/>
          <w:szCs w:val="20"/>
        </w:rPr>
      </w:pPr>
      <w:bookmarkStart w:id="692" w:name="_Toc489279863"/>
      <w:bookmarkStart w:id="693" w:name="_Toc152045621"/>
      <w:bookmarkStart w:id="694" w:name="_Toc490222497"/>
      <w:bookmarkStart w:id="695" w:name="_Toc480486734"/>
      <w:bookmarkStart w:id="696" w:name="_Toc342296272"/>
      <w:bookmarkStart w:id="697" w:name="_Toc338944714"/>
      <w:bookmarkStart w:id="698" w:name="_Toc117350416"/>
      <w:bookmarkStart w:id="699" w:name="_Toc486580052"/>
      <w:bookmarkStart w:id="700" w:name="_Toc480486906"/>
      <w:bookmarkStart w:id="701" w:name="_Toc483668081"/>
      <w:bookmarkStart w:id="702" w:name="_Toc179632639"/>
      <w:bookmarkStart w:id="703" w:name="_Toc144974589"/>
      <w:bookmarkStart w:id="704" w:name="_Toc152042399"/>
      <w:r>
        <w:rPr>
          <w:rFonts w:ascii="宋体" w:hAnsi="宋体"/>
          <w:sz w:val="24"/>
          <w:szCs w:val="20"/>
        </w:rPr>
        <w:t xml:space="preserve">1.10  </w:t>
      </w:r>
      <w:r>
        <w:rPr>
          <w:rFonts w:hint="eastAsia" w:ascii="宋体" w:hAnsi="宋体"/>
          <w:sz w:val="24"/>
          <w:szCs w:val="20"/>
        </w:rPr>
        <w:t>化石、文物</w:t>
      </w:r>
      <w:bookmarkEnd w:id="692"/>
      <w:bookmarkEnd w:id="693"/>
      <w:bookmarkEnd w:id="694"/>
      <w:bookmarkEnd w:id="695"/>
      <w:bookmarkEnd w:id="696"/>
      <w:bookmarkEnd w:id="697"/>
      <w:bookmarkEnd w:id="698"/>
      <w:bookmarkEnd w:id="699"/>
      <w:bookmarkEnd w:id="700"/>
      <w:bookmarkEnd w:id="701"/>
      <w:bookmarkEnd w:id="702"/>
      <w:bookmarkEnd w:id="703"/>
      <w:bookmarkEnd w:id="704"/>
    </w:p>
    <w:p w14:paraId="569C077F">
      <w:pPr>
        <w:spacing w:line="360" w:lineRule="auto"/>
        <w:ind w:firstLine="420" w:firstLineChars="200"/>
        <w:rPr>
          <w:rFonts w:hint="eastAsia" w:ascii="宋体" w:hAnsi="宋体"/>
        </w:rPr>
      </w:pPr>
      <w:r>
        <w:rPr>
          <w:rFonts w:ascii="宋体" w:hAnsi="宋体"/>
        </w:rPr>
        <w:t xml:space="preserve">1.10.1  </w:t>
      </w:r>
      <w:r>
        <w:rPr>
          <w:rFonts w:hint="eastAsia" w:ascii="宋体" w:hAnsi="宋体"/>
        </w:rPr>
        <w:t>在施工场地发掘的所有文物、古迹以及具有地质研究或考古价值的其他遗迹、化石、钱币或物品属于国家所有。一旦发现上述文物，承包人应采取有效合理的保护措施，防止任何人员移动或损坏上述物品，并立即报告当地文物行政部门，同时通知监理人。发包人、监理人和承包人应按文物行政部门要求采取妥善保护措施，由此导致费用增加和（或）工期延误，经发包人书面确认后，由发包人承担。</w:t>
      </w:r>
    </w:p>
    <w:p w14:paraId="3AD87BF6">
      <w:pPr>
        <w:spacing w:line="360" w:lineRule="auto"/>
        <w:ind w:firstLine="420" w:firstLineChars="200"/>
        <w:rPr>
          <w:rFonts w:hint="eastAsia" w:ascii="宋体" w:hAnsi="宋体"/>
        </w:rPr>
      </w:pPr>
      <w:r>
        <w:rPr>
          <w:rFonts w:ascii="宋体" w:hAnsi="宋体"/>
        </w:rPr>
        <w:t xml:space="preserve">1.10.2  </w:t>
      </w:r>
      <w:r>
        <w:rPr>
          <w:rFonts w:hint="eastAsia" w:ascii="宋体" w:hAnsi="宋体"/>
        </w:rPr>
        <w:t>承包人发现文物后不及时报告或隐瞒不报，致使文物丢失或损坏的，应赔偿损失，并承担相应的法律责任。</w:t>
      </w:r>
    </w:p>
    <w:p w14:paraId="1E186AA1">
      <w:pPr>
        <w:keepNext/>
        <w:keepLines/>
        <w:spacing w:before="120" w:beforeLines="50" w:after="120" w:afterLines="50" w:line="360" w:lineRule="auto"/>
        <w:outlineLvl w:val="2"/>
        <w:rPr>
          <w:rFonts w:hint="eastAsia" w:ascii="宋体" w:hAnsi="宋体"/>
          <w:sz w:val="24"/>
          <w:szCs w:val="20"/>
        </w:rPr>
      </w:pPr>
      <w:bookmarkStart w:id="705" w:name="_Toc152045622"/>
      <w:bookmarkStart w:id="706" w:name="_Toc480486735"/>
      <w:bookmarkStart w:id="707" w:name="_Toc338944715"/>
      <w:bookmarkStart w:id="708" w:name="_Toc144974590"/>
      <w:bookmarkStart w:id="709" w:name="_Toc480486907"/>
      <w:bookmarkStart w:id="710" w:name="_Toc152042400"/>
      <w:bookmarkStart w:id="711" w:name="_Toc342296273"/>
      <w:bookmarkStart w:id="712" w:name="_Toc490222498"/>
      <w:bookmarkStart w:id="713" w:name="_Toc179632640"/>
      <w:bookmarkStart w:id="714" w:name="_Toc117350417"/>
      <w:bookmarkStart w:id="715" w:name="_Toc483668082"/>
      <w:bookmarkStart w:id="716" w:name="_Toc489279864"/>
      <w:bookmarkStart w:id="717" w:name="_Toc486580053"/>
      <w:r>
        <w:rPr>
          <w:rFonts w:ascii="宋体" w:hAnsi="宋体"/>
          <w:sz w:val="24"/>
          <w:szCs w:val="20"/>
        </w:rPr>
        <w:t xml:space="preserve">1.11  </w:t>
      </w:r>
      <w:r>
        <w:rPr>
          <w:rFonts w:hint="eastAsia" w:ascii="宋体" w:hAnsi="宋体"/>
          <w:sz w:val="24"/>
          <w:szCs w:val="20"/>
        </w:rPr>
        <w:t>专利技术</w:t>
      </w:r>
      <w:bookmarkEnd w:id="705"/>
      <w:bookmarkEnd w:id="706"/>
      <w:bookmarkEnd w:id="707"/>
      <w:bookmarkEnd w:id="708"/>
      <w:bookmarkEnd w:id="709"/>
      <w:bookmarkEnd w:id="710"/>
      <w:bookmarkEnd w:id="711"/>
      <w:bookmarkEnd w:id="712"/>
      <w:bookmarkEnd w:id="713"/>
      <w:bookmarkEnd w:id="714"/>
      <w:bookmarkEnd w:id="715"/>
      <w:bookmarkEnd w:id="716"/>
      <w:bookmarkEnd w:id="717"/>
    </w:p>
    <w:p w14:paraId="29BF694C">
      <w:pPr>
        <w:spacing w:line="360" w:lineRule="auto"/>
        <w:ind w:firstLine="420" w:firstLineChars="200"/>
        <w:rPr>
          <w:rFonts w:hint="eastAsia" w:ascii="宋体" w:hAnsi="宋体"/>
        </w:rPr>
      </w:pPr>
      <w:r>
        <w:rPr>
          <w:rFonts w:ascii="宋体" w:hAnsi="宋体"/>
        </w:rPr>
        <w:t xml:space="preserve">1.11.1  </w:t>
      </w:r>
      <w:r>
        <w:rPr>
          <w:rFonts w:hint="eastAsia" w:ascii="宋体" w:hAnsi="宋体"/>
        </w:rPr>
        <w:t>承包人在使用任何材料、承包人设备、工程设备或采用施工工艺时，因侵犯专利权或其他知识产权所引起的责任，由承包人承担。</w:t>
      </w:r>
    </w:p>
    <w:p w14:paraId="2F37550A">
      <w:pPr>
        <w:spacing w:line="360" w:lineRule="auto"/>
        <w:ind w:firstLine="420" w:firstLineChars="200"/>
        <w:rPr>
          <w:rFonts w:hint="eastAsia" w:ascii="宋体" w:hAnsi="宋体"/>
        </w:rPr>
      </w:pPr>
      <w:r>
        <w:rPr>
          <w:rFonts w:ascii="宋体" w:hAnsi="宋体"/>
        </w:rPr>
        <w:t xml:space="preserve">1.11.2  </w:t>
      </w:r>
      <w:r>
        <w:rPr>
          <w:rFonts w:hint="eastAsia" w:ascii="宋体" w:hAnsi="宋体"/>
        </w:rPr>
        <w:t>承包人在投标文件中采用专利技术的，专利技术的使用费包含在投标报价内。</w:t>
      </w:r>
    </w:p>
    <w:p w14:paraId="78C61E98">
      <w:pPr>
        <w:spacing w:line="360" w:lineRule="auto"/>
        <w:ind w:firstLine="420" w:firstLineChars="200"/>
        <w:rPr>
          <w:rFonts w:hint="eastAsia" w:ascii="宋体" w:hAnsi="宋体"/>
        </w:rPr>
      </w:pPr>
      <w:r>
        <w:rPr>
          <w:rFonts w:ascii="宋体" w:hAnsi="宋体"/>
        </w:rPr>
        <w:t xml:space="preserve">1.11.3  </w:t>
      </w:r>
      <w:r>
        <w:rPr>
          <w:rFonts w:hint="eastAsia" w:ascii="宋体" w:hAnsi="宋体"/>
        </w:rPr>
        <w:t>承包人的技术秘密和声明需要保密的资料和信息，发包人和监理人不得为合同以外的目的泄露给他人。</w:t>
      </w:r>
    </w:p>
    <w:p w14:paraId="6390B5BC">
      <w:pPr>
        <w:keepNext/>
        <w:keepLines/>
        <w:spacing w:before="120" w:beforeLines="50" w:after="120" w:afterLines="50" w:line="360" w:lineRule="auto"/>
        <w:outlineLvl w:val="2"/>
        <w:rPr>
          <w:rFonts w:hint="eastAsia" w:ascii="宋体" w:hAnsi="宋体"/>
          <w:sz w:val="24"/>
          <w:szCs w:val="20"/>
        </w:rPr>
      </w:pPr>
      <w:bookmarkStart w:id="718" w:name="_Toc480486908"/>
      <w:bookmarkStart w:id="719" w:name="_Toc480486736"/>
      <w:bookmarkStart w:id="720" w:name="_Toc152045623"/>
      <w:bookmarkStart w:id="721" w:name="_Toc483668083"/>
      <w:bookmarkStart w:id="722" w:name="_Toc490222499"/>
      <w:bookmarkStart w:id="723" w:name="_Toc117350418"/>
      <w:bookmarkStart w:id="724" w:name="_Toc338944716"/>
      <w:bookmarkStart w:id="725" w:name="_Toc152042401"/>
      <w:bookmarkStart w:id="726" w:name="_Toc342296274"/>
      <w:bookmarkStart w:id="727" w:name="_Toc486580054"/>
      <w:bookmarkStart w:id="728" w:name="_Toc489279865"/>
      <w:bookmarkStart w:id="729" w:name="_Toc144974591"/>
      <w:bookmarkStart w:id="730" w:name="_Toc179632641"/>
      <w:r>
        <w:rPr>
          <w:rFonts w:ascii="宋体" w:hAnsi="宋体"/>
          <w:sz w:val="24"/>
          <w:szCs w:val="20"/>
        </w:rPr>
        <w:t xml:space="preserve">1.12  </w:t>
      </w:r>
      <w:r>
        <w:rPr>
          <w:rFonts w:hint="eastAsia" w:ascii="宋体" w:hAnsi="宋体"/>
          <w:sz w:val="24"/>
          <w:szCs w:val="20"/>
        </w:rPr>
        <w:t>图纸和文件的保密</w:t>
      </w:r>
      <w:bookmarkEnd w:id="718"/>
      <w:bookmarkEnd w:id="719"/>
      <w:bookmarkEnd w:id="720"/>
      <w:bookmarkEnd w:id="721"/>
      <w:bookmarkEnd w:id="722"/>
      <w:bookmarkEnd w:id="723"/>
      <w:bookmarkEnd w:id="724"/>
      <w:bookmarkEnd w:id="725"/>
      <w:bookmarkEnd w:id="726"/>
      <w:bookmarkEnd w:id="727"/>
      <w:bookmarkEnd w:id="728"/>
      <w:bookmarkEnd w:id="729"/>
      <w:bookmarkEnd w:id="730"/>
    </w:p>
    <w:p w14:paraId="4198EBB3">
      <w:pPr>
        <w:spacing w:line="360" w:lineRule="auto"/>
        <w:ind w:firstLine="420" w:firstLineChars="200"/>
        <w:rPr>
          <w:rFonts w:hint="eastAsia" w:ascii="宋体" w:hAnsi="宋体"/>
        </w:rPr>
      </w:pPr>
      <w:r>
        <w:rPr>
          <w:rFonts w:ascii="宋体" w:hAnsi="宋体"/>
        </w:rPr>
        <w:t xml:space="preserve">1.12.1  </w:t>
      </w:r>
      <w:r>
        <w:rPr>
          <w:rFonts w:hint="eastAsia" w:ascii="宋体" w:hAnsi="宋体"/>
        </w:rPr>
        <w:t>发包人提供的图纸和文件，未经发包人同意，承包人不得为合同以外的目的泄露给他人或公开发表与引用。</w:t>
      </w:r>
    </w:p>
    <w:p w14:paraId="22971C47">
      <w:pPr>
        <w:spacing w:line="360" w:lineRule="auto"/>
        <w:ind w:firstLine="420" w:firstLineChars="200"/>
        <w:rPr>
          <w:rFonts w:hint="eastAsia" w:ascii="宋体" w:hAnsi="宋体"/>
        </w:rPr>
      </w:pPr>
      <w:r>
        <w:rPr>
          <w:rFonts w:ascii="宋体" w:hAnsi="宋体"/>
        </w:rPr>
        <w:t xml:space="preserve">1.12.2  </w:t>
      </w:r>
      <w:r>
        <w:rPr>
          <w:rFonts w:hint="eastAsia" w:ascii="宋体" w:hAnsi="宋体"/>
        </w:rPr>
        <w:t>承包人提供的文件，未经承包人同意，发包人和监理人不得为合同以外的目的泄露给他人或公开发表与引用。</w:t>
      </w:r>
    </w:p>
    <w:p w14:paraId="1A249900">
      <w:pPr>
        <w:keepNext/>
        <w:keepLines/>
        <w:spacing w:before="120" w:beforeLines="50" w:after="120" w:afterLines="50" w:line="360" w:lineRule="auto"/>
        <w:outlineLvl w:val="1"/>
        <w:rPr>
          <w:rFonts w:hint="eastAsia" w:ascii="宋体" w:hAnsi="宋体" w:cs="宋体"/>
          <w:sz w:val="28"/>
          <w:szCs w:val="20"/>
        </w:rPr>
      </w:pPr>
      <w:bookmarkStart w:id="731" w:name="_Toc338944717"/>
      <w:bookmarkStart w:id="732" w:name="_Toc342296275"/>
      <w:bookmarkStart w:id="733" w:name="_Toc483668084"/>
      <w:bookmarkStart w:id="734" w:name="_Toc489279866"/>
      <w:bookmarkStart w:id="735" w:name="_Toc486580055"/>
      <w:bookmarkStart w:id="736" w:name="_Toc480486737"/>
      <w:bookmarkStart w:id="737" w:name="_Toc117350419"/>
      <w:bookmarkStart w:id="738" w:name="_Toc480486909"/>
      <w:bookmarkStart w:id="739" w:name="_Toc490222500"/>
      <w:r>
        <w:rPr>
          <w:rFonts w:ascii="宋体" w:hAnsi="宋体" w:cs="宋体"/>
          <w:sz w:val="28"/>
          <w:szCs w:val="20"/>
        </w:rPr>
        <w:t>2.</w:t>
      </w:r>
      <w:r>
        <w:rPr>
          <w:rFonts w:hint="eastAsia" w:ascii="宋体" w:hAnsi="宋体" w:cs="宋体"/>
          <w:sz w:val="28"/>
          <w:szCs w:val="20"/>
        </w:rPr>
        <w:t>发包人义务</w:t>
      </w:r>
      <w:bookmarkEnd w:id="731"/>
      <w:bookmarkEnd w:id="732"/>
      <w:bookmarkEnd w:id="733"/>
      <w:bookmarkEnd w:id="734"/>
      <w:bookmarkEnd w:id="735"/>
      <w:bookmarkEnd w:id="736"/>
      <w:bookmarkEnd w:id="737"/>
      <w:bookmarkEnd w:id="738"/>
      <w:bookmarkEnd w:id="739"/>
    </w:p>
    <w:p w14:paraId="090E5A3D">
      <w:pPr>
        <w:keepNext/>
        <w:keepLines/>
        <w:spacing w:before="120" w:beforeLines="50" w:after="120" w:afterLines="50" w:line="360" w:lineRule="auto"/>
        <w:outlineLvl w:val="2"/>
        <w:rPr>
          <w:rFonts w:hint="eastAsia" w:ascii="宋体" w:hAnsi="宋体"/>
          <w:sz w:val="24"/>
          <w:szCs w:val="20"/>
        </w:rPr>
      </w:pPr>
      <w:bookmarkStart w:id="740" w:name="_Toc144974593"/>
      <w:bookmarkStart w:id="741" w:name="_Toc152045625"/>
      <w:bookmarkStart w:id="742" w:name="_Toc338944718"/>
      <w:bookmarkStart w:id="743" w:name="_Toc342296276"/>
      <w:bookmarkStart w:id="744" w:name="_Toc117350420"/>
      <w:bookmarkStart w:id="745" w:name="_Toc483668085"/>
      <w:bookmarkStart w:id="746" w:name="_Toc480486910"/>
      <w:bookmarkStart w:id="747" w:name="_Toc152042403"/>
      <w:bookmarkStart w:id="748" w:name="_Toc490222501"/>
      <w:bookmarkStart w:id="749" w:name="_Toc486580056"/>
      <w:bookmarkStart w:id="750" w:name="_Toc179632643"/>
      <w:bookmarkStart w:id="751" w:name="_Toc480486738"/>
      <w:bookmarkStart w:id="752" w:name="_Toc489279867"/>
      <w:r>
        <w:rPr>
          <w:rFonts w:ascii="宋体" w:hAnsi="宋体"/>
          <w:sz w:val="24"/>
          <w:szCs w:val="20"/>
        </w:rPr>
        <w:t xml:space="preserve">2.1  </w:t>
      </w:r>
      <w:r>
        <w:rPr>
          <w:rFonts w:hint="eastAsia" w:ascii="宋体" w:hAnsi="宋体"/>
          <w:sz w:val="24"/>
          <w:szCs w:val="20"/>
        </w:rPr>
        <w:t>遵守法律</w:t>
      </w:r>
      <w:bookmarkEnd w:id="740"/>
      <w:bookmarkEnd w:id="741"/>
      <w:bookmarkEnd w:id="742"/>
      <w:bookmarkEnd w:id="743"/>
      <w:bookmarkEnd w:id="744"/>
      <w:bookmarkEnd w:id="745"/>
      <w:bookmarkEnd w:id="746"/>
      <w:bookmarkEnd w:id="747"/>
      <w:bookmarkEnd w:id="748"/>
      <w:bookmarkEnd w:id="749"/>
      <w:bookmarkEnd w:id="750"/>
      <w:bookmarkEnd w:id="751"/>
      <w:bookmarkEnd w:id="752"/>
    </w:p>
    <w:p w14:paraId="06A88359">
      <w:pPr>
        <w:spacing w:line="360" w:lineRule="auto"/>
        <w:ind w:firstLine="420" w:firstLineChars="200"/>
        <w:rPr>
          <w:rFonts w:hint="eastAsia" w:ascii="宋体" w:hAnsi="宋体"/>
        </w:rPr>
      </w:pPr>
      <w:r>
        <w:rPr>
          <w:rFonts w:hint="eastAsia" w:ascii="宋体" w:hAnsi="宋体"/>
        </w:rPr>
        <w:t>发包人在履行合同过程中应遵守法律，并保证承包人免于承担因发包人违反法律而引起的任何责任。</w:t>
      </w:r>
    </w:p>
    <w:p w14:paraId="09C38EC1">
      <w:pPr>
        <w:keepNext/>
        <w:keepLines/>
        <w:spacing w:before="120" w:beforeLines="50" w:after="120" w:afterLines="50" w:line="360" w:lineRule="auto"/>
        <w:outlineLvl w:val="2"/>
        <w:rPr>
          <w:rFonts w:hint="eastAsia" w:ascii="宋体" w:hAnsi="宋体"/>
          <w:sz w:val="24"/>
          <w:szCs w:val="20"/>
        </w:rPr>
      </w:pPr>
      <w:bookmarkStart w:id="753" w:name="_Toc117350421"/>
      <w:bookmarkStart w:id="754" w:name="_Toc486580057"/>
      <w:bookmarkStart w:id="755" w:name="_Toc144974594"/>
      <w:bookmarkStart w:id="756" w:name="_Toc489279868"/>
      <w:bookmarkStart w:id="757" w:name="_Toc342296277"/>
      <w:bookmarkStart w:id="758" w:name="_Toc490222502"/>
      <w:bookmarkStart w:id="759" w:name="_Toc179632644"/>
      <w:bookmarkStart w:id="760" w:name="_Toc152042404"/>
      <w:bookmarkStart w:id="761" w:name="_Toc480486739"/>
      <w:bookmarkStart w:id="762" w:name="_Toc152045626"/>
      <w:bookmarkStart w:id="763" w:name="_Toc480486911"/>
      <w:bookmarkStart w:id="764" w:name="_Toc483668086"/>
      <w:bookmarkStart w:id="765" w:name="_Toc338944719"/>
      <w:r>
        <w:rPr>
          <w:rFonts w:ascii="宋体" w:hAnsi="宋体"/>
          <w:sz w:val="24"/>
          <w:szCs w:val="20"/>
        </w:rPr>
        <w:t xml:space="preserve">2.2  </w:t>
      </w:r>
      <w:r>
        <w:rPr>
          <w:rFonts w:hint="eastAsia" w:ascii="宋体" w:hAnsi="宋体"/>
          <w:sz w:val="24"/>
          <w:szCs w:val="20"/>
        </w:rPr>
        <w:t>发出开工通知</w:t>
      </w:r>
      <w:bookmarkEnd w:id="753"/>
      <w:bookmarkEnd w:id="754"/>
      <w:bookmarkEnd w:id="755"/>
      <w:bookmarkEnd w:id="756"/>
      <w:bookmarkEnd w:id="757"/>
      <w:bookmarkEnd w:id="758"/>
      <w:bookmarkEnd w:id="759"/>
      <w:bookmarkEnd w:id="760"/>
      <w:bookmarkEnd w:id="761"/>
      <w:bookmarkEnd w:id="762"/>
      <w:bookmarkEnd w:id="763"/>
      <w:bookmarkEnd w:id="764"/>
      <w:bookmarkEnd w:id="765"/>
    </w:p>
    <w:p w14:paraId="2E48360A">
      <w:pPr>
        <w:spacing w:line="360" w:lineRule="auto"/>
        <w:ind w:firstLine="420" w:firstLineChars="200"/>
        <w:rPr>
          <w:rFonts w:hint="eastAsia" w:ascii="宋体" w:hAnsi="宋体"/>
        </w:rPr>
      </w:pPr>
      <w:r>
        <w:rPr>
          <w:rFonts w:hint="eastAsia" w:ascii="宋体" w:hAnsi="宋体"/>
        </w:rPr>
        <w:t>发包人应委托监理人按第</w:t>
      </w:r>
      <w:r>
        <w:rPr>
          <w:rFonts w:ascii="宋体" w:hAnsi="宋体"/>
        </w:rPr>
        <w:t>11.1</w:t>
      </w:r>
      <w:r>
        <w:rPr>
          <w:rFonts w:hint="eastAsia" w:ascii="宋体" w:hAnsi="宋体"/>
        </w:rPr>
        <w:t>款的约定向承包人发出开工通知。</w:t>
      </w:r>
    </w:p>
    <w:p w14:paraId="234DF2C1">
      <w:pPr>
        <w:keepNext/>
        <w:keepLines/>
        <w:spacing w:before="120" w:beforeLines="50" w:after="120" w:afterLines="50" w:line="360" w:lineRule="auto"/>
        <w:outlineLvl w:val="2"/>
        <w:rPr>
          <w:rFonts w:hint="eastAsia" w:ascii="宋体" w:hAnsi="宋体"/>
          <w:sz w:val="24"/>
          <w:szCs w:val="20"/>
        </w:rPr>
      </w:pPr>
      <w:bookmarkStart w:id="766" w:name="_Toc480486740"/>
      <w:bookmarkStart w:id="767" w:name="_Toc486580058"/>
      <w:bookmarkStart w:id="768" w:name="_Toc489279869"/>
      <w:bookmarkStart w:id="769" w:name="_Toc342296278"/>
      <w:bookmarkStart w:id="770" w:name="_Toc480486912"/>
      <w:bookmarkStart w:id="771" w:name="_Toc490222503"/>
      <w:bookmarkStart w:id="772" w:name="_Toc117350422"/>
      <w:bookmarkStart w:id="773" w:name="_Toc483668087"/>
      <w:bookmarkStart w:id="774" w:name="_Toc338944720"/>
      <w:r>
        <w:rPr>
          <w:rFonts w:ascii="宋体" w:hAnsi="宋体"/>
          <w:sz w:val="24"/>
          <w:szCs w:val="20"/>
        </w:rPr>
        <w:t xml:space="preserve">2.3  </w:t>
      </w:r>
      <w:r>
        <w:rPr>
          <w:rFonts w:hint="eastAsia" w:ascii="宋体" w:hAnsi="宋体"/>
          <w:sz w:val="24"/>
          <w:szCs w:val="20"/>
        </w:rPr>
        <w:t>提供施工场地</w:t>
      </w:r>
      <w:bookmarkEnd w:id="766"/>
      <w:bookmarkEnd w:id="767"/>
      <w:bookmarkEnd w:id="768"/>
      <w:bookmarkEnd w:id="769"/>
      <w:bookmarkEnd w:id="770"/>
      <w:bookmarkEnd w:id="771"/>
      <w:bookmarkEnd w:id="772"/>
      <w:bookmarkEnd w:id="773"/>
      <w:bookmarkEnd w:id="774"/>
    </w:p>
    <w:p w14:paraId="006696C8">
      <w:pPr>
        <w:spacing w:line="360" w:lineRule="auto"/>
        <w:ind w:firstLine="420" w:firstLineChars="200"/>
        <w:rPr>
          <w:rFonts w:hint="eastAsia" w:ascii="宋体" w:hAnsi="宋体"/>
        </w:rPr>
      </w:pPr>
      <w:r>
        <w:rPr>
          <w:rFonts w:hint="eastAsia" w:ascii="宋体" w:hAnsi="宋体"/>
        </w:rPr>
        <w:t>发包人应在约定期限前确保施工场地具备施工条件并移交给承包人，具体施工条件在</w:t>
      </w:r>
      <w:r>
        <w:rPr>
          <w:rFonts w:ascii="宋体" w:hAnsi="宋体"/>
        </w:rPr>
        <w:t xml:space="preserve"> </w:t>
      </w:r>
      <w:r>
        <w:rPr>
          <w:rFonts w:hint="eastAsia" w:ascii="宋体" w:hAnsi="宋体"/>
        </w:rPr>
        <w:t>“技术标准和要求”第一节“一般要求”中约定。发包人最迟应当在移交施工场地的同时向承包人提供施工场地内地下管线和地下设施等有关资料，并保证资料的真实、准确和完整。发包人移交施工场地的期限见合同条款专用部分。</w:t>
      </w:r>
    </w:p>
    <w:p w14:paraId="7AB320C3">
      <w:pPr>
        <w:keepNext/>
        <w:keepLines/>
        <w:spacing w:before="120" w:beforeLines="50" w:after="120" w:afterLines="50" w:line="360" w:lineRule="auto"/>
        <w:outlineLvl w:val="2"/>
        <w:rPr>
          <w:rFonts w:hint="eastAsia" w:ascii="宋体" w:hAnsi="宋体"/>
          <w:sz w:val="24"/>
          <w:szCs w:val="20"/>
        </w:rPr>
      </w:pPr>
      <w:bookmarkStart w:id="775" w:name="_Toc489279870"/>
      <w:bookmarkStart w:id="776" w:name="_Toc338944721"/>
      <w:bookmarkStart w:id="777" w:name="_Toc483668088"/>
      <w:bookmarkStart w:id="778" w:name="_Toc152042406"/>
      <w:bookmarkStart w:id="779" w:name="_Toc179632646"/>
      <w:bookmarkStart w:id="780" w:name="_Toc480486741"/>
      <w:bookmarkStart w:id="781" w:name="_Toc144974596"/>
      <w:bookmarkStart w:id="782" w:name="_Toc342296279"/>
      <w:bookmarkStart w:id="783" w:name="_Toc490222504"/>
      <w:bookmarkStart w:id="784" w:name="_Toc480486913"/>
      <w:bookmarkStart w:id="785" w:name="_Toc486580059"/>
      <w:bookmarkStart w:id="786" w:name="_Toc117350423"/>
      <w:bookmarkStart w:id="787" w:name="_Toc152045628"/>
      <w:r>
        <w:rPr>
          <w:rFonts w:ascii="宋体" w:hAnsi="宋体"/>
          <w:sz w:val="24"/>
          <w:szCs w:val="20"/>
        </w:rPr>
        <w:t xml:space="preserve">2.4  </w:t>
      </w:r>
      <w:r>
        <w:rPr>
          <w:rFonts w:hint="eastAsia" w:ascii="宋体" w:hAnsi="宋体"/>
          <w:sz w:val="24"/>
          <w:szCs w:val="20"/>
        </w:rPr>
        <w:t>协助承包人办理证件和批件</w:t>
      </w:r>
      <w:bookmarkEnd w:id="775"/>
      <w:bookmarkEnd w:id="776"/>
      <w:bookmarkEnd w:id="777"/>
      <w:bookmarkEnd w:id="778"/>
      <w:bookmarkEnd w:id="779"/>
      <w:bookmarkEnd w:id="780"/>
      <w:bookmarkEnd w:id="781"/>
      <w:bookmarkEnd w:id="782"/>
      <w:bookmarkEnd w:id="783"/>
      <w:bookmarkEnd w:id="784"/>
      <w:bookmarkEnd w:id="785"/>
      <w:bookmarkEnd w:id="786"/>
      <w:bookmarkEnd w:id="787"/>
    </w:p>
    <w:p w14:paraId="44FCDC31">
      <w:pPr>
        <w:spacing w:line="360" w:lineRule="auto"/>
        <w:ind w:firstLine="420" w:firstLineChars="200"/>
        <w:rPr>
          <w:rFonts w:hint="eastAsia" w:ascii="宋体" w:hAnsi="宋体"/>
        </w:rPr>
      </w:pPr>
      <w:r>
        <w:rPr>
          <w:rFonts w:hint="eastAsia" w:ascii="宋体" w:hAnsi="宋体"/>
        </w:rPr>
        <w:t>发包人应协助承包人办理法律规定的有关施工证件和批件。</w:t>
      </w:r>
    </w:p>
    <w:p w14:paraId="339815B3">
      <w:pPr>
        <w:keepNext/>
        <w:keepLines/>
        <w:spacing w:before="120" w:beforeLines="50" w:after="120" w:afterLines="50" w:line="360" w:lineRule="auto"/>
        <w:outlineLvl w:val="2"/>
        <w:rPr>
          <w:rFonts w:hint="eastAsia" w:ascii="宋体" w:hAnsi="宋体"/>
          <w:sz w:val="24"/>
          <w:szCs w:val="20"/>
        </w:rPr>
      </w:pPr>
      <w:bookmarkStart w:id="788" w:name="_Toc490222505"/>
      <w:bookmarkStart w:id="789" w:name="_Toc338944722"/>
      <w:bookmarkStart w:id="790" w:name="_Toc489279871"/>
      <w:bookmarkStart w:id="791" w:name="_Toc486580060"/>
      <w:bookmarkStart w:id="792" w:name="_Toc480486914"/>
      <w:bookmarkStart w:id="793" w:name="_Toc342296280"/>
      <w:bookmarkStart w:id="794" w:name="_Toc117350424"/>
      <w:bookmarkStart w:id="795" w:name="_Toc480486742"/>
      <w:bookmarkStart w:id="796" w:name="_Toc483668089"/>
      <w:r>
        <w:rPr>
          <w:rFonts w:ascii="宋体" w:hAnsi="宋体"/>
          <w:sz w:val="24"/>
          <w:szCs w:val="20"/>
        </w:rPr>
        <w:t xml:space="preserve">2.5  </w:t>
      </w:r>
      <w:r>
        <w:rPr>
          <w:rFonts w:hint="eastAsia" w:ascii="宋体" w:hAnsi="宋体"/>
          <w:sz w:val="24"/>
          <w:szCs w:val="20"/>
        </w:rPr>
        <w:t>组织设计交底</w:t>
      </w:r>
      <w:bookmarkEnd w:id="788"/>
      <w:bookmarkEnd w:id="789"/>
      <w:bookmarkEnd w:id="790"/>
      <w:bookmarkEnd w:id="791"/>
      <w:bookmarkEnd w:id="792"/>
      <w:bookmarkEnd w:id="793"/>
      <w:bookmarkEnd w:id="794"/>
      <w:bookmarkEnd w:id="795"/>
      <w:bookmarkEnd w:id="796"/>
    </w:p>
    <w:p w14:paraId="6C853BF5">
      <w:pPr>
        <w:spacing w:line="360" w:lineRule="auto"/>
        <w:ind w:firstLine="420" w:firstLineChars="200"/>
        <w:rPr>
          <w:rFonts w:hint="eastAsia" w:ascii="宋体" w:hAnsi="宋体"/>
        </w:rPr>
      </w:pPr>
      <w:r>
        <w:rPr>
          <w:rFonts w:hint="eastAsia" w:ascii="宋体" w:hAnsi="宋体"/>
        </w:rPr>
        <w:t>发包人应根据批准的合同进度计划，组织设计单位向承包人进行设计交底。</w:t>
      </w:r>
    </w:p>
    <w:p w14:paraId="4E5A0E3B">
      <w:pPr>
        <w:spacing w:line="360" w:lineRule="auto"/>
        <w:ind w:firstLine="420" w:firstLineChars="200"/>
        <w:rPr>
          <w:rFonts w:hint="eastAsia" w:ascii="宋体" w:hAnsi="宋体"/>
        </w:rPr>
      </w:pPr>
      <w:r>
        <w:rPr>
          <w:rFonts w:hint="eastAsia" w:ascii="宋体" w:hAnsi="宋体"/>
        </w:rPr>
        <w:t>发包人应在第</w:t>
      </w:r>
      <w:r>
        <w:rPr>
          <w:rFonts w:ascii="宋体" w:hAnsi="宋体"/>
        </w:rPr>
        <w:t>11.1.1</w:t>
      </w:r>
      <w:r>
        <w:rPr>
          <w:rFonts w:hint="eastAsia" w:ascii="宋体" w:hAnsi="宋体"/>
        </w:rPr>
        <w:t>项约定的开工日期前，组织设计人向承包人进行合同工程总体设计交底（包括图纸会审）。发包人还应按照合同进度计划中载明的阶段性设计交底时间，组织和安排阶段工程设计交底（包括图纸会审）。承包人应当以书面方式通过监理人向发包人申请增加设计交底，发包人在认为确有必要且条件许可时，应当尽快组织这类设计交底。</w:t>
      </w:r>
    </w:p>
    <w:p w14:paraId="6FE0BA62">
      <w:pPr>
        <w:keepNext/>
        <w:keepLines/>
        <w:spacing w:before="120" w:beforeLines="50" w:after="120" w:afterLines="50" w:line="360" w:lineRule="auto"/>
        <w:outlineLvl w:val="2"/>
        <w:rPr>
          <w:rFonts w:hint="eastAsia" w:ascii="宋体" w:hAnsi="宋体"/>
          <w:sz w:val="24"/>
          <w:szCs w:val="20"/>
        </w:rPr>
      </w:pPr>
      <w:bookmarkStart w:id="797" w:name="_Toc489279872"/>
      <w:bookmarkStart w:id="798" w:name="_Toc117350425"/>
      <w:bookmarkStart w:id="799" w:name="_Toc483668090"/>
      <w:bookmarkStart w:id="800" w:name="_Toc480486743"/>
      <w:bookmarkStart w:id="801" w:name="_Toc480486915"/>
      <w:bookmarkStart w:id="802" w:name="_Toc342296281"/>
      <w:bookmarkStart w:id="803" w:name="_Toc486580061"/>
      <w:bookmarkStart w:id="804" w:name="_Toc490222506"/>
      <w:bookmarkStart w:id="805" w:name="_Toc338944723"/>
      <w:r>
        <w:rPr>
          <w:rFonts w:ascii="宋体" w:hAnsi="宋体"/>
          <w:sz w:val="24"/>
          <w:szCs w:val="20"/>
        </w:rPr>
        <w:t xml:space="preserve">2.6  </w:t>
      </w:r>
      <w:r>
        <w:rPr>
          <w:rFonts w:hint="eastAsia" w:ascii="宋体" w:hAnsi="宋体"/>
          <w:sz w:val="24"/>
          <w:szCs w:val="20"/>
        </w:rPr>
        <w:t>支付合同价款</w:t>
      </w:r>
      <w:bookmarkEnd w:id="797"/>
      <w:bookmarkEnd w:id="798"/>
      <w:bookmarkEnd w:id="799"/>
      <w:bookmarkEnd w:id="800"/>
      <w:bookmarkEnd w:id="801"/>
      <w:bookmarkEnd w:id="802"/>
      <w:bookmarkEnd w:id="803"/>
      <w:bookmarkEnd w:id="804"/>
      <w:bookmarkEnd w:id="805"/>
    </w:p>
    <w:p w14:paraId="1B5B3059">
      <w:pPr>
        <w:spacing w:line="360" w:lineRule="auto"/>
        <w:ind w:firstLine="420" w:firstLineChars="200"/>
        <w:rPr>
          <w:rFonts w:hint="eastAsia" w:ascii="宋体" w:hAnsi="宋体"/>
        </w:rPr>
      </w:pPr>
      <w:r>
        <w:rPr>
          <w:rFonts w:hint="eastAsia" w:ascii="宋体" w:hAnsi="宋体"/>
        </w:rPr>
        <w:t>发包人应按合同约定向承包人及时支付合同价款。</w:t>
      </w:r>
    </w:p>
    <w:p w14:paraId="145A8BCB">
      <w:pPr>
        <w:spacing w:line="360" w:lineRule="auto"/>
        <w:ind w:firstLine="420" w:firstLineChars="200"/>
        <w:rPr>
          <w:rFonts w:hint="eastAsia" w:ascii="宋体" w:hAnsi="宋体"/>
        </w:rPr>
      </w:pPr>
      <w:bookmarkStart w:id="806" w:name="_Hlk114648754"/>
      <w:r>
        <w:rPr>
          <w:rFonts w:hint="eastAsia" w:ascii="宋体" w:hAnsi="宋体"/>
        </w:rPr>
        <w:t>发包人应当严格落实人工费用与其他工程款分账管理制度，分解工程价款中的人工费用，及时足额将人工费用拨付到承包人的工资专用账户。</w:t>
      </w:r>
    </w:p>
    <w:bookmarkEnd w:id="806"/>
    <w:p w14:paraId="70B1ACD5">
      <w:pPr>
        <w:keepNext/>
        <w:keepLines/>
        <w:spacing w:before="120" w:beforeLines="50" w:after="120" w:afterLines="50" w:line="360" w:lineRule="auto"/>
        <w:outlineLvl w:val="2"/>
        <w:rPr>
          <w:rFonts w:hint="eastAsia" w:ascii="宋体" w:hAnsi="宋体"/>
          <w:sz w:val="24"/>
          <w:szCs w:val="20"/>
        </w:rPr>
      </w:pPr>
      <w:bookmarkStart w:id="807" w:name="_Toc117350426"/>
      <w:bookmarkStart w:id="808" w:name="_Toc144974599"/>
      <w:bookmarkStart w:id="809" w:name="_Toc152042409"/>
      <w:bookmarkStart w:id="810" w:name="_Toc338944724"/>
      <w:bookmarkStart w:id="811" w:name="_Toc480486916"/>
      <w:bookmarkStart w:id="812" w:name="_Toc490222507"/>
      <w:bookmarkStart w:id="813" w:name="_Toc489279873"/>
      <w:bookmarkStart w:id="814" w:name="_Toc342296282"/>
      <w:bookmarkStart w:id="815" w:name="_Toc179632649"/>
      <w:bookmarkStart w:id="816" w:name="_Toc152045631"/>
      <w:bookmarkStart w:id="817" w:name="_Toc480486744"/>
      <w:bookmarkStart w:id="818" w:name="_Toc486580062"/>
      <w:bookmarkStart w:id="819" w:name="_Toc483668091"/>
      <w:r>
        <w:rPr>
          <w:rFonts w:ascii="宋体" w:hAnsi="宋体"/>
          <w:sz w:val="24"/>
          <w:szCs w:val="20"/>
        </w:rPr>
        <w:t xml:space="preserve">2.7  </w:t>
      </w:r>
      <w:r>
        <w:rPr>
          <w:rFonts w:hint="eastAsia" w:ascii="宋体" w:hAnsi="宋体"/>
          <w:sz w:val="24"/>
          <w:szCs w:val="20"/>
        </w:rPr>
        <w:t>组织竣工验收</w:t>
      </w:r>
      <w:bookmarkEnd w:id="807"/>
      <w:bookmarkEnd w:id="808"/>
      <w:bookmarkEnd w:id="809"/>
      <w:bookmarkEnd w:id="810"/>
      <w:bookmarkEnd w:id="811"/>
      <w:bookmarkEnd w:id="812"/>
      <w:bookmarkEnd w:id="813"/>
      <w:bookmarkEnd w:id="814"/>
      <w:bookmarkEnd w:id="815"/>
      <w:bookmarkEnd w:id="816"/>
      <w:bookmarkEnd w:id="817"/>
      <w:bookmarkEnd w:id="818"/>
      <w:bookmarkEnd w:id="819"/>
    </w:p>
    <w:p w14:paraId="6B404928">
      <w:pPr>
        <w:spacing w:line="360" w:lineRule="auto"/>
        <w:ind w:firstLine="420" w:firstLineChars="200"/>
        <w:rPr>
          <w:rFonts w:hint="eastAsia" w:ascii="宋体" w:hAnsi="宋体"/>
        </w:rPr>
      </w:pPr>
      <w:r>
        <w:rPr>
          <w:rFonts w:hint="eastAsia" w:ascii="宋体" w:hAnsi="宋体"/>
        </w:rPr>
        <w:t>发包人应按合同约定及时组织竣工验收。</w:t>
      </w:r>
      <w:bookmarkStart w:id="820" w:name="_Hlk114649206"/>
      <w:r>
        <w:rPr>
          <w:rFonts w:hint="eastAsia" w:ascii="宋体" w:hAnsi="宋体"/>
        </w:rPr>
        <w:t>发包人在组织竣工验收时，应对工程是否符合消防要求进行查验。经查验不符合规定的，发包人不得编制工程竣工验收报告。</w:t>
      </w:r>
    </w:p>
    <w:bookmarkEnd w:id="820"/>
    <w:p w14:paraId="1C438562">
      <w:pPr>
        <w:keepNext/>
        <w:keepLines/>
        <w:spacing w:before="120" w:beforeLines="50" w:after="120" w:afterLines="50" w:line="360" w:lineRule="auto"/>
        <w:outlineLvl w:val="2"/>
        <w:rPr>
          <w:rFonts w:hint="eastAsia" w:ascii="宋体" w:hAnsi="宋体"/>
          <w:sz w:val="24"/>
          <w:szCs w:val="20"/>
        </w:rPr>
      </w:pPr>
      <w:bookmarkStart w:id="821" w:name="_Toc117350427"/>
      <w:bookmarkStart w:id="822" w:name="_Toc480486745"/>
      <w:bookmarkStart w:id="823" w:name="_Toc490222508"/>
      <w:bookmarkStart w:id="824" w:name="_Toc480486917"/>
      <w:bookmarkStart w:id="825" w:name="_Toc483668092"/>
      <w:bookmarkStart w:id="826" w:name="_Toc486580063"/>
      <w:bookmarkStart w:id="827" w:name="_Toc489279874"/>
      <w:r>
        <w:rPr>
          <w:rFonts w:ascii="宋体" w:hAnsi="宋体"/>
          <w:sz w:val="24"/>
          <w:szCs w:val="20"/>
        </w:rPr>
        <w:t xml:space="preserve">2.8  </w:t>
      </w:r>
      <w:r>
        <w:rPr>
          <w:rFonts w:hint="eastAsia" w:ascii="宋体" w:hAnsi="宋体"/>
          <w:sz w:val="24"/>
          <w:szCs w:val="20"/>
        </w:rPr>
        <w:t>向承包人提交支付担保</w:t>
      </w:r>
      <w:bookmarkEnd w:id="821"/>
      <w:bookmarkEnd w:id="822"/>
      <w:bookmarkEnd w:id="823"/>
      <w:bookmarkEnd w:id="824"/>
      <w:bookmarkEnd w:id="825"/>
      <w:bookmarkEnd w:id="826"/>
      <w:bookmarkEnd w:id="827"/>
    </w:p>
    <w:p w14:paraId="6560D232">
      <w:pPr>
        <w:spacing w:line="360" w:lineRule="auto"/>
        <w:ind w:firstLine="420" w:firstLineChars="200"/>
        <w:rPr>
          <w:rFonts w:hint="eastAsia" w:ascii="宋体" w:hAnsi="宋体"/>
          <w:szCs w:val="21"/>
        </w:rPr>
      </w:pPr>
      <w:r>
        <w:rPr>
          <w:rFonts w:hint="eastAsia" w:ascii="宋体" w:hAnsi="宋体"/>
          <w:szCs w:val="21"/>
        </w:rPr>
        <w:t>（</w:t>
      </w:r>
      <w:r>
        <w:rPr>
          <w:rFonts w:ascii="宋体" w:hAnsi="宋体"/>
          <w:szCs w:val="21"/>
        </w:rPr>
        <w:t>1</w:t>
      </w:r>
      <w:r>
        <w:rPr>
          <w:rFonts w:hint="eastAsia" w:ascii="宋体" w:hAnsi="宋体"/>
          <w:szCs w:val="21"/>
        </w:rPr>
        <w:t>）发包人要求承包人提交履约担保的，除合同条款专用部分另有约定的，在承包人按合同条款第</w:t>
      </w:r>
      <w:r>
        <w:rPr>
          <w:rFonts w:ascii="宋体" w:hAnsi="宋体"/>
          <w:szCs w:val="21"/>
        </w:rPr>
        <w:t>4.2</w:t>
      </w:r>
      <w:r>
        <w:rPr>
          <w:rFonts w:hint="eastAsia" w:ascii="宋体" w:hAnsi="宋体"/>
          <w:szCs w:val="21"/>
        </w:rPr>
        <w:t>款向发包人递交符合合同约定的履约担保的同时，发包人应当按照金额和条件对等的原则和合同文件中规定的格式或者其他经过承包人事先认可的格式向承包人递交一份支付担保。</w:t>
      </w:r>
    </w:p>
    <w:p w14:paraId="4E6CC0F3">
      <w:pPr>
        <w:spacing w:line="360" w:lineRule="auto"/>
        <w:ind w:firstLine="420" w:firstLineChars="200"/>
        <w:rPr>
          <w:rFonts w:hint="eastAsia" w:ascii="宋体" w:hAnsi="宋体"/>
          <w:szCs w:val="21"/>
        </w:rPr>
      </w:pPr>
      <w:r>
        <w:rPr>
          <w:rFonts w:hint="eastAsia" w:ascii="宋体" w:hAnsi="宋体"/>
          <w:szCs w:val="21"/>
        </w:rPr>
        <w:t>（</w:t>
      </w:r>
      <w:r>
        <w:rPr>
          <w:rFonts w:ascii="宋体" w:hAnsi="宋体"/>
          <w:szCs w:val="21"/>
        </w:rPr>
        <w:t>2</w:t>
      </w:r>
      <w:r>
        <w:rPr>
          <w:rFonts w:hint="eastAsia" w:ascii="宋体" w:hAnsi="宋体"/>
          <w:szCs w:val="21"/>
        </w:rPr>
        <w:t>）支付担保的有效期应当自本合同生效之日起至发包人实际支付竣工付款之日止。</w:t>
      </w:r>
    </w:p>
    <w:p w14:paraId="3D32FCA0">
      <w:pPr>
        <w:spacing w:line="360" w:lineRule="auto"/>
        <w:ind w:firstLine="420" w:firstLineChars="200"/>
        <w:rPr>
          <w:rFonts w:hint="eastAsia" w:ascii="宋体" w:hAnsi="宋体"/>
          <w:szCs w:val="21"/>
        </w:rPr>
      </w:pPr>
      <w:r>
        <w:rPr>
          <w:rFonts w:hint="eastAsia" w:ascii="宋体" w:hAnsi="宋体"/>
          <w:szCs w:val="21"/>
        </w:rPr>
        <w:t>（</w:t>
      </w:r>
      <w:r>
        <w:rPr>
          <w:rFonts w:ascii="宋体" w:hAnsi="宋体"/>
          <w:szCs w:val="21"/>
        </w:rPr>
        <w:t>3</w:t>
      </w:r>
      <w:r>
        <w:rPr>
          <w:rFonts w:hint="eastAsia" w:ascii="宋体" w:hAnsi="宋体"/>
          <w:szCs w:val="21"/>
        </w:rPr>
        <w:t>）发包人无法获得一份不带具体截止日期的履约担保，支付担保中应当约定有“变更工程竣工付款支付日期的，保证期间按照变更后的竣工付款支付日期做相应调整”或类似约定的条款。</w:t>
      </w:r>
    </w:p>
    <w:p w14:paraId="68125180">
      <w:pPr>
        <w:spacing w:line="360" w:lineRule="auto"/>
        <w:ind w:firstLine="420" w:firstLineChars="200"/>
        <w:rPr>
          <w:rFonts w:hint="eastAsia" w:ascii="宋体" w:hAnsi="宋体"/>
          <w:szCs w:val="21"/>
        </w:rPr>
      </w:pPr>
      <w:r>
        <w:rPr>
          <w:rFonts w:hint="eastAsia" w:ascii="宋体" w:hAnsi="宋体"/>
          <w:szCs w:val="21"/>
        </w:rPr>
        <w:t>（</w:t>
      </w:r>
      <w:r>
        <w:rPr>
          <w:rFonts w:ascii="宋体" w:hAnsi="宋体"/>
          <w:szCs w:val="21"/>
        </w:rPr>
        <w:t>4</w:t>
      </w:r>
      <w:r>
        <w:rPr>
          <w:rFonts w:hint="eastAsia" w:ascii="宋体" w:hAnsi="宋体"/>
          <w:szCs w:val="21"/>
        </w:rPr>
        <w:t>）支付担保应当在发包人付清竣工付款之日后</w:t>
      </w:r>
      <w:r>
        <w:rPr>
          <w:rFonts w:ascii="宋体" w:hAnsi="宋体"/>
          <w:szCs w:val="21"/>
        </w:rPr>
        <w:t>28</w:t>
      </w:r>
      <w:r>
        <w:rPr>
          <w:rFonts w:hint="eastAsia" w:ascii="宋体" w:hAnsi="宋体"/>
          <w:szCs w:val="21"/>
        </w:rPr>
        <w:t>天内退还给发包人；承包人不承担发包人与支付担保有关的任何利息或其它类似的费用或者收益。</w:t>
      </w:r>
    </w:p>
    <w:p w14:paraId="21CD915D">
      <w:pPr>
        <w:keepNext/>
        <w:keepLines/>
        <w:spacing w:before="120" w:beforeLines="50" w:after="120" w:afterLines="50" w:line="360" w:lineRule="auto"/>
        <w:outlineLvl w:val="2"/>
        <w:rPr>
          <w:rFonts w:hint="eastAsia" w:ascii="宋体" w:hAnsi="宋体"/>
          <w:sz w:val="24"/>
          <w:szCs w:val="20"/>
        </w:rPr>
      </w:pPr>
      <w:bookmarkStart w:id="828" w:name="_Toc117350428"/>
      <w:bookmarkStart w:id="829" w:name="_Toc490222509"/>
      <w:bookmarkStart w:id="830" w:name="_Toc489279875"/>
      <w:bookmarkStart w:id="831" w:name="_Toc486580064"/>
      <w:bookmarkStart w:id="832" w:name="_Toc480486746"/>
      <w:bookmarkStart w:id="833" w:name="_Toc480486918"/>
      <w:bookmarkStart w:id="834" w:name="_Toc483668093"/>
      <w:r>
        <w:rPr>
          <w:rFonts w:ascii="宋体" w:hAnsi="宋体"/>
          <w:sz w:val="24"/>
          <w:szCs w:val="20"/>
        </w:rPr>
        <w:t xml:space="preserve">2.9  </w:t>
      </w:r>
      <w:r>
        <w:rPr>
          <w:rFonts w:hint="eastAsia" w:ascii="宋体" w:hAnsi="宋体"/>
          <w:sz w:val="24"/>
          <w:szCs w:val="20"/>
        </w:rPr>
        <w:t>办理工程质量监督手续</w:t>
      </w:r>
      <w:bookmarkEnd w:id="828"/>
      <w:bookmarkEnd w:id="829"/>
      <w:bookmarkEnd w:id="830"/>
      <w:bookmarkEnd w:id="831"/>
      <w:bookmarkEnd w:id="832"/>
      <w:bookmarkEnd w:id="833"/>
      <w:bookmarkEnd w:id="834"/>
    </w:p>
    <w:p w14:paraId="664E6BE8">
      <w:pPr>
        <w:spacing w:line="360" w:lineRule="auto"/>
        <w:ind w:firstLine="420" w:firstLineChars="200"/>
        <w:rPr>
          <w:rFonts w:hint="eastAsia" w:ascii="宋体" w:hAnsi="宋体"/>
        </w:rPr>
      </w:pPr>
      <w:r>
        <w:rPr>
          <w:rFonts w:hint="eastAsia" w:ascii="宋体" w:hAnsi="宋体"/>
        </w:rPr>
        <w:t>发包人应按有关规定及时办理工程质量监督手续。</w:t>
      </w:r>
    </w:p>
    <w:p w14:paraId="698E9C4A">
      <w:pPr>
        <w:keepNext/>
        <w:keepLines/>
        <w:spacing w:before="120" w:beforeLines="50" w:after="120" w:afterLines="50" w:line="360" w:lineRule="auto"/>
        <w:outlineLvl w:val="2"/>
        <w:rPr>
          <w:rFonts w:hint="eastAsia" w:ascii="宋体" w:hAnsi="宋体"/>
          <w:sz w:val="24"/>
          <w:szCs w:val="20"/>
        </w:rPr>
      </w:pPr>
      <w:bookmarkStart w:id="835" w:name="_Toc486580065"/>
      <w:bookmarkStart w:id="836" w:name="_Toc483668094"/>
      <w:bookmarkStart w:id="837" w:name="_Toc489279876"/>
      <w:bookmarkStart w:id="838" w:name="_Toc117350429"/>
      <w:bookmarkStart w:id="839" w:name="_Toc480486919"/>
      <w:bookmarkStart w:id="840" w:name="_Toc490222510"/>
      <w:bookmarkStart w:id="841" w:name="_Toc480486747"/>
      <w:r>
        <w:rPr>
          <w:rFonts w:ascii="宋体" w:hAnsi="宋体"/>
          <w:sz w:val="24"/>
          <w:szCs w:val="20"/>
        </w:rPr>
        <w:t xml:space="preserve">2.10  </w:t>
      </w:r>
      <w:r>
        <w:rPr>
          <w:rFonts w:hint="eastAsia" w:ascii="宋体" w:hAnsi="宋体"/>
          <w:sz w:val="24"/>
          <w:szCs w:val="20"/>
        </w:rPr>
        <w:t>环境保护责任</w:t>
      </w:r>
      <w:bookmarkEnd w:id="835"/>
      <w:bookmarkEnd w:id="836"/>
      <w:bookmarkEnd w:id="837"/>
      <w:bookmarkEnd w:id="838"/>
      <w:bookmarkEnd w:id="839"/>
      <w:bookmarkEnd w:id="840"/>
      <w:bookmarkEnd w:id="841"/>
    </w:p>
    <w:p w14:paraId="1F0EAA23">
      <w:pPr>
        <w:spacing w:line="360" w:lineRule="auto"/>
        <w:ind w:firstLine="315" w:firstLineChars="150"/>
        <w:rPr>
          <w:rFonts w:hint="eastAsia" w:ascii="宋体" w:hAnsi="宋体"/>
          <w:szCs w:val="21"/>
        </w:rPr>
      </w:pPr>
      <w:r>
        <w:rPr>
          <w:rFonts w:ascii="宋体" w:hAnsi="宋体"/>
          <w:szCs w:val="20"/>
        </w:rPr>
        <w:t xml:space="preserve"> </w:t>
      </w:r>
      <w:r>
        <w:rPr>
          <w:rFonts w:hint="eastAsia" w:ascii="宋体" w:hAnsi="宋体"/>
          <w:szCs w:val="20"/>
        </w:rPr>
        <w:t>发包人对建筑垃圾处理、施工扬尘治理以及疫情防控常态化管理负总责。</w:t>
      </w:r>
    </w:p>
    <w:p w14:paraId="10A1BFBC">
      <w:pPr>
        <w:keepNext/>
        <w:keepLines/>
        <w:spacing w:before="120" w:beforeLines="50" w:after="120" w:afterLines="50" w:line="360" w:lineRule="auto"/>
        <w:outlineLvl w:val="2"/>
        <w:rPr>
          <w:rFonts w:hint="eastAsia" w:ascii="宋体" w:hAnsi="宋体"/>
          <w:sz w:val="24"/>
          <w:szCs w:val="20"/>
        </w:rPr>
      </w:pPr>
      <w:bookmarkStart w:id="842" w:name="_Toc486580066"/>
      <w:bookmarkStart w:id="843" w:name="_Toc483668095"/>
      <w:bookmarkStart w:id="844" w:name="_Toc480486748"/>
      <w:bookmarkStart w:id="845" w:name="_Toc489279877"/>
      <w:bookmarkStart w:id="846" w:name="_Toc490222511"/>
      <w:bookmarkStart w:id="847" w:name="_Toc480486920"/>
      <w:bookmarkStart w:id="848" w:name="_Toc117350430"/>
      <w:r>
        <w:rPr>
          <w:rFonts w:ascii="宋体" w:hAnsi="宋体"/>
          <w:sz w:val="24"/>
          <w:szCs w:val="20"/>
        </w:rPr>
        <w:t xml:space="preserve">2.11  </w:t>
      </w:r>
      <w:r>
        <w:rPr>
          <w:rFonts w:hint="eastAsia" w:ascii="宋体" w:hAnsi="宋体"/>
          <w:sz w:val="24"/>
          <w:szCs w:val="20"/>
        </w:rPr>
        <w:t>移交工程档案</w:t>
      </w:r>
      <w:bookmarkEnd w:id="842"/>
      <w:bookmarkEnd w:id="843"/>
      <w:bookmarkEnd w:id="844"/>
      <w:bookmarkEnd w:id="845"/>
      <w:bookmarkEnd w:id="846"/>
      <w:bookmarkEnd w:id="847"/>
      <w:bookmarkEnd w:id="848"/>
    </w:p>
    <w:p w14:paraId="2845398F">
      <w:pPr>
        <w:spacing w:line="360" w:lineRule="auto"/>
        <w:ind w:firstLine="420" w:firstLineChars="200"/>
        <w:rPr>
          <w:rFonts w:hint="eastAsia" w:ascii="宋体" w:hAnsi="宋体"/>
          <w:szCs w:val="20"/>
        </w:rPr>
      </w:pPr>
      <w:r>
        <w:rPr>
          <w:rFonts w:hint="eastAsia" w:ascii="宋体" w:hAnsi="宋体"/>
          <w:szCs w:val="20"/>
        </w:rPr>
        <w:t>发包人应根据建设行政主管部门和（或）城市建设档案管理机构的规定，收集、整理、立卷、归档工程资料，并按规定时间向建设行政主管部门或者城市建设档案管理机构移交规定的工程档案。</w:t>
      </w:r>
    </w:p>
    <w:p w14:paraId="02BDE783">
      <w:pPr>
        <w:keepNext/>
        <w:keepLines/>
        <w:spacing w:before="120" w:beforeLines="50" w:after="120" w:afterLines="50" w:line="360" w:lineRule="auto"/>
        <w:outlineLvl w:val="2"/>
        <w:rPr>
          <w:rFonts w:hint="eastAsia" w:ascii="宋体" w:hAnsi="宋体"/>
          <w:sz w:val="24"/>
          <w:szCs w:val="20"/>
        </w:rPr>
      </w:pPr>
      <w:bookmarkStart w:id="849" w:name="_Toc490222512"/>
      <w:bookmarkStart w:id="850" w:name="_Toc486580067"/>
      <w:bookmarkStart w:id="851" w:name="_Toc483668096"/>
      <w:bookmarkStart w:id="852" w:name="_Toc480486749"/>
      <w:bookmarkStart w:id="853" w:name="_Toc489279878"/>
      <w:bookmarkStart w:id="854" w:name="_Toc480486921"/>
      <w:bookmarkStart w:id="855" w:name="_Toc117350431"/>
      <w:r>
        <w:rPr>
          <w:rFonts w:ascii="宋体" w:hAnsi="宋体"/>
          <w:sz w:val="24"/>
          <w:szCs w:val="20"/>
        </w:rPr>
        <w:t xml:space="preserve">2.12  </w:t>
      </w:r>
      <w:r>
        <w:rPr>
          <w:rFonts w:hint="eastAsia" w:ascii="宋体" w:hAnsi="宋体"/>
          <w:sz w:val="24"/>
          <w:szCs w:val="20"/>
        </w:rPr>
        <w:t>批准和确认</w:t>
      </w:r>
      <w:bookmarkEnd w:id="849"/>
      <w:bookmarkEnd w:id="850"/>
      <w:bookmarkEnd w:id="851"/>
      <w:bookmarkEnd w:id="852"/>
      <w:bookmarkEnd w:id="853"/>
      <w:bookmarkEnd w:id="854"/>
      <w:bookmarkEnd w:id="855"/>
    </w:p>
    <w:p w14:paraId="4A6747C8">
      <w:pPr>
        <w:spacing w:line="360" w:lineRule="auto"/>
        <w:ind w:firstLine="420" w:firstLineChars="200"/>
        <w:rPr>
          <w:rFonts w:hint="eastAsia" w:ascii="宋体" w:hAnsi="宋体"/>
        </w:rPr>
      </w:pPr>
      <w:r>
        <w:rPr>
          <w:rFonts w:hint="eastAsia" w:ascii="宋体" w:hAnsi="宋体"/>
          <w:szCs w:val="20"/>
        </w:rPr>
        <w:t>按照合同约定应当由监理人或者发包人回复、批复、批准和确认，或承包人提出修改意见的要求、请求、申请和报批等，监理人或者发包人应当在合同约定的期限内回复、批复、批准、确认或提出修改意见。</w:t>
      </w:r>
    </w:p>
    <w:p w14:paraId="7739B087">
      <w:pPr>
        <w:keepNext/>
        <w:keepLines/>
        <w:spacing w:before="120" w:beforeLines="50" w:after="120" w:afterLines="50" w:line="360" w:lineRule="auto"/>
        <w:outlineLvl w:val="2"/>
        <w:rPr>
          <w:rFonts w:hint="eastAsia" w:ascii="宋体" w:hAnsi="宋体"/>
          <w:sz w:val="24"/>
          <w:szCs w:val="20"/>
        </w:rPr>
      </w:pPr>
      <w:bookmarkStart w:id="856" w:name="_Toc483668097"/>
      <w:bookmarkStart w:id="857" w:name="_Toc489279879"/>
      <w:bookmarkStart w:id="858" w:name="_Toc480486922"/>
      <w:bookmarkStart w:id="859" w:name="_Toc490222513"/>
      <w:bookmarkStart w:id="860" w:name="_Toc338944725"/>
      <w:bookmarkStart w:id="861" w:name="_Toc342296283"/>
      <w:bookmarkStart w:id="862" w:name="_Toc117350432"/>
      <w:bookmarkStart w:id="863" w:name="_Toc486580068"/>
      <w:bookmarkStart w:id="864" w:name="_Toc480486750"/>
      <w:r>
        <w:rPr>
          <w:rFonts w:ascii="宋体" w:hAnsi="宋体"/>
          <w:sz w:val="24"/>
          <w:szCs w:val="20"/>
        </w:rPr>
        <w:t xml:space="preserve">2.13  </w:t>
      </w:r>
      <w:r>
        <w:rPr>
          <w:rFonts w:hint="eastAsia" w:ascii="宋体" w:hAnsi="宋体"/>
          <w:sz w:val="24"/>
          <w:szCs w:val="20"/>
        </w:rPr>
        <w:t>其他义务</w:t>
      </w:r>
      <w:bookmarkEnd w:id="856"/>
      <w:bookmarkEnd w:id="857"/>
      <w:bookmarkEnd w:id="858"/>
      <w:bookmarkEnd w:id="859"/>
      <w:bookmarkEnd w:id="860"/>
      <w:bookmarkEnd w:id="861"/>
      <w:bookmarkEnd w:id="862"/>
      <w:bookmarkEnd w:id="863"/>
      <w:bookmarkEnd w:id="864"/>
    </w:p>
    <w:p w14:paraId="7B3618F6">
      <w:pPr>
        <w:spacing w:line="360" w:lineRule="auto"/>
        <w:ind w:firstLine="420" w:firstLineChars="200"/>
        <w:rPr>
          <w:rFonts w:hint="eastAsia" w:ascii="宋体" w:hAnsi="宋体"/>
          <w:b/>
        </w:rPr>
      </w:pPr>
      <w:r>
        <w:rPr>
          <w:rFonts w:hint="eastAsia" w:ascii="宋体" w:hAnsi="宋体"/>
        </w:rPr>
        <w:t>发包人应履行的其他义务见合同条款专用部分。</w:t>
      </w:r>
    </w:p>
    <w:p w14:paraId="65688130">
      <w:pPr>
        <w:keepNext/>
        <w:keepLines/>
        <w:spacing w:before="120" w:beforeLines="50" w:after="120" w:afterLines="50" w:line="360" w:lineRule="auto"/>
        <w:outlineLvl w:val="1"/>
        <w:rPr>
          <w:rFonts w:hint="eastAsia" w:ascii="宋体" w:hAnsi="宋体" w:cs="宋体"/>
          <w:sz w:val="28"/>
          <w:szCs w:val="20"/>
        </w:rPr>
      </w:pPr>
      <w:bookmarkStart w:id="865" w:name="_Toc490222514"/>
      <w:bookmarkStart w:id="866" w:name="_Toc483668098"/>
      <w:bookmarkStart w:id="867" w:name="_Toc489279880"/>
      <w:bookmarkStart w:id="868" w:name="_Toc480486923"/>
      <w:bookmarkStart w:id="869" w:name="_Toc342296284"/>
      <w:bookmarkStart w:id="870" w:name="_Toc486580069"/>
      <w:bookmarkStart w:id="871" w:name="_Toc480486751"/>
      <w:bookmarkStart w:id="872" w:name="_Toc338944726"/>
      <w:bookmarkStart w:id="873" w:name="_Toc117350433"/>
      <w:r>
        <w:rPr>
          <w:rFonts w:ascii="宋体" w:hAnsi="宋体" w:cs="宋体"/>
          <w:sz w:val="28"/>
          <w:szCs w:val="20"/>
        </w:rPr>
        <w:t>3.</w:t>
      </w:r>
      <w:r>
        <w:rPr>
          <w:rFonts w:hint="eastAsia" w:ascii="宋体" w:hAnsi="宋体" w:cs="宋体"/>
          <w:sz w:val="28"/>
          <w:szCs w:val="20"/>
        </w:rPr>
        <w:t>监理人</w:t>
      </w:r>
      <w:bookmarkEnd w:id="865"/>
      <w:bookmarkEnd w:id="866"/>
      <w:bookmarkEnd w:id="867"/>
      <w:bookmarkEnd w:id="868"/>
      <w:bookmarkEnd w:id="869"/>
      <w:bookmarkEnd w:id="870"/>
      <w:bookmarkEnd w:id="871"/>
      <w:bookmarkEnd w:id="872"/>
      <w:bookmarkEnd w:id="873"/>
    </w:p>
    <w:p w14:paraId="7530F6F6">
      <w:pPr>
        <w:keepNext/>
        <w:keepLines/>
        <w:spacing w:before="120" w:beforeLines="50" w:after="120" w:afterLines="50" w:line="360" w:lineRule="auto"/>
        <w:outlineLvl w:val="2"/>
        <w:rPr>
          <w:rFonts w:hint="eastAsia" w:ascii="宋体" w:hAnsi="宋体"/>
          <w:sz w:val="24"/>
          <w:szCs w:val="20"/>
        </w:rPr>
      </w:pPr>
      <w:bookmarkStart w:id="874" w:name="_Toc489279881"/>
      <w:bookmarkStart w:id="875" w:name="_Toc117350434"/>
      <w:bookmarkStart w:id="876" w:name="_Toc342296285"/>
      <w:bookmarkStart w:id="877" w:name="_Toc486580070"/>
      <w:bookmarkStart w:id="878" w:name="_Toc480486924"/>
      <w:bookmarkStart w:id="879" w:name="_Toc338944727"/>
      <w:bookmarkStart w:id="880" w:name="_Toc490222515"/>
      <w:bookmarkStart w:id="881" w:name="_Toc483668099"/>
      <w:bookmarkStart w:id="882" w:name="_Toc480486752"/>
      <w:r>
        <w:rPr>
          <w:rFonts w:ascii="宋体" w:hAnsi="宋体"/>
          <w:sz w:val="24"/>
          <w:szCs w:val="20"/>
        </w:rPr>
        <w:t xml:space="preserve">3.1  </w:t>
      </w:r>
      <w:r>
        <w:rPr>
          <w:rFonts w:hint="eastAsia" w:ascii="宋体" w:hAnsi="宋体"/>
          <w:sz w:val="24"/>
          <w:szCs w:val="20"/>
        </w:rPr>
        <w:t>监理人的职责和权力</w:t>
      </w:r>
      <w:bookmarkEnd w:id="874"/>
      <w:bookmarkEnd w:id="875"/>
      <w:bookmarkEnd w:id="876"/>
      <w:bookmarkEnd w:id="877"/>
      <w:bookmarkEnd w:id="878"/>
      <w:bookmarkEnd w:id="879"/>
      <w:bookmarkEnd w:id="880"/>
      <w:bookmarkEnd w:id="881"/>
      <w:bookmarkEnd w:id="882"/>
    </w:p>
    <w:p w14:paraId="727F241D">
      <w:pPr>
        <w:spacing w:line="360" w:lineRule="auto"/>
        <w:ind w:firstLine="420" w:firstLineChars="200"/>
        <w:rPr>
          <w:rFonts w:hint="eastAsia" w:ascii="宋体" w:hAnsi="宋体"/>
        </w:rPr>
      </w:pPr>
      <w:r>
        <w:rPr>
          <w:rFonts w:ascii="宋体" w:hAnsi="宋体"/>
        </w:rPr>
        <w:t xml:space="preserve">3.1.1  </w:t>
      </w:r>
      <w:r>
        <w:rPr>
          <w:rFonts w:hint="eastAsia" w:ascii="宋体" w:hAnsi="宋体"/>
        </w:rPr>
        <w:t>监理人受发包人委托，享有合同约定的权力。监理人在行使某项权力前需要经发包人事先批准，合同条款通用部分没有指明的，应在合同中指明。监理人履行须经发包人批准行使的权力时，应当向承包人出示其行使该权力已经取得发包人批准的文件或者其他合法有效的证明</w:t>
      </w:r>
      <w:r>
        <w:rPr>
          <w:rFonts w:hint="eastAsia" w:ascii="宋体" w:hAnsi="宋体"/>
          <w:szCs w:val="21"/>
        </w:rPr>
        <w:t>。发包人需批准明确行使的权力见</w:t>
      </w:r>
      <w:r>
        <w:rPr>
          <w:rFonts w:hint="eastAsia" w:ascii="宋体" w:hAnsi="宋体"/>
        </w:rPr>
        <w:t>合同条款专用部分。</w:t>
      </w:r>
    </w:p>
    <w:p w14:paraId="12996A58">
      <w:pPr>
        <w:spacing w:line="360" w:lineRule="auto"/>
        <w:ind w:firstLine="420" w:firstLineChars="200"/>
        <w:rPr>
          <w:rFonts w:hint="eastAsia" w:ascii="宋体" w:hAnsi="宋体"/>
        </w:rPr>
      </w:pPr>
      <w:r>
        <w:rPr>
          <w:rFonts w:ascii="宋体" w:hAnsi="宋体"/>
        </w:rPr>
        <w:t xml:space="preserve">3.1.2  </w:t>
      </w:r>
      <w:r>
        <w:rPr>
          <w:rFonts w:hint="eastAsia" w:ascii="宋体" w:hAnsi="宋体"/>
        </w:rPr>
        <w:t>监理人发出的任何指示应视为已得到发包人的批准，但监理人无权免除或变更合同约定的发包人和承包人的权利、义务和责任。</w:t>
      </w:r>
    </w:p>
    <w:p w14:paraId="2291648C">
      <w:pPr>
        <w:spacing w:line="360" w:lineRule="auto"/>
        <w:ind w:firstLine="420" w:firstLineChars="200"/>
        <w:rPr>
          <w:rFonts w:hint="eastAsia" w:ascii="宋体" w:hAnsi="宋体"/>
        </w:rPr>
      </w:pPr>
      <w:r>
        <w:rPr>
          <w:rFonts w:ascii="宋体" w:hAnsi="宋体"/>
        </w:rPr>
        <w:t xml:space="preserve">3.1.3  </w:t>
      </w:r>
      <w:r>
        <w:rPr>
          <w:rFonts w:hint="eastAsia" w:ascii="宋体" w:hAnsi="宋体"/>
        </w:rPr>
        <w:t>合同约定应由承包人承担的义务和责任，不因监理人对承包人提交文件的审查或批准，对工程、材料和设备的检查和检验，以及为实施监理作出的指示等职务行为而减轻或解除。</w:t>
      </w:r>
    </w:p>
    <w:p w14:paraId="3ECB19A3">
      <w:pPr>
        <w:spacing w:line="360" w:lineRule="auto"/>
        <w:ind w:firstLine="420" w:firstLineChars="200"/>
        <w:rPr>
          <w:rFonts w:hint="eastAsia" w:ascii="宋体" w:hAnsi="宋体"/>
        </w:rPr>
      </w:pPr>
      <w:r>
        <w:rPr>
          <w:rFonts w:ascii="宋体" w:hAnsi="宋体"/>
        </w:rPr>
        <w:t>3.1.4</w:t>
      </w:r>
      <w:r>
        <w:rPr>
          <w:rFonts w:hint="eastAsia" w:ascii="宋体" w:hAnsi="宋体"/>
        </w:rPr>
        <w:t xml:space="preserve">  监理人负责审查施工现场疫情常态化防控工作方案，检查落实情况并提出合理化建议。</w:t>
      </w:r>
    </w:p>
    <w:p w14:paraId="10A366B2">
      <w:pPr>
        <w:keepNext/>
        <w:keepLines/>
        <w:spacing w:before="120" w:beforeLines="50" w:after="120" w:afterLines="50" w:line="360" w:lineRule="auto"/>
        <w:outlineLvl w:val="2"/>
        <w:rPr>
          <w:rFonts w:hint="eastAsia" w:ascii="宋体" w:hAnsi="宋体"/>
          <w:sz w:val="24"/>
          <w:szCs w:val="20"/>
        </w:rPr>
      </w:pPr>
      <w:bookmarkStart w:id="883" w:name="_Toc490222516"/>
      <w:bookmarkStart w:id="884" w:name="_Toc179632653"/>
      <w:bookmarkStart w:id="885" w:name="_Toc480486753"/>
      <w:bookmarkStart w:id="886" w:name="_Toc342296286"/>
      <w:bookmarkStart w:id="887" w:name="_Toc152042413"/>
      <w:bookmarkStart w:id="888" w:name="_Toc480486925"/>
      <w:bookmarkStart w:id="889" w:name="_Toc338944728"/>
      <w:bookmarkStart w:id="890" w:name="_Toc152045635"/>
      <w:bookmarkStart w:id="891" w:name="_Toc486580071"/>
      <w:bookmarkStart w:id="892" w:name="_Toc489279882"/>
      <w:bookmarkStart w:id="893" w:name="_Toc144974603"/>
      <w:bookmarkStart w:id="894" w:name="_Toc483668100"/>
      <w:bookmarkStart w:id="895" w:name="_Toc117350435"/>
      <w:r>
        <w:rPr>
          <w:rFonts w:ascii="宋体" w:hAnsi="宋体"/>
          <w:sz w:val="24"/>
          <w:szCs w:val="20"/>
        </w:rPr>
        <w:t xml:space="preserve">3.2  </w:t>
      </w:r>
      <w:r>
        <w:rPr>
          <w:rFonts w:hint="eastAsia" w:ascii="宋体" w:hAnsi="宋体"/>
          <w:sz w:val="24"/>
          <w:szCs w:val="20"/>
        </w:rPr>
        <w:t>总监理工程师</w:t>
      </w:r>
      <w:bookmarkEnd w:id="883"/>
      <w:bookmarkEnd w:id="884"/>
      <w:bookmarkEnd w:id="885"/>
      <w:bookmarkEnd w:id="886"/>
      <w:bookmarkEnd w:id="887"/>
      <w:bookmarkEnd w:id="888"/>
      <w:bookmarkEnd w:id="889"/>
      <w:bookmarkEnd w:id="890"/>
      <w:bookmarkEnd w:id="891"/>
      <w:bookmarkEnd w:id="892"/>
      <w:bookmarkEnd w:id="893"/>
      <w:bookmarkEnd w:id="894"/>
      <w:bookmarkEnd w:id="895"/>
    </w:p>
    <w:p w14:paraId="67A78464">
      <w:pPr>
        <w:spacing w:line="360" w:lineRule="auto"/>
        <w:ind w:firstLine="420" w:firstLineChars="200"/>
        <w:rPr>
          <w:rFonts w:hint="eastAsia" w:ascii="宋体" w:hAnsi="宋体"/>
        </w:rPr>
      </w:pPr>
      <w:r>
        <w:rPr>
          <w:rFonts w:hint="eastAsia" w:ascii="宋体" w:hAnsi="宋体"/>
        </w:rPr>
        <w:t>发包人应在发出开工通知前将总监理工程师的任命通知承包人。总监理工程师更换时，应在调离</w:t>
      </w:r>
      <w:r>
        <w:rPr>
          <w:rFonts w:ascii="宋体" w:hAnsi="宋体"/>
        </w:rPr>
        <w:t>14</w:t>
      </w:r>
      <w:r>
        <w:rPr>
          <w:rFonts w:hint="eastAsia" w:ascii="宋体" w:hAnsi="宋体"/>
        </w:rPr>
        <w:t>天前通知承包人。总监理工程师短期离开施工场地的，应委派代表代行其职责，并通知承包人。</w:t>
      </w:r>
    </w:p>
    <w:p w14:paraId="208EE658">
      <w:pPr>
        <w:keepNext/>
        <w:keepLines/>
        <w:spacing w:before="120" w:beforeLines="50" w:after="120" w:afterLines="50" w:line="360" w:lineRule="auto"/>
        <w:outlineLvl w:val="2"/>
        <w:rPr>
          <w:rFonts w:hint="eastAsia" w:ascii="宋体" w:hAnsi="宋体"/>
          <w:sz w:val="24"/>
          <w:szCs w:val="20"/>
        </w:rPr>
      </w:pPr>
      <w:bookmarkStart w:id="896" w:name="_Toc117350436"/>
      <w:bookmarkStart w:id="897" w:name="_Toc490222517"/>
      <w:bookmarkStart w:id="898" w:name="_Toc486580072"/>
      <w:bookmarkStart w:id="899" w:name="_Toc480486754"/>
      <w:bookmarkStart w:id="900" w:name="_Toc489279883"/>
      <w:bookmarkStart w:id="901" w:name="_Toc483668101"/>
      <w:bookmarkStart w:id="902" w:name="_Toc480486926"/>
      <w:bookmarkStart w:id="903" w:name="_Toc342296287"/>
      <w:bookmarkStart w:id="904" w:name="_Toc338944729"/>
      <w:r>
        <w:rPr>
          <w:rFonts w:ascii="宋体" w:hAnsi="宋体"/>
          <w:sz w:val="24"/>
          <w:szCs w:val="20"/>
        </w:rPr>
        <w:t xml:space="preserve">3.3  </w:t>
      </w:r>
      <w:r>
        <w:rPr>
          <w:rFonts w:hint="eastAsia" w:ascii="宋体" w:hAnsi="宋体"/>
          <w:sz w:val="24"/>
          <w:szCs w:val="20"/>
        </w:rPr>
        <w:t>监理人员</w:t>
      </w:r>
      <w:bookmarkEnd w:id="896"/>
      <w:bookmarkEnd w:id="897"/>
      <w:bookmarkEnd w:id="898"/>
      <w:bookmarkEnd w:id="899"/>
      <w:bookmarkEnd w:id="900"/>
      <w:bookmarkEnd w:id="901"/>
      <w:bookmarkEnd w:id="902"/>
      <w:bookmarkEnd w:id="903"/>
      <w:bookmarkEnd w:id="904"/>
    </w:p>
    <w:p w14:paraId="252774AB">
      <w:pPr>
        <w:spacing w:line="360" w:lineRule="auto"/>
        <w:ind w:firstLine="420" w:firstLineChars="200"/>
        <w:rPr>
          <w:rFonts w:hint="eastAsia" w:ascii="宋体" w:hAnsi="宋体"/>
        </w:rPr>
      </w:pPr>
      <w:r>
        <w:rPr>
          <w:rFonts w:ascii="宋体" w:hAnsi="宋体"/>
        </w:rPr>
        <w:t xml:space="preserve">3.3.1  </w:t>
      </w:r>
      <w:r>
        <w:rPr>
          <w:rFonts w:hint="eastAsia" w:ascii="宋体" w:hAnsi="宋体"/>
        </w:rPr>
        <w:t>总监理工程师可以授权其他监理人员负责执行其指派的一项或多项监理工作。总监理工程师应将被授权监理人员的姓名及其授权范围通知承包人。被授权的监理人员在授权范围内发出的指示视为已得到总监理工程师的同意，与总监理工程师发出的指示具有同等效力。总监理工程师撤销某项授权时，应将撤销授权的决定及时通知承包人。</w:t>
      </w:r>
    </w:p>
    <w:p w14:paraId="75B38E86">
      <w:pPr>
        <w:spacing w:line="360" w:lineRule="auto"/>
        <w:ind w:firstLine="420" w:firstLineChars="200"/>
        <w:rPr>
          <w:rFonts w:hint="eastAsia" w:ascii="宋体" w:hAnsi="宋体"/>
        </w:rPr>
      </w:pPr>
      <w:r>
        <w:rPr>
          <w:rFonts w:ascii="宋体" w:hAnsi="宋体"/>
        </w:rPr>
        <w:t xml:space="preserve">3.3.2  </w:t>
      </w:r>
      <w:r>
        <w:rPr>
          <w:rFonts w:hint="eastAsia" w:ascii="宋体" w:hAnsi="宋体"/>
        </w:rPr>
        <w:t>监理人员对承包人的任何工作、工程或其采用的材料和工程设备未在约定的或合理的期限内提出否定意见的，不影响监理人在以后拒绝该项工作、工程、材料或工程设备的权利。</w:t>
      </w:r>
    </w:p>
    <w:p w14:paraId="046F92AF">
      <w:pPr>
        <w:spacing w:line="360" w:lineRule="auto"/>
        <w:ind w:firstLine="420" w:firstLineChars="200"/>
        <w:rPr>
          <w:rFonts w:hint="eastAsia" w:ascii="宋体" w:hAnsi="宋体"/>
        </w:rPr>
      </w:pPr>
      <w:r>
        <w:rPr>
          <w:rFonts w:ascii="宋体" w:hAnsi="宋体"/>
        </w:rPr>
        <w:t xml:space="preserve">3.3.3  </w:t>
      </w:r>
      <w:r>
        <w:rPr>
          <w:rFonts w:hint="eastAsia" w:ascii="宋体" w:hAnsi="宋体"/>
        </w:rPr>
        <w:t>承包人对总监理工程师授权的监理人员发出的指示有疑问的，可向总监理工程师提出书面异议，总监理工程师应在</w:t>
      </w:r>
      <w:r>
        <w:rPr>
          <w:rFonts w:ascii="宋体" w:hAnsi="宋体"/>
        </w:rPr>
        <w:t>48</w:t>
      </w:r>
      <w:r>
        <w:rPr>
          <w:rFonts w:hint="eastAsia" w:ascii="宋体" w:hAnsi="宋体"/>
        </w:rPr>
        <w:t>小时内对该指示予以确认、更改或撤销。</w:t>
      </w:r>
    </w:p>
    <w:p w14:paraId="475AFB8C">
      <w:pPr>
        <w:spacing w:line="360" w:lineRule="auto"/>
        <w:ind w:firstLine="420" w:firstLineChars="200"/>
        <w:rPr>
          <w:rFonts w:hint="eastAsia" w:ascii="宋体" w:hAnsi="宋体"/>
        </w:rPr>
      </w:pPr>
      <w:r>
        <w:rPr>
          <w:rFonts w:ascii="宋体" w:hAnsi="宋体"/>
        </w:rPr>
        <w:t xml:space="preserve">3.3.4  </w:t>
      </w:r>
      <w:r>
        <w:rPr>
          <w:rFonts w:hint="eastAsia" w:ascii="宋体" w:hAnsi="宋体"/>
          <w:szCs w:val="21"/>
        </w:rPr>
        <w:t>总监理工程师不应将合同条款通用部分第</w:t>
      </w:r>
      <w:r>
        <w:rPr>
          <w:rFonts w:ascii="宋体" w:hAnsi="宋体"/>
          <w:szCs w:val="21"/>
        </w:rPr>
        <w:t>3.5</w:t>
      </w:r>
      <w:r>
        <w:rPr>
          <w:rFonts w:hint="eastAsia" w:ascii="宋体" w:hAnsi="宋体"/>
          <w:szCs w:val="21"/>
        </w:rPr>
        <w:t>款约定应由总监理工程师作出确定的权力授权或者委托给其他监理人员。</w:t>
      </w:r>
    </w:p>
    <w:p w14:paraId="0870F7A3">
      <w:pPr>
        <w:keepNext/>
        <w:keepLines/>
        <w:spacing w:before="120" w:beforeLines="50" w:after="120" w:afterLines="50" w:line="360" w:lineRule="auto"/>
        <w:outlineLvl w:val="2"/>
        <w:rPr>
          <w:rFonts w:hint="eastAsia" w:ascii="宋体" w:hAnsi="宋体"/>
          <w:sz w:val="24"/>
          <w:szCs w:val="20"/>
        </w:rPr>
      </w:pPr>
      <w:bookmarkStart w:id="905" w:name="_Toc338944730"/>
      <w:bookmarkStart w:id="906" w:name="_Toc489279884"/>
      <w:bookmarkStart w:id="907" w:name="_Toc117350437"/>
      <w:bookmarkStart w:id="908" w:name="_Toc480486755"/>
      <w:bookmarkStart w:id="909" w:name="_Toc490222518"/>
      <w:bookmarkStart w:id="910" w:name="_Toc480486927"/>
      <w:bookmarkStart w:id="911" w:name="_Toc486580073"/>
      <w:bookmarkStart w:id="912" w:name="_Toc342296288"/>
      <w:bookmarkStart w:id="913" w:name="_Toc483668102"/>
      <w:r>
        <w:rPr>
          <w:rFonts w:ascii="宋体" w:hAnsi="宋体"/>
          <w:sz w:val="24"/>
          <w:szCs w:val="20"/>
        </w:rPr>
        <w:t xml:space="preserve">3.4  </w:t>
      </w:r>
      <w:r>
        <w:rPr>
          <w:rFonts w:hint="eastAsia" w:ascii="宋体" w:hAnsi="宋体"/>
          <w:sz w:val="24"/>
          <w:szCs w:val="20"/>
        </w:rPr>
        <w:t>监理人的指示</w:t>
      </w:r>
      <w:bookmarkEnd w:id="905"/>
      <w:bookmarkEnd w:id="906"/>
      <w:bookmarkEnd w:id="907"/>
      <w:bookmarkEnd w:id="908"/>
      <w:bookmarkEnd w:id="909"/>
      <w:bookmarkEnd w:id="910"/>
      <w:bookmarkEnd w:id="911"/>
      <w:bookmarkEnd w:id="912"/>
      <w:bookmarkEnd w:id="913"/>
    </w:p>
    <w:p w14:paraId="70D8F085">
      <w:pPr>
        <w:spacing w:line="360" w:lineRule="auto"/>
        <w:ind w:firstLine="420" w:firstLineChars="200"/>
        <w:rPr>
          <w:rFonts w:hint="eastAsia" w:ascii="宋体" w:hAnsi="宋体"/>
        </w:rPr>
      </w:pPr>
      <w:r>
        <w:rPr>
          <w:rFonts w:ascii="宋体" w:hAnsi="宋体"/>
        </w:rPr>
        <w:t xml:space="preserve">3.4.1  </w:t>
      </w:r>
      <w:r>
        <w:rPr>
          <w:rFonts w:hint="eastAsia" w:ascii="宋体" w:hAnsi="宋体"/>
        </w:rPr>
        <w:t>监理人应按第</w:t>
      </w:r>
      <w:r>
        <w:rPr>
          <w:rFonts w:ascii="宋体" w:hAnsi="宋体"/>
        </w:rPr>
        <w:t>3.1</w:t>
      </w:r>
      <w:r>
        <w:rPr>
          <w:rFonts w:hint="eastAsia" w:ascii="宋体" w:hAnsi="宋体"/>
        </w:rPr>
        <w:t>款的约定向承包人发出指示，监理人的指示应加盖监理人授权的施工场地机构章，并由总监理工程师或总监理工程师按第</w:t>
      </w:r>
      <w:r>
        <w:rPr>
          <w:rFonts w:ascii="宋体" w:hAnsi="宋体"/>
        </w:rPr>
        <w:t>3.3.1</w:t>
      </w:r>
      <w:r>
        <w:rPr>
          <w:rFonts w:hint="eastAsia" w:ascii="宋体" w:hAnsi="宋体"/>
        </w:rPr>
        <w:t>项约定授权的监理人员签字。</w:t>
      </w:r>
    </w:p>
    <w:p w14:paraId="4D900305">
      <w:pPr>
        <w:spacing w:line="360" w:lineRule="auto"/>
        <w:ind w:firstLine="420" w:firstLineChars="200"/>
        <w:rPr>
          <w:rFonts w:hint="eastAsia" w:ascii="宋体" w:hAnsi="宋体"/>
        </w:rPr>
      </w:pPr>
      <w:r>
        <w:rPr>
          <w:rFonts w:ascii="宋体" w:hAnsi="宋体"/>
        </w:rPr>
        <w:t xml:space="preserve">3.4.2  </w:t>
      </w:r>
      <w:r>
        <w:rPr>
          <w:rFonts w:hint="eastAsia" w:ascii="宋体" w:hAnsi="宋体"/>
        </w:rPr>
        <w:t>承包人收到监理人按第</w:t>
      </w:r>
      <w:r>
        <w:rPr>
          <w:rFonts w:ascii="宋体" w:hAnsi="宋体"/>
        </w:rPr>
        <w:t>3.4.1</w:t>
      </w:r>
      <w:r>
        <w:rPr>
          <w:rFonts w:hint="eastAsia" w:ascii="宋体" w:hAnsi="宋体"/>
        </w:rPr>
        <w:t>项作出的指示后，应遵照执行。指示构成变更的，应按第</w:t>
      </w:r>
      <w:r>
        <w:rPr>
          <w:rFonts w:ascii="宋体" w:hAnsi="宋体"/>
        </w:rPr>
        <w:t>15</w:t>
      </w:r>
      <w:r>
        <w:rPr>
          <w:rFonts w:hint="eastAsia" w:ascii="宋体" w:hAnsi="宋体"/>
        </w:rPr>
        <w:t>条处理。</w:t>
      </w:r>
    </w:p>
    <w:p w14:paraId="28D0B574">
      <w:pPr>
        <w:spacing w:line="360" w:lineRule="auto"/>
        <w:ind w:firstLine="420" w:firstLineChars="200"/>
        <w:rPr>
          <w:rFonts w:hint="eastAsia" w:ascii="宋体" w:hAnsi="宋体"/>
        </w:rPr>
      </w:pPr>
      <w:r>
        <w:rPr>
          <w:rFonts w:hint="eastAsia" w:ascii="宋体" w:hAnsi="宋体"/>
        </w:rPr>
        <w:t>3.4.3  在紧急情况下，总监理工程师或被授权的监理人员可以当场签发临时书面指示，承包人应遵照执行。承包人应在收到上述临时书面指示后24小时内，向监理人发出书面确认函。</w:t>
      </w:r>
    </w:p>
    <w:p w14:paraId="69CDE66D">
      <w:pPr>
        <w:spacing w:line="360" w:lineRule="auto"/>
        <w:ind w:firstLine="420" w:firstLineChars="200"/>
        <w:rPr>
          <w:rFonts w:hint="eastAsia" w:ascii="宋体" w:hAnsi="宋体"/>
        </w:rPr>
      </w:pPr>
      <w:r>
        <w:rPr>
          <w:rFonts w:hint="eastAsia" w:ascii="宋体" w:hAnsi="宋体"/>
        </w:rPr>
        <w:t>3.4.4  除合同另有约定外，承包人只从总监理工程师或按第3.3.1项被授权的监理人员处取得指示。</w:t>
      </w:r>
    </w:p>
    <w:p w14:paraId="1B0DC1C9">
      <w:pPr>
        <w:spacing w:line="360" w:lineRule="auto"/>
        <w:ind w:firstLine="420" w:firstLineChars="200"/>
        <w:rPr>
          <w:rFonts w:hint="eastAsia" w:ascii="宋体" w:hAnsi="宋体"/>
        </w:rPr>
      </w:pPr>
      <w:r>
        <w:rPr>
          <w:rFonts w:hint="eastAsia" w:ascii="宋体" w:hAnsi="宋体"/>
        </w:rPr>
        <w:t>3.5  商定或确定</w:t>
      </w:r>
    </w:p>
    <w:p w14:paraId="79CFFBDB">
      <w:pPr>
        <w:spacing w:line="360" w:lineRule="auto"/>
        <w:ind w:firstLine="420" w:firstLineChars="200"/>
        <w:rPr>
          <w:rFonts w:hint="eastAsia" w:ascii="宋体" w:hAnsi="宋体"/>
        </w:rPr>
      </w:pPr>
      <w:r>
        <w:rPr>
          <w:rFonts w:ascii="宋体" w:hAnsi="宋体"/>
        </w:rPr>
        <w:t xml:space="preserve">3.5.1  </w:t>
      </w:r>
      <w:r>
        <w:rPr>
          <w:rFonts w:hint="eastAsia" w:ascii="宋体" w:hAnsi="宋体"/>
        </w:rPr>
        <w:t>总监理工程师应按照本款对任何事项进行商定或确定时，总监理工程师应与合同当事人协商，尽量达成一致。不能达成一致的，总监理工程师应认真研究后审慎确定。</w:t>
      </w:r>
    </w:p>
    <w:p w14:paraId="3AFDF778">
      <w:pPr>
        <w:spacing w:line="360" w:lineRule="auto"/>
        <w:ind w:firstLine="420" w:firstLineChars="200"/>
        <w:rPr>
          <w:rFonts w:hint="eastAsia" w:ascii="宋体" w:hAnsi="宋体"/>
        </w:rPr>
      </w:pPr>
      <w:r>
        <w:rPr>
          <w:rFonts w:ascii="宋体" w:hAnsi="宋体"/>
        </w:rPr>
        <w:t xml:space="preserve">3.5.2  </w:t>
      </w:r>
      <w:r>
        <w:rPr>
          <w:rFonts w:hint="eastAsia" w:ascii="宋体" w:hAnsi="宋体"/>
        </w:rPr>
        <w:t>总监理工程师应将商定或确定的事项通知合同当事人，并附详细依据。对总监理工程师的确定有异议的，构成争议，按照第</w:t>
      </w:r>
      <w:r>
        <w:rPr>
          <w:rFonts w:ascii="宋体" w:hAnsi="宋体"/>
        </w:rPr>
        <w:t>24</w:t>
      </w:r>
      <w:r>
        <w:rPr>
          <w:rFonts w:hint="eastAsia" w:ascii="宋体" w:hAnsi="宋体"/>
        </w:rPr>
        <w:t>条的约定处理。在争议解决前，双方应暂按总监理工程师的确定执行；按照第</w:t>
      </w:r>
      <w:r>
        <w:rPr>
          <w:rFonts w:ascii="宋体" w:hAnsi="宋体"/>
        </w:rPr>
        <w:t>24</w:t>
      </w:r>
      <w:r>
        <w:rPr>
          <w:rFonts w:hint="eastAsia" w:ascii="宋体" w:hAnsi="宋体"/>
        </w:rPr>
        <w:t>条的约定对总监理工程师的确定需要作出修改的，按修改后的结果执行。</w:t>
      </w:r>
    </w:p>
    <w:p w14:paraId="3C0B9AA0">
      <w:pPr>
        <w:keepNext/>
        <w:keepLines/>
        <w:spacing w:before="120" w:beforeLines="50" w:after="120" w:afterLines="50" w:line="360" w:lineRule="auto"/>
        <w:outlineLvl w:val="2"/>
        <w:rPr>
          <w:rFonts w:hint="eastAsia" w:ascii="宋体" w:hAnsi="宋体"/>
          <w:sz w:val="24"/>
          <w:szCs w:val="20"/>
        </w:rPr>
      </w:pPr>
      <w:bookmarkStart w:id="914" w:name="_Toc483668104"/>
      <w:bookmarkStart w:id="915" w:name="_Toc480486757"/>
      <w:bookmarkStart w:id="916" w:name="_Toc241459673"/>
      <w:bookmarkStart w:id="917" w:name="_Toc342296432"/>
      <w:bookmarkStart w:id="918" w:name="_Toc489279886"/>
      <w:bookmarkStart w:id="919" w:name="_Toc117350439"/>
      <w:bookmarkStart w:id="920" w:name="_Toc480486929"/>
      <w:bookmarkStart w:id="921" w:name="_Toc490222520"/>
      <w:bookmarkStart w:id="922" w:name="_Toc476479320"/>
      <w:bookmarkStart w:id="923" w:name="_Toc486580075"/>
      <w:r>
        <w:rPr>
          <w:rFonts w:ascii="宋体" w:hAnsi="宋体"/>
          <w:sz w:val="24"/>
          <w:szCs w:val="20"/>
        </w:rPr>
        <w:t xml:space="preserve">3.6  </w:t>
      </w:r>
      <w:r>
        <w:rPr>
          <w:rFonts w:hint="eastAsia" w:ascii="宋体" w:hAnsi="宋体"/>
          <w:sz w:val="24"/>
          <w:szCs w:val="20"/>
        </w:rPr>
        <w:t>监理人的宽恕</w:t>
      </w:r>
      <w:bookmarkEnd w:id="914"/>
      <w:bookmarkEnd w:id="915"/>
      <w:bookmarkEnd w:id="916"/>
      <w:bookmarkEnd w:id="917"/>
      <w:bookmarkEnd w:id="918"/>
      <w:bookmarkEnd w:id="919"/>
      <w:bookmarkEnd w:id="920"/>
      <w:bookmarkEnd w:id="921"/>
      <w:bookmarkEnd w:id="922"/>
      <w:bookmarkEnd w:id="923"/>
    </w:p>
    <w:p w14:paraId="2437B269">
      <w:pPr>
        <w:spacing w:line="360" w:lineRule="auto"/>
        <w:ind w:firstLine="420" w:firstLineChars="200"/>
        <w:rPr>
          <w:rFonts w:hint="eastAsia" w:ascii="宋体" w:hAnsi="宋体"/>
        </w:rPr>
      </w:pPr>
      <w:r>
        <w:rPr>
          <w:rFonts w:hint="eastAsia" w:ascii="宋体" w:hAnsi="宋体"/>
        </w:rPr>
        <w:t>监理人或者发包人就承包人对合同约定的任何责任和义务的某种违约行为的宽恕，不影响监理人和发包人在此后的任何时间严格按合同约定处理承包人的其它违约行为，也不意味发包人放弃合同约定的发包人与上述违约有关的任何权利和赔偿要求。</w:t>
      </w:r>
    </w:p>
    <w:p w14:paraId="07C42829">
      <w:pPr>
        <w:keepNext/>
        <w:keepLines/>
        <w:spacing w:before="120" w:beforeLines="50" w:after="120" w:afterLines="50" w:line="360" w:lineRule="auto"/>
        <w:outlineLvl w:val="1"/>
        <w:rPr>
          <w:rFonts w:hint="eastAsia" w:ascii="宋体" w:hAnsi="宋体" w:cs="宋体"/>
          <w:sz w:val="28"/>
          <w:szCs w:val="20"/>
        </w:rPr>
      </w:pPr>
      <w:bookmarkStart w:id="924" w:name="_Toc486580076"/>
      <w:bookmarkStart w:id="925" w:name="_Toc489279887"/>
      <w:bookmarkStart w:id="926" w:name="_Toc117350440"/>
      <w:bookmarkStart w:id="927" w:name="_Toc480486758"/>
      <w:bookmarkStart w:id="928" w:name="_Toc483668105"/>
      <w:bookmarkStart w:id="929" w:name="_Toc480486930"/>
      <w:bookmarkStart w:id="930" w:name="_Toc490222521"/>
      <w:bookmarkStart w:id="931" w:name="_Toc338944732"/>
      <w:bookmarkStart w:id="932" w:name="_Toc342296290"/>
      <w:r>
        <w:rPr>
          <w:rFonts w:ascii="宋体" w:hAnsi="宋体" w:cs="宋体"/>
          <w:sz w:val="28"/>
          <w:szCs w:val="20"/>
        </w:rPr>
        <w:t>4.</w:t>
      </w:r>
      <w:r>
        <w:rPr>
          <w:rFonts w:hint="eastAsia" w:ascii="宋体" w:hAnsi="宋体" w:cs="宋体"/>
          <w:sz w:val="28"/>
          <w:szCs w:val="20"/>
        </w:rPr>
        <w:t>承包人</w:t>
      </w:r>
      <w:bookmarkEnd w:id="924"/>
      <w:bookmarkEnd w:id="925"/>
      <w:bookmarkEnd w:id="926"/>
      <w:bookmarkEnd w:id="927"/>
      <w:bookmarkEnd w:id="928"/>
      <w:bookmarkEnd w:id="929"/>
      <w:bookmarkEnd w:id="930"/>
      <w:bookmarkEnd w:id="931"/>
      <w:bookmarkEnd w:id="932"/>
    </w:p>
    <w:p w14:paraId="0B456159">
      <w:pPr>
        <w:keepNext/>
        <w:keepLines/>
        <w:spacing w:before="120" w:beforeLines="50" w:after="120" w:afterLines="50" w:line="360" w:lineRule="auto"/>
        <w:outlineLvl w:val="2"/>
        <w:rPr>
          <w:rFonts w:hint="eastAsia" w:ascii="宋体" w:hAnsi="宋体"/>
          <w:sz w:val="24"/>
          <w:szCs w:val="20"/>
        </w:rPr>
      </w:pPr>
      <w:bookmarkStart w:id="933" w:name="_Toc486580077"/>
      <w:bookmarkStart w:id="934" w:name="_Toc480486931"/>
      <w:bookmarkStart w:id="935" w:name="_Toc338944733"/>
      <w:bookmarkStart w:id="936" w:name="_Toc489279888"/>
      <w:bookmarkStart w:id="937" w:name="_Toc483668106"/>
      <w:bookmarkStart w:id="938" w:name="_Toc490222522"/>
      <w:bookmarkStart w:id="939" w:name="_Toc342296291"/>
      <w:bookmarkStart w:id="940" w:name="_Toc117350441"/>
      <w:bookmarkStart w:id="941" w:name="_Toc480486759"/>
      <w:r>
        <w:rPr>
          <w:rFonts w:ascii="宋体" w:hAnsi="宋体"/>
          <w:sz w:val="24"/>
          <w:szCs w:val="20"/>
        </w:rPr>
        <w:t xml:space="preserve">4.1  </w:t>
      </w:r>
      <w:r>
        <w:rPr>
          <w:rFonts w:hint="eastAsia" w:ascii="宋体" w:hAnsi="宋体"/>
          <w:sz w:val="24"/>
          <w:szCs w:val="20"/>
        </w:rPr>
        <w:t>承包人的一般义务</w:t>
      </w:r>
      <w:bookmarkEnd w:id="933"/>
      <w:bookmarkEnd w:id="934"/>
      <w:bookmarkEnd w:id="935"/>
      <w:bookmarkEnd w:id="936"/>
      <w:bookmarkEnd w:id="937"/>
      <w:bookmarkEnd w:id="938"/>
      <w:bookmarkEnd w:id="939"/>
      <w:bookmarkEnd w:id="940"/>
      <w:bookmarkEnd w:id="941"/>
    </w:p>
    <w:p w14:paraId="7FB44C80">
      <w:pPr>
        <w:spacing w:line="360" w:lineRule="auto"/>
        <w:ind w:firstLine="420" w:firstLineChars="200"/>
        <w:rPr>
          <w:rFonts w:hint="eastAsia" w:ascii="宋体" w:hAnsi="宋体"/>
        </w:rPr>
      </w:pPr>
      <w:r>
        <w:rPr>
          <w:rFonts w:ascii="宋体" w:hAnsi="宋体"/>
        </w:rPr>
        <w:t xml:space="preserve">4.1.1  </w:t>
      </w:r>
      <w:r>
        <w:rPr>
          <w:rFonts w:hint="eastAsia" w:ascii="宋体" w:hAnsi="宋体"/>
        </w:rPr>
        <w:t>遵守法律</w:t>
      </w:r>
    </w:p>
    <w:p w14:paraId="42E7BB0B">
      <w:pPr>
        <w:spacing w:line="360" w:lineRule="auto"/>
        <w:ind w:firstLine="420" w:firstLineChars="200"/>
        <w:rPr>
          <w:rFonts w:hint="eastAsia" w:ascii="宋体" w:hAnsi="宋体"/>
        </w:rPr>
      </w:pPr>
      <w:r>
        <w:rPr>
          <w:rFonts w:hint="eastAsia" w:ascii="宋体" w:hAnsi="宋体"/>
        </w:rPr>
        <w:t>承包人在履行合同过程中应遵守法律，并保证发包人免于承担因承包人违反法律而引起的任何责任。</w:t>
      </w:r>
    </w:p>
    <w:p w14:paraId="4EFF683E">
      <w:pPr>
        <w:spacing w:line="360" w:lineRule="auto"/>
        <w:ind w:firstLine="420" w:firstLineChars="200"/>
        <w:rPr>
          <w:rFonts w:hint="eastAsia" w:ascii="宋体" w:hAnsi="宋体"/>
        </w:rPr>
      </w:pPr>
      <w:r>
        <w:rPr>
          <w:rFonts w:ascii="宋体" w:hAnsi="宋体"/>
        </w:rPr>
        <w:t xml:space="preserve">4.1.2  </w:t>
      </w:r>
      <w:r>
        <w:rPr>
          <w:rFonts w:hint="eastAsia" w:ascii="宋体" w:hAnsi="宋体"/>
        </w:rPr>
        <w:t>依法纳税</w:t>
      </w:r>
    </w:p>
    <w:p w14:paraId="374EE4CC">
      <w:pPr>
        <w:spacing w:line="360" w:lineRule="auto"/>
        <w:ind w:firstLine="420" w:firstLineChars="200"/>
        <w:rPr>
          <w:rFonts w:hint="eastAsia" w:ascii="宋体" w:hAnsi="宋体"/>
        </w:rPr>
      </w:pPr>
      <w:r>
        <w:rPr>
          <w:rFonts w:hint="eastAsia" w:ascii="宋体" w:hAnsi="宋体"/>
        </w:rPr>
        <w:t>承包人应按有关法律规定纳税，应缴纳的税金包括在合同价格内。</w:t>
      </w:r>
    </w:p>
    <w:p w14:paraId="68AC2A84">
      <w:pPr>
        <w:spacing w:line="360" w:lineRule="auto"/>
        <w:ind w:firstLine="420" w:firstLineChars="200"/>
        <w:rPr>
          <w:rFonts w:hint="eastAsia" w:ascii="宋体" w:hAnsi="宋体"/>
        </w:rPr>
      </w:pPr>
      <w:r>
        <w:rPr>
          <w:rFonts w:ascii="宋体" w:hAnsi="宋体"/>
        </w:rPr>
        <w:t xml:space="preserve">4.1.3  </w:t>
      </w:r>
      <w:r>
        <w:rPr>
          <w:rFonts w:hint="eastAsia" w:ascii="宋体" w:hAnsi="宋体"/>
        </w:rPr>
        <w:t>完成各项承包工作</w:t>
      </w:r>
    </w:p>
    <w:p w14:paraId="2FE803F0">
      <w:pPr>
        <w:spacing w:line="360" w:lineRule="auto"/>
        <w:ind w:firstLine="420" w:firstLineChars="200"/>
        <w:rPr>
          <w:rFonts w:hint="eastAsia" w:ascii="宋体" w:hAnsi="宋体"/>
          <w:szCs w:val="21"/>
        </w:rPr>
      </w:pPr>
      <w:r>
        <w:rPr>
          <w:rFonts w:hint="eastAsia" w:ascii="宋体" w:hAnsi="宋体"/>
        </w:rPr>
        <w:t>（</w:t>
      </w:r>
      <w:r>
        <w:rPr>
          <w:rFonts w:ascii="宋体" w:hAnsi="宋体"/>
        </w:rPr>
        <w:t>1</w:t>
      </w:r>
      <w:r>
        <w:rPr>
          <w:rFonts w:hint="eastAsia" w:ascii="宋体" w:hAnsi="宋体"/>
        </w:rPr>
        <w:t>）承包人应按合同约定以及监理人根据第</w:t>
      </w:r>
      <w:r>
        <w:rPr>
          <w:rFonts w:ascii="宋体" w:hAnsi="宋体"/>
        </w:rPr>
        <w:t>3.4</w:t>
      </w:r>
      <w:r>
        <w:rPr>
          <w:rFonts w:hint="eastAsia" w:ascii="宋体" w:hAnsi="宋体"/>
        </w:rPr>
        <w:t>款作出的指示，实施、完成全部工程，并修补工程中的任何缺陷。</w:t>
      </w:r>
      <w:r>
        <w:rPr>
          <w:rFonts w:hint="eastAsia" w:ascii="宋体" w:hAnsi="宋体"/>
          <w:szCs w:val="21"/>
        </w:rPr>
        <w:t>除第</w:t>
      </w:r>
      <w:r>
        <w:rPr>
          <w:rFonts w:ascii="宋体" w:hAnsi="宋体"/>
          <w:szCs w:val="21"/>
        </w:rPr>
        <w:t>5.2</w:t>
      </w:r>
      <w:r>
        <w:rPr>
          <w:rFonts w:hint="eastAsia" w:ascii="宋体" w:hAnsi="宋体"/>
          <w:szCs w:val="21"/>
        </w:rPr>
        <w:t>款约定由发包人提供的材料和工程设备和第</w:t>
      </w:r>
      <w:r>
        <w:rPr>
          <w:rFonts w:ascii="宋体" w:hAnsi="宋体"/>
          <w:szCs w:val="21"/>
        </w:rPr>
        <w:t>6.2</w:t>
      </w:r>
      <w:r>
        <w:rPr>
          <w:rFonts w:hint="eastAsia" w:ascii="宋体" w:hAnsi="宋体"/>
          <w:szCs w:val="21"/>
        </w:rPr>
        <w:t>款约定由发包人提供的施工设备和临时设施外，承包人应负责提供为完成合同工作所需的劳务、材料、施工设备、工程设备和其他物品，并按照合同约定负责临时设施的设计、建造、运行、维护、管理和拆除工作。</w:t>
      </w:r>
    </w:p>
    <w:p w14:paraId="72EBDCEF">
      <w:pPr>
        <w:spacing w:line="360" w:lineRule="auto"/>
        <w:ind w:firstLine="420" w:firstLineChars="200"/>
        <w:rPr>
          <w:rFonts w:hint="eastAsia" w:ascii="宋体" w:hAnsi="宋体"/>
          <w:szCs w:val="21"/>
        </w:rPr>
      </w:pPr>
      <w:r>
        <w:rPr>
          <w:rFonts w:hint="eastAsia" w:ascii="宋体" w:hAnsi="宋体"/>
          <w:szCs w:val="21"/>
        </w:rPr>
        <w:t>（</w:t>
      </w:r>
      <w:r>
        <w:rPr>
          <w:rFonts w:ascii="宋体" w:hAnsi="宋体"/>
          <w:szCs w:val="21"/>
        </w:rPr>
        <w:t>2</w:t>
      </w:r>
      <w:r>
        <w:rPr>
          <w:rFonts w:hint="eastAsia" w:ascii="宋体" w:hAnsi="宋体"/>
          <w:szCs w:val="21"/>
        </w:rPr>
        <w:t>）承包人应当依法合规建立施工扬尘综合治理、建筑垃圾、土方和砂石清运与消纳、保证使用已在本市进行信息编码登记符合排放标准的非道路移动机械和严禁使用高排放非道路移动机械以及行业挥发性有机物治理（如</w:t>
      </w:r>
      <w:r>
        <w:rPr>
          <w:rFonts w:hint="eastAsia" w:ascii="宋体" w:hAnsi="宋体"/>
        </w:rPr>
        <w:t>建筑外墙涂装、钢结构等鼓励使用水性漆替代油性漆</w:t>
      </w:r>
      <w:r>
        <w:rPr>
          <w:rFonts w:hint="eastAsia" w:ascii="宋体" w:hAnsi="宋体"/>
          <w:szCs w:val="21"/>
        </w:rPr>
        <w:t>）等责任制，制定具体的管控机制和实施方案，严格落实。</w:t>
      </w:r>
    </w:p>
    <w:p w14:paraId="5D87B95B">
      <w:pPr>
        <w:spacing w:line="360" w:lineRule="auto"/>
        <w:ind w:firstLine="420" w:firstLineChars="200"/>
        <w:rPr>
          <w:rFonts w:hint="eastAsia" w:ascii="宋体" w:hAnsi="宋体"/>
        </w:rPr>
      </w:pPr>
      <w:bookmarkStart w:id="942" w:name="_Hlk114649406"/>
      <w:r>
        <w:rPr>
          <w:rFonts w:hint="eastAsia" w:ascii="宋体" w:hAnsi="宋体"/>
          <w:szCs w:val="21"/>
        </w:rPr>
        <w:t>（</w:t>
      </w:r>
      <w:r>
        <w:rPr>
          <w:rFonts w:ascii="宋体" w:hAnsi="宋体"/>
          <w:szCs w:val="21"/>
        </w:rPr>
        <w:t>3</w:t>
      </w:r>
      <w:r>
        <w:rPr>
          <w:rFonts w:hint="eastAsia" w:ascii="宋体" w:hAnsi="宋体"/>
          <w:szCs w:val="21"/>
        </w:rPr>
        <w:t>）</w:t>
      </w:r>
      <w:r>
        <w:rPr>
          <w:rFonts w:hint="eastAsia" w:ascii="宋体" w:hAnsi="宋体"/>
        </w:rPr>
        <w:t>承包人应按法律法规、经消防设计审查合格或者满足工程需要的消防设计文件等规定组织施工，编制消防专项施工方案；按消防设计要求、施工技术标准和合同约定检验消防产品和具有防火性能要求的建筑材料、建筑构配件和设备的质量，保证消防施工质量；配合发包人组织的竣工验收消防查验，对建设工程消防施工质量签章确认。</w:t>
      </w:r>
    </w:p>
    <w:bookmarkEnd w:id="942"/>
    <w:p w14:paraId="3ADEADB4">
      <w:pPr>
        <w:spacing w:line="360" w:lineRule="auto"/>
        <w:ind w:firstLine="420" w:firstLineChars="200"/>
        <w:rPr>
          <w:rFonts w:hint="eastAsia" w:ascii="宋体" w:hAnsi="宋体"/>
        </w:rPr>
      </w:pPr>
      <w:r>
        <w:rPr>
          <w:rFonts w:ascii="宋体" w:hAnsi="宋体"/>
        </w:rPr>
        <w:t xml:space="preserve">4.1.4  </w:t>
      </w:r>
      <w:r>
        <w:rPr>
          <w:rFonts w:hint="eastAsia" w:ascii="宋体" w:hAnsi="宋体"/>
        </w:rPr>
        <w:t>对施工作业和施工方法的完备性负责</w:t>
      </w:r>
    </w:p>
    <w:p w14:paraId="0BBA9D79">
      <w:pPr>
        <w:spacing w:line="360" w:lineRule="auto"/>
        <w:ind w:firstLine="420" w:firstLineChars="200"/>
        <w:rPr>
          <w:rFonts w:hint="eastAsia" w:ascii="宋体" w:hAnsi="宋体"/>
        </w:rPr>
      </w:pPr>
      <w:r>
        <w:rPr>
          <w:rFonts w:hint="eastAsia" w:ascii="宋体" w:hAnsi="宋体"/>
        </w:rPr>
        <w:t>承包人应按合同约定的工作内容和施工进度要求，编制施工组织设计和施工措施计划，并对所有施工作业和施工方法的完备性和安全可靠性负责。</w:t>
      </w:r>
    </w:p>
    <w:p w14:paraId="1137DE96">
      <w:pPr>
        <w:spacing w:line="360" w:lineRule="auto"/>
        <w:ind w:firstLine="420" w:firstLineChars="200"/>
        <w:rPr>
          <w:rFonts w:hint="eastAsia" w:ascii="宋体" w:hAnsi="宋体"/>
        </w:rPr>
      </w:pPr>
      <w:r>
        <w:rPr>
          <w:rFonts w:ascii="宋体" w:hAnsi="宋体"/>
        </w:rPr>
        <w:t xml:space="preserve">4.1.5  </w:t>
      </w:r>
      <w:r>
        <w:rPr>
          <w:rFonts w:hint="eastAsia" w:ascii="宋体" w:hAnsi="宋体"/>
        </w:rPr>
        <w:t>保证工程施工和人员的安全</w:t>
      </w:r>
    </w:p>
    <w:p w14:paraId="2762D9BD">
      <w:pPr>
        <w:spacing w:line="360" w:lineRule="auto"/>
        <w:ind w:firstLine="420" w:firstLineChars="200"/>
        <w:rPr>
          <w:rFonts w:hint="eastAsia" w:ascii="宋体" w:hAnsi="宋体"/>
        </w:rPr>
      </w:pPr>
      <w:r>
        <w:rPr>
          <w:rFonts w:hint="eastAsia" w:ascii="宋体" w:hAnsi="宋体"/>
        </w:rPr>
        <w:t>承包人应按照第</w:t>
      </w:r>
      <w:r>
        <w:rPr>
          <w:rFonts w:ascii="宋体" w:hAnsi="宋体"/>
        </w:rPr>
        <w:t>9.2</w:t>
      </w:r>
      <w:r>
        <w:rPr>
          <w:rFonts w:hint="eastAsia" w:ascii="宋体" w:hAnsi="宋体"/>
        </w:rPr>
        <w:t>款约定采取施工安全措施，确保工程及其人员、材料、设备和设施的安全，防止因工程施工造成的人身伤害和财产损失。</w:t>
      </w:r>
    </w:p>
    <w:p w14:paraId="1647F8CF">
      <w:pPr>
        <w:spacing w:line="360" w:lineRule="auto"/>
        <w:ind w:firstLine="420" w:firstLineChars="200"/>
        <w:rPr>
          <w:rFonts w:hint="eastAsia" w:ascii="宋体" w:hAnsi="宋体"/>
        </w:rPr>
      </w:pPr>
      <w:r>
        <w:rPr>
          <w:rFonts w:ascii="宋体" w:hAnsi="宋体"/>
        </w:rPr>
        <w:t xml:space="preserve">4.1.6  </w:t>
      </w:r>
      <w:r>
        <w:rPr>
          <w:rFonts w:hint="eastAsia" w:ascii="宋体" w:hAnsi="宋体"/>
        </w:rPr>
        <w:t>负责施工场地、周边环境和生态保护以及疫情防控常态化工作</w:t>
      </w:r>
    </w:p>
    <w:p w14:paraId="6220EC2C">
      <w:pPr>
        <w:spacing w:line="360" w:lineRule="auto"/>
        <w:ind w:firstLine="420" w:firstLineChars="200"/>
        <w:rPr>
          <w:rFonts w:hint="eastAsia" w:ascii="宋体" w:hAnsi="宋体"/>
        </w:rPr>
      </w:pPr>
      <w:r>
        <w:rPr>
          <w:rFonts w:hint="eastAsia" w:ascii="宋体" w:hAnsi="宋体"/>
        </w:rPr>
        <w:t>承包人应按照第</w:t>
      </w:r>
      <w:r>
        <w:rPr>
          <w:rFonts w:ascii="宋体" w:hAnsi="宋体"/>
        </w:rPr>
        <w:t>9.4</w:t>
      </w:r>
      <w:r>
        <w:rPr>
          <w:rFonts w:hint="eastAsia" w:ascii="宋体" w:hAnsi="宋体"/>
        </w:rPr>
        <w:t>款约定负责施工场地及其周边环境与生态的保护工作。同时负责施工现场及周边疫情常态化防控各项工作具体组织实施。即做好施工现场（含生活区）封闭式管理；做好施工现场实名制管理；做好对重点人群的管理；做好生活区隔离管理；做好智能体温计佩戴管理工作；做好环境卫生整治和消毒工作；做好施工现场从业人员健康素养宣传教育等工作。</w:t>
      </w:r>
    </w:p>
    <w:p w14:paraId="24113F0F">
      <w:pPr>
        <w:spacing w:line="360" w:lineRule="auto"/>
        <w:ind w:firstLine="420" w:firstLineChars="200"/>
        <w:rPr>
          <w:rFonts w:hint="eastAsia" w:ascii="宋体" w:hAnsi="宋体"/>
        </w:rPr>
      </w:pPr>
      <w:r>
        <w:rPr>
          <w:rFonts w:ascii="宋体" w:hAnsi="宋体"/>
        </w:rPr>
        <w:t xml:space="preserve">4.1.7  </w:t>
      </w:r>
      <w:r>
        <w:rPr>
          <w:rFonts w:hint="eastAsia" w:ascii="宋体" w:hAnsi="宋体"/>
        </w:rPr>
        <w:t>避免施工对公众与他人的利益造成损害</w:t>
      </w:r>
    </w:p>
    <w:p w14:paraId="44ACEB94">
      <w:pPr>
        <w:spacing w:line="360" w:lineRule="auto"/>
        <w:ind w:firstLine="420" w:firstLineChars="200"/>
        <w:rPr>
          <w:rFonts w:hint="eastAsia" w:ascii="宋体" w:hAnsi="宋体"/>
        </w:rPr>
      </w:pPr>
      <w:r>
        <w:rPr>
          <w:rFonts w:hint="eastAsia" w:ascii="宋体" w:hAnsi="宋体"/>
        </w:rPr>
        <w:t>承包人在进行合同约定的各项工作时，不得侵害发包人与他人使用公用道路、水源、市政管网等公共设施的权利，避免对邻近的公共设施产生干扰。承包人占用或使用他人的施工场地，影响他人作业或生活的，应承担相应责任。</w:t>
      </w:r>
    </w:p>
    <w:p w14:paraId="38D67165">
      <w:pPr>
        <w:spacing w:line="360" w:lineRule="auto"/>
        <w:ind w:firstLine="420" w:firstLineChars="200"/>
        <w:rPr>
          <w:rFonts w:hint="eastAsia" w:ascii="宋体" w:hAnsi="宋体"/>
        </w:rPr>
      </w:pPr>
      <w:r>
        <w:rPr>
          <w:rFonts w:ascii="宋体" w:hAnsi="宋体"/>
        </w:rPr>
        <w:t xml:space="preserve">4.1.8  </w:t>
      </w:r>
      <w:r>
        <w:rPr>
          <w:rFonts w:hint="eastAsia" w:ascii="宋体" w:hAnsi="宋体"/>
        </w:rPr>
        <w:t>为他人提供方便</w:t>
      </w:r>
    </w:p>
    <w:p w14:paraId="15C9075C">
      <w:pPr>
        <w:spacing w:line="360" w:lineRule="auto"/>
        <w:ind w:firstLine="420" w:firstLineChars="200"/>
        <w:rPr>
          <w:rFonts w:hint="eastAsia" w:ascii="宋体" w:hAnsi="宋体"/>
          <w:szCs w:val="21"/>
        </w:rPr>
      </w:pPr>
      <w:r>
        <w:rPr>
          <w:rFonts w:hint="eastAsia" w:ascii="宋体" w:hAnsi="宋体"/>
          <w:szCs w:val="21"/>
        </w:rPr>
        <w:t>（</w:t>
      </w:r>
      <w:r>
        <w:rPr>
          <w:rFonts w:ascii="宋体" w:hAnsi="宋体"/>
          <w:szCs w:val="21"/>
        </w:rPr>
        <w:t>1</w:t>
      </w:r>
      <w:r>
        <w:rPr>
          <w:rFonts w:hint="eastAsia" w:ascii="宋体" w:hAnsi="宋体"/>
          <w:szCs w:val="21"/>
        </w:rPr>
        <w:t>）承包人应当对在施工场地或者附近实施与合同工程有关的其他工作的独立承包人履行管理、协调、配合、照管和服务义务，由此发生的费用被认为已经包括在承包人的签约合同价（投标总报价）中，具体工作内容和要求见合同条款专用部分。</w:t>
      </w:r>
    </w:p>
    <w:p w14:paraId="5C2C1BD4">
      <w:pPr>
        <w:spacing w:line="360" w:lineRule="auto"/>
        <w:ind w:firstLine="420" w:firstLineChars="200"/>
        <w:rPr>
          <w:rFonts w:hint="eastAsia" w:ascii="宋体" w:hAnsi="宋体"/>
        </w:rPr>
      </w:pPr>
      <w:r>
        <w:rPr>
          <w:rFonts w:hint="eastAsia" w:ascii="宋体" w:hAnsi="宋体"/>
          <w:szCs w:val="21"/>
        </w:rPr>
        <w:t>（</w:t>
      </w:r>
      <w:r>
        <w:rPr>
          <w:rFonts w:ascii="宋体" w:hAnsi="宋体"/>
          <w:szCs w:val="21"/>
        </w:rPr>
        <w:t>2</w:t>
      </w:r>
      <w:r>
        <w:rPr>
          <w:rFonts w:hint="eastAsia" w:ascii="宋体" w:hAnsi="宋体"/>
          <w:szCs w:val="21"/>
        </w:rPr>
        <w:t>）承包人还应按照监理人指示为独立承包人以外的他人在施工场地或者附近实施与合同工程有关的其他工作提供可能的条件，可能发生费用由监理人按合同条款通用部分第</w:t>
      </w:r>
      <w:r>
        <w:rPr>
          <w:rFonts w:ascii="宋体" w:hAnsi="宋体"/>
          <w:szCs w:val="21"/>
        </w:rPr>
        <w:t>3.5</w:t>
      </w:r>
      <w:r>
        <w:rPr>
          <w:rFonts w:hint="eastAsia" w:ascii="宋体" w:hAnsi="宋体"/>
          <w:szCs w:val="21"/>
        </w:rPr>
        <w:t>款商定或者确定。</w:t>
      </w:r>
    </w:p>
    <w:p w14:paraId="233471D4">
      <w:pPr>
        <w:spacing w:line="360" w:lineRule="auto"/>
        <w:ind w:firstLine="420" w:firstLineChars="200"/>
        <w:rPr>
          <w:rFonts w:hint="eastAsia" w:ascii="宋体" w:hAnsi="宋体"/>
        </w:rPr>
      </w:pPr>
      <w:r>
        <w:rPr>
          <w:rFonts w:ascii="宋体" w:hAnsi="宋体"/>
        </w:rPr>
        <w:t xml:space="preserve">4.1.9  </w:t>
      </w:r>
      <w:r>
        <w:rPr>
          <w:rFonts w:hint="eastAsia" w:ascii="宋体" w:hAnsi="宋体"/>
        </w:rPr>
        <w:t>工程的维护和照管</w:t>
      </w:r>
    </w:p>
    <w:p w14:paraId="2DFF9561">
      <w:pPr>
        <w:spacing w:line="360" w:lineRule="auto"/>
        <w:ind w:firstLine="420" w:firstLineChars="200"/>
        <w:rPr>
          <w:rFonts w:hint="eastAsia" w:ascii="宋体" w:hAnsi="宋体"/>
        </w:rPr>
      </w:pPr>
      <w:r>
        <w:rPr>
          <w:rFonts w:hint="eastAsia" w:ascii="宋体" w:hAnsi="宋体"/>
        </w:rPr>
        <w:t>工程接收证书颁发前，承包人应负责照管和维护工程。工程接收证书颁发时尚有部分未竣工工程的，承包人还应负责该未竣工工程的照管和维护工作，直至竣工后移交给发包人为止。</w:t>
      </w:r>
    </w:p>
    <w:p w14:paraId="41126907">
      <w:pPr>
        <w:spacing w:line="360" w:lineRule="auto"/>
        <w:ind w:firstLine="420" w:firstLineChars="200"/>
        <w:rPr>
          <w:rFonts w:hint="eastAsia" w:ascii="宋体" w:hAnsi="宋体"/>
          <w:szCs w:val="21"/>
        </w:rPr>
      </w:pPr>
      <w:r>
        <w:rPr>
          <w:rFonts w:ascii="宋体" w:hAnsi="宋体"/>
          <w:szCs w:val="21"/>
        </w:rPr>
        <w:t xml:space="preserve">4.1.10  </w:t>
      </w:r>
      <w:r>
        <w:rPr>
          <w:rFonts w:hint="eastAsia" w:ascii="宋体" w:hAnsi="宋体"/>
          <w:szCs w:val="21"/>
        </w:rPr>
        <w:t>承包人的设计工作</w:t>
      </w:r>
      <w:r>
        <w:rPr>
          <w:rFonts w:ascii="宋体" w:hAnsi="宋体"/>
          <w:szCs w:val="21"/>
        </w:rPr>
        <w:t xml:space="preserve"> </w:t>
      </w:r>
    </w:p>
    <w:p w14:paraId="7A54139F">
      <w:pPr>
        <w:spacing w:line="360" w:lineRule="auto"/>
        <w:ind w:firstLine="420" w:firstLineChars="200"/>
        <w:rPr>
          <w:rFonts w:hint="eastAsia" w:ascii="宋体" w:hAnsi="宋体"/>
          <w:szCs w:val="21"/>
        </w:rPr>
      </w:pPr>
      <w:r>
        <w:rPr>
          <w:rFonts w:hint="eastAsia" w:ascii="宋体" w:hAnsi="宋体"/>
          <w:szCs w:val="21"/>
        </w:rPr>
        <w:t>根据发包人委托，在其设计资质等级和业务允许的范围内，完成约定的施工图设计或与工程配套的设计工作，经监理人确认后使用，发包人承担由此发生的费用。由承包人负责完成的设计文件属于合同条款第1.6.2项约定的承包人提供的文件，承包人应按照合同条款专用部分第1.6.2项约定的期限和数量提交，由此发生的费用被认为已经包括在承包人的签约合同价（投标总报价）中。承包人承担的施工图设计或与工程配套的设计工作内容见合同条款专用部分。</w:t>
      </w:r>
    </w:p>
    <w:p w14:paraId="0681B20D">
      <w:pPr>
        <w:spacing w:line="360" w:lineRule="auto"/>
        <w:ind w:firstLine="420" w:firstLineChars="200"/>
        <w:rPr>
          <w:rFonts w:hint="eastAsia" w:ascii="宋体" w:hAnsi="宋体"/>
        </w:rPr>
      </w:pPr>
      <w:r>
        <w:rPr>
          <w:rFonts w:ascii="宋体" w:hAnsi="宋体"/>
        </w:rPr>
        <w:t xml:space="preserve">4.1.11  </w:t>
      </w:r>
      <w:r>
        <w:rPr>
          <w:rFonts w:hint="eastAsia" w:ascii="宋体" w:hAnsi="宋体"/>
        </w:rPr>
        <w:t>农民工工资保证金</w:t>
      </w:r>
    </w:p>
    <w:p w14:paraId="389856CB">
      <w:pPr>
        <w:spacing w:line="360" w:lineRule="auto"/>
        <w:ind w:firstLine="420" w:firstLineChars="200"/>
        <w:rPr>
          <w:rFonts w:hint="eastAsia" w:ascii="宋体" w:hAnsi="宋体"/>
          <w:szCs w:val="21"/>
        </w:rPr>
      </w:pPr>
      <w:r>
        <w:rPr>
          <w:rFonts w:hint="eastAsia" w:ascii="宋体" w:hAnsi="宋体"/>
        </w:rPr>
        <w:t>承包人应在银行设立工资保证金专用账户，专项用于发生欠薪时支付农民工工资的应急保障。账户内资金启用应当经建设主管部门和劳动保障行政部门批准。</w:t>
      </w:r>
    </w:p>
    <w:p w14:paraId="47467AD2">
      <w:pPr>
        <w:spacing w:line="360" w:lineRule="auto"/>
        <w:ind w:firstLine="420" w:firstLineChars="200"/>
        <w:rPr>
          <w:rFonts w:hint="eastAsia" w:ascii="宋体" w:hAnsi="宋体"/>
        </w:rPr>
      </w:pPr>
      <w:r>
        <w:rPr>
          <w:rFonts w:ascii="宋体" w:hAnsi="宋体"/>
        </w:rPr>
        <w:t xml:space="preserve">4.1.12  </w:t>
      </w:r>
      <w:r>
        <w:rPr>
          <w:rFonts w:hint="eastAsia" w:ascii="宋体" w:hAnsi="宋体"/>
        </w:rPr>
        <w:t>其他义务</w:t>
      </w:r>
    </w:p>
    <w:p w14:paraId="75E2924B">
      <w:pPr>
        <w:spacing w:line="360" w:lineRule="auto"/>
        <w:ind w:firstLine="420" w:firstLineChars="200"/>
        <w:rPr>
          <w:rFonts w:hint="eastAsia" w:ascii="宋体" w:hAnsi="宋体"/>
        </w:rPr>
      </w:pPr>
      <w:r>
        <w:rPr>
          <w:rFonts w:hint="eastAsia" w:ascii="宋体" w:hAnsi="宋体"/>
        </w:rPr>
        <w:t>承包人应履行的其他义务见合同条款专用部分。</w:t>
      </w:r>
    </w:p>
    <w:p w14:paraId="10133671">
      <w:pPr>
        <w:keepNext/>
        <w:keepLines/>
        <w:spacing w:before="120" w:beforeLines="50" w:after="120" w:afterLines="50" w:line="360" w:lineRule="auto"/>
        <w:outlineLvl w:val="2"/>
        <w:rPr>
          <w:rFonts w:hint="eastAsia" w:ascii="宋体" w:hAnsi="宋体"/>
          <w:sz w:val="24"/>
          <w:szCs w:val="20"/>
        </w:rPr>
      </w:pPr>
      <w:bookmarkStart w:id="943" w:name="_Toc342296292"/>
      <w:bookmarkStart w:id="944" w:name="_Toc144974609"/>
      <w:bookmarkStart w:id="945" w:name="_Toc179632659"/>
      <w:bookmarkStart w:id="946" w:name="_Toc338944734"/>
      <w:bookmarkStart w:id="947" w:name="_Toc152045641"/>
      <w:bookmarkStart w:id="948" w:name="_Toc152042419"/>
      <w:bookmarkStart w:id="949" w:name="_Toc489279889"/>
      <w:bookmarkStart w:id="950" w:name="_Toc486580078"/>
      <w:bookmarkStart w:id="951" w:name="_Toc490222523"/>
      <w:bookmarkStart w:id="952" w:name="_Toc117350442"/>
      <w:bookmarkStart w:id="953" w:name="_Toc483668107"/>
      <w:bookmarkStart w:id="954" w:name="_Toc480486932"/>
      <w:bookmarkStart w:id="955" w:name="_Toc480486760"/>
      <w:r>
        <w:rPr>
          <w:rFonts w:ascii="宋体" w:hAnsi="宋体"/>
          <w:sz w:val="24"/>
          <w:szCs w:val="20"/>
        </w:rPr>
        <w:t xml:space="preserve">4.2 </w:t>
      </w:r>
      <w:bookmarkEnd w:id="943"/>
      <w:bookmarkEnd w:id="944"/>
      <w:bookmarkEnd w:id="945"/>
      <w:bookmarkEnd w:id="946"/>
      <w:bookmarkEnd w:id="947"/>
      <w:bookmarkEnd w:id="948"/>
      <w:r>
        <w:rPr>
          <w:rFonts w:ascii="宋体" w:hAnsi="宋体"/>
          <w:sz w:val="24"/>
          <w:szCs w:val="20"/>
        </w:rPr>
        <w:t xml:space="preserve"> </w:t>
      </w:r>
      <w:r>
        <w:rPr>
          <w:rFonts w:hint="eastAsia" w:ascii="宋体" w:hAnsi="宋体"/>
          <w:sz w:val="24"/>
          <w:szCs w:val="20"/>
        </w:rPr>
        <w:t>履约担保</w:t>
      </w:r>
      <w:bookmarkEnd w:id="949"/>
      <w:bookmarkEnd w:id="950"/>
      <w:bookmarkEnd w:id="951"/>
      <w:bookmarkEnd w:id="952"/>
      <w:bookmarkEnd w:id="953"/>
      <w:bookmarkEnd w:id="954"/>
      <w:bookmarkEnd w:id="955"/>
    </w:p>
    <w:p w14:paraId="4C1C55CE">
      <w:pPr>
        <w:spacing w:line="360" w:lineRule="auto"/>
        <w:ind w:firstLine="420" w:firstLineChars="200"/>
        <w:rPr>
          <w:rFonts w:hint="eastAsia" w:ascii="宋体" w:hAnsi="宋体"/>
          <w:szCs w:val="21"/>
        </w:rPr>
      </w:pPr>
      <w:r>
        <w:rPr>
          <w:rFonts w:ascii="宋体" w:hAnsi="宋体"/>
          <w:szCs w:val="21"/>
        </w:rPr>
        <w:t xml:space="preserve">4.2.1  </w:t>
      </w:r>
      <w:r>
        <w:rPr>
          <w:rFonts w:hint="eastAsia" w:ascii="宋体" w:hAnsi="宋体"/>
          <w:szCs w:val="21"/>
        </w:rPr>
        <w:t>履约担保的格式和金额</w:t>
      </w:r>
    </w:p>
    <w:p w14:paraId="7614A7FC">
      <w:pPr>
        <w:spacing w:line="360" w:lineRule="auto"/>
        <w:ind w:firstLine="420" w:firstLineChars="200"/>
        <w:rPr>
          <w:rFonts w:hint="eastAsia" w:ascii="宋体" w:hAnsi="宋体"/>
          <w:szCs w:val="21"/>
        </w:rPr>
      </w:pPr>
      <w:r>
        <w:rPr>
          <w:rFonts w:hint="eastAsia" w:ascii="宋体" w:hAnsi="宋体"/>
        </w:rPr>
        <w:t>合同约定承包人提交履约担保的，</w:t>
      </w:r>
      <w:r>
        <w:rPr>
          <w:rFonts w:hint="eastAsia" w:ascii="宋体" w:hAnsi="宋体"/>
          <w:szCs w:val="21"/>
        </w:rPr>
        <w:t>承包人应在签订合同前，按照发包人约定的格式或者其他经过发包人认可的格式向发包人递交一份履约担保。</w:t>
      </w:r>
      <w:r>
        <w:rPr>
          <w:rFonts w:hint="eastAsia" w:ascii="宋体" w:hAnsi="宋体" w:cs="Arial"/>
          <w:szCs w:val="21"/>
        </w:rPr>
        <w:t>经过发包人事先书面认可的其他格式的履约担保，其担保条款的实质性内容应当与发包人合同文件约定的格式内容保持一致。</w:t>
      </w:r>
      <w:r>
        <w:rPr>
          <w:rFonts w:hint="eastAsia" w:ascii="宋体" w:hAnsi="宋体"/>
          <w:szCs w:val="21"/>
        </w:rPr>
        <w:t>承包人是否提交履约担保及需要提交履约担保的金额</w:t>
      </w:r>
      <w:r>
        <w:rPr>
          <w:rFonts w:hint="eastAsia" w:ascii="宋体" w:hAnsi="宋体"/>
        </w:rPr>
        <w:t>见合同条款专用部分。</w:t>
      </w:r>
    </w:p>
    <w:p w14:paraId="117D5AD2">
      <w:pPr>
        <w:spacing w:line="360" w:lineRule="auto"/>
        <w:ind w:firstLine="420" w:firstLineChars="200"/>
        <w:rPr>
          <w:rFonts w:hint="eastAsia" w:ascii="宋体" w:hAnsi="宋体"/>
          <w:szCs w:val="21"/>
        </w:rPr>
      </w:pPr>
      <w:r>
        <w:rPr>
          <w:rFonts w:ascii="宋体" w:hAnsi="宋体"/>
          <w:szCs w:val="21"/>
        </w:rPr>
        <w:t xml:space="preserve">4.2.2  </w:t>
      </w:r>
      <w:r>
        <w:rPr>
          <w:rFonts w:hint="eastAsia" w:ascii="宋体" w:hAnsi="宋体"/>
          <w:szCs w:val="21"/>
        </w:rPr>
        <w:t>履约担保的有效期</w:t>
      </w:r>
    </w:p>
    <w:p w14:paraId="1111EFE7">
      <w:pPr>
        <w:spacing w:line="360" w:lineRule="auto"/>
        <w:ind w:firstLine="420" w:firstLineChars="200"/>
        <w:rPr>
          <w:rFonts w:hint="eastAsia" w:ascii="宋体" w:hAnsi="宋体"/>
          <w:szCs w:val="21"/>
        </w:rPr>
      </w:pPr>
      <w:r>
        <w:rPr>
          <w:rFonts w:hint="eastAsia" w:ascii="宋体" w:hAnsi="宋体" w:cs="Arial"/>
          <w:szCs w:val="21"/>
        </w:rPr>
        <w:t>履约担保的有效期应当自本合同生效之日起至发包人签认并由监理人向承包人出具工程接收证书之日止。</w:t>
      </w:r>
      <w:r>
        <w:rPr>
          <w:rFonts w:hint="eastAsia" w:ascii="宋体" w:hAnsi="宋体"/>
          <w:szCs w:val="21"/>
        </w:rPr>
        <w:t>如果承包人无法获得一份不带具体截止日期的担保，</w:t>
      </w:r>
      <w:r>
        <w:rPr>
          <w:rFonts w:hint="eastAsia" w:ascii="宋体" w:hAnsi="宋体" w:cs="Arial"/>
          <w:szCs w:val="21"/>
        </w:rPr>
        <w:t>履约担保中就应当约定有</w:t>
      </w:r>
      <w:r>
        <w:rPr>
          <w:rFonts w:hint="eastAsia" w:ascii="宋体" w:hAnsi="宋体"/>
          <w:szCs w:val="21"/>
        </w:rPr>
        <w:t>“变更工程竣工日期的，保证期间按照变更后的竣工日期做相应调整”或类似约定的条款。</w:t>
      </w:r>
    </w:p>
    <w:p w14:paraId="782D1A93">
      <w:pPr>
        <w:spacing w:line="360" w:lineRule="auto"/>
        <w:ind w:firstLine="420" w:firstLineChars="200"/>
        <w:rPr>
          <w:rFonts w:hint="eastAsia" w:ascii="宋体" w:hAnsi="宋体"/>
          <w:szCs w:val="21"/>
        </w:rPr>
      </w:pPr>
      <w:r>
        <w:rPr>
          <w:rFonts w:ascii="宋体" w:hAnsi="宋体"/>
          <w:szCs w:val="21"/>
        </w:rPr>
        <w:t xml:space="preserve">4.2.3  </w:t>
      </w:r>
      <w:r>
        <w:rPr>
          <w:rFonts w:hint="eastAsia" w:ascii="宋体" w:hAnsi="宋体"/>
          <w:szCs w:val="21"/>
        </w:rPr>
        <w:t>履约担保的退还</w:t>
      </w:r>
    </w:p>
    <w:p w14:paraId="7561794D">
      <w:pPr>
        <w:spacing w:line="360" w:lineRule="auto"/>
        <w:ind w:firstLine="420" w:firstLineChars="200"/>
        <w:rPr>
          <w:rFonts w:hint="eastAsia" w:ascii="宋体" w:hAnsi="宋体"/>
          <w:szCs w:val="21"/>
        </w:rPr>
      </w:pPr>
      <w:r>
        <w:rPr>
          <w:rFonts w:hint="eastAsia" w:ascii="宋体" w:hAnsi="宋体"/>
          <w:szCs w:val="21"/>
        </w:rPr>
        <w:t>履约担保应在监理人向承包人颁发（出具）工程接收证书之日后</w:t>
      </w:r>
      <w:r>
        <w:rPr>
          <w:rFonts w:ascii="宋体" w:hAnsi="宋体"/>
          <w:szCs w:val="21"/>
        </w:rPr>
        <w:t>28</w:t>
      </w:r>
      <w:r>
        <w:rPr>
          <w:rFonts w:hint="eastAsia" w:ascii="宋体" w:hAnsi="宋体"/>
          <w:szCs w:val="21"/>
        </w:rPr>
        <w:t>天内退还给承包人。发包人不承担承包人与履约担保有关的任何利息或其它类似的费用或者收益。</w:t>
      </w:r>
    </w:p>
    <w:p w14:paraId="37778193">
      <w:pPr>
        <w:spacing w:line="360" w:lineRule="auto"/>
        <w:ind w:firstLine="420" w:firstLineChars="200"/>
        <w:rPr>
          <w:rFonts w:hint="eastAsia" w:ascii="宋体" w:hAnsi="宋体"/>
          <w:szCs w:val="21"/>
        </w:rPr>
      </w:pPr>
      <w:r>
        <w:rPr>
          <w:rFonts w:ascii="宋体" w:hAnsi="宋体"/>
          <w:szCs w:val="21"/>
        </w:rPr>
        <w:t xml:space="preserve">4.2.4  </w:t>
      </w:r>
      <w:r>
        <w:rPr>
          <w:rFonts w:hint="eastAsia" w:ascii="宋体" w:hAnsi="宋体"/>
          <w:szCs w:val="21"/>
        </w:rPr>
        <w:t>通知义务</w:t>
      </w:r>
    </w:p>
    <w:p w14:paraId="7EB2AEF4">
      <w:pPr>
        <w:spacing w:line="360" w:lineRule="auto"/>
        <w:ind w:firstLine="420" w:firstLineChars="200"/>
        <w:rPr>
          <w:rFonts w:hint="eastAsia" w:ascii="宋体" w:hAnsi="宋体"/>
        </w:rPr>
      </w:pPr>
      <w:r>
        <w:rPr>
          <w:rFonts w:hint="eastAsia" w:ascii="宋体" w:hAnsi="宋体"/>
          <w:szCs w:val="21"/>
        </w:rPr>
        <w:t>不管履约担保条款中如何约定，发包人根据担保条款提出索赔或兑现要求</w:t>
      </w:r>
      <w:r>
        <w:rPr>
          <w:rFonts w:ascii="宋体" w:hAnsi="宋体"/>
          <w:szCs w:val="21"/>
        </w:rPr>
        <w:t>28</w:t>
      </w:r>
      <w:r>
        <w:rPr>
          <w:rFonts w:hint="eastAsia" w:ascii="宋体" w:hAnsi="宋体"/>
          <w:szCs w:val="21"/>
        </w:rPr>
        <w:t>天前，应通知承包人并说明导致此类索赔或兑现的违约性质或原因。相应地，不管第</w:t>
      </w:r>
      <w:r>
        <w:rPr>
          <w:rFonts w:ascii="宋体" w:hAnsi="宋体"/>
          <w:szCs w:val="21"/>
        </w:rPr>
        <w:t>2.8</w:t>
      </w:r>
      <w:r>
        <w:rPr>
          <w:rFonts w:hint="eastAsia" w:ascii="宋体" w:hAnsi="宋体"/>
          <w:szCs w:val="21"/>
        </w:rPr>
        <w:t>款约定的支付担保条款中如何约定，承包人根据担保条款提出索赔或兑现要求</w:t>
      </w:r>
      <w:r>
        <w:rPr>
          <w:rFonts w:ascii="宋体" w:hAnsi="宋体"/>
          <w:szCs w:val="21"/>
        </w:rPr>
        <w:t>28</w:t>
      </w:r>
      <w:r>
        <w:rPr>
          <w:rFonts w:hint="eastAsia" w:ascii="宋体" w:hAnsi="宋体"/>
          <w:szCs w:val="21"/>
        </w:rPr>
        <w:t>天前，也应通知发包人并说明导致此类索赔或兑现的违约性质或原因。但是，本项约定的通知不应理解为是在任何意义上寻求承包人或者发包人的同意。</w:t>
      </w:r>
    </w:p>
    <w:p w14:paraId="27EEBC94">
      <w:pPr>
        <w:keepNext/>
        <w:keepLines/>
        <w:spacing w:before="120" w:beforeLines="50" w:after="120" w:afterLines="50" w:line="360" w:lineRule="auto"/>
        <w:outlineLvl w:val="2"/>
        <w:rPr>
          <w:rFonts w:hint="eastAsia" w:ascii="宋体" w:hAnsi="宋体"/>
          <w:sz w:val="24"/>
          <w:szCs w:val="20"/>
        </w:rPr>
      </w:pPr>
      <w:bookmarkStart w:id="956" w:name="_Toc489279890"/>
      <w:bookmarkStart w:id="957" w:name="_Toc117350443"/>
      <w:bookmarkStart w:id="958" w:name="_Toc486580079"/>
      <w:bookmarkStart w:id="959" w:name="_Toc490222524"/>
      <w:bookmarkStart w:id="960" w:name="_Toc480486761"/>
      <w:bookmarkStart w:id="961" w:name="_Toc480486933"/>
      <w:bookmarkStart w:id="962" w:name="_Toc483668108"/>
      <w:bookmarkStart w:id="963" w:name="_Toc338944735"/>
      <w:bookmarkStart w:id="964" w:name="_Toc342296293"/>
      <w:r>
        <w:rPr>
          <w:rFonts w:ascii="宋体" w:hAnsi="宋体"/>
          <w:sz w:val="24"/>
          <w:szCs w:val="20"/>
        </w:rPr>
        <w:t xml:space="preserve">4.3  </w:t>
      </w:r>
      <w:r>
        <w:rPr>
          <w:rFonts w:hint="eastAsia" w:ascii="宋体" w:hAnsi="宋体"/>
          <w:sz w:val="24"/>
          <w:szCs w:val="20"/>
        </w:rPr>
        <w:t>分包</w:t>
      </w:r>
      <w:bookmarkEnd w:id="956"/>
      <w:bookmarkEnd w:id="957"/>
      <w:bookmarkEnd w:id="958"/>
      <w:bookmarkEnd w:id="959"/>
      <w:bookmarkEnd w:id="960"/>
      <w:bookmarkEnd w:id="961"/>
      <w:bookmarkEnd w:id="962"/>
      <w:bookmarkEnd w:id="963"/>
      <w:bookmarkEnd w:id="964"/>
    </w:p>
    <w:p w14:paraId="0CC55003">
      <w:pPr>
        <w:spacing w:line="360" w:lineRule="auto"/>
        <w:ind w:firstLine="420" w:firstLineChars="200"/>
        <w:rPr>
          <w:rFonts w:hint="eastAsia" w:ascii="宋体" w:hAnsi="宋体"/>
        </w:rPr>
      </w:pPr>
      <w:r>
        <w:rPr>
          <w:rFonts w:ascii="宋体" w:hAnsi="宋体"/>
        </w:rPr>
        <w:t xml:space="preserve">4.3.1  </w:t>
      </w:r>
      <w:r>
        <w:rPr>
          <w:rFonts w:hint="eastAsia" w:ascii="宋体" w:hAnsi="宋体"/>
        </w:rPr>
        <w:t>承包人不得将其承包的全部工程转包给第三人，或将其承包的全部工程肢解后以分包的名义转包给第三人。</w:t>
      </w:r>
    </w:p>
    <w:p w14:paraId="089B3931">
      <w:pPr>
        <w:spacing w:line="360" w:lineRule="auto"/>
        <w:ind w:firstLine="420" w:firstLineChars="200"/>
        <w:rPr>
          <w:rFonts w:hint="eastAsia" w:ascii="宋体" w:hAnsi="宋体"/>
        </w:rPr>
      </w:pPr>
      <w:r>
        <w:rPr>
          <w:rFonts w:ascii="宋体" w:hAnsi="宋体"/>
        </w:rPr>
        <w:t xml:space="preserve">4.3.2  </w:t>
      </w:r>
      <w:r>
        <w:rPr>
          <w:rFonts w:hint="eastAsia" w:ascii="宋体" w:hAnsi="宋体"/>
        </w:rPr>
        <w:t>承包人不得将工程主体、关键性工作分包给第三人。</w:t>
      </w:r>
    </w:p>
    <w:p w14:paraId="45EDC5D2">
      <w:pPr>
        <w:spacing w:line="360" w:lineRule="auto"/>
        <w:ind w:firstLine="420" w:firstLineChars="200"/>
        <w:rPr>
          <w:rFonts w:hint="eastAsia" w:ascii="宋体" w:hAnsi="宋体"/>
        </w:rPr>
      </w:pPr>
      <w:r>
        <w:rPr>
          <w:rFonts w:ascii="宋体" w:hAnsi="宋体"/>
        </w:rPr>
        <w:t xml:space="preserve">4.3.3  </w:t>
      </w:r>
      <w:r>
        <w:rPr>
          <w:rFonts w:hint="eastAsia" w:ascii="宋体" w:hAnsi="宋体"/>
        </w:rPr>
        <w:t>未经发包人同意，承包人不得将其自行施工范围工程的其他部分或工作分包给第三人。</w:t>
      </w:r>
      <w:r>
        <w:rPr>
          <w:rFonts w:hint="eastAsia" w:ascii="宋体" w:hAnsi="宋体"/>
          <w:szCs w:val="21"/>
        </w:rPr>
        <w:t>发包人同意承包人分包的非主体、非关键性工作包括：</w:t>
      </w:r>
    </w:p>
    <w:p w14:paraId="4DCAEBE5">
      <w:pPr>
        <w:spacing w:line="360" w:lineRule="auto"/>
        <w:ind w:firstLine="315" w:firstLineChars="150"/>
        <w:rPr>
          <w:rFonts w:hint="eastAsia" w:ascii="宋体" w:hAnsi="宋体"/>
        </w:rPr>
      </w:pPr>
      <w:r>
        <w:rPr>
          <w:rFonts w:hint="eastAsia" w:ascii="宋体" w:hAnsi="宋体"/>
        </w:rPr>
        <w:t>（</w:t>
      </w:r>
      <w:r>
        <w:rPr>
          <w:rFonts w:ascii="宋体" w:hAnsi="宋体"/>
        </w:rPr>
        <w:t>1</w:t>
      </w:r>
      <w:r>
        <w:rPr>
          <w:rFonts w:hint="eastAsia" w:ascii="宋体" w:hAnsi="宋体"/>
        </w:rPr>
        <w:t>）</w:t>
      </w:r>
      <w:r>
        <w:rPr>
          <w:rFonts w:hint="eastAsia" w:ascii="宋体" w:hAnsi="宋体"/>
          <w:szCs w:val="21"/>
        </w:rPr>
        <w:t>投标函附录</w:t>
      </w:r>
      <w:r>
        <w:rPr>
          <w:rFonts w:hint="eastAsia" w:ascii="宋体" w:hAnsi="宋体"/>
        </w:rPr>
        <w:t>约定的分包工程；</w:t>
      </w:r>
    </w:p>
    <w:p w14:paraId="7CC88B87">
      <w:pPr>
        <w:spacing w:line="360" w:lineRule="auto"/>
        <w:ind w:firstLine="315" w:firstLineChars="150"/>
        <w:rPr>
          <w:rFonts w:hint="eastAsia" w:ascii="宋体" w:hAnsi="宋体"/>
          <w:szCs w:val="21"/>
        </w:rPr>
      </w:pPr>
      <w:r>
        <w:rPr>
          <w:rFonts w:hint="eastAsia" w:ascii="宋体" w:hAnsi="宋体"/>
        </w:rPr>
        <w:t>（</w:t>
      </w:r>
      <w:r>
        <w:rPr>
          <w:rFonts w:ascii="宋体" w:hAnsi="宋体"/>
        </w:rPr>
        <w:t>2</w:t>
      </w:r>
      <w:r>
        <w:rPr>
          <w:rFonts w:hint="eastAsia" w:ascii="宋体" w:hAnsi="宋体"/>
        </w:rPr>
        <w:t>）</w:t>
      </w:r>
      <w:r>
        <w:rPr>
          <w:rFonts w:hint="eastAsia" w:ascii="宋体" w:hAnsi="宋体"/>
          <w:szCs w:val="21"/>
        </w:rPr>
        <w:t>除投标函附录中约定的分包内容外，经过发包人和监理人同意的其他非主体、非关键性工作，但分包人应当经过发包人和监理人审批。发包人和监理人有权拒绝承包人的分包请求和承包人选择的分包人。</w:t>
      </w:r>
    </w:p>
    <w:p w14:paraId="349DA3FE">
      <w:pPr>
        <w:spacing w:line="360" w:lineRule="auto"/>
        <w:ind w:firstLine="420" w:firstLineChars="200"/>
        <w:rPr>
          <w:rFonts w:hint="eastAsia" w:ascii="宋体" w:hAnsi="宋体"/>
        </w:rPr>
      </w:pPr>
      <w:r>
        <w:rPr>
          <w:rFonts w:ascii="宋体" w:hAnsi="宋体"/>
        </w:rPr>
        <w:t xml:space="preserve">4.3.4  </w:t>
      </w:r>
      <w:r>
        <w:rPr>
          <w:rFonts w:hint="eastAsia" w:ascii="宋体" w:hAnsi="宋体"/>
        </w:rPr>
        <w:t>发包人在工程量清单中给定暂估价的专业工程，包括从暂列金额开支的专业工程，达到依法应当招标的规模标准的，以及虽未达到规定的规模标准但合同中约定采用招标方式实施的，应当按第</w:t>
      </w:r>
      <w:r>
        <w:rPr>
          <w:rFonts w:ascii="宋体" w:hAnsi="宋体"/>
        </w:rPr>
        <w:t>15.8.1</w:t>
      </w:r>
      <w:r>
        <w:rPr>
          <w:rFonts w:hint="eastAsia" w:ascii="宋体" w:hAnsi="宋体"/>
        </w:rPr>
        <w:t>项的约定，由发包人和承包人以招标方式确定专业分包人。除项目审批部门有特别核准外，暂估价的专业工程的招标应当采用与施工总承包同样的招标方式。</w:t>
      </w:r>
    </w:p>
    <w:p w14:paraId="1EA91B1F">
      <w:pPr>
        <w:spacing w:line="360" w:lineRule="auto"/>
        <w:ind w:firstLine="420" w:firstLineChars="200"/>
        <w:rPr>
          <w:rFonts w:hint="eastAsia" w:ascii="宋体" w:hAnsi="宋体"/>
        </w:rPr>
      </w:pPr>
      <w:r>
        <w:rPr>
          <w:rFonts w:ascii="宋体" w:hAnsi="宋体"/>
        </w:rPr>
        <w:t xml:space="preserve">4.3.5  </w:t>
      </w:r>
      <w:r>
        <w:rPr>
          <w:rFonts w:hint="eastAsia" w:ascii="宋体" w:hAnsi="宋体"/>
        </w:rPr>
        <w:t>在相关分包合同签订并报送有关建设行政主管部门后</w:t>
      </w:r>
      <w:r>
        <w:rPr>
          <w:rFonts w:ascii="宋体" w:hAnsi="宋体"/>
        </w:rPr>
        <w:t>7</w:t>
      </w:r>
      <w:r>
        <w:rPr>
          <w:rFonts w:hint="eastAsia" w:ascii="宋体" w:hAnsi="宋体"/>
        </w:rPr>
        <w:t>天内，承包人应当将一份副本提交给监理人，承包人应保障分包工作不得再次分包。</w:t>
      </w:r>
    </w:p>
    <w:p w14:paraId="5882318D">
      <w:pPr>
        <w:spacing w:line="360" w:lineRule="auto"/>
        <w:ind w:firstLine="420" w:firstLineChars="200"/>
        <w:rPr>
          <w:rFonts w:hint="eastAsia" w:ascii="宋体" w:hAnsi="宋体"/>
        </w:rPr>
      </w:pPr>
      <w:r>
        <w:rPr>
          <w:rFonts w:ascii="宋体" w:hAnsi="宋体"/>
        </w:rPr>
        <w:t xml:space="preserve">4.3.6  </w:t>
      </w:r>
      <w:r>
        <w:rPr>
          <w:rFonts w:hint="eastAsia" w:ascii="宋体" w:hAnsi="宋体"/>
        </w:rPr>
        <w:t>分包工程价款由承包人与分包人（包括专业分包人）结算。</w:t>
      </w:r>
    </w:p>
    <w:p w14:paraId="15B3DE65">
      <w:pPr>
        <w:spacing w:line="360" w:lineRule="auto"/>
        <w:ind w:firstLine="420" w:firstLineChars="200"/>
        <w:rPr>
          <w:rFonts w:hint="eastAsia" w:ascii="宋体" w:hAnsi="宋体"/>
        </w:rPr>
      </w:pPr>
      <w:r>
        <w:rPr>
          <w:rFonts w:ascii="宋体" w:hAnsi="宋体"/>
        </w:rPr>
        <w:t xml:space="preserve">4.3.7  </w:t>
      </w:r>
      <w:r>
        <w:rPr>
          <w:rFonts w:hint="eastAsia" w:ascii="宋体" w:hAnsi="宋体"/>
        </w:rPr>
        <w:t>未经发包人和监理人审批同意的分包工程和分包人，发包人有权拒绝验收分包工程和支付相应款项，由此引起的承包人费用增加和（或）延误的工期由承包人承担。</w:t>
      </w:r>
    </w:p>
    <w:p w14:paraId="306778F2">
      <w:pPr>
        <w:spacing w:line="360" w:lineRule="auto"/>
        <w:ind w:firstLine="420" w:firstLineChars="200"/>
        <w:rPr>
          <w:rFonts w:hint="eastAsia" w:ascii="宋体" w:hAnsi="宋体"/>
        </w:rPr>
      </w:pPr>
      <w:r>
        <w:rPr>
          <w:rFonts w:ascii="宋体" w:hAnsi="宋体"/>
        </w:rPr>
        <w:t xml:space="preserve">4.3.8  </w:t>
      </w:r>
      <w:r>
        <w:rPr>
          <w:rFonts w:hint="eastAsia" w:ascii="宋体" w:hAnsi="宋体"/>
        </w:rPr>
        <w:t>分包人的资格能力应与其分包工程的标准和规模相适应。</w:t>
      </w:r>
    </w:p>
    <w:p w14:paraId="0C97B4DB">
      <w:pPr>
        <w:spacing w:line="360" w:lineRule="auto"/>
        <w:ind w:firstLine="420" w:firstLineChars="200"/>
        <w:rPr>
          <w:rFonts w:hint="eastAsia" w:ascii="宋体" w:hAnsi="宋体"/>
        </w:rPr>
      </w:pPr>
      <w:r>
        <w:rPr>
          <w:rFonts w:ascii="宋体" w:hAnsi="宋体"/>
        </w:rPr>
        <w:t xml:space="preserve">4.3.9  </w:t>
      </w:r>
      <w:r>
        <w:rPr>
          <w:rFonts w:hint="eastAsia" w:ascii="宋体" w:hAnsi="宋体"/>
        </w:rPr>
        <w:t>发包人同意的分包工程，承包人应向发包人和监理人提供合同副本。</w:t>
      </w:r>
    </w:p>
    <w:p w14:paraId="33020057">
      <w:pPr>
        <w:spacing w:line="360" w:lineRule="auto"/>
        <w:ind w:firstLine="420" w:firstLineChars="200"/>
        <w:rPr>
          <w:rFonts w:hint="eastAsia" w:ascii="宋体" w:hAnsi="宋体"/>
        </w:rPr>
      </w:pPr>
      <w:r>
        <w:rPr>
          <w:rFonts w:ascii="宋体" w:hAnsi="宋体"/>
        </w:rPr>
        <w:t xml:space="preserve">4.3.10  </w:t>
      </w:r>
      <w:r>
        <w:rPr>
          <w:rFonts w:hint="eastAsia" w:ascii="宋体" w:hAnsi="宋体"/>
        </w:rPr>
        <w:t>承包人应与分包人就分包工程向发包人承担连带责任。</w:t>
      </w:r>
    </w:p>
    <w:p w14:paraId="6ED3C7B8">
      <w:pPr>
        <w:keepNext/>
        <w:keepLines/>
        <w:spacing w:before="120" w:beforeLines="50" w:after="120" w:afterLines="50" w:line="360" w:lineRule="auto"/>
        <w:outlineLvl w:val="2"/>
        <w:rPr>
          <w:rFonts w:hint="eastAsia" w:ascii="宋体" w:hAnsi="宋体"/>
          <w:sz w:val="24"/>
          <w:szCs w:val="20"/>
        </w:rPr>
      </w:pPr>
      <w:bookmarkStart w:id="965" w:name="_Toc342296294"/>
      <w:bookmarkStart w:id="966" w:name="_Toc152045643"/>
      <w:bookmarkStart w:id="967" w:name="_Toc338944736"/>
      <w:bookmarkStart w:id="968" w:name="_Toc480486934"/>
      <w:bookmarkStart w:id="969" w:name="_Toc117350444"/>
      <w:bookmarkStart w:id="970" w:name="_Toc483668109"/>
      <w:bookmarkStart w:id="971" w:name="_Toc490222525"/>
      <w:bookmarkStart w:id="972" w:name="_Toc480486762"/>
      <w:bookmarkStart w:id="973" w:name="_Toc486580080"/>
      <w:bookmarkStart w:id="974" w:name="_Toc152042421"/>
      <w:bookmarkStart w:id="975" w:name="_Toc489279891"/>
      <w:bookmarkStart w:id="976" w:name="_Toc144974611"/>
      <w:bookmarkStart w:id="977" w:name="_Toc179632661"/>
      <w:r>
        <w:rPr>
          <w:rFonts w:ascii="宋体" w:hAnsi="宋体"/>
          <w:sz w:val="24"/>
          <w:szCs w:val="20"/>
        </w:rPr>
        <w:t xml:space="preserve">4.4  </w:t>
      </w:r>
      <w:r>
        <w:rPr>
          <w:rFonts w:hint="eastAsia" w:ascii="宋体" w:hAnsi="宋体"/>
          <w:sz w:val="24"/>
          <w:szCs w:val="20"/>
        </w:rPr>
        <w:t>联合体</w:t>
      </w:r>
      <w:bookmarkEnd w:id="965"/>
      <w:bookmarkEnd w:id="966"/>
      <w:bookmarkEnd w:id="967"/>
      <w:bookmarkEnd w:id="968"/>
      <w:bookmarkEnd w:id="969"/>
      <w:bookmarkEnd w:id="970"/>
      <w:bookmarkEnd w:id="971"/>
      <w:bookmarkEnd w:id="972"/>
      <w:bookmarkEnd w:id="973"/>
      <w:bookmarkEnd w:id="974"/>
      <w:bookmarkEnd w:id="975"/>
      <w:bookmarkEnd w:id="976"/>
      <w:bookmarkEnd w:id="977"/>
    </w:p>
    <w:p w14:paraId="4DA1CDF0">
      <w:pPr>
        <w:spacing w:line="360" w:lineRule="auto"/>
        <w:ind w:firstLine="420" w:firstLineChars="200"/>
        <w:rPr>
          <w:rFonts w:hint="eastAsia" w:ascii="宋体" w:hAnsi="宋体"/>
        </w:rPr>
      </w:pPr>
      <w:r>
        <w:rPr>
          <w:rFonts w:ascii="宋体" w:hAnsi="宋体"/>
        </w:rPr>
        <w:t xml:space="preserve">4.4.1  </w:t>
      </w:r>
      <w:r>
        <w:rPr>
          <w:rFonts w:hint="eastAsia" w:ascii="宋体" w:hAnsi="宋体"/>
        </w:rPr>
        <w:t>联合体各方应共同与发包人签订合同协议书。联合体各方应为履行合同承担连带责任。</w:t>
      </w:r>
    </w:p>
    <w:p w14:paraId="53663FD6">
      <w:pPr>
        <w:spacing w:line="360" w:lineRule="auto"/>
        <w:ind w:firstLine="420" w:firstLineChars="200"/>
        <w:rPr>
          <w:rFonts w:hint="eastAsia" w:ascii="宋体" w:hAnsi="宋体"/>
        </w:rPr>
      </w:pPr>
      <w:r>
        <w:rPr>
          <w:rFonts w:ascii="宋体" w:hAnsi="宋体"/>
        </w:rPr>
        <w:t xml:space="preserve">4.4.2  </w:t>
      </w:r>
      <w:r>
        <w:rPr>
          <w:rFonts w:hint="eastAsia" w:ascii="宋体" w:hAnsi="宋体"/>
        </w:rPr>
        <w:t>联合体协议经发包人确认后作为合同附件。在履行合同过程中，未经发包人同意，不得修改联合体协议。</w:t>
      </w:r>
    </w:p>
    <w:p w14:paraId="14ABD1CE">
      <w:pPr>
        <w:spacing w:line="360" w:lineRule="auto"/>
        <w:ind w:firstLine="420" w:firstLineChars="200"/>
        <w:rPr>
          <w:rFonts w:hint="eastAsia" w:ascii="宋体" w:hAnsi="宋体"/>
        </w:rPr>
      </w:pPr>
      <w:r>
        <w:rPr>
          <w:rFonts w:ascii="宋体" w:hAnsi="宋体"/>
        </w:rPr>
        <w:t xml:space="preserve">4.4.3  </w:t>
      </w:r>
      <w:r>
        <w:rPr>
          <w:rFonts w:hint="eastAsia" w:ascii="宋体" w:hAnsi="宋体"/>
        </w:rPr>
        <w:t>联合体牵头人负责与发包人和监理人联系，并接受指示，负责组织联合体各成员全面履行合同。</w:t>
      </w:r>
    </w:p>
    <w:p w14:paraId="1E9C963E">
      <w:pPr>
        <w:keepNext/>
        <w:keepLines/>
        <w:spacing w:before="120" w:beforeLines="50" w:after="120" w:afterLines="50" w:line="360" w:lineRule="auto"/>
        <w:outlineLvl w:val="2"/>
        <w:rPr>
          <w:rFonts w:hint="eastAsia" w:ascii="宋体" w:hAnsi="宋体"/>
          <w:sz w:val="24"/>
          <w:szCs w:val="20"/>
        </w:rPr>
      </w:pPr>
      <w:bookmarkStart w:id="978" w:name="_Toc480486935"/>
      <w:bookmarkStart w:id="979" w:name="_Toc338944737"/>
      <w:bookmarkStart w:id="980" w:name="_Toc342296295"/>
      <w:bookmarkStart w:id="981" w:name="_Toc490222526"/>
      <w:bookmarkStart w:id="982" w:name="_Toc483668110"/>
      <w:bookmarkStart w:id="983" w:name="_Toc486580081"/>
      <w:bookmarkStart w:id="984" w:name="_Toc489279892"/>
      <w:bookmarkStart w:id="985" w:name="_Toc480486763"/>
      <w:bookmarkStart w:id="986" w:name="_Toc117350445"/>
      <w:r>
        <w:rPr>
          <w:rFonts w:ascii="宋体" w:hAnsi="宋体"/>
          <w:sz w:val="24"/>
          <w:szCs w:val="20"/>
        </w:rPr>
        <w:t xml:space="preserve">4.5  </w:t>
      </w:r>
      <w:r>
        <w:rPr>
          <w:rFonts w:hint="eastAsia" w:ascii="宋体" w:hAnsi="宋体"/>
          <w:sz w:val="24"/>
          <w:szCs w:val="20"/>
        </w:rPr>
        <w:t>承包人项目经理</w:t>
      </w:r>
      <w:bookmarkEnd w:id="978"/>
      <w:bookmarkEnd w:id="979"/>
      <w:bookmarkEnd w:id="980"/>
      <w:bookmarkEnd w:id="981"/>
      <w:bookmarkEnd w:id="982"/>
      <w:bookmarkEnd w:id="983"/>
      <w:bookmarkEnd w:id="984"/>
      <w:bookmarkEnd w:id="985"/>
      <w:bookmarkEnd w:id="986"/>
    </w:p>
    <w:p w14:paraId="783C8A28">
      <w:pPr>
        <w:spacing w:line="360" w:lineRule="auto"/>
        <w:ind w:firstLine="420" w:firstLineChars="200"/>
        <w:rPr>
          <w:rFonts w:hint="eastAsia" w:ascii="宋体" w:hAnsi="宋体"/>
        </w:rPr>
      </w:pPr>
      <w:r>
        <w:rPr>
          <w:rFonts w:ascii="宋体" w:hAnsi="宋体"/>
        </w:rPr>
        <w:t xml:space="preserve">4.5.1  </w:t>
      </w:r>
      <w:r>
        <w:rPr>
          <w:rFonts w:hint="eastAsia" w:ascii="宋体" w:hAnsi="宋体"/>
          <w:szCs w:val="21"/>
        </w:rPr>
        <w:t>承包人项目经理必须与承包人投标时所承诺的人员一致，并在根据第</w:t>
      </w:r>
      <w:r>
        <w:rPr>
          <w:rFonts w:ascii="宋体" w:hAnsi="宋体"/>
          <w:szCs w:val="21"/>
        </w:rPr>
        <w:t>11.1.1</w:t>
      </w:r>
      <w:r>
        <w:rPr>
          <w:rFonts w:hint="eastAsia" w:ascii="宋体" w:hAnsi="宋体"/>
          <w:szCs w:val="21"/>
        </w:rPr>
        <w:t>项确定的开工日期前到任。在监理人向承包人颁发（出具）工程接收证书前，项目经理不得同时兼任其他任何项目的项目经理。未经发包人书面许可，承包人不得更换项目经理。承包人项目经理的姓名、职称、身份证号、执业资格证书号、注册证书号、执业印章号、安全生产考核合格证书号等细节资料应当在合同协议书中载明。</w:t>
      </w:r>
      <w:r>
        <w:rPr>
          <w:rFonts w:hint="eastAsia" w:ascii="宋体" w:hAnsi="宋体"/>
        </w:rPr>
        <w:t>承包人更换项目经理应事先征得发包人同意，并应在更换</w:t>
      </w:r>
      <w:r>
        <w:rPr>
          <w:rFonts w:ascii="宋体" w:hAnsi="宋体"/>
        </w:rPr>
        <w:t>14</w:t>
      </w:r>
      <w:r>
        <w:rPr>
          <w:rFonts w:hint="eastAsia" w:ascii="宋体" w:hAnsi="宋体"/>
        </w:rPr>
        <w:t>天前通知发包人和监理人。承包人项目经理短期离开施工场地，应事先征得监理人同意，并委派代表代行其职责。</w:t>
      </w:r>
    </w:p>
    <w:p w14:paraId="458D253B">
      <w:pPr>
        <w:spacing w:line="360" w:lineRule="auto"/>
        <w:ind w:firstLine="420" w:firstLineChars="200"/>
        <w:rPr>
          <w:rFonts w:hint="eastAsia" w:ascii="宋体" w:hAnsi="宋体"/>
        </w:rPr>
      </w:pPr>
      <w:r>
        <w:rPr>
          <w:rFonts w:ascii="宋体" w:hAnsi="宋体"/>
        </w:rPr>
        <w:t xml:space="preserve">4.5.2  </w:t>
      </w:r>
      <w:r>
        <w:rPr>
          <w:rFonts w:hint="eastAsia" w:ascii="宋体" w:hAnsi="宋体"/>
        </w:rPr>
        <w:t>承包人项目经理应按合同约定以及监理人按第</w:t>
      </w:r>
      <w:r>
        <w:rPr>
          <w:rFonts w:ascii="宋体" w:hAnsi="宋体"/>
        </w:rPr>
        <w:t>3.4</w:t>
      </w:r>
      <w:r>
        <w:rPr>
          <w:rFonts w:hint="eastAsia" w:ascii="宋体" w:hAnsi="宋体"/>
        </w:rPr>
        <w:t>款作出的指示，负责组织合同工程的实施。在情况紧急且无法与监理人取得联系时，可采取保证工程和人员生命财产安全的紧急措施，并在采取措施后</w:t>
      </w:r>
      <w:r>
        <w:rPr>
          <w:rFonts w:ascii="宋体" w:hAnsi="宋体"/>
        </w:rPr>
        <w:t>24</w:t>
      </w:r>
      <w:r>
        <w:rPr>
          <w:rFonts w:hint="eastAsia" w:ascii="宋体" w:hAnsi="宋体"/>
        </w:rPr>
        <w:t>小时内向监理人提交书面报告。</w:t>
      </w:r>
    </w:p>
    <w:p w14:paraId="52DA1649">
      <w:pPr>
        <w:spacing w:line="360" w:lineRule="auto"/>
        <w:ind w:firstLine="420" w:firstLineChars="200"/>
        <w:rPr>
          <w:rFonts w:hint="eastAsia" w:ascii="宋体" w:hAnsi="宋体"/>
        </w:rPr>
      </w:pPr>
      <w:r>
        <w:rPr>
          <w:rFonts w:ascii="宋体" w:hAnsi="宋体"/>
        </w:rPr>
        <w:t xml:space="preserve">4.5.3  </w:t>
      </w:r>
      <w:r>
        <w:rPr>
          <w:rFonts w:hint="eastAsia" w:ascii="宋体" w:hAnsi="宋体"/>
        </w:rPr>
        <w:t>承包人为履行合同发出的一切函件均应盖有承包人授权的施工场地管理机构章，并由承包人项目经理或其授权代表签字。</w:t>
      </w:r>
    </w:p>
    <w:p w14:paraId="1395BDCC">
      <w:pPr>
        <w:spacing w:line="360" w:lineRule="auto"/>
        <w:ind w:firstLine="420" w:firstLineChars="200"/>
        <w:rPr>
          <w:rFonts w:hint="eastAsia" w:ascii="宋体" w:hAnsi="宋体"/>
        </w:rPr>
      </w:pPr>
      <w:r>
        <w:rPr>
          <w:rFonts w:ascii="宋体" w:hAnsi="宋体"/>
        </w:rPr>
        <w:t xml:space="preserve">4.5.4  </w:t>
      </w:r>
      <w:r>
        <w:rPr>
          <w:rFonts w:hint="eastAsia" w:ascii="宋体" w:hAnsi="宋体"/>
        </w:rPr>
        <w:t>承包人项目经理可以授权其下属人员履行其某项职责，但事先应将这些人员的姓名和授权范围通知监理人。</w:t>
      </w:r>
    </w:p>
    <w:p w14:paraId="729EF553">
      <w:pPr>
        <w:keepNext/>
        <w:keepLines/>
        <w:spacing w:before="120" w:beforeLines="50" w:after="120" w:afterLines="50" w:line="360" w:lineRule="auto"/>
        <w:outlineLvl w:val="2"/>
        <w:rPr>
          <w:rFonts w:hint="eastAsia" w:ascii="宋体" w:hAnsi="宋体"/>
          <w:sz w:val="24"/>
          <w:szCs w:val="20"/>
        </w:rPr>
      </w:pPr>
      <w:bookmarkStart w:id="987" w:name="_Toc152042423"/>
      <w:bookmarkStart w:id="988" w:name="_Toc152045645"/>
      <w:bookmarkStart w:id="989" w:name="_Toc480486936"/>
      <w:bookmarkStart w:id="990" w:name="_Toc179632663"/>
      <w:bookmarkStart w:id="991" w:name="_Toc490222527"/>
      <w:bookmarkStart w:id="992" w:name="_Toc480486764"/>
      <w:bookmarkStart w:id="993" w:name="_Toc342296296"/>
      <w:bookmarkStart w:id="994" w:name="_Toc117350446"/>
      <w:bookmarkStart w:id="995" w:name="_Toc483668111"/>
      <w:bookmarkStart w:id="996" w:name="_Toc144974613"/>
      <w:bookmarkStart w:id="997" w:name="_Toc489279893"/>
      <w:bookmarkStart w:id="998" w:name="_Toc338944738"/>
      <w:bookmarkStart w:id="999" w:name="_Toc486580082"/>
      <w:r>
        <w:rPr>
          <w:rFonts w:ascii="宋体" w:hAnsi="宋体"/>
          <w:sz w:val="24"/>
          <w:szCs w:val="20"/>
        </w:rPr>
        <w:t xml:space="preserve">4.6  </w:t>
      </w:r>
      <w:r>
        <w:rPr>
          <w:rFonts w:hint="eastAsia" w:ascii="宋体" w:hAnsi="宋体"/>
          <w:sz w:val="24"/>
          <w:szCs w:val="20"/>
        </w:rPr>
        <w:t>承包人人员的管理</w:t>
      </w:r>
      <w:bookmarkEnd w:id="987"/>
      <w:bookmarkEnd w:id="988"/>
      <w:bookmarkEnd w:id="989"/>
      <w:bookmarkEnd w:id="990"/>
      <w:bookmarkEnd w:id="991"/>
      <w:bookmarkEnd w:id="992"/>
      <w:bookmarkEnd w:id="993"/>
      <w:bookmarkEnd w:id="994"/>
      <w:bookmarkEnd w:id="995"/>
      <w:bookmarkEnd w:id="996"/>
      <w:bookmarkEnd w:id="997"/>
      <w:bookmarkEnd w:id="998"/>
      <w:bookmarkEnd w:id="999"/>
    </w:p>
    <w:p w14:paraId="57367686">
      <w:pPr>
        <w:spacing w:line="360" w:lineRule="auto"/>
        <w:ind w:firstLine="420" w:firstLineChars="200"/>
        <w:rPr>
          <w:rFonts w:hint="eastAsia" w:ascii="宋体" w:hAnsi="宋体"/>
        </w:rPr>
      </w:pPr>
      <w:r>
        <w:rPr>
          <w:rFonts w:ascii="宋体" w:hAnsi="宋体"/>
        </w:rPr>
        <w:t xml:space="preserve">4.6.1  </w:t>
      </w:r>
      <w:r>
        <w:rPr>
          <w:rFonts w:hint="eastAsia" w:ascii="宋体" w:hAnsi="宋体"/>
        </w:rPr>
        <w:t>承包人应在接到开工通知后</w:t>
      </w:r>
      <w:r>
        <w:rPr>
          <w:rFonts w:ascii="宋体" w:hAnsi="宋体"/>
        </w:rPr>
        <w:t>28</w:t>
      </w:r>
      <w:r>
        <w:rPr>
          <w:rFonts w:hint="eastAsia" w:ascii="宋体" w:hAnsi="宋体"/>
        </w:rPr>
        <w:t>天内，向监理人提交承包人在施工场地的管理机构以及人员安排的报告，其内容应包括管理机构的设置、各主要岗位的技术和管理人员名单及其资格，以及各工种技术工人的安排状况。承包人应向监理人提交施工场地人员变动情况的报告。</w:t>
      </w:r>
    </w:p>
    <w:p w14:paraId="5F6DD8CE">
      <w:pPr>
        <w:spacing w:line="360" w:lineRule="auto"/>
        <w:ind w:firstLine="420" w:firstLineChars="200"/>
        <w:rPr>
          <w:rFonts w:hint="eastAsia" w:ascii="宋体" w:hAnsi="宋体"/>
        </w:rPr>
      </w:pPr>
      <w:r>
        <w:rPr>
          <w:rFonts w:ascii="宋体" w:hAnsi="宋体"/>
        </w:rPr>
        <w:t xml:space="preserve">4.6.2  </w:t>
      </w:r>
      <w:r>
        <w:rPr>
          <w:rFonts w:hint="eastAsia" w:ascii="宋体" w:hAnsi="宋体"/>
        </w:rPr>
        <w:t>为完成合同约定的各项工作，承包人应向施工场地派遣或雇佣足够数量的下列人员：</w:t>
      </w:r>
    </w:p>
    <w:p w14:paraId="142346C8">
      <w:pPr>
        <w:spacing w:line="360" w:lineRule="auto"/>
        <w:ind w:firstLine="315" w:firstLineChars="150"/>
        <w:rPr>
          <w:rFonts w:hint="eastAsia" w:ascii="宋体" w:hAnsi="宋体"/>
        </w:rPr>
      </w:pPr>
      <w:r>
        <w:rPr>
          <w:rFonts w:hint="eastAsia" w:ascii="宋体" w:hAnsi="宋体"/>
        </w:rPr>
        <w:t>（</w:t>
      </w:r>
      <w:r>
        <w:rPr>
          <w:rFonts w:ascii="宋体" w:hAnsi="宋体"/>
        </w:rPr>
        <w:t>1</w:t>
      </w:r>
      <w:r>
        <w:rPr>
          <w:rFonts w:hint="eastAsia" w:ascii="宋体" w:hAnsi="宋体"/>
        </w:rPr>
        <w:t>）具有相应资格的专业技工和合格的普工；</w:t>
      </w:r>
    </w:p>
    <w:p w14:paraId="285F285F">
      <w:pPr>
        <w:spacing w:line="360" w:lineRule="auto"/>
        <w:ind w:firstLine="315" w:firstLineChars="150"/>
        <w:rPr>
          <w:rFonts w:hint="eastAsia" w:ascii="宋体" w:hAnsi="宋体"/>
        </w:rPr>
      </w:pPr>
      <w:r>
        <w:rPr>
          <w:rFonts w:hint="eastAsia" w:ascii="宋体" w:hAnsi="宋体"/>
        </w:rPr>
        <w:t>（</w:t>
      </w:r>
      <w:r>
        <w:rPr>
          <w:rFonts w:ascii="宋体" w:hAnsi="宋体"/>
        </w:rPr>
        <w:t>2</w:t>
      </w:r>
      <w:r>
        <w:rPr>
          <w:rFonts w:hint="eastAsia" w:ascii="宋体" w:hAnsi="宋体"/>
        </w:rPr>
        <w:t>）具有相应施工经验的技术人员；</w:t>
      </w:r>
    </w:p>
    <w:p w14:paraId="659C8373">
      <w:pPr>
        <w:spacing w:line="360" w:lineRule="auto"/>
        <w:ind w:firstLine="315" w:firstLineChars="150"/>
        <w:rPr>
          <w:rFonts w:hint="eastAsia" w:ascii="宋体" w:hAnsi="宋体"/>
        </w:rPr>
      </w:pPr>
      <w:r>
        <w:rPr>
          <w:rFonts w:hint="eastAsia" w:ascii="宋体" w:hAnsi="宋体"/>
        </w:rPr>
        <w:t>（</w:t>
      </w:r>
      <w:r>
        <w:rPr>
          <w:rFonts w:ascii="宋体" w:hAnsi="宋体"/>
        </w:rPr>
        <w:t>3</w:t>
      </w:r>
      <w:r>
        <w:rPr>
          <w:rFonts w:hint="eastAsia" w:ascii="宋体" w:hAnsi="宋体"/>
        </w:rPr>
        <w:t>）具有相应岗位资格的各级管理人员</w:t>
      </w:r>
      <w:bookmarkStart w:id="1000" w:name="_Hlk114649430"/>
      <w:r>
        <w:rPr>
          <w:rFonts w:hint="eastAsia" w:ascii="宋体" w:hAnsi="宋体"/>
        </w:rPr>
        <w:t>（包含符合工程项目规模和技术难度的涉及消防各专业齐全、具备相应能力的质量管理人员）。</w:t>
      </w:r>
      <w:bookmarkEnd w:id="1000"/>
    </w:p>
    <w:p w14:paraId="406BC2CC">
      <w:pPr>
        <w:spacing w:line="360" w:lineRule="auto"/>
        <w:ind w:firstLine="420" w:firstLineChars="200"/>
        <w:rPr>
          <w:rFonts w:hint="eastAsia" w:ascii="宋体" w:hAnsi="宋体"/>
        </w:rPr>
      </w:pPr>
      <w:r>
        <w:rPr>
          <w:rFonts w:ascii="宋体" w:hAnsi="宋体"/>
        </w:rPr>
        <w:t xml:space="preserve">4.6.3  </w:t>
      </w:r>
      <w:r>
        <w:rPr>
          <w:rFonts w:hint="eastAsia" w:ascii="宋体" w:hAnsi="宋体"/>
        </w:rPr>
        <w:t>承包人安排在施工场地的主要管理人员和技术骨干应相对稳定。承包人更换主要管理人员和技术骨干时，应取得监理人的同意。</w:t>
      </w:r>
    </w:p>
    <w:p w14:paraId="011CD4CB">
      <w:pPr>
        <w:spacing w:line="360" w:lineRule="auto"/>
        <w:ind w:firstLine="420" w:firstLineChars="200"/>
        <w:rPr>
          <w:rFonts w:hint="eastAsia" w:ascii="宋体" w:hAnsi="宋体"/>
        </w:rPr>
      </w:pPr>
      <w:r>
        <w:rPr>
          <w:rFonts w:ascii="宋体" w:hAnsi="宋体"/>
        </w:rPr>
        <w:t xml:space="preserve">4.6.4  </w:t>
      </w:r>
      <w:r>
        <w:rPr>
          <w:rFonts w:hint="eastAsia" w:ascii="宋体" w:hAnsi="宋体"/>
        </w:rPr>
        <w:t>特殊岗位的工作人员均应持有相应的资格证明，监理人有权随时检查。监理人认为有必要时，可进行现场考核。</w:t>
      </w:r>
    </w:p>
    <w:p w14:paraId="4A1C2A91">
      <w:pPr>
        <w:spacing w:line="360" w:lineRule="auto"/>
        <w:ind w:firstLine="420" w:firstLineChars="200"/>
        <w:rPr>
          <w:rFonts w:hint="eastAsia" w:ascii="宋体" w:hAnsi="宋体"/>
        </w:rPr>
      </w:pPr>
      <w:r>
        <w:rPr>
          <w:rFonts w:ascii="宋体" w:hAnsi="宋体"/>
        </w:rPr>
        <w:t xml:space="preserve">4.6.5  </w:t>
      </w:r>
      <w:r>
        <w:rPr>
          <w:rFonts w:hint="eastAsia" w:ascii="宋体" w:hAnsi="宋体"/>
        </w:rPr>
        <w:t>严格落实疫情防控常态化有关要求，核实项目人员身份及做好人员健康信息档案，不使用零散工和无健康信息的劳务人员，</w:t>
      </w:r>
      <w:r>
        <w:rPr>
          <w:rFonts w:ascii="宋体" w:hAnsi="宋体"/>
        </w:rPr>
        <w:t xml:space="preserve"> </w:t>
      </w:r>
      <w:r>
        <w:rPr>
          <w:rFonts w:hint="eastAsia" w:ascii="宋体" w:hAnsi="宋体"/>
        </w:rPr>
        <w:t>不得使用按照有关规定需要隔离观察的劳务人员；现场进口设立体温监测点，对所有进入施工现场人员进行体温检测和“健康码”查验，核对人员身份和健康状况，凡有发热、干咳等症状的，禁止其进入，并及时报告和妥善处置；在人员密集的封闭场所与他人小于</w:t>
      </w:r>
      <w:r>
        <w:rPr>
          <w:rFonts w:ascii="宋体" w:hAnsi="宋体"/>
        </w:rPr>
        <w:t>1</w:t>
      </w:r>
      <w:r>
        <w:rPr>
          <w:rFonts w:hint="eastAsia" w:ascii="宋体" w:hAnsi="宋体"/>
        </w:rPr>
        <w:t>米距离接触时要佩戴口罩。同时加强公共卫生教育培训，引导施工现场人员养成勤洗手、常通风、科学佩戴口罩、使用公勺公筷等良好卫生习惯，确保疫情防控管理常态化。</w:t>
      </w:r>
    </w:p>
    <w:p w14:paraId="3599C6B5">
      <w:pPr>
        <w:keepNext/>
        <w:keepLines/>
        <w:spacing w:before="120" w:beforeLines="50" w:after="120" w:afterLines="50" w:line="360" w:lineRule="auto"/>
        <w:outlineLvl w:val="2"/>
        <w:rPr>
          <w:rFonts w:hint="eastAsia" w:ascii="宋体" w:hAnsi="宋体"/>
          <w:sz w:val="24"/>
          <w:szCs w:val="20"/>
        </w:rPr>
      </w:pPr>
      <w:bookmarkStart w:id="1001" w:name="_Toc117350447"/>
      <w:bookmarkStart w:id="1002" w:name="_Toc489279894"/>
      <w:bookmarkStart w:id="1003" w:name="_Toc342296297"/>
      <w:bookmarkStart w:id="1004" w:name="_Toc490222528"/>
      <w:bookmarkStart w:id="1005" w:name="_Toc338944739"/>
      <w:bookmarkStart w:id="1006" w:name="_Toc480486765"/>
      <w:bookmarkStart w:id="1007" w:name="_Toc152045646"/>
      <w:bookmarkStart w:id="1008" w:name="_Toc480486937"/>
      <w:bookmarkStart w:id="1009" w:name="_Toc179632664"/>
      <w:bookmarkStart w:id="1010" w:name="_Toc483668112"/>
      <w:bookmarkStart w:id="1011" w:name="_Toc152042424"/>
      <w:bookmarkStart w:id="1012" w:name="_Toc144974614"/>
      <w:bookmarkStart w:id="1013" w:name="_Toc486580083"/>
      <w:r>
        <w:rPr>
          <w:rFonts w:ascii="宋体" w:hAnsi="宋体"/>
          <w:sz w:val="24"/>
          <w:szCs w:val="20"/>
        </w:rPr>
        <w:t xml:space="preserve">4.7  </w:t>
      </w:r>
      <w:r>
        <w:rPr>
          <w:rFonts w:hint="eastAsia" w:ascii="宋体" w:hAnsi="宋体"/>
          <w:sz w:val="24"/>
          <w:szCs w:val="20"/>
        </w:rPr>
        <w:t>撤换承包人项目经理和其他人员</w:t>
      </w:r>
      <w:bookmarkEnd w:id="1001"/>
      <w:bookmarkEnd w:id="1002"/>
      <w:bookmarkEnd w:id="1003"/>
      <w:bookmarkEnd w:id="1004"/>
      <w:bookmarkEnd w:id="1005"/>
      <w:bookmarkEnd w:id="1006"/>
      <w:bookmarkEnd w:id="1007"/>
      <w:bookmarkEnd w:id="1008"/>
      <w:bookmarkEnd w:id="1009"/>
      <w:bookmarkEnd w:id="1010"/>
      <w:bookmarkEnd w:id="1011"/>
      <w:bookmarkEnd w:id="1012"/>
      <w:bookmarkEnd w:id="1013"/>
    </w:p>
    <w:p w14:paraId="6768DE60">
      <w:pPr>
        <w:spacing w:line="360" w:lineRule="auto"/>
        <w:ind w:firstLine="420" w:firstLineChars="200"/>
        <w:rPr>
          <w:rFonts w:hint="eastAsia" w:ascii="宋体" w:hAnsi="宋体"/>
        </w:rPr>
      </w:pPr>
      <w:r>
        <w:rPr>
          <w:rFonts w:hint="eastAsia" w:ascii="宋体" w:hAnsi="宋体"/>
        </w:rPr>
        <w:t>承包人应对其项目经理和其他人员进行有效管理。监理人要求撤换不能胜任本职工作、行为不端或玩忽职守的承包人项目经理和其他人员的，承包人应予以撤换。</w:t>
      </w:r>
    </w:p>
    <w:p w14:paraId="3D27F3CC">
      <w:pPr>
        <w:keepNext/>
        <w:keepLines/>
        <w:spacing w:before="120" w:beforeLines="50" w:after="120" w:afterLines="50" w:line="360" w:lineRule="auto"/>
        <w:outlineLvl w:val="2"/>
        <w:rPr>
          <w:rFonts w:hint="eastAsia" w:ascii="宋体" w:hAnsi="宋体"/>
          <w:sz w:val="24"/>
          <w:szCs w:val="20"/>
        </w:rPr>
      </w:pPr>
      <w:bookmarkStart w:id="1014" w:name="_Toc483668113"/>
      <w:bookmarkStart w:id="1015" w:name="_Toc152045647"/>
      <w:bookmarkStart w:id="1016" w:name="_Toc490222529"/>
      <w:bookmarkStart w:id="1017" w:name="_Toc144974615"/>
      <w:bookmarkStart w:id="1018" w:name="_Toc338944740"/>
      <w:bookmarkStart w:id="1019" w:name="_Toc117350448"/>
      <w:bookmarkStart w:id="1020" w:name="_Toc480486938"/>
      <w:bookmarkStart w:id="1021" w:name="_Toc486580084"/>
      <w:bookmarkStart w:id="1022" w:name="_Toc179632665"/>
      <w:bookmarkStart w:id="1023" w:name="_Toc480486766"/>
      <w:bookmarkStart w:id="1024" w:name="_Toc342296298"/>
      <w:bookmarkStart w:id="1025" w:name="_Toc489279895"/>
      <w:bookmarkStart w:id="1026" w:name="_Toc152042425"/>
      <w:r>
        <w:rPr>
          <w:rFonts w:ascii="宋体" w:hAnsi="宋体"/>
          <w:sz w:val="24"/>
          <w:szCs w:val="20"/>
        </w:rPr>
        <w:t xml:space="preserve">4.8  </w:t>
      </w:r>
      <w:r>
        <w:rPr>
          <w:rFonts w:hint="eastAsia" w:ascii="宋体" w:hAnsi="宋体"/>
          <w:sz w:val="24"/>
          <w:szCs w:val="20"/>
        </w:rPr>
        <w:t>保障承包人人员的合法权益</w:t>
      </w:r>
      <w:bookmarkEnd w:id="1014"/>
      <w:bookmarkEnd w:id="1015"/>
      <w:bookmarkEnd w:id="1016"/>
      <w:bookmarkEnd w:id="1017"/>
      <w:bookmarkEnd w:id="1018"/>
      <w:bookmarkEnd w:id="1019"/>
      <w:bookmarkEnd w:id="1020"/>
      <w:bookmarkEnd w:id="1021"/>
      <w:bookmarkEnd w:id="1022"/>
      <w:bookmarkEnd w:id="1023"/>
      <w:bookmarkEnd w:id="1024"/>
      <w:bookmarkEnd w:id="1025"/>
      <w:bookmarkEnd w:id="1026"/>
    </w:p>
    <w:p w14:paraId="40C0BAAB">
      <w:pPr>
        <w:spacing w:line="360" w:lineRule="auto"/>
        <w:ind w:firstLine="420" w:firstLineChars="200"/>
        <w:rPr>
          <w:rFonts w:hint="eastAsia" w:ascii="宋体" w:hAnsi="宋体"/>
        </w:rPr>
      </w:pPr>
      <w:r>
        <w:rPr>
          <w:rFonts w:ascii="宋体" w:hAnsi="宋体"/>
        </w:rPr>
        <w:t xml:space="preserve">4.8.1  </w:t>
      </w:r>
      <w:r>
        <w:rPr>
          <w:rFonts w:hint="eastAsia" w:ascii="宋体" w:hAnsi="宋体"/>
        </w:rPr>
        <w:t>承包人应与其雇佣的人员签订劳动合同，并按时发放工资。</w:t>
      </w:r>
    </w:p>
    <w:p w14:paraId="3CC5F8A1">
      <w:pPr>
        <w:spacing w:line="360" w:lineRule="auto"/>
        <w:ind w:firstLine="420" w:firstLineChars="200"/>
        <w:rPr>
          <w:rFonts w:hint="eastAsia" w:ascii="宋体" w:hAnsi="宋体"/>
        </w:rPr>
      </w:pPr>
      <w:r>
        <w:rPr>
          <w:rFonts w:ascii="宋体" w:hAnsi="宋体"/>
        </w:rPr>
        <w:t xml:space="preserve">4.8.2  </w:t>
      </w:r>
      <w:r>
        <w:rPr>
          <w:rFonts w:hint="eastAsia" w:ascii="宋体" w:hAnsi="宋体"/>
        </w:rPr>
        <w:t>承包人应按劳动法的规定安排工作时间，保证其雇佣人员享有休息和休假的权利。因工程施工的特殊需要占用休假日或延长工作时间的，应不超过法律规定的限度，并按法律规定给予补休或付酬。</w:t>
      </w:r>
    </w:p>
    <w:p w14:paraId="11E00F69">
      <w:pPr>
        <w:spacing w:line="360" w:lineRule="auto"/>
        <w:ind w:firstLine="420" w:firstLineChars="200"/>
        <w:rPr>
          <w:rFonts w:hint="eastAsia" w:ascii="宋体" w:hAnsi="宋体"/>
        </w:rPr>
      </w:pPr>
      <w:r>
        <w:rPr>
          <w:rFonts w:ascii="宋体" w:hAnsi="宋体"/>
        </w:rPr>
        <w:t xml:space="preserve">4.8.3  </w:t>
      </w:r>
      <w:r>
        <w:rPr>
          <w:rFonts w:hint="eastAsia" w:ascii="宋体" w:hAnsi="宋体"/>
        </w:rPr>
        <w:t>承包人应为其雇佣人员提供必要的食宿条件，以及符合环境保护和卫生要求的生活环境，在远离城镇的施工场地，还应配备必要的伤病防治和急救的医务人员与医疗设施。</w:t>
      </w:r>
    </w:p>
    <w:p w14:paraId="5BBBD73B">
      <w:pPr>
        <w:spacing w:line="360" w:lineRule="auto"/>
        <w:ind w:firstLine="420" w:firstLineChars="200"/>
        <w:rPr>
          <w:rFonts w:hint="eastAsia" w:ascii="宋体" w:hAnsi="宋体"/>
        </w:rPr>
      </w:pPr>
      <w:r>
        <w:rPr>
          <w:rFonts w:ascii="宋体" w:hAnsi="宋体"/>
        </w:rPr>
        <w:t xml:space="preserve">4.8.4  </w:t>
      </w:r>
      <w:r>
        <w:rPr>
          <w:rFonts w:hint="eastAsia" w:ascii="宋体" w:hAnsi="宋体"/>
        </w:rPr>
        <w:t>承包人应按国家有关劳动保护的规定，采取有效的防止粉尘、降低噪声、控制有害气体和保障高温、高寒、高空作业安全等劳动保护措施。其雇佣人员在施工中受到伤害的，承包人应立即采取有效措施进行抢救和治疗。</w:t>
      </w:r>
    </w:p>
    <w:p w14:paraId="503CD317">
      <w:pPr>
        <w:spacing w:line="360" w:lineRule="auto"/>
        <w:ind w:firstLine="420" w:firstLineChars="200"/>
        <w:rPr>
          <w:rFonts w:hint="eastAsia" w:ascii="宋体" w:hAnsi="宋体"/>
        </w:rPr>
      </w:pPr>
      <w:r>
        <w:rPr>
          <w:rFonts w:ascii="宋体" w:hAnsi="宋体"/>
        </w:rPr>
        <w:t xml:space="preserve">4.8.5  </w:t>
      </w:r>
      <w:r>
        <w:rPr>
          <w:rFonts w:hint="eastAsia" w:ascii="宋体" w:hAnsi="宋体"/>
        </w:rPr>
        <w:t>承包人应按有关法律规定和合同约定，为其雇佣人员办理保险。</w:t>
      </w:r>
    </w:p>
    <w:p w14:paraId="487AFF55">
      <w:pPr>
        <w:spacing w:line="360" w:lineRule="auto"/>
        <w:ind w:firstLine="420" w:firstLineChars="200"/>
        <w:rPr>
          <w:rFonts w:hint="eastAsia" w:ascii="宋体" w:hAnsi="宋体"/>
        </w:rPr>
      </w:pPr>
      <w:r>
        <w:rPr>
          <w:rFonts w:ascii="宋体" w:hAnsi="宋体"/>
        </w:rPr>
        <w:t xml:space="preserve">4.8.6  </w:t>
      </w:r>
      <w:r>
        <w:rPr>
          <w:rFonts w:hint="eastAsia" w:ascii="宋体" w:hAnsi="宋体"/>
        </w:rPr>
        <w:t>承包人应负责处理其雇佣人员因工伤亡事故的善后事宜。</w:t>
      </w:r>
    </w:p>
    <w:p w14:paraId="31A241E3">
      <w:pPr>
        <w:keepNext/>
        <w:keepLines/>
        <w:spacing w:before="120" w:beforeLines="50" w:after="120" w:afterLines="50" w:line="360" w:lineRule="auto"/>
        <w:outlineLvl w:val="2"/>
        <w:rPr>
          <w:rFonts w:hint="eastAsia" w:ascii="宋体" w:hAnsi="宋体"/>
          <w:sz w:val="24"/>
          <w:szCs w:val="20"/>
        </w:rPr>
      </w:pPr>
      <w:bookmarkStart w:id="1027" w:name="_Toc490222530"/>
      <w:bookmarkStart w:id="1028" w:name="_Toc179632666"/>
      <w:bookmarkStart w:id="1029" w:name="_Toc338944741"/>
      <w:bookmarkStart w:id="1030" w:name="_Toc117350449"/>
      <w:bookmarkStart w:id="1031" w:name="_Toc480486939"/>
      <w:bookmarkStart w:id="1032" w:name="_Toc486580085"/>
      <w:bookmarkStart w:id="1033" w:name="_Toc152045648"/>
      <w:bookmarkStart w:id="1034" w:name="_Toc342296299"/>
      <w:bookmarkStart w:id="1035" w:name="_Toc489279896"/>
      <w:bookmarkStart w:id="1036" w:name="_Toc144974616"/>
      <w:bookmarkStart w:id="1037" w:name="_Toc480486767"/>
      <w:bookmarkStart w:id="1038" w:name="_Toc152042426"/>
      <w:bookmarkStart w:id="1039" w:name="_Toc483668114"/>
      <w:r>
        <w:rPr>
          <w:rFonts w:ascii="宋体" w:hAnsi="宋体"/>
          <w:sz w:val="24"/>
          <w:szCs w:val="20"/>
        </w:rPr>
        <w:t xml:space="preserve">4.9  </w:t>
      </w:r>
      <w:r>
        <w:rPr>
          <w:rFonts w:hint="eastAsia" w:ascii="宋体" w:hAnsi="宋体"/>
          <w:sz w:val="24"/>
          <w:szCs w:val="20"/>
        </w:rPr>
        <w:t>工程价款应专款专用</w:t>
      </w:r>
      <w:bookmarkEnd w:id="1027"/>
      <w:bookmarkEnd w:id="1028"/>
      <w:bookmarkEnd w:id="1029"/>
      <w:bookmarkEnd w:id="1030"/>
      <w:bookmarkEnd w:id="1031"/>
      <w:bookmarkEnd w:id="1032"/>
      <w:bookmarkEnd w:id="1033"/>
      <w:bookmarkEnd w:id="1034"/>
      <w:bookmarkEnd w:id="1035"/>
      <w:bookmarkEnd w:id="1036"/>
      <w:bookmarkEnd w:id="1037"/>
      <w:bookmarkEnd w:id="1038"/>
      <w:bookmarkEnd w:id="1039"/>
    </w:p>
    <w:p w14:paraId="38C66B6B">
      <w:pPr>
        <w:spacing w:line="360" w:lineRule="auto"/>
        <w:ind w:firstLine="420" w:firstLineChars="200"/>
        <w:rPr>
          <w:rFonts w:hint="eastAsia" w:ascii="宋体" w:hAnsi="宋体"/>
        </w:rPr>
      </w:pPr>
      <w:r>
        <w:rPr>
          <w:rFonts w:hint="eastAsia" w:ascii="宋体" w:hAnsi="宋体"/>
        </w:rPr>
        <w:t>发包人按合同约定支付给承包人的各项价款应专用于合同工程。</w:t>
      </w:r>
    </w:p>
    <w:p w14:paraId="2F13CC6D">
      <w:pPr>
        <w:keepNext/>
        <w:keepLines/>
        <w:spacing w:before="120" w:beforeLines="50" w:after="120" w:afterLines="50" w:line="360" w:lineRule="auto"/>
        <w:outlineLvl w:val="2"/>
        <w:rPr>
          <w:rFonts w:hint="eastAsia" w:ascii="宋体" w:hAnsi="宋体"/>
          <w:sz w:val="24"/>
          <w:szCs w:val="20"/>
        </w:rPr>
      </w:pPr>
      <w:bookmarkStart w:id="1040" w:name="_Toc152042427"/>
      <w:bookmarkStart w:id="1041" w:name="_Toc179632667"/>
      <w:bookmarkStart w:id="1042" w:name="_Toc490222531"/>
      <w:bookmarkStart w:id="1043" w:name="_Toc342296300"/>
      <w:bookmarkStart w:id="1044" w:name="_Toc483668115"/>
      <w:bookmarkStart w:id="1045" w:name="_Toc486580086"/>
      <w:bookmarkStart w:id="1046" w:name="_Toc117350450"/>
      <w:bookmarkStart w:id="1047" w:name="_Toc152045649"/>
      <w:bookmarkStart w:id="1048" w:name="_Toc480486940"/>
      <w:bookmarkStart w:id="1049" w:name="_Toc489279897"/>
      <w:bookmarkStart w:id="1050" w:name="_Toc338944742"/>
      <w:bookmarkStart w:id="1051" w:name="_Toc480486768"/>
      <w:bookmarkStart w:id="1052" w:name="_Toc144974617"/>
      <w:r>
        <w:rPr>
          <w:rFonts w:ascii="宋体" w:hAnsi="宋体"/>
          <w:sz w:val="24"/>
          <w:szCs w:val="20"/>
        </w:rPr>
        <w:t xml:space="preserve">4.10  </w:t>
      </w:r>
      <w:r>
        <w:rPr>
          <w:rFonts w:hint="eastAsia" w:ascii="宋体" w:hAnsi="宋体"/>
          <w:sz w:val="24"/>
          <w:szCs w:val="20"/>
        </w:rPr>
        <w:t>承包人现场查勘</w:t>
      </w:r>
      <w:bookmarkEnd w:id="1040"/>
      <w:bookmarkEnd w:id="1041"/>
      <w:bookmarkEnd w:id="1042"/>
      <w:bookmarkEnd w:id="1043"/>
      <w:bookmarkEnd w:id="1044"/>
      <w:bookmarkEnd w:id="1045"/>
      <w:bookmarkEnd w:id="1046"/>
      <w:bookmarkEnd w:id="1047"/>
      <w:bookmarkEnd w:id="1048"/>
      <w:bookmarkEnd w:id="1049"/>
      <w:bookmarkEnd w:id="1050"/>
      <w:bookmarkEnd w:id="1051"/>
      <w:bookmarkEnd w:id="1052"/>
    </w:p>
    <w:p w14:paraId="2596424C">
      <w:pPr>
        <w:spacing w:line="360" w:lineRule="auto"/>
        <w:ind w:firstLine="420" w:firstLineChars="200"/>
        <w:rPr>
          <w:rFonts w:hint="eastAsia" w:ascii="宋体" w:hAnsi="宋体"/>
        </w:rPr>
      </w:pPr>
      <w:r>
        <w:rPr>
          <w:rFonts w:ascii="宋体" w:hAnsi="宋体"/>
        </w:rPr>
        <w:t xml:space="preserve">4.10.1  </w:t>
      </w:r>
      <w:r>
        <w:rPr>
          <w:rFonts w:hint="eastAsia" w:ascii="宋体" w:hAnsi="宋体"/>
        </w:rPr>
        <w:t>发包人应将其持有的现场地质勘探资料、水文气象资料提供给承包人，并对其准确性负责。但承包人应对其阅读上述有关资料后所作出的解释和推断负责。</w:t>
      </w:r>
    </w:p>
    <w:p w14:paraId="107A2924">
      <w:pPr>
        <w:spacing w:line="360" w:lineRule="auto"/>
        <w:ind w:firstLine="420" w:firstLineChars="200"/>
        <w:rPr>
          <w:rFonts w:hint="eastAsia" w:ascii="宋体" w:hAnsi="宋体"/>
        </w:rPr>
      </w:pPr>
      <w:r>
        <w:rPr>
          <w:rFonts w:ascii="宋体" w:hAnsi="宋体"/>
        </w:rPr>
        <w:t xml:space="preserve">4.10.2  </w:t>
      </w:r>
      <w:r>
        <w:rPr>
          <w:rFonts w:hint="eastAsia" w:ascii="宋体" w:hAnsi="宋体"/>
        </w:rPr>
        <w:t>承包人应对施工场地和周围环境进行查勘，并收集有关地质、水文、气象条件、交通条件、风俗习惯以及其他为完成合同工作有关的当地资料。在全部合同工作中，应视为承包人已充分估计了应承担的责任和风险。</w:t>
      </w:r>
    </w:p>
    <w:p w14:paraId="39890127">
      <w:pPr>
        <w:keepNext/>
        <w:keepLines/>
        <w:spacing w:before="120" w:beforeLines="50" w:after="120" w:afterLines="50" w:line="360" w:lineRule="auto"/>
        <w:outlineLvl w:val="2"/>
        <w:rPr>
          <w:rFonts w:hint="eastAsia" w:ascii="宋体" w:hAnsi="宋体"/>
          <w:sz w:val="24"/>
          <w:szCs w:val="20"/>
        </w:rPr>
      </w:pPr>
      <w:bookmarkStart w:id="1053" w:name="_Toc338944743"/>
      <w:bookmarkStart w:id="1054" w:name="_Toc342296301"/>
      <w:bookmarkStart w:id="1055" w:name="_Toc483668116"/>
      <w:bookmarkStart w:id="1056" w:name="_Toc486580087"/>
      <w:bookmarkStart w:id="1057" w:name="_Toc480486769"/>
      <w:bookmarkStart w:id="1058" w:name="_Toc489279898"/>
      <w:bookmarkStart w:id="1059" w:name="_Toc490222532"/>
      <w:bookmarkStart w:id="1060" w:name="_Toc117350451"/>
      <w:bookmarkStart w:id="1061" w:name="_Toc480486941"/>
      <w:r>
        <w:rPr>
          <w:rFonts w:ascii="宋体" w:hAnsi="宋体"/>
          <w:sz w:val="24"/>
          <w:szCs w:val="20"/>
        </w:rPr>
        <w:t xml:space="preserve">4.11  </w:t>
      </w:r>
      <w:r>
        <w:rPr>
          <w:rFonts w:hint="eastAsia" w:ascii="宋体" w:hAnsi="宋体"/>
          <w:sz w:val="24"/>
          <w:szCs w:val="20"/>
        </w:rPr>
        <w:t>不利物质条件</w:t>
      </w:r>
      <w:bookmarkEnd w:id="1053"/>
      <w:bookmarkEnd w:id="1054"/>
      <w:bookmarkEnd w:id="1055"/>
      <w:bookmarkEnd w:id="1056"/>
      <w:bookmarkEnd w:id="1057"/>
      <w:bookmarkEnd w:id="1058"/>
      <w:bookmarkEnd w:id="1059"/>
      <w:bookmarkEnd w:id="1060"/>
      <w:bookmarkEnd w:id="1061"/>
    </w:p>
    <w:p w14:paraId="57FDFC0D">
      <w:pPr>
        <w:spacing w:line="360" w:lineRule="auto"/>
        <w:ind w:firstLine="420" w:firstLineChars="200"/>
        <w:rPr>
          <w:rFonts w:hint="eastAsia" w:ascii="宋体" w:hAnsi="宋体"/>
          <w:szCs w:val="21"/>
        </w:rPr>
      </w:pPr>
      <w:r>
        <w:rPr>
          <w:rFonts w:ascii="宋体" w:hAnsi="宋体"/>
        </w:rPr>
        <w:t xml:space="preserve">4.11.1  </w:t>
      </w:r>
      <w:r>
        <w:rPr>
          <w:rFonts w:hint="eastAsia" w:ascii="宋体" w:hAnsi="宋体"/>
        </w:rPr>
        <w:t>不利物质条件一般是指承包人在施工场地遇到的不可预见的自然物质条件、非自然的物质障碍和污染物，包括地下和水文条件，但不包括气候条件。不利物质条件的具体范围见合同条款专用部分。</w:t>
      </w:r>
    </w:p>
    <w:p w14:paraId="45BB521E">
      <w:pPr>
        <w:keepNext/>
        <w:keepLines/>
        <w:spacing w:before="120" w:beforeLines="50" w:after="120" w:afterLines="50" w:line="360" w:lineRule="auto"/>
        <w:ind w:firstLine="420" w:firstLineChars="200"/>
        <w:outlineLvl w:val="1"/>
        <w:rPr>
          <w:rFonts w:hint="eastAsia" w:ascii="宋体" w:hAnsi="宋体"/>
        </w:rPr>
      </w:pPr>
      <w:bookmarkStart w:id="1062" w:name="_Toc483668117"/>
      <w:bookmarkStart w:id="1063" w:name="_Toc480486770"/>
      <w:bookmarkStart w:id="1064" w:name="_Toc338944744"/>
      <w:bookmarkStart w:id="1065" w:name="_Toc490222533"/>
      <w:bookmarkStart w:id="1066" w:name="_Toc117350452"/>
      <w:bookmarkStart w:id="1067" w:name="_Toc342296302"/>
      <w:bookmarkStart w:id="1068" w:name="_Toc480486942"/>
      <w:bookmarkStart w:id="1069" w:name="_Toc486580088"/>
      <w:bookmarkStart w:id="1070" w:name="_Toc489279899"/>
      <w:r>
        <w:rPr>
          <w:rFonts w:hint="eastAsia" w:ascii="宋体" w:hAnsi="宋体"/>
        </w:rPr>
        <w:t>4.11.2  承包人遇到不利物质条件时，应采取适应不利物质条件的合理措施继续施工，并及时通知监理人。监理人应当及时发出指示，指示构成变更的，按第15条约定办理。</w:t>
      </w:r>
    </w:p>
    <w:p w14:paraId="3E4A291B">
      <w:pPr>
        <w:keepNext/>
        <w:keepLines/>
        <w:spacing w:before="120" w:beforeLines="50" w:after="120" w:afterLines="50" w:line="360" w:lineRule="auto"/>
        <w:outlineLvl w:val="1"/>
        <w:rPr>
          <w:rFonts w:hint="eastAsia" w:ascii="宋体" w:hAnsi="宋体" w:cs="宋体"/>
          <w:sz w:val="28"/>
          <w:szCs w:val="20"/>
        </w:rPr>
      </w:pPr>
      <w:r>
        <w:rPr>
          <w:rFonts w:ascii="宋体" w:hAnsi="宋体" w:cs="宋体"/>
          <w:sz w:val="28"/>
          <w:szCs w:val="20"/>
        </w:rPr>
        <w:t>5.</w:t>
      </w:r>
      <w:r>
        <w:rPr>
          <w:rFonts w:hint="eastAsia" w:ascii="宋体" w:hAnsi="宋体" w:cs="宋体"/>
          <w:sz w:val="28"/>
          <w:szCs w:val="20"/>
        </w:rPr>
        <w:t>材料和工程设备</w:t>
      </w:r>
      <w:bookmarkEnd w:id="1062"/>
      <w:bookmarkEnd w:id="1063"/>
      <w:bookmarkEnd w:id="1064"/>
      <w:bookmarkEnd w:id="1065"/>
      <w:bookmarkEnd w:id="1066"/>
      <w:bookmarkEnd w:id="1067"/>
      <w:bookmarkEnd w:id="1068"/>
      <w:bookmarkEnd w:id="1069"/>
      <w:bookmarkEnd w:id="1070"/>
    </w:p>
    <w:p w14:paraId="3E17D357">
      <w:pPr>
        <w:keepNext/>
        <w:keepLines/>
        <w:spacing w:before="120" w:beforeLines="50" w:after="120" w:afterLines="50" w:line="360" w:lineRule="auto"/>
        <w:outlineLvl w:val="2"/>
        <w:rPr>
          <w:rFonts w:hint="eastAsia" w:ascii="宋体" w:hAnsi="宋体"/>
          <w:sz w:val="24"/>
          <w:szCs w:val="20"/>
        </w:rPr>
      </w:pPr>
      <w:bookmarkStart w:id="1071" w:name="_Toc490222534"/>
      <w:bookmarkStart w:id="1072" w:name="_Toc486580089"/>
      <w:bookmarkStart w:id="1073" w:name="_Toc117350453"/>
      <w:bookmarkStart w:id="1074" w:name="_Toc483668118"/>
      <w:bookmarkStart w:id="1075" w:name="_Toc480486771"/>
      <w:bookmarkStart w:id="1076" w:name="_Toc489279900"/>
      <w:bookmarkStart w:id="1077" w:name="_Toc480486943"/>
      <w:bookmarkStart w:id="1078" w:name="_Toc342296303"/>
      <w:bookmarkStart w:id="1079" w:name="_Toc338944745"/>
      <w:r>
        <w:rPr>
          <w:rFonts w:ascii="宋体" w:hAnsi="宋体"/>
          <w:sz w:val="24"/>
          <w:szCs w:val="20"/>
        </w:rPr>
        <w:t xml:space="preserve">5.1  </w:t>
      </w:r>
      <w:r>
        <w:rPr>
          <w:rFonts w:hint="eastAsia" w:ascii="宋体" w:hAnsi="宋体"/>
          <w:sz w:val="24"/>
          <w:szCs w:val="20"/>
        </w:rPr>
        <w:t>承包人提供的材料和工程设备</w:t>
      </w:r>
      <w:bookmarkEnd w:id="1071"/>
      <w:bookmarkEnd w:id="1072"/>
      <w:bookmarkEnd w:id="1073"/>
      <w:bookmarkEnd w:id="1074"/>
      <w:bookmarkEnd w:id="1075"/>
      <w:bookmarkEnd w:id="1076"/>
      <w:bookmarkEnd w:id="1077"/>
      <w:bookmarkEnd w:id="1078"/>
      <w:bookmarkEnd w:id="1079"/>
    </w:p>
    <w:p w14:paraId="331384FA">
      <w:pPr>
        <w:spacing w:line="360" w:lineRule="auto"/>
        <w:ind w:firstLine="420" w:firstLineChars="200"/>
        <w:rPr>
          <w:rFonts w:hint="eastAsia" w:ascii="宋体" w:hAnsi="宋体"/>
        </w:rPr>
      </w:pPr>
      <w:r>
        <w:rPr>
          <w:rFonts w:ascii="宋体" w:hAnsi="宋体"/>
        </w:rPr>
        <w:t xml:space="preserve">5.1.1  </w:t>
      </w:r>
      <w:r>
        <w:rPr>
          <w:rFonts w:hint="eastAsia" w:ascii="宋体" w:hAnsi="宋体"/>
          <w:szCs w:val="21"/>
        </w:rPr>
        <w:t>除第</w:t>
      </w:r>
      <w:r>
        <w:rPr>
          <w:rFonts w:ascii="宋体" w:hAnsi="宋体"/>
          <w:szCs w:val="21"/>
        </w:rPr>
        <w:t>5.2</w:t>
      </w:r>
      <w:r>
        <w:rPr>
          <w:rFonts w:hint="eastAsia" w:ascii="宋体" w:hAnsi="宋体"/>
          <w:szCs w:val="21"/>
        </w:rPr>
        <w:t>款约定由发包人提供的材料和工程设备外，由承包人提供的材料和工程设备均由承包人负责采购、运输和保管。但是，发包人在工程量清单中给定暂估价的材料和工程设备，包括从暂列金额开支的材料和工程设备，其中属于依法必须招标的范围并</w:t>
      </w:r>
      <w:r>
        <w:rPr>
          <w:rFonts w:hint="eastAsia" w:ascii="宋体" w:hAnsi="宋体" w:cs="Arial"/>
        </w:rPr>
        <w:t>达到规定的规模标准的，以及虽不属于依法必须招标的范围但合同中约定采用招标方式采购的，应当按第</w:t>
      </w:r>
      <w:r>
        <w:rPr>
          <w:rFonts w:ascii="宋体" w:hAnsi="宋体" w:cs="Arial"/>
        </w:rPr>
        <w:t>15.8.1</w:t>
      </w:r>
      <w:r>
        <w:rPr>
          <w:rFonts w:hint="eastAsia" w:ascii="宋体" w:hAnsi="宋体" w:cs="Arial"/>
        </w:rPr>
        <w:t>项的约定，</w:t>
      </w:r>
      <w:r>
        <w:rPr>
          <w:rFonts w:hint="eastAsia" w:ascii="宋体" w:hAnsi="宋体"/>
          <w:szCs w:val="21"/>
        </w:rPr>
        <w:t>由发包人和承包人以招标方式确定专项供应商。</w:t>
      </w:r>
    </w:p>
    <w:p w14:paraId="0EE13288">
      <w:pPr>
        <w:spacing w:line="360" w:lineRule="auto"/>
        <w:ind w:firstLine="420" w:firstLineChars="200"/>
        <w:rPr>
          <w:rFonts w:hint="eastAsia" w:ascii="宋体" w:hAnsi="宋体"/>
        </w:rPr>
      </w:pPr>
      <w:r>
        <w:rPr>
          <w:rFonts w:ascii="宋体" w:hAnsi="宋体"/>
        </w:rPr>
        <w:t xml:space="preserve">5.1.2  </w:t>
      </w:r>
      <w:r>
        <w:rPr>
          <w:rFonts w:hint="eastAsia" w:ascii="宋体" w:hAnsi="宋体"/>
        </w:rPr>
        <w:t>承包人应在合同约定的期限内，将各项材料和工程设备的供货人和品种、规格、数量及供货时间等报送监理人审批。承包人应向监理人提交其负责提供的材料和工程设备的质量证明文件，并满足合同约定的质量标准。承包人将其提供的各项材料和工程设备的供货人和品种、规格、数量及供货时间等报送监理人审批的期限见合同条款专用部分。</w:t>
      </w:r>
    </w:p>
    <w:p w14:paraId="705C385C">
      <w:pPr>
        <w:spacing w:line="360" w:lineRule="auto"/>
        <w:ind w:firstLine="420" w:firstLineChars="200"/>
        <w:rPr>
          <w:rFonts w:hint="eastAsia" w:ascii="宋体" w:hAnsi="宋体"/>
        </w:rPr>
      </w:pPr>
      <w:r>
        <w:rPr>
          <w:rFonts w:ascii="宋体" w:hAnsi="宋体"/>
        </w:rPr>
        <w:t xml:space="preserve">5.1.3  </w:t>
      </w:r>
      <w:r>
        <w:rPr>
          <w:rFonts w:hint="eastAsia" w:ascii="宋体" w:hAnsi="宋体"/>
        </w:rPr>
        <w:t>对承包人提供的材料和工程设备，承包人应会同监理人进行检验和交货验收，查验材料合格证明和产品合格证书，并按照合同约定和监理人指示，进行材料的抽样检验和工程设备的检验测试，检验和测试结果应提交监理人，所需费用由承包人承担。</w:t>
      </w:r>
    </w:p>
    <w:p w14:paraId="1CEB2107">
      <w:pPr>
        <w:keepNext/>
        <w:keepLines/>
        <w:spacing w:before="120" w:beforeLines="50" w:after="120" w:afterLines="50" w:line="360" w:lineRule="auto"/>
        <w:outlineLvl w:val="2"/>
        <w:rPr>
          <w:rFonts w:hint="eastAsia" w:ascii="宋体" w:hAnsi="宋体"/>
          <w:sz w:val="24"/>
          <w:szCs w:val="20"/>
        </w:rPr>
      </w:pPr>
      <w:bookmarkStart w:id="1080" w:name="_Toc480486772"/>
      <w:bookmarkStart w:id="1081" w:name="_Toc490222535"/>
      <w:bookmarkStart w:id="1082" w:name="_Toc489279901"/>
      <w:bookmarkStart w:id="1083" w:name="_Toc338944746"/>
      <w:bookmarkStart w:id="1084" w:name="_Toc342296304"/>
      <w:bookmarkStart w:id="1085" w:name="_Toc480486944"/>
      <w:bookmarkStart w:id="1086" w:name="_Toc117350454"/>
      <w:bookmarkStart w:id="1087" w:name="_Toc486580090"/>
      <w:bookmarkStart w:id="1088" w:name="_Toc483668119"/>
      <w:r>
        <w:rPr>
          <w:rFonts w:ascii="宋体" w:hAnsi="宋体"/>
          <w:sz w:val="24"/>
          <w:szCs w:val="20"/>
        </w:rPr>
        <w:t xml:space="preserve">5.2  </w:t>
      </w:r>
      <w:r>
        <w:rPr>
          <w:rFonts w:hint="eastAsia" w:ascii="宋体" w:hAnsi="宋体"/>
          <w:sz w:val="24"/>
          <w:szCs w:val="20"/>
        </w:rPr>
        <w:t>发包人提供的材料和工程设备</w:t>
      </w:r>
      <w:bookmarkEnd w:id="1080"/>
      <w:bookmarkEnd w:id="1081"/>
      <w:bookmarkEnd w:id="1082"/>
      <w:bookmarkEnd w:id="1083"/>
      <w:bookmarkEnd w:id="1084"/>
      <w:bookmarkEnd w:id="1085"/>
      <w:bookmarkEnd w:id="1086"/>
      <w:bookmarkEnd w:id="1087"/>
      <w:bookmarkEnd w:id="1088"/>
    </w:p>
    <w:p w14:paraId="035EC9E9">
      <w:pPr>
        <w:spacing w:line="360" w:lineRule="auto"/>
        <w:ind w:firstLine="420" w:firstLineChars="200"/>
        <w:rPr>
          <w:rFonts w:hint="eastAsia" w:ascii="宋体" w:hAnsi="宋体"/>
        </w:rPr>
      </w:pPr>
      <w:r>
        <w:rPr>
          <w:rFonts w:ascii="宋体" w:hAnsi="宋体"/>
        </w:rPr>
        <w:t xml:space="preserve">5.2.1  </w:t>
      </w:r>
      <w:r>
        <w:rPr>
          <w:rFonts w:hint="eastAsia" w:ascii="宋体" w:hAnsi="宋体"/>
          <w:szCs w:val="21"/>
        </w:rPr>
        <w:t>发包人负责提供的材料和工程设备的名称、规格、数量、价格、交货方式、交货地点和计划交货日期等见合同条款专用部分。</w:t>
      </w:r>
    </w:p>
    <w:p w14:paraId="6674A43E">
      <w:pPr>
        <w:spacing w:line="360" w:lineRule="auto"/>
        <w:ind w:firstLine="420" w:firstLineChars="200"/>
        <w:rPr>
          <w:rFonts w:hint="eastAsia" w:ascii="宋体" w:hAnsi="宋体"/>
        </w:rPr>
      </w:pPr>
      <w:r>
        <w:rPr>
          <w:rFonts w:ascii="宋体" w:hAnsi="宋体"/>
        </w:rPr>
        <w:t xml:space="preserve">5.2.2  </w:t>
      </w:r>
      <w:r>
        <w:rPr>
          <w:rFonts w:hint="eastAsia" w:ascii="宋体" w:hAnsi="宋体"/>
        </w:rPr>
        <w:t>承包人应根据合同进度计划的安排，向监理人报送要求发包人交货的日期计划。发包人应按照监理人与合同双方当事人商定的交货日期，向承包人提交材料和工程设备。</w:t>
      </w:r>
    </w:p>
    <w:p w14:paraId="23CDCBFF">
      <w:pPr>
        <w:spacing w:line="360" w:lineRule="auto"/>
        <w:ind w:firstLine="420" w:firstLineChars="200"/>
        <w:rPr>
          <w:rFonts w:hint="eastAsia" w:ascii="宋体" w:hAnsi="宋体"/>
        </w:rPr>
      </w:pPr>
      <w:r>
        <w:rPr>
          <w:rFonts w:ascii="宋体" w:hAnsi="宋体"/>
        </w:rPr>
        <w:t xml:space="preserve">5.2.3  </w:t>
      </w:r>
      <w:r>
        <w:rPr>
          <w:rFonts w:hint="eastAsia" w:ascii="宋体" w:hAnsi="宋体"/>
        </w:rPr>
        <w:t>发包人应在材料和工程设备到货</w:t>
      </w:r>
      <w:r>
        <w:rPr>
          <w:rFonts w:ascii="宋体" w:hAnsi="宋体"/>
        </w:rPr>
        <w:t>7</w:t>
      </w:r>
      <w:r>
        <w:rPr>
          <w:rFonts w:hint="eastAsia" w:ascii="宋体" w:hAnsi="宋体"/>
        </w:rPr>
        <w:t>天前通知承包人，承包人应会同监理人在约定的时间内，赴交货地点共同进行验收。</w:t>
      </w:r>
      <w:r>
        <w:rPr>
          <w:rFonts w:hint="eastAsia" w:ascii="宋体" w:hAnsi="宋体"/>
          <w:szCs w:val="21"/>
        </w:rPr>
        <w:t>由发包人提供的材料和工程设备验收后，由承包人负责接收、运输和保管。</w:t>
      </w:r>
    </w:p>
    <w:p w14:paraId="2917B793">
      <w:pPr>
        <w:spacing w:line="360" w:lineRule="auto"/>
        <w:ind w:firstLine="420" w:firstLineChars="200"/>
        <w:rPr>
          <w:rFonts w:hint="eastAsia" w:ascii="宋体" w:hAnsi="宋体"/>
        </w:rPr>
      </w:pPr>
      <w:r>
        <w:rPr>
          <w:rFonts w:ascii="宋体" w:hAnsi="宋体"/>
        </w:rPr>
        <w:t xml:space="preserve">5.2.4  </w:t>
      </w:r>
      <w:r>
        <w:rPr>
          <w:rFonts w:hint="eastAsia" w:ascii="宋体" w:hAnsi="宋体"/>
        </w:rPr>
        <w:t>发包人要求向承包人提前交货的，承包人不得拒绝，但发包人应承担承包人由此增加的费用。</w:t>
      </w:r>
      <w:r>
        <w:rPr>
          <w:rFonts w:ascii="宋体" w:hAnsi="宋体"/>
        </w:rPr>
        <w:t xml:space="preserve"> </w:t>
      </w:r>
    </w:p>
    <w:p w14:paraId="0DEA5640">
      <w:pPr>
        <w:spacing w:line="360" w:lineRule="auto"/>
        <w:ind w:firstLine="420" w:firstLineChars="200"/>
        <w:rPr>
          <w:rFonts w:hint="eastAsia" w:ascii="宋体" w:hAnsi="宋体"/>
        </w:rPr>
      </w:pPr>
      <w:r>
        <w:rPr>
          <w:rFonts w:ascii="宋体" w:hAnsi="宋体"/>
        </w:rPr>
        <w:t xml:space="preserve">5.2.5  </w:t>
      </w:r>
      <w:r>
        <w:rPr>
          <w:rFonts w:hint="eastAsia" w:ascii="宋体" w:hAnsi="宋体"/>
        </w:rPr>
        <w:t>承包人要求更改交货日期或地点的，应事先报请监理人批准。由于承包人要求更改交货时间或地点所增加的费用和（或）工期延误由承包人承担。</w:t>
      </w:r>
      <w:r>
        <w:rPr>
          <w:rFonts w:ascii="宋体" w:hAnsi="宋体"/>
        </w:rPr>
        <w:t xml:space="preserve"> </w:t>
      </w:r>
    </w:p>
    <w:p w14:paraId="71FB928A">
      <w:pPr>
        <w:spacing w:line="360" w:lineRule="auto"/>
        <w:ind w:firstLine="420" w:firstLineChars="200"/>
        <w:rPr>
          <w:rFonts w:hint="eastAsia" w:ascii="宋体" w:hAnsi="宋体"/>
        </w:rPr>
      </w:pPr>
      <w:r>
        <w:rPr>
          <w:rFonts w:ascii="宋体" w:hAnsi="宋体"/>
        </w:rPr>
        <w:t xml:space="preserve">5.2.6  </w:t>
      </w:r>
      <w:r>
        <w:rPr>
          <w:rFonts w:hint="eastAsia" w:ascii="宋体" w:hAnsi="宋体"/>
        </w:rPr>
        <w:t>发包人提供的材料和工程设备的规格、数量或质量不符合合同要求，或由于发包人原因发生交货日期延误及交货地点变更等情况的，发包人应承担由此增加的费用和（或）工期延误。</w:t>
      </w:r>
    </w:p>
    <w:p w14:paraId="5B31A84D">
      <w:pPr>
        <w:keepNext/>
        <w:keepLines/>
        <w:spacing w:before="120" w:beforeLines="50" w:after="120" w:afterLines="50" w:line="360" w:lineRule="auto"/>
        <w:outlineLvl w:val="2"/>
        <w:rPr>
          <w:rFonts w:hint="eastAsia" w:ascii="宋体" w:hAnsi="宋体"/>
          <w:sz w:val="24"/>
          <w:szCs w:val="20"/>
        </w:rPr>
      </w:pPr>
      <w:bookmarkStart w:id="1089" w:name="_Toc144974622"/>
      <w:bookmarkStart w:id="1090" w:name="_Toc483668120"/>
      <w:bookmarkStart w:id="1091" w:name="_Toc480486945"/>
      <w:bookmarkStart w:id="1092" w:name="_Toc489279902"/>
      <w:bookmarkStart w:id="1093" w:name="_Toc486580091"/>
      <w:bookmarkStart w:id="1094" w:name="_Toc117350455"/>
      <w:bookmarkStart w:id="1095" w:name="_Toc480486773"/>
      <w:bookmarkStart w:id="1096" w:name="_Toc152042432"/>
      <w:bookmarkStart w:id="1097" w:name="_Toc338944747"/>
      <w:bookmarkStart w:id="1098" w:name="_Toc342296305"/>
      <w:bookmarkStart w:id="1099" w:name="_Toc152045654"/>
      <w:bookmarkStart w:id="1100" w:name="_Toc490222536"/>
      <w:bookmarkStart w:id="1101" w:name="_Toc179632672"/>
      <w:r>
        <w:rPr>
          <w:rFonts w:ascii="宋体" w:hAnsi="宋体"/>
          <w:sz w:val="24"/>
          <w:szCs w:val="20"/>
        </w:rPr>
        <w:t xml:space="preserve">5.3  </w:t>
      </w:r>
      <w:r>
        <w:rPr>
          <w:rFonts w:hint="eastAsia" w:ascii="宋体" w:hAnsi="宋体"/>
          <w:sz w:val="24"/>
          <w:szCs w:val="20"/>
        </w:rPr>
        <w:t>材料和工程设备专用于合同工程</w:t>
      </w:r>
      <w:bookmarkEnd w:id="1089"/>
      <w:bookmarkEnd w:id="1090"/>
      <w:bookmarkEnd w:id="1091"/>
      <w:bookmarkEnd w:id="1092"/>
      <w:bookmarkEnd w:id="1093"/>
      <w:bookmarkEnd w:id="1094"/>
      <w:bookmarkEnd w:id="1095"/>
      <w:bookmarkEnd w:id="1096"/>
      <w:bookmarkEnd w:id="1097"/>
      <w:bookmarkEnd w:id="1098"/>
      <w:bookmarkEnd w:id="1099"/>
      <w:bookmarkEnd w:id="1100"/>
      <w:bookmarkEnd w:id="1101"/>
    </w:p>
    <w:p w14:paraId="1B1268AB">
      <w:pPr>
        <w:spacing w:line="360" w:lineRule="auto"/>
        <w:ind w:firstLine="420" w:firstLineChars="200"/>
        <w:rPr>
          <w:rFonts w:hint="eastAsia" w:ascii="宋体" w:hAnsi="宋体"/>
        </w:rPr>
      </w:pPr>
      <w:r>
        <w:rPr>
          <w:rFonts w:ascii="宋体" w:hAnsi="宋体"/>
        </w:rPr>
        <w:t xml:space="preserve">5.3.1  </w:t>
      </w:r>
      <w:r>
        <w:rPr>
          <w:rFonts w:hint="eastAsia" w:ascii="宋体" w:hAnsi="宋体"/>
        </w:rPr>
        <w:t>运入施工场地的材料、工程设备，包括备品备件、安装专用工器具与随机资料，必须专用于合同工程，未经监理人同意，承包人不得运出施工场地或挪作他用。</w:t>
      </w:r>
    </w:p>
    <w:p w14:paraId="2C4621AB">
      <w:pPr>
        <w:spacing w:line="360" w:lineRule="auto"/>
        <w:ind w:firstLine="420" w:firstLineChars="200"/>
        <w:rPr>
          <w:rFonts w:hint="eastAsia" w:ascii="宋体" w:hAnsi="宋体"/>
        </w:rPr>
      </w:pPr>
      <w:r>
        <w:rPr>
          <w:rFonts w:ascii="宋体" w:hAnsi="宋体"/>
        </w:rPr>
        <w:t xml:space="preserve">5.3.2  </w:t>
      </w:r>
      <w:r>
        <w:rPr>
          <w:rFonts w:hint="eastAsia" w:ascii="宋体" w:hAnsi="宋体"/>
        </w:rPr>
        <w:t>随同工程设备运入施工场地的备品备件、专用工器具与随机资料，应由承包人会同监理人按供货人的装箱单清点后共同封存，未经监理人同意不得启用。承包人因合同工作需要使用上述物品时，应向监理人提出申请。</w:t>
      </w:r>
    </w:p>
    <w:p w14:paraId="198663C8">
      <w:pPr>
        <w:keepNext/>
        <w:keepLines/>
        <w:spacing w:before="120" w:beforeLines="50" w:after="120" w:afterLines="50" w:line="360" w:lineRule="auto"/>
        <w:outlineLvl w:val="2"/>
        <w:rPr>
          <w:rFonts w:hint="eastAsia" w:ascii="宋体" w:hAnsi="宋体"/>
          <w:sz w:val="24"/>
          <w:szCs w:val="20"/>
        </w:rPr>
      </w:pPr>
      <w:bookmarkStart w:id="1102" w:name="_Toc342296306"/>
      <w:bookmarkStart w:id="1103" w:name="_Toc179632673"/>
      <w:bookmarkStart w:id="1104" w:name="_Toc480486946"/>
      <w:bookmarkStart w:id="1105" w:name="_Toc144974623"/>
      <w:bookmarkStart w:id="1106" w:name="_Toc152042433"/>
      <w:bookmarkStart w:id="1107" w:name="_Toc489279903"/>
      <w:bookmarkStart w:id="1108" w:name="_Toc338944748"/>
      <w:bookmarkStart w:id="1109" w:name="_Toc480486774"/>
      <w:bookmarkStart w:id="1110" w:name="_Toc117350456"/>
      <w:bookmarkStart w:id="1111" w:name="_Toc486580092"/>
      <w:bookmarkStart w:id="1112" w:name="_Toc483668121"/>
      <w:bookmarkStart w:id="1113" w:name="_Toc152045655"/>
      <w:bookmarkStart w:id="1114" w:name="_Toc490222537"/>
      <w:r>
        <w:rPr>
          <w:rFonts w:ascii="宋体" w:hAnsi="宋体"/>
          <w:sz w:val="24"/>
          <w:szCs w:val="20"/>
        </w:rPr>
        <w:t xml:space="preserve">5.4  </w:t>
      </w:r>
      <w:r>
        <w:rPr>
          <w:rFonts w:hint="eastAsia" w:ascii="宋体" w:hAnsi="宋体"/>
          <w:sz w:val="24"/>
          <w:szCs w:val="20"/>
        </w:rPr>
        <w:t>禁止使用不合格的材料和工程设备</w:t>
      </w:r>
      <w:bookmarkEnd w:id="1102"/>
      <w:bookmarkEnd w:id="1103"/>
      <w:bookmarkEnd w:id="1104"/>
      <w:bookmarkEnd w:id="1105"/>
      <w:bookmarkEnd w:id="1106"/>
      <w:bookmarkEnd w:id="1107"/>
      <w:bookmarkEnd w:id="1108"/>
      <w:bookmarkEnd w:id="1109"/>
      <w:bookmarkEnd w:id="1110"/>
      <w:bookmarkEnd w:id="1111"/>
      <w:bookmarkEnd w:id="1112"/>
      <w:bookmarkEnd w:id="1113"/>
      <w:bookmarkEnd w:id="1114"/>
    </w:p>
    <w:p w14:paraId="53AEAE25">
      <w:pPr>
        <w:spacing w:line="360" w:lineRule="auto"/>
        <w:ind w:firstLine="420" w:firstLineChars="200"/>
        <w:rPr>
          <w:rFonts w:hint="eastAsia" w:ascii="宋体" w:hAnsi="宋体"/>
        </w:rPr>
      </w:pPr>
      <w:r>
        <w:rPr>
          <w:rFonts w:ascii="宋体" w:hAnsi="宋体"/>
        </w:rPr>
        <w:t xml:space="preserve">5.4.1  </w:t>
      </w:r>
      <w:r>
        <w:rPr>
          <w:rFonts w:hint="eastAsia" w:ascii="宋体" w:hAnsi="宋体"/>
        </w:rPr>
        <w:t>监理人有权拒绝承包人提供的不合格材料或工程设备，并要求承包人立即进行更换。监理人应在更换后再次进行检查和检验，由此增加的费用和（或）工期延误由承包人承担。</w:t>
      </w:r>
    </w:p>
    <w:p w14:paraId="6F5BAE03">
      <w:pPr>
        <w:spacing w:line="360" w:lineRule="auto"/>
        <w:ind w:firstLine="420" w:firstLineChars="200"/>
        <w:rPr>
          <w:rFonts w:hint="eastAsia" w:ascii="宋体" w:hAnsi="宋体"/>
        </w:rPr>
      </w:pPr>
      <w:r>
        <w:rPr>
          <w:rFonts w:ascii="宋体" w:hAnsi="宋体"/>
        </w:rPr>
        <w:t xml:space="preserve">5.4.2  </w:t>
      </w:r>
      <w:r>
        <w:rPr>
          <w:rFonts w:hint="eastAsia" w:ascii="宋体" w:hAnsi="宋体"/>
        </w:rPr>
        <w:t>监理人发现承包人使用了不合格的材料和工程设备，应即时发出指示要求承包人立即改正，并禁止在工程中继续使用不合格的材料和工程设备。</w:t>
      </w:r>
    </w:p>
    <w:p w14:paraId="2B2F8A80">
      <w:pPr>
        <w:spacing w:line="360" w:lineRule="auto"/>
        <w:ind w:firstLine="420" w:firstLineChars="200"/>
        <w:rPr>
          <w:rFonts w:hint="eastAsia" w:ascii="宋体" w:hAnsi="宋体"/>
        </w:rPr>
      </w:pPr>
      <w:r>
        <w:rPr>
          <w:rFonts w:ascii="宋体" w:hAnsi="宋体"/>
        </w:rPr>
        <w:t xml:space="preserve">5.4.3  </w:t>
      </w:r>
      <w:r>
        <w:rPr>
          <w:rFonts w:hint="eastAsia" w:ascii="宋体" w:hAnsi="宋体"/>
        </w:rPr>
        <w:t>发包人提供的材料或工程设备不符合合同要求的，承包人有权拒绝，并可要求发包人更换，由此增加的费用和（或）工期延误由发包人承担。</w:t>
      </w:r>
    </w:p>
    <w:p w14:paraId="59E10912">
      <w:pPr>
        <w:keepNext/>
        <w:keepLines/>
        <w:spacing w:before="120" w:beforeLines="50" w:after="120" w:afterLines="50" w:line="360" w:lineRule="auto"/>
        <w:outlineLvl w:val="1"/>
        <w:rPr>
          <w:rFonts w:hint="eastAsia" w:ascii="宋体" w:hAnsi="宋体" w:cs="宋体"/>
          <w:sz w:val="28"/>
          <w:szCs w:val="20"/>
        </w:rPr>
      </w:pPr>
      <w:bookmarkStart w:id="1115" w:name="_Toc342296307"/>
      <w:bookmarkStart w:id="1116" w:name="_Toc117350457"/>
      <w:bookmarkStart w:id="1117" w:name="_Toc480486775"/>
      <w:bookmarkStart w:id="1118" w:name="_Toc490222538"/>
      <w:bookmarkStart w:id="1119" w:name="_Toc483668122"/>
      <w:bookmarkStart w:id="1120" w:name="_Toc480486947"/>
      <w:bookmarkStart w:id="1121" w:name="_Toc486580093"/>
      <w:bookmarkStart w:id="1122" w:name="_Toc338944749"/>
      <w:bookmarkStart w:id="1123" w:name="_Toc489279904"/>
      <w:r>
        <w:rPr>
          <w:rFonts w:ascii="宋体" w:hAnsi="宋体" w:cs="宋体"/>
          <w:sz w:val="28"/>
          <w:szCs w:val="20"/>
        </w:rPr>
        <w:t>6.</w:t>
      </w:r>
      <w:r>
        <w:rPr>
          <w:rFonts w:hint="eastAsia" w:ascii="宋体" w:hAnsi="宋体" w:cs="宋体"/>
          <w:sz w:val="28"/>
          <w:szCs w:val="20"/>
        </w:rPr>
        <w:t>施工设备和临时设施</w:t>
      </w:r>
      <w:bookmarkEnd w:id="1115"/>
      <w:bookmarkEnd w:id="1116"/>
      <w:bookmarkEnd w:id="1117"/>
      <w:bookmarkEnd w:id="1118"/>
      <w:bookmarkEnd w:id="1119"/>
      <w:bookmarkEnd w:id="1120"/>
      <w:bookmarkEnd w:id="1121"/>
      <w:bookmarkEnd w:id="1122"/>
      <w:bookmarkEnd w:id="1123"/>
    </w:p>
    <w:p w14:paraId="2925D6B3">
      <w:pPr>
        <w:keepNext/>
        <w:keepLines/>
        <w:spacing w:before="120" w:beforeLines="50" w:after="120" w:afterLines="50" w:line="360" w:lineRule="auto"/>
        <w:outlineLvl w:val="2"/>
        <w:rPr>
          <w:rFonts w:hint="eastAsia" w:ascii="宋体" w:hAnsi="宋体"/>
          <w:sz w:val="24"/>
          <w:szCs w:val="20"/>
        </w:rPr>
      </w:pPr>
      <w:bookmarkStart w:id="1124" w:name="_Toc483668123"/>
      <w:bookmarkStart w:id="1125" w:name="_Toc480486948"/>
      <w:bookmarkStart w:id="1126" w:name="_Toc490222539"/>
      <w:bookmarkStart w:id="1127" w:name="_Toc480486776"/>
      <w:bookmarkStart w:id="1128" w:name="_Toc342296308"/>
      <w:bookmarkStart w:id="1129" w:name="_Toc486580094"/>
      <w:bookmarkStart w:id="1130" w:name="_Toc489279905"/>
      <w:bookmarkStart w:id="1131" w:name="_Toc117350458"/>
      <w:bookmarkStart w:id="1132" w:name="_Toc338944750"/>
      <w:r>
        <w:rPr>
          <w:rFonts w:ascii="宋体" w:hAnsi="宋体"/>
          <w:sz w:val="24"/>
          <w:szCs w:val="20"/>
        </w:rPr>
        <w:t xml:space="preserve">6.1  </w:t>
      </w:r>
      <w:r>
        <w:rPr>
          <w:rFonts w:hint="eastAsia" w:ascii="宋体" w:hAnsi="宋体"/>
          <w:sz w:val="24"/>
          <w:szCs w:val="20"/>
        </w:rPr>
        <w:t>承包人提供的施工设备和临时设施</w:t>
      </w:r>
      <w:bookmarkEnd w:id="1124"/>
      <w:bookmarkEnd w:id="1125"/>
      <w:bookmarkEnd w:id="1126"/>
      <w:bookmarkEnd w:id="1127"/>
      <w:bookmarkEnd w:id="1128"/>
      <w:bookmarkEnd w:id="1129"/>
      <w:bookmarkEnd w:id="1130"/>
      <w:bookmarkEnd w:id="1131"/>
      <w:bookmarkEnd w:id="1132"/>
    </w:p>
    <w:p w14:paraId="2BAA5EBB">
      <w:pPr>
        <w:spacing w:line="360" w:lineRule="auto"/>
        <w:ind w:firstLine="420" w:firstLineChars="200"/>
        <w:rPr>
          <w:rFonts w:hint="eastAsia" w:ascii="宋体" w:hAnsi="宋体"/>
        </w:rPr>
      </w:pPr>
      <w:r>
        <w:rPr>
          <w:rFonts w:ascii="宋体" w:hAnsi="宋体"/>
        </w:rPr>
        <w:t xml:space="preserve">6.1.1  </w:t>
      </w:r>
      <w:r>
        <w:rPr>
          <w:rFonts w:hint="eastAsia" w:ascii="宋体" w:hAnsi="宋体"/>
        </w:rPr>
        <w:t>承包人应按合同进度计划的要求，及时配置施工设备和修建临时设施。进入施工场地的承包人设备需经监理人核查后才能投入使用。承包人更换合同约定的承包人设备的，应报监理人批准。</w:t>
      </w:r>
    </w:p>
    <w:p w14:paraId="4200ED45">
      <w:pPr>
        <w:spacing w:line="360" w:lineRule="auto"/>
        <w:ind w:firstLine="420" w:firstLineChars="200"/>
        <w:rPr>
          <w:rFonts w:hint="eastAsia" w:ascii="宋体" w:hAnsi="宋体"/>
        </w:rPr>
      </w:pPr>
      <w:r>
        <w:rPr>
          <w:rFonts w:ascii="宋体" w:hAnsi="宋体"/>
        </w:rPr>
        <w:t xml:space="preserve">6.1.2  </w:t>
      </w:r>
      <w:r>
        <w:rPr>
          <w:rFonts w:hint="eastAsia" w:ascii="宋体" w:hAnsi="宋体"/>
        </w:rPr>
        <w:t>除合同另有约定外，承包人应承担自行修建临时设施的费用。需要临时占地的，应由发包人办理申请手续并承担相应费用。承包人自行修建临时设施的范围以及所需临时占地见合同条款专用部分。</w:t>
      </w:r>
    </w:p>
    <w:p w14:paraId="389B58E4">
      <w:pPr>
        <w:keepNext/>
        <w:keepLines/>
        <w:spacing w:before="120" w:beforeLines="50" w:after="120" w:afterLines="50" w:line="360" w:lineRule="auto"/>
        <w:outlineLvl w:val="2"/>
        <w:rPr>
          <w:rFonts w:hint="eastAsia" w:ascii="宋体" w:hAnsi="宋体"/>
          <w:sz w:val="24"/>
          <w:szCs w:val="20"/>
        </w:rPr>
      </w:pPr>
      <w:bookmarkStart w:id="1133" w:name="_Toc490222540"/>
      <w:bookmarkStart w:id="1134" w:name="_Toc489279906"/>
      <w:bookmarkStart w:id="1135" w:name="_Toc117350459"/>
      <w:bookmarkStart w:id="1136" w:name="_Toc342296309"/>
      <w:bookmarkStart w:id="1137" w:name="_Toc480486949"/>
      <w:bookmarkStart w:id="1138" w:name="_Toc480486777"/>
      <w:bookmarkStart w:id="1139" w:name="_Toc483668124"/>
      <w:bookmarkStart w:id="1140" w:name="_Toc338944751"/>
      <w:bookmarkStart w:id="1141" w:name="_Toc486580095"/>
      <w:r>
        <w:rPr>
          <w:rFonts w:ascii="宋体" w:hAnsi="宋体"/>
          <w:sz w:val="24"/>
          <w:szCs w:val="20"/>
        </w:rPr>
        <w:t xml:space="preserve">6.2  </w:t>
      </w:r>
      <w:r>
        <w:rPr>
          <w:rFonts w:hint="eastAsia" w:ascii="宋体" w:hAnsi="宋体"/>
          <w:sz w:val="24"/>
          <w:szCs w:val="20"/>
        </w:rPr>
        <w:t>发包人提供的施工设备和临时设施</w:t>
      </w:r>
      <w:bookmarkEnd w:id="1133"/>
      <w:bookmarkEnd w:id="1134"/>
      <w:bookmarkEnd w:id="1135"/>
      <w:bookmarkEnd w:id="1136"/>
      <w:bookmarkEnd w:id="1137"/>
      <w:bookmarkEnd w:id="1138"/>
      <w:bookmarkEnd w:id="1139"/>
      <w:bookmarkEnd w:id="1140"/>
      <w:bookmarkEnd w:id="1141"/>
    </w:p>
    <w:p w14:paraId="3AAE0117">
      <w:pPr>
        <w:spacing w:line="360" w:lineRule="auto"/>
        <w:ind w:firstLine="420" w:firstLineChars="200"/>
        <w:rPr>
          <w:rFonts w:hint="eastAsia" w:ascii="宋体" w:hAnsi="宋体"/>
        </w:rPr>
      </w:pPr>
      <w:r>
        <w:rPr>
          <w:rFonts w:hint="eastAsia" w:ascii="宋体" w:hAnsi="宋体"/>
        </w:rPr>
        <w:t>发包人提供的施工设备或临时设施，以及相关</w:t>
      </w:r>
      <w:r>
        <w:rPr>
          <w:rFonts w:hint="eastAsia" w:ascii="宋体" w:hAnsi="宋体"/>
          <w:szCs w:val="21"/>
        </w:rPr>
        <w:t>运行、维护、拆除、清运费用的承担人见</w:t>
      </w:r>
      <w:r>
        <w:rPr>
          <w:rFonts w:hint="eastAsia" w:ascii="宋体" w:hAnsi="宋体"/>
        </w:rPr>
        <w:t>合同条款专用部分。</w:t>
      </w:r>
    </w:p>
    <w:p w14:paraId="406C962A">
      <w:pPr>
        <w:keepNext/>
        <w:keepLines/>
        <w:spacing w:before="120" w:beforeLines="50" w:after="120" w:afterLines="50" w:line="360" w:lineRule="auto"/>
        <w:outlineLvl w:val="2"/>
        <w:rPr>
          <w:rFonts w:hint="eastAsia" w:ascii="宋体" w:hAnsi="宋体"/>
          <w:sz w:val="24"/>
          <w:szCs w:val="20"/>
        </w:rPr>
      </w:pPr>
      <w:bookmarkStart w:id="1142" w:name="_Toc152042437"/>
      <w:bookmarkStart w:id="1143" w:name="_Toc480486950"/>
      <w:bookmarkStart w:id="1144" w:name="_Toc489279907"/>
      <w:bookmarkStart w:id="1145" w:name="_Toc480486778"/>
      <w:bookmarkStart w:id="1146" w:name="_Toc490222541"/>
      <w:bookmarkStart w:id="1147" w:name="_Toc342296310"/>
      <w:bookmarkStart w:id="1148" w:name="_Toc179632677"/>
      <w:bookmarkStart w:id="1149" w:name="_Toc486580096"/>
      <w:bookmarkStart w:id="1150" w:name="_Toc117350460"/>
      <w:bookmarkStart w:id="1151" w:name="_Toc338944752"/>
      <w:bookmarkStart w:id="1152" w:name="_Toc152045659"/>
      <w:bookmarkStart w:id="1153" w:name="_Toc144974627"/>
      <w:bookmarkStart w:id="1154" w:name="_Toc483668125"/>
      <w:r>
        <w:rPr>
          <w:rFonts w:ascii="宋体" w:hAnsi="宋体"/>
          <w:sz w:val="24"/>
          <w:szCs w:val="20"/>
        </w:rPr>
        <w:t xml:space="preserve">6.3  </w:t>
      </w:r>
      <w:r>
        <w:rPr>
          <w:rFonts w:hint="eastAsia" w:ascii="宋体" w:hAnsi="宋体"/>
          <w:sz w:val="24"/>
          <w:szCs w:val="20"/>
        </w:rPr>
        <w:t>要求承包人增加或更换施工设备</w:t>
      </w:r>
      <w:bookmarkEnd w:id="1142"/>
      <w:bookmarkEnd w:id="1143"/>
      <w:bookmarkEnd w:id="1144"/>
      <w:bookmarkEnd w:id="1145"/>
      <w:bookmarkEnd w:id="1146"/>
      <w:bookmarkEnd w:id="1147"/>
      <w:bookmarkEnd w:id="1148"/>
      <w:bookmarkEnd w:id="1149"/>
      <w:bookmarkEnd w:id="1150"/>
      <w:bookmarkEnd w:id="1151"/>
      <w:bookmarkEnd w:id="1152"/>
      <w:bookmarkEnd w:id="1153"/>
      <w:bookmarkEnd w:id="1154"/>
    </w:p>
    <w:p w14:paraId="20C995B0">
      <w:pPr>
        <w:spacing w:line="360" w:lineRule="auto"/>
        <w:ind w:firstLine="420" w:firstLineChars="200"/>
        <w:rPr>
          <w:rFonts w:hint="eastAsia" w:ascii="宋体" w:hAnsi="宋体"/>
        </w:rPr>
      </w:pPr>
      <w:r>
        <w:rPr>
          <w:rFonts w:hint="eastAsia" w:ascii="宋体" w:hAnsi="宋体"/>
        </w:rPr>
        <w:t>承包人使用的施工设备不能满足合同进度计划和（或）质量要求时，监理人有权要求承包人增加或更换施工设备，承包人应及时增加或更换，由此增加的费用和（或）工期延误由承包人承担。</w:t>
      </w:r>
    </w:p>
    <w:p w14:paraId="70803EE7">
      <w:pPr>
        <w:keepNext/>
        <w:keepLines/>
        <w:spacing w:before="120" w:beforeLines="50" w:after="120" w:afterLines="50" w:line="360" w:lineRule="auto"/>
        <w:outlineLvl w:val="2"/>
        <w:rPr>
          <w:rFonts w:hint="eastAsia" w:ascii="宋体" w:hAnsi="宋体"/>
          <w:sz w:val="24"/>
          <w:szCs w:val="20"/>
        </w:rPr>
      </w:pPr>
      <w:bookmarkStart w:id="1155" w:name="_Toc117350461"/>
      <w:bookmarkStart w:id="1156" w:name="_Toc480486951"/>
      <w:bookmarkStart w:id="1157" w:name="_Toc338944753"/>
      <w:bookmarkStart w:id="1158" w:name="_Toc480486779"/>
      <w:bookmarkStart w:id="1159" w:name="_Toc342296311"/>
      <w:bookmarkStart w:id="1160" w:name="_Toc490222542"/>
      <w:bookmarkStart w:id="1161" w:name="_Toc489279908"/>
      <w:bookmarkStart w:id="1162" w:name="_Toc483668126"/>
      <w:bookmarkStart w:id="1163" w:name="_Toc486580097"/>
      <w:r>
        <w:rPr>
          <w:rFonts w:ascii="宋体" w:hAnsi="宋体"/>
          <w:sz w:val="24"/>
          <w:szCs w:val="20"/>
        </w:rPr>
        <w:t xml:space="preserve">6.4  </w:t>
      </w:r>
      <w:r>
        <w:rPr>
          <w:rFonts w:hint="eastAsia" w:ascii="宋体" w:hAnsi="宋体"/>
          <w:sz w:val="24"/>
          <w:szCs w:val="20"/>
        </w:rPr>
        <w:t>施工设备和临时设施专用于合同工程</w:t>
      </w:r>
      <w:bookmarkEnd w:id="1155"/>
      <w:bookmarkEnd w:id="1156"/>
      <w:bookmarkEnd w:id="1157"/>
      <w:bookmarkEnd w:id="1158"/>
      <w:bookmarkEnd w:id="1159"/>
      <w:bookmarkEnd w:id="1160"/>
      <w:bookmarkEnd w:id="1161"/>
      <w:bookmarkEnd w:id="1162"/>
      <w:bookmarkEnd w:id="1163"/>
    </w:p>
    <w:p w14:paraId="02FA0614">
      <w:pPr>
        <w:spacing w:line="360" w:lineRule="auto"/>
        <w:ind w:firstLine="420" w:firstLineChars="200"/>
        <w:rPr>
          <w:rFonts w:hint="eastAsia" w:ascii="宋体" w:hAnsi="宋体"/>
        </w:rPr>
      </w:pPr>
      <w:r>
        <w:rPr>
          <w:rFonts w:ascii="宋体" w:hAnsi="宋体"/>
        </w:rPr>
        <w:t xml:space="preserve">6.4.1  </w:t>
      </w:r>
      <w:r>
        <w:rPr>
          <w:rFonts w:hint="eastAsia" w:ascii="宋体" w:hAnsi="宋体"/>
          <w:szCs w:val="21"/>
        </w:rPr>
        <w:t>除为第</w:t>
      </w:r>
      <w:r>
        <w:rPr>
          <w:rFonts w:ascii="宋体" w:hAnsi="宋体"/>
          <w:szCs w:val="21"/>
        </w:rPr>
        <w:t>4.1.8</w:t>
      </w:r>
      <w:r>
        <w:rPr>
          <w:rFonts w:hint="eastAsia" w:ascii="宋体" w:hAnsi="宋体"/>
          <w:szCs w:val="21"/>
        </w:rPr>
        <w:t>项约定的其他独立承包人和监理人指示的他人提供条件外</w:t>
      </w:r>
      <w:r>
        <w:rPr>
          <w:rFonts w:ascii="宋体" w:hAnsi="宋体"/>
          <w:szCs w:val="21"/>
        </w:rPr>
        <w:t>,</w:t>
      </w:r>
      <w:r>
        <w:rPr>
          <w:rFonts w:hint="eastAsia" w:ascii="宋体" w:hAnsi="宋体"/>
          <w:szCs w:val="21"/>
        </w:rPr>
        <w:t>承包人运入施工场地的所有施工设备以及在施工场地建设的临时设施仅限于用于合同工程。</w:t>
      </w:r>
      <w:r>
        <w:rPr>
          <w:rFonts w:hint="eastAsia" w:ascii="宋体" w:hAnsi="宋体"/>
        </w:rPr>
        <w:t>未经监理人同意，不得将上述施工设备和临时设施中的任何部分运出施工场地或挪作他用。</w:t>
      </w:r>
    </w:p>
    <w:p w14:paraId="4CC7DEF1">
      <w:pPr>
        <w:spacing w:line="360" w:lineRule="auto"/>
        <w:ind w:firstLine="420" w:firstLineChars="200"/>
        <w:rPr>
          <w:rFonts w:hint="eastAsia" w:ascii="宋体" w:hAnsi="宋体"/>
        </w:rPr>
      </w:pPr>
      <w:r>
        <w:rPr>
          <w:rFonts w:ascii="宋体" w:hAnsi="宋体"/>
        </w:rPr>
        <w:t xml:space="preserve">6.4.2  </w:t>
      </w:r>
      <w:r>
        <w:rPr>
          <w:rFonts w:hint="eastAsia" w:ascii="宋体" w:hAnsi="宋体"/>
        </w:rPr>
        <w:t>经监理人同意，承包人可根据合同进度计划撤走闲置的施工设备。</w:t>
      </w:r>
    </w:p>
    <w:p w14:paraId="2AC0ADCE">
      <w:pPr>
        <w:keepNext/>
        <w:keepLines/>
        <w:spacing w:before="120" w:beforeLines="50" w:after="120" w:afterLines="50" w:line="360" w:lineRule="auto"/>
        <w:outlineLvl w:val="1"/>
        <w:rPr>
          <w:rFonts w:hint="eastAsia" w:ascii="宋体" w:hAnsi="宋体" w:cs="宋体"/>
          <w:sz w:val="28"/>
          <w:szCs w:val="20"/>
        </w:rPr>
      </w:pPr>
      <w:bookmarkStart w:id="1164" w:name="_Toc342296312"/>
      <w:bookmarkStart w:id="1165" w:name="_Toc117350462"/>
      <w:bookmarkStart w:id="1166" w:name="_Toc480486780"/>
      <w:bookmarkStart w:id="1167" w:name="_Toc490222543"/>
      <w:bookmarkStart w:id="1168" w:name="_Toc338944754"/>
      <w:bookmarkStart w:id="1169" w:name="_Toc483668127"/>
      <w:bookmarkStart w:id="1170" w:name="_Toc480486952"/>
      <w:bookmarkStart w:id="1171" w:name="_Toc486580098"/>
      <w:bookmarkStart w:id="1172" w:name="_Toc489279909"/>
      <w:r>
        <w:rPr>
          <w:rFonts w:ascii="宋体" w:hAnsi="宋体" w:cs="宋体"/>
          <w:sz w:val="28"/>
          <w:szCs w:val="20"/>
        </w:rPr>
        <w:t>7.</w:t>
      </w:r>
      <w:r>
        <w:rPr>
          <w:rFonts w:hint="eastAsia" w:ascii="宋体" w:hAnsi="宋体" w:cs="宋体"/>
          <w:sz w:val="28"/>
          <w:szCs w:val="20"/>
        </w:rPr>
        <w:t>交通运输</w:t>
      </w:r>
      <w:bookmarkEnd w:id="1164"/>
      <w:bookmarkEnd w:id="1165"/>
      <w:bookmarkEnd w:id="1166"/>
      <w:bookmarkEnd w:id="1167"/>
      <w:bookmarkEnd w:id="1168"/>
      <w:bookmarkEnd w:id="1169"/>
      <w:bookmarkEnd w:id="1170"/>
      <w:bookmarkEnd w:id="1171"/>
      <w:bookmarkEnd w:id="1172"/>
    </w:p>
    <w:p w14:paraId="3CD871AE">
      <w:pPr>
        <w:keepNext/>
        <w:keepLines/>
        <w:spacing w:before="120" w:beforeLines="50" w:after="120" w:afterLines="50" w:line="360" w:lineRule="auto"/>
        <w:outlineLvl w:val="2"/>
        <w:rPr>
          <w:rFonts w:hint="eastAsia" w:ascii="宋体" w:hAnsi="宋体"/>
          <w:sz w:val="24"/>
          <w:szCs w:val="20"/>
        </w:rPr>
      </w:pPr>
      <w:bookmarkStart w:id="1173" w:name="_Toc117350463"/>
      <w:bookmarkStart w:id="1174" w:name="_Toc338944755"/>
      <w:bookmarkStart w:id="1175" w:name="_Toc486580099"/>
      <w:bookmarkStart w:id="1176" w:name="_Toc342296313"/>
      <w:bookmarkStart w:id="1177" w:name="_Toc490222544"/>
      <w:bookmarkStart w:id="1178" w:name="_Toc480486953"/>
      <w:bookmarkStart w:id="1179" w:name="_Toc480486781"/>
      <w:bookmarkStart w:id="1180" w:name="_Toc489279910"/>
      <w:bookmarkStart w:id="1181" w:name="_Toc483668128"/>
      <w:r>
        <w:rPr>
          <w:rFonts w:ascii="宋体" w:hAnsi="宋体"/>
          <w:sz w:val="24"/>
          <w:szCs w:val="20"/>
        </w:rPr>
        <w:t xml:space="preserve">7.1  </w:t>
      </w:r>
      <w:r>
        <w:rPr>
          <w:rFonts w:hint="eastAsia" w:ascii="宋体" w:hAnsi="宋体"/>
          <w:sz w:val="24"/>
          <w:szCs w:val="20"/>
        </w:rPr>
        <w:t>道路通行权和场外设施</w:t>
      </w:r>
      <w:bookmarkEnd w:id="1173"/>
      <w:bookmarkEnd w:id="1174"/>
      <w:bookmarkEnd w:id="1175"/>
      <w:bookmarkEnd w:id="1176"/>
      <w:bookmarkEnd w:id="1177"/>
      <w:bookmarkEnd w:id="1178"/>
      <w:bookmarkEnd w:id="1179"/>
      <w:bookmarkEnd w:id="1180"/>
      <w:bookmarkEnd w:id="1181"/>
    </w:p>
    <w:p w14:paraId="568E02BE">
      <w:pPr>
        <w:spacing w:line="360" w:lineRule="auto"/>
        <w:ind w:firstLine="420" w:firstLineChars="200"/>
        <w:rPr>
          <w:rFonts w:hint="eastAsia" w:ascii="宋体" w:hAnsi="宋体"/>
        </w:rPr>
      </w:pPr>
      <w:r>
        <w:rPr>
          <w:rFonts w:hint="eastAsia" w:ascii="宋体" w:hAnsi="宋体"/>
        </w:rPr>
        <w:t>除合同条款专用部分另有约定外，发包人应根据合同工程的施工需要，负责办理取得出入施工场地的专用和临时道路的通行权，以及取得为工程建设所需修建场外设施的权利，并承担有关费用。承包人应协助发包人办理上述手续。</w:t>
      </w:r>
    </w:p>
    <w:p w14:paraId="210C0765">
      <w:pPr>
        <w:keepNext/>
        <w:keepLines/>
        <w:spacing w:before="120" w:beforeLines="50" w:after="120" w:afterLines="50" w:line="360" w:lineRule="auto"/>
        <w:outlineLvl w:val="2"/>
        <w:rPr>
          <w:rFonts w:hint="eastAsia" w:ascii="宋体" w:hAnsi="宋体"/>
          <w:sz w:val="24"/>
          <w:szCs w:val="20"/>
        </w:rPr>
      </w:pPr>
      <w:bookmarkStart w:id="1182" w:name="_Toc117350464"/>
      <w:bookmarkStart w:id="1183" w:name="_Toc486580100"/>
      <w:bookmarkStart w:id="1184" w:name="_Toc338944756"/>
      <w:bookmarkStart w:id="1185" w:name="_Toc489279911"/>
      <w:bookmarkStart w:id="1186" w:name="_Toc480486954"/>
      <w:bookmarkStart w:id="1187" w:name="_Toc483668129"/>
      <w:bookmarkStart w:id="1188" w:name="_Toc480486782"/>
      <w:bookmarkStart w:id="1189" w:name="_Toc490222545"/>
      <w:bookmarkStart w:id="1190" w:name="_Toc342296314"/>
      <w:r>
        <w:rPr>
          <w:rFonts w:ascii="宋体" w:hAnsi="宋体"/>
          <w:sz w:val="24"/>
          <w:szCs w:val="20"/>
        </w:rPr>
        <w:t xml:space="preserve">7.2  </w:t>
      </w:r>
      <w:r>
        <w:rPr>
          <w:rFonts w:hint="eastAsia" w:ascii="宋体" w:hAnsi="宋体"/>
          <w:sz w:val="24"/>
          <w:szCs w:val="20"/>
        </w:rPr>
        <w:t>场内施工道路</w:t>
      </w:r>
      <w:bookmarkEnd w:id="1182"/>
      <w:bookmarkEnd w:id="1183"/>
      <w:bookmarkEnd w:id="1184"/>
      <w:bookmarkEnd w:id="1185"/>
      <w:bookmarkEnd w:id="1186"/>
      <w:bookmarkEnd w:id="1187"/>
      <w:bookmarkEnd w:id="1188"/>
      <w:bookmarkEnd w:id="1189"/>
      <w:bookmarkEnd w:id="1190"/>
    </w:p>
    <w:p w14:paraId="65847565">
      <w:pPr>
        <w:spacing w:line="360" w:lineRule="auto"/>
        <w:ind w:firstLine="420" w:firstLineChars="200"/>
        <w:rPr>
          <w:rFonts w:hint="eastAsia" w:ascii="宋体" w:hAnsi="宋体"/>
        </w:rPr>
      </w:pPr>
      <w:r>
        <w:rPr>
          <w:rFonts w:ascii="宋体" w:hAnsi="宋体"/>
        </w:rPr>
        <w:t xml:space="preserve">7.2.1  </w:t>
      </w:r>
      <w:r>
        <w:rPr>
          <w:rFonts w:hint="eastAsia" w:ascii="宋体" w:hAnsi="宋体"/>
        </w:rPr>
        <w:t>除合同条款专用部分另有约定外，承包人应负责修建、维修、养护和管理施工所需的临时道路和交通设施，包括维修、养护和管理发包人提供的道路和交通设施，并承担相应费用。</w:t>
      </w:r>
    </w:p>
    <w:p w14:paraId="25989D60">
      <w:pPr>
        <w:spacing w:line="360" w:lineRule="auto"/>
        <w:ind w:firstLine="420" w:firstLineChars="200"/>
        <w:rPr>
          <w:rFonts w:hint="eastAsia" w:ascii="宋体" w:hAnsi="宋体"/>
        </w:rPr>
      </w:pPr>
      <w:r>
        <w:rPr>
          <w:rFonts w:ascii="宋体" w:hAnsi="宋体"/>
        </w:rPr>
        <w:t xml:space="preserve">7.2.2  </w:t>
      </w:r>
      <w:r>
        <w:rPr>
          <w:rFonts w:hint="eastAsia" w:ascii="宋体" w:hAnsi="宋体"/>
          <w:szCs w:val="21"/>
        </w:rPr>
        <w:t>发包人和监理人有权无偿使用承包人修建的临时道路和交通设施，不需要交纳任何费用。</w:t>
      </w:r>
    </w:p>
    <w:p w14:paraId="6ADA451D">
      <w:pPr>
        <w:keepNext/>
        <w:keepLines/>
        <w:spacing w:before="120" w:beforeLines="50" w:after="120" w:afterLines="50" w:line="360" w:lineRule="auto"/>
        <w:outlineLvl w:val="2"/>
        <w:rPr>
          <w:rFonts w:hint="eastAsia" w:ascii="宋体" w:hAnsi="宋体"/>
          <w:sz w:val="24"/>
          <w:szCs w:val="20"/>
        </w:rPr>
      </w:pPr>
      <w:bookmarkStart w:id="1191" w:name="_Toc342296315"/>
      <w:bookmarkStart w:id="1192" w:name="_Toc486580101"/>
      <w:bookmarkStart w:id="1193" w:name="_Toc480486783"/>
      <w:bookmarkStart w:id="1194" w:name="_Toc489279912"/>
      <w:bookmarkStart w:id="1195" w:name="_Toc152045664"/>
      <w:bookmarkStart w:id="1196" w:name="_Toc490222546"/>
      <w:bookmarkStart w:id="1197" w:name="_Toc179632682"/>
      <w:bookmarkStart w:id="1198" w:name="_Toc144974632"/>
      <w:bookmarkStart w:id="1199" w:name="_Toc483668130"/>
      <w:bookmarkStart w:id="1200" w:name="_Toc152042442"/>
      <w:bookmarkStart w:id="1201" w:name="_Toc480486955"/>
      <w:bookmarkStart w:id="1202" w:name="_Toc117350465"/>
      <w:bookmarkStart w:id="1203" w:name="_Toc338944757"/>
      <w:r>
        <w:rPr>
          <w:rFonts w:ascii="宋体" w:hAnsi="宋体"/>
          <w:sz w:val="24"/>
          <w:szCs w:val="20"/>
        </w:rPr>
        <w:t xml:space="preserve">7.3  </w:t>
      </w:r>
      <w:r>
        <w:rPr>
          <w:rFonts w:hint="eastAsia" w:ascii="宋体" w:hAnsi="宋体"/>
          <w:sz w:val="24"/>
          <w:szCs w:val="20"/>
        </w:rPr>
        <w:t>场外交通</w:t>
      </w:r>
      <w:bookmarkEnd w:id="1191"/>
      <w:bookmarkEnd w:id="1192"/>
      <w:bookmarkEnd w:id="1193"/>
      <w:bookmarkEnd w:id="1194"/>
      <w:bookmarkEnd w:id="1195"/>
      <w:bookmarkEnd w:id="1196"/>
      <w:bookmarkEnd w:id="1197"/>
      <w:bookmarkEnd w:id="1198"/>
      <w:bookmarkEnd w:id="1199"/>
      <w:bookmarkEnd w:id="1200"/>
      <w:bookmarkEnd w:id="1201"/>
      <w:bookmarkEnd w:id="1202"/>
      <w:bookmarkEnd w:id="1203"/>
    </w:p>
    <w:p w14:paraId="529A5030">
      <w:pPr>
        <w:spacing w:line="360" w:lineRule="auto"/>
        <w:ind w:firstLine="420" w:firstLineChars="200"/>
        <w:rPr>
          <w:rFonts w:hint="eastAsia" w:ascii="宋体" w:hAnsi="宋体"/>
        </w:rPr>
      </w:pPr>
      <w:r>
        <w:rPr>
          <w:rFonts w:ascii="宋体" w:hAnsi="宋体"/>
        </w:rPr>
        <w:t xml:space="preserve">7.3.1  </w:t>
      </w:r>
      <w:r>
        <w:rPr>
          <w:rFonts w:hint="eastAsia" w:ascii="宋体" w:hAnsi="宋体"/>
        </w:rPr>
        <w:t>承包人车辆外出行驶所需的场外公共道路的通行费、养路费和税款等由承包人承担。</w:t>
      </w:r>
    </w:p>
    <w:p w14:paraId="05031596">
      <w:pPr>
        <w:spacing w:line="360" w:lineRule="auto"/>
        <w:ind w:firstLine="420" w:firstLineChars="200"/>
        <w:rPr>
          <w:rFonts w:hint="eastAsia" w:ascii="宋体" w:hAnsi="宋体"/>
        </w:rPr>
      </w:pPr>
      <w:r>
        <w:rPr>
          <w:rFonts w:ascii="宋体" w:hAnsi="宋体"/>
        </w:rPr>
        <w:t xml:space="preserve">7.3.2  </w:t>
      </w:r>
      <w:r>
        <w:rPr>
          <w:rFonts w:hint="eastAsia" w:ascii="宋体" w:hAnsi="宋体"/>
        </w:rPr>
        <w:t>承包人应遵守有关交通法规，严格按照道路和桥梁的限制荷重安全行驶，并服从交通管理部门的检查和监督。</w:t>
      </w:r>
    </w:p>
    <w:p w14:paraId="625FCE4B">
      <w:pPr>
        <w:keepNext/>
        <w:keepLines/>
        <w:spacing w:before="120" w:beforeLines="50" w:after="120" w:afterLines="50" w:line="360" w:lineRule="auto"/>
        <w:outlineLvl w:val="2"/>
        <w:rPr>
          <w:rFonts w:hint="eastAsia" w:ascii="宋体" w:hAnsi="宋体"/>
          <w:sz w:val="24"/>
          <w:szCs w:val="20"/>
        </w:rPr>
      </w:pPr>
      <w:bookmarkStart w:id="1204" w:name="_Toc117350466"/>
      <w:bookmarkStart w:id="1205" w:name="_Toc483668131"/>
      <w:bookmarkStart w:id="1206" w:name="_Toc480486784"/>
      <w:bookmarkStart w:id="1207" w:name="_Toc342296316"/>
      <w:bookmarkStart w:id="1208" w:name="_Toc490222547"/>
      <w:bookmarkStart w:id="1209" w:name="_Toc489279913"/>
      <w:bookmarkStart w:id="1210" w:name="_Toc338944758"/>
      <w:bookmarkStart w:id="1211" w:name="_Toc480486956"/>
      <w:bookmarkStart w:id="1212" w:name="_Toc486580102"/>
      <w:r>
        <w:rPr>
          <w:rFonts w:ascii="宋体" w:hAnsi="宋体"/>
          <w:sz w:val="24"/>
          <w:szCs w:val="20"/>
        </w:rPr>
        <w:t xml:space="preserve">7.4  </w:t>
      </w:r>
      <w:r>
        <w:rPr>
          <w:rFonts w:hint="eastAsia" w:ascii="宋体" w:hAnsi="宋体"/>
          <w:sz w:val="24"/>
          <w:szCs w:val="20"/>
        </w:rPr>
        <w:t>超大件和超重件的运输</w:t>
      </w:r>
      <w:bookmarkEnd w:id="1204"/>
      <w:bookmarkEnd w:id="1205"/>
      <w:bookmarkEnd w:id="1206"/>
      <w:bookmarkEnd w:id="1207"/>
      <w:bookmarkEnd w:id="1208"/>
      <w:bookmarkEnd w:id="1209"/>
      <w:bookmarkEnd w:id="1210"/>
      <w:bookmarkEnd w:id="1211"/>
      <w:bookmarkEnd w:id="1212"/>
    </w:p>
    <w:p w14:paraId="1079F2EF">
      <w:pPr>
        <w:spacing w:line="360" w:lineRule="auto"/>
        <w:ind w:firstLine="420" w:firstLineChars="200"/>
        <w:rPr>
          <w:rFonts w:hint="eastAsia" w:ascii="宋体" w:hAnsi="宋体"/>
        </w:rPr>
      </w:pPr>
      <w:r>
        <w:rPr>
          <w:rFonts w:hint="eastAsia" w:ascii="宋体" w:hAnsi="宋体"/>
        </w:rPr>
        <w:t>由承包人负责运输的超大件或超重件，应由承包人负责向交通管理部门办理申请手续，发包人给予协助。运输超大件或超重件所需的道路和桥梁临时加固改造费用和其他有关费用，由承包人承担，但合同条款专用部分另有约定除外。</w:t>
      </w:r>
    </w:p>
    <w:p w14:paraId="31696C94">
      <w:pPr>
        <w:keepNext/>
        <w:keepLines/>
        <w:spacing w:before="120" w:beforeLines="50" w:after="120" w:afterLines="50" w:line="360" w:lineRule="auto"/>
        <w:outlineLvl w:val="2"/>
        <w:rPr>
          <w:rFonts w:hint="eastAsia" w:ascii="宋体" w:hAnsi="宋体"/>
          <w:sz w:val="24"/>
          <w:szCs w:val="20"/>
        </w:rPr>
      </w:pPr>
      <w:bookmarkStart w:id="1213" w:name="_Toc489279914"/>
      <w:bookmarkStart w:id="1214" w:name="_Toc480486785"/>
      <w:bookmarkStart w:id="1215" w:name="_Toc486580103"/>
      <w:bookmarkStart w:id="1216" w:name="_Toc483668132"/>
      <w:bookmarkStart w:id="1217" w:name="_Toc490222548"/>
      <w:bookmarkStart w:id="1218" w:name="_Toc342296317"/>
      <w:bookmarkStart w:id="1219" w:name="_Toc117350467"/>
      <w:bookmarkStart w:id="1220" w:name="_Toc480486957"/>
      <w:bookmarkStart w:id="1221" w:name="_Toc338944759"/>
      <w:r>
        <w:rPr>
          <w:rFonts w:ascii="宋体" w:hAnsi="宋体"/>
          <w:sz w:val="24"/>
          <w:szCs w:val="20"/>
        </w:rPr>
        <w:t xml:space="preserve">7.5  </w:t>
      </w:r>
      <w:r>
        <w:rPr>
          <w:rFonts w:hint="eastAsia" w:ascii="宋体" w:hAnsi="宋体"/>
          <w:sz w:val="24"/>
          <w:szCs w:val="20"/>
        </w:rPr>
        <w:t>道路和桥梁的损坏责任</w:t>
      </w:r>
      <w:bookmarkEnd w:id="1213"/>
      <w:bookmarkEnd w:id="1214"/>
      <w:bookmarkEnd w:id="1215"/>
      <w:bookmarkEnd w:id="1216"/>
      <w:bookmarkEnd w:id="1217"/>
      <w:bookmarkEnd w:id="1218"/>
      <w:bookmarkEnd w:id="1219"/>
      <w:bookmarkEnd w:id="1220"/>
      <w:bookmarkEnd w:id="1221"/>
    </w:p>
    <w:p w14:paraId="3477349F">
      <w:pPr>
        <w:spacing w:line="360" w:lineRule="auto"/>
        <w:ind w:firstLine="420" w:firstLineChars="200"/>
        <w:rPr>
          <w:rFonts w:hint="eastAsia" w:ascii="宋体" w:hAnsi="宋体"/>
        </w:rPr>
      </w:pPr>
      <w:r>
        <w:rPr>
          <w:rFonts w:hint="eastAsia" w:ascii="宋体" w:hAnsi="宋体"/>
        </w:rPr>
        <w:t>因承包人运输造成施工场地内外公共道路和桥梁损坏的，由承包人承担修复损坏的全部费用和可能引起的赔偿。</w:t>
      </w:r>
    </w:p>
    <w:p w14:paraId="5C2A7CD8">
      <w:pPr>
        <w:keepNext/>
        <w:keepLines/>
        <w:spacing w:before="120" w:beforeLines="50" w:after="120" w:afterLines="50" w:line="360" w:lineRule="auto"/>
        <w:outlineLvl w:val="2"/>
        <w:rPr>
          <w:rFonts w:hint="eastAsia" w:ascii="宋体" w:hAnsi="宋体"/>
          <w:sz w:val="24"/>
          <w:szCs w:val="20"/>
        </w:rPr>
      </w:pPr>
      <w:bookmarkStart w:id="1222" w:name="_Toc179632685"/>
      <w:bookmarkStart w:id="1223" w:name="_Toc342296318"/>
      <w:bookmarkStart w:id="1224" w:name="_Toc490222549"/>
      <w:bookmarkStart w:id="1225" w:name="_Toc152045667"/>
      <w:bookmarkStart w:id="1226" w:name="_Toc152042445"/>
      <w:bookmarkStart w:id="1227" w:name="_Toc117350468"/>
      <w:bookmarkStart w:id="1228" w:name="_Toc338944760"/>
      <w:bookmarkStart w:id="1229" w:name="_Toc483668133"/>
      <w:bookmarkStart w:id="1230" w:name="_Toc480486958"/>
      <w:bookmarkStart w:id="1231" w:name="_Toc486580104"/>
      <w:bookmarkStart w:id="1232" w:name="_Toc489279915"/>
      <w:bookmarkStart w:id="1233" w:name="_Toc144974635"/>
      <w:bookmarkStart w:id="1234" w:name="_Toc480486786"/>
      <w:r>
        <w:rPr>
          <w:rFonts w:ascii="宋体" w:hAnsi="宋体"/>
          <w:sz w:val="24"/>
          <w:szCs w:val="20"/>
        </w:rPr>
        <w:t xml:space="preserve">7.6  </w:t>
      </w:r>
      <w:r>
        <w:rPr>
          <w:rFonts w:hint="eastAsia" w:ascii="宋体" w:hAnsi="宋体"/>
          <w:sz w:val="24"/>
          <w:szCs w:val="20"/>
        </w:rPr>
        <w:t>水路和航空运输</w:t>
      </w:r>
      <w:bookmarkEnd w:id="1222"/>
      <w:bookmarkEnd w:id="1223"/>
      <w:bookmarkEnd w:id="1224"/>
      <w:bookmarkEnd w:id="1225"/>
      <w:bookmarkEnd w:id="1226"/>
      <w:bookmarkEnd w:id="1227"/>
      <w:bookmarkEnd w:id="1228"/>
      <w:bookmarkEnd w:id="1229"/>
      <w:bookmarkEnd w:id="1230"/>
      <w:bookmarkEnd w:id="1231"/>
      <w:bookmarkEnd w:id="1232"/>
      <w:bookmarkEnd w:id="1233"/>
      <w:bookmarkEnd w:id="1234"/>
    </w:p>
    <w:p w14:paraId="65045670">
      <w:pPr>
        <w:spacing w:line="360" w:lineRule="auto"/>
        <w:ind w:firstLine="420" w:firstLineChars="200"/>
        <w:rPr>
          <w:rFonts w:hint="eastAsia" w:ascii="宋体" w:hAnsi="宋体"/>
        </w:rPr>
      </w:pPr>
      <w:r>
        <w:rPr>
          <w:rFonts w:hint="eastAsia" w:ascii="宋体" w:hAnsi="宋体"/>
        </w:rPr>
        <w:t>本条上述各款的内容适用于水路运输和航空运输，其中“道路”一词的涵义包括河道、航线、船闸、机场、码头、堤防以及水路或航空运输中其他相似结构物；“车辆”一词的涵义包括船舶和飞机等。</w:t>
      </w:r>
    </w:p>
    <w:p w14:paraId="7274FD12">
      <w:pPr>
        <w:keepNext/>
        <w:keepLines/>
        <w:spacing w:before="120" w:beforeLines="50" w:after="120" w:afterLines="50" w:line="360" w:lineRule="auto"/>
        <w:outlineLvl w:val="1"/>
        <w:rPr>
          <w:rFonts w:hint="eastAsia" w:ascii="宋体" w:hAnsi="宋体" w:cs="宋体"/>
          <w:sz w:val="28"/>
          <w:szCs w:val="20"/>
        </w:rPr>
      </w:pPr>
      <w:bookmarkStart w:id="1235" w:name="_Toc489279916"/>
      <w:bookmarkStart w:id="1236" w:name="_Toc480486959"/>
      <w:bookmarkStart w:id="1237" w:name="_Toc338944761"/>
      <w:bookmarkStart w:id="1238" w:name="_Toc342296319"/>
      <w:bookmarkStart w:id="1239" w:name="_Toc480486787"/>
      <w:bookmarkStart w:id="1240" w:name="_Toc117350469"/>
      <w:bookmarkStart w:id="1241" w:name="_Toc490222550"/>
      <w:bookmarkStart w:id="1242" w:name="_Toc483668134"/>
      <w:bookmarkStart w:id="1243" w:name="_Toc486580105"/>
      <w:r>
        <w:rPr>
          <w:rFonts w:ascii="宋体" w:hAnsi="宋体" w:cs="宋体"/>
          <w:sz w:val="28"/>
          <w:szCs w:val="20"/>
        </w:rPr>
        <w:t>8.</w:t>
      </w:r>
      <w:r>
        <w:rPr>
          <w:rFonts w:hint="eastAsia" w:ascii="宋体" w:hAnsi="宋体" w:cs="宋体"/>
          <w:sz w:val="28"/>
          <w:szCs w:val="20"/>
        </w:rPr>
        <w:t>测量放线</w:t>
      </w:r>
      <w:bookmarkEnd w:id="1235"/>
      <w:bookmarkEnd w:id="1236"/>
      <w:bookmarkEnd w:id="1237"/>
      <w:bookmarkEnd w:id="1238"/>
      <w:bookmarkEnd w:id="1239"/>
      <w:bookmarkEnd w:id="1240"/>
      <w:bookmarkEnd w:id="1241"/>
      <w:bookmarkEnd w:id="1242"/>
      <w:bookmarkEnd w:id="1243"/>
    </w:p>
    <w:p w14:paraId="0D1D9B72">
      <w:pPr>
        <w:keepNext/>
        <w:keepLines/>
        <w:spacing w:before="120" w:beforeLines="50" w:after="120" w:afterLines="50" w:line="360" w:lineRule="auto"/>
        <w:outlineLvl w:val="2"/>
        <w:rPr>
          <w:rFonts w:hint="eastAsia" w:ascii="宋体" w:hAnsi="宋体"/>
          <w:sz w:val="24"/>
          <w:szCs w:val="20"/>
        </w:rPr>
      </w:pPr>
      <w:bookmarkStart w:id="1244" w:name="_Toc117350470"/>
      <w:bookmarkStart w:id="1245" w:name="_Toc486580106"/>
      <w:bookmarkStart w:id="1246" w:name="_Toc480486788"/>
      <w:bookmarkStart w:id="1247" w:name="_Toc483668135"/>
      <w:bookmarkStart w:id="1248" w:name="_Toc480486960"/>
      <w:bookmarkStart w:id="1249" w:name="_Toc490222551"/>
      <w:bookmarkStart w:id="1250" w:name="_Toc342296320"/>
      <w:bookmarkStart w:id="1251" w:name="_Toc338944762"/>
      <w:bookmarkStart w:id="1252" w:name="_Toc489279917"/>
      <w:r>
        <w:rPr>
          <w:rFonts w:ascii="宋体" w:hAnsi="宋体"/>
          <w:sz w:val="24"/>
          <w:szCs w:val="20"/>
        </w:rPr>
        <w:t xml:space="preserve">8.1  </w:t>
      </w:r>
      <w:r>
        <w:rPr>
          <w:rFonts w:hint="eastAsia" w:ascii="宋体" w:hAnsi="宋体"/>
          <w:sz w:val="24"/>
          <w:szCs w:val="20"/>
        </w:rPr>
        <w:t>施工控制网</w:t>
      </w:r>
      <w:bookmarkEnd w:id="1244"/>
      <w:bookmarkEnd w:id="1245"/>
      <w:bookmarkEnd w:id="1246"/>
      <w:bookmarkEnd w:id="1247"/>
      <w:bookmarkEnd w:id="1248"/>
      <w:bookmarkEnd w:id="1249"/>
      <w:bookmarkEnd w:id="1250"/>
      <w:bookmarkEnd w:id="1251"/>
      <w:bookmarkEnd w:id="1252"/>
    </w:p>
    <w:p w14:paraId="43E11A4A">
      <w:pPr>
        <w:spacing w:line="360" w:lineRule="auto"/>
        <w:ind w:firstLine="420" w:firstLineChars="200"/>
        <w:rPr>
          <w:rFonts w:hint="eastAsia" w:ascii="宋体" w:hAnsi="宋体"/>
        </w:rPr>
      </w:pPr>
      <w:r>
        <w:rPr>
          <w:rFonts w:ascii="宋体" w:hAnsi="宋体"/>
        </w:rPr>
        <w:t xml:space="preserve">8.1.1  </w:t>
      </w:r>
      <w:r>
        <w:rPr>
          <w:rFonts w:hint="eastAsia" w:ascii="宋体" w:hAnsi="宋体"/>
        </w:rPr>
        <w:t>发包人应在合同约定的期限内，通过监理人向承包人提供测量基准点、基准线和水准点及其书面资料。向承包人提供测量基准点、基准线和水准点及其书面资料的期限见合同条款专用部分。</w:t>
      </w:r>
    </w:p>
    <w:p w14:paraId="2DBA535D">
      <w:pPr>
        <w:spacing w:line="360" w:lineRule="auto"/>
        <w:ind w:firstLine="420" w:firstLineChars="200"/>
        <w:rPr>
          <w:rFonts w:hint="eastAsia" w:ascii="宋体" w:hAnsi="宋体"/>
        </w:rPr>
      </w:pPr>
      <w:r>
        <w:rPr>
          <w:rFonts w:ascii="宋体" w:hAnsi="宋体"/>
        </w:rPr>
        <w:t xml:space="preserve">8.1.2  </w:t>
      </w:r>
      <w:r>
        <w:rPr>
          <w:rFonts w:hint="eastAsia" w:ascii="宋体" w:hAnsi="宋体"/>
        </w:rPr>
        <w:t>承包人应根据国家测绘基准、测绘系统和工程测量技术规范，按上述基准点（线）以及合同工程精度要求，测设施工控制网，承包人测设施工控制网的其他要求见合同条款专用部分。并将施工控制网资料在约定期限内报送监理人审批，其报送监理人审批的期限见合同条款专用部分。</w:t>
      </w:r>
    </w:p>
    <w:p w14:paraId="601CDF64">
      <w:pPr>
        <w:spacing w:line="360" w:lineRule="auto"/>
        <w:ind w:firstLine="420" w:firstLineChars="200"/>
        <w:rPr>
          <w:rFonts w:hint="eastAsia" w:ascii="宋体" w:hAnsi="宋体"/>
        </w:rPr>
      </w:pPr>
      <w:r>
        <w:rPr>
          <w:rFonts w:ascii="宋体" w:hAnsi="宋体"/>
        </w:rPr>
        <w:t xml:space="preserve">8.1.3  </w:t>
      </w:r>
      <w:r>
        <w:rPr>
          <w:rFonts w:hint="eastAsia" w:ascii="宋体" w:hAnsi="宋体"/>
        </w:rPr>
        <w:t>承包人应负责管理施工控制网点。施工控制网点丢失或损坏的，承包人应及时修复，并承担施工控制网点的管理与修复费用。工程竣工后将施工控制网点移交发包人。</w:t>
      </w:r>
    </w:p>
    <w:p w14:paraId="4EB2D98B">
      <w:pPr>
        <w:keepNext/>
        <w:keepLines/>
        <w:spacing w:before="120" w:beforeLines="50" w:after="120" w:afterLines="50" w:line="360" w:lineRule="auto"/>
        <w:outlineLvl w:val="2"/>
        <w:rPr>
          <w:rFonts w:hint="eastAsia" w:ascii="宋体" w:hAnsi="宋体"/>
          <w:sz w:val="24"/>
          <w:szCs w:val="20"/>
        </w:rPr>
      </w:pPr>
      <w:bookmarkStart w:id="1253" w:name="_Toc490222552"/>
      <w:bookmarkStart w:id="1254" w:name="_Toc144974638"/>
      <w:bookmarkStart w:id="1255" w:name="_Toc342296321"/>
      <w:bookmarkStart w:id="1256" w:name="_Toc483668136"/>
      <w:bookmarkStart w:id="1257" w:name="_Toc480486961"/>
      <w:bookmarkStart w:id="1258" w:name="_Toc117350471"/>
      <w:bookmarkStart w:id="1259" w:name="_Toc338944763"/>
      <w:bookmarkStart w:id="1260" w:name="_Toc179632688"/>
      <w:bookmarkStart w:id="1261" w:name="_Toc489279918"/>
      <w:bookmarkStart w:id="1262" w:name="_Toc486580107"/>
      <w:bookmarkStart w:id="1263" w:name="_Toc480486789"/>
      <w:bookmarkStart w:id="1264" w:name="_Toc152042448"/>
      <w:bookmarkStart w:id="1265" w:name="_Toc152045670"/>
      <w:r>
        <w:rPr>
          <w:rFonts w:ascii="宋体" w:hAnsi="宋体"/>
          <w:sz w:val="24"/>
          <w:szCs w:val="20"/>
        </w:rPr>
        <w:t xml:space="preserve">8.2  </w:t>
      </w:r>
      <w:r>
        <w:rPr>
          <w:rFonts w:hint="eastAsia" w:ascii="宋体" w:hAnsi="宋体"/>
          <w:sz w:val="24"/>
          <w:szCs w:val="20"/>
        </w:rPr>
        <w:t>施工测量</w:t>
      </w:r>
      <w:bookmarkEnd w:id="1253"/>
      <w:bookmarkEnd w:id="1254"/>
      <w:bookmarkEnd w:id="1255"/>
      <w:bookmarkEnd w:id="1256"/>
      <w:bookmarkEnd w:id="1257"/>
      <w:bookmarkEnd w:id="1258"/>
      <w:bookmarkEnd w:id="1259"/>
      <w:bookmarkEnd w:id="1260"/>
      <w:bookmarkEnd w:id="1261"/>
      <w:bookmarkEnd w:id="1262"/>
      <w:bookmarkEnd w:id="1263"/>
      <w:bookmarkEnd w:id="1264"/>
      <w:bookmarkEnd w:id="1265"/>
    </w:p>
    <w:p w14:paraId="3E5077A6">
      <w:pPr>
        <w:spacing w:line="360" w:lineRule="auto"/>
        <w:ind w:firstLine="420" w:firstLineChars="200"/>
        <w:rPr>
          <w:rFonts w:hint="eastAsia" w:ascii="宋体" w:hAnsi="宋体"/>
        </w:rPr>
      </w:pPr>
      <w:r>
        <w:rPr>
          <w:rFonts w:ascii="宋体" w:hAnsi="宋体"/>
        </w:rPr>
        <w:t xml:space="preserve">8.2.1  </w:t>
      </w:r>
      <w:r>
        <w:rPr>
          <w:rFonts w:hint="eastAsia" w:ascii="宋体" w:hAnsi="宋体"/>
        </w:rPr>
        <w:t>承包人应负责施工过程中的全部施工测量放线工作，并配置合格的人员、仪器、设备和其他物品。</w:t>
      </w:r>
    </w:p>
    <w:p w14:paraId="300AE017">
      <w:pPr>
        <w:spacing w:line="360" w:lineRule="auto"/>
        <w:ind w:firstLine="420" w:firstLineChars="200"/>
        <w:rPr>
          <w:rFonts w:hint="eastAsia" w:ascii="宋体" w:hAnsi="宋体"/>
        </w:rPr>
      </w:pPr>
      <w:r>
        <w:rPr>
          <w:rFonts w:ascii="宋体" w:hAnsi="宋体"/>
        </w:rPr>
        <w:t xml:space="preserve">8.2.2  </w:t>
      </w:r>
      <w:r>
        <w:rPr>
          <w:rFonts w:hint="eastAsia" w:ascii="宋体" w:hAnsi="宋体"/>
        </w:rPr>
        <w:t>监理人可以指示承包人进行抽样复测，当复测中发现错误或出现超过合同约定的误差时，承包人应按监理人指示进行修正或补测，并承担相应的复测费用。</w:t>
      </w:r>
    </w:p>
    <w:p w14:paraId="2C43A275">
      <w:pPr>
        <w:keepNext/>
        <w:keepLines/>
        <w:spacing w:before="120" w:beforeLines="50" w:after="120" w:afterLines="50" w:line="360" w:lineRule="auto"/>
        <w:outlineLvl w:val="2"/>
        <w:rPr>
          <w:rFonts w:hint="eastAsia" w:ascii="宋体" w:hAnsi="宋体"/>
          <w:sz w:val="24"/>
          <w:szCs w:val="20"/>
        </w:rPr>
      </w:pPr>
      <w:bookmarkStart w:id="1266" w:name="_Toc342296322"/>
      <w:bookmarkStart w:id="1267" w:name="_Toc152042449"/>
      <w:bookmarkStart w:id="1268" w:name="_Toc489279919"/>
      <w:bookmarkStart w:id="1269" w:name="_Toc480486962"/>
      <w:bookmarkStart w:id="1270" w:name="_Toc338944764"/>
      <w:bookmarkStart w:id="1271" w:name="_Toc490222553"/>
      <w:bookmarkStart w:id="1272" w:name="_Toc486580108"/>
      <w:bookmarkStart w:id="1273" w:name="_Toc179632689"/>
      <w:bookmarkStart w:id="1274" w:name="_Toc480486790"/>
      <w:bookmarkStart w:id="1275" w:name="_Toc483668137"/>
      <w:bookmarkStart w:id="1276" w:name="_Toc152045671"/>
      <w:bookmarkStart w:id="1277" w:name="_Toc144974639"/>
      <w:bookmarkStart w:id="1278" w:name="_Toc117350472"/>
      <w:r>
        <w:rPr>
          <w:rFonts w:ascii="宋体" w:hAnsi="宋体"/>
          <w:sz w:val="24"/>
          <w:szCs w:val="20"/>
        </w:rPr>
        <w:t xml:space="preserve">8.3  </w:t>
      </w:r>
      <w:r>
        <w:rPr>
          <w:rFonts w:hint="eastAsia" w:ascii="宋体" w:hAnsi="宋体"/>
          <w:sz w:val="24"/>
          <w:szCs w:val="20"/>
        </w:rPr>
        <w:t>基准资料错误的责任</w:t>
      </w:r>
      <w:bookmarkEnd w:id="1266"/>
      <w:bookmarkEnd w:id="1267"/>
      <w:bookmarkEnd w:id="1268"/>
      <w:bookmarkEnd w:id="1269"/>
      <w:bookmarkEnd w:id="1270"/>
      <w:bookmarkEnd w:id="1271"/>
      <w:bookmarkEnd w:id="1272"/>
      <w:bookmarkEnd w:id="1273"/>
      <w:bookmarkEnd w:id="1274"/>
      <w:bookmarkEnd w:id="1275"/>
      <w:bookmarkEnd w:id="1276"/>
      <w:bookmarkEnd w:id="1277"/>
      <w:bookmarkEnd w:id="1278"/>
    </w:p>
    <w:p w14:paraId="39BC1CA6">
      <w:pPr>
        <w:keepNext/>
        <w:keepLines/>
        <w:spacing w:before="120" w:beforeLines="50" w:after="120" w:afterLines="50" w:line="360" w:lineRule="auto"/>
        <w:outlineLvl w:val="2"/>
        <w:rPr>
          <w:rFonts w:hint="eastAsia" w:ascii="宋体" w:hAnsi="宋体"/>
        </w:rPr>
      </w:pPr>
      <w:bookmarkStart w:id="1279" w:name="_Toc338944765"/>
      <w:bookmarkStart w:id="1280" w:name="_Toc179632690"/>
      <w:bookmarkStart w:id="1281" w:name="_Toc486580109"/>
      <w:bookmarkStart w:id="1282" w:name="_Toc489279920"/>
      <w:bookmarkStart w:id="1283" w:name="_Toc117350473"/>
      <w:bookmarkStart w:id="1284" w:name="_Toc480486963"/>
      <w:bookmarkStart w:id="1285" w:name="_Toc480486791"/>
      <w:bookmarkStart w:id="1286" w:name="_Toc152045672"/>
      <w:bookmarkStart w:id="1287" w:name="_Toc490222554"/>
      <w:bookmarkStart w:id="1288" w:name="_Toc152042450"/>
      <w:bookmarkStart w:id="1289" w:name="_Toc483668138"/>
      <w:bookmarkStart w:id="1290" w:name="_Toc144974640"/>
      <w:bookmarkStart w:id="1291" w:name="_Toc342296323"/>
      <w:r>
        <w:rPr>
          <w:rFonts w:hint="eastAsia" w:ascii="宋体" w:hAnsi="宋体"/>
        </w:rPr>
        <w:t>发包人应对其提供的测量基准点、基准线和水准点及其书面资料的真实性、准确性和完整性负责。承包人发现发包人提供的上述基准资料存在明显错误或疏忽的，应及时通知监理人。</w:t>
      </w:r>
    </w:p>
    <w:p w14:paraId="00A3E45A">
      <w:pPr>
        <w:keepNext/>
        <w:keepLines/>
        <w:spacing w:before="120" w:beforeLines="50" w:after="120" w:afterLines="50" w:line="360" w:lineRule="auto"/>
        <w:outlineLvl w:val="2"/>
        <w:rPr>
          <w:rFonts w:hint="eastAsia" w:ascii="宋体" w:hAnsi="宋体"/>
          <w:sz w:val="24"/>
          <w:szCs w:val="20"/>
        </w:rPr>
      </w:pPr>
      <w:r>
        <w:rPr>
          <w:rFonts w:ascii="宋体" w:hAnsi="宋体"/>
          <w:sz w:val="24"/>
          <w:szCs w:val="20"/>
        </w:rPr>
        <w:t xml:space="preserve">8.4  </w:t>
      </w:r>
      <w:r>
        <w:rPr>
          <w:rFonts w:hint="eastAsia" w:ascii="宋体" w:hAnsi="宋体"/>
          <w:sz w:val="24"/>
          <w:szCs w:val="20"/>
        </w:rPr>
        <w:t>监理人使用施工控制网</w:t>
      </w:r>
      <w:bookmarkEnd w:id="1279"/>
      <w:bookmarkEnd w:id="1280"/>
      <w:bookmarkEnd w:id="1281"/>
      <w:bookmarkEnd w:id="1282"/>
      <w:bookmarkEnd w:id="1283"/>
      <w:bookmarkEnd w:id="1284"/>
      <w:bookmarkEnd w:id="1285"/>
      <w:bookmarkEnd w:id="1286"/>
      <w:bookmarkEnd w:id="1287"/>
      <w:bookmarkEnd w:id="1288"/>
      <w:bookmarkEnd w:id="1289"/>
      <w:bookmarkEnd w:id="1290"/>
      <w:bookmarkEnd w:id="1291"/>
    </w:p>
    <w:p w14:paraId="2A7BEE38">
      <w:pPr>
        <w:spacing w:line="360" w:lineRule="auto"/>
        <w:ind w:firstLine="420" w:firstLineChars="200"/>
        <w:rPr>
          <w:rFonts w:hint="eastAsia" w:ascii="宋体" w:hAnsi="宋体"/>
          <w:dstrike/>
          <w:szCs w:val="21"/>
        </w:rPr>
      </w:pPr>
      <w:r>
        <w:rPr>
          <w:rFonts w:hint="eastAsia" w:ascii="宋体" w:hAnsi="宋体"/>
        </w:rPr>
        <w:t>监理人需要使用施工控制网的，承包人应提供必要的协助，发包人不再为此支付费用。</w:t>
      </w:r>
    </w:p>
    <w:p w14:paraId="6F6EA38C">
      <w:pPr>
        <w:keepNext/>
        <w:keepLines/>
        <w:spacing w:before="120" w:beforeLines="50" w:after="120" w:afterLines="50" w:line="360" w:lineRule="auto"/>
        <w:outlineLvl w:val="1"/>
        <w:rPr>
          <w:rFonts w:hint="eastAsia" w:ascii="宋体" w:hAnsi="宋体" w:cs="宋体"/>
          <w:sz w:val="28"/>
          <w:szCs w:val="20"/>
        </w:rPr>
      </w:pPr>
      <w:bookmarkStart w:id="1292" w:name="_Toc338944766"/>
      <w:bookmarkStart w:id="1293" w:name="_Toc117350474"/>
      <w:bookmarkStart w:id="1294" w:name="_Toc486580110"/>
      <w:bookmarkStart w:id="1295" w:name="_Toc342296324"/>
      <w:bookmarkStart w:id="1296" w:name="_Toc489279921"/>
      <w:bookmarkStart w:id="1297" w:name="_Toc480486792"/>
      <w:bookmarkStart w:id="1298" w:name="_Toc490222555"/>
      <w:bookmarkStart w:id="1299" w:name="_Toc480486964"/>
      <w:bookmarkStart w:id="1300" w:name="_Toc483668139"/>
      <w:r>
        <w:rPr>
          <w:rFonts w:ascii="宋体" w:hAnsi="宋体" w:cs="宋体"/>
          <w:sz w:val="28"/>
          <w:szCs w:val="20"/>
        </w:rPr>
        <w:t>9.</w:t>
      </w:r>
      <w:r>
        <w:rPr>
          <w:rFonts w:hint="eastAsia" w:ascii="宋体" w:hAnsi="宋体" w:cs="宋体"/>
          <w:sz w:val="28"/>
          <w:szCs w:val="20"/>
        </w:rPr>
        <w:t>施工安全、治安保卫和环境保护</w:t>
      </w:r>
      <w:bookmarkEnd w:id="1292"/>
      <w:bookmarkEnd w:id="1293"/>
      <w:bookmarkEnd w:id="1294"/>
      <w:bookmarkEnd w:id="1295"/>
      <w:bookmarkEnd w:id="1296"/>
      <w:bookmarkEnd w:id="1297"/>
      <w:bookmarkEnd w:id="1298"/>
      <w:bookmarkEnd w:id="1299"/>
      <w:bookmarkEnd w:id="1300"/>
    </w:p>
    <w:p w14:paraId="028528F6">
      <w:pPr>
        <w:keepNext/>
        <w:keepLines/>
        <w:spacing w:before="120" w:beforeLines="50" w:after="120" w:afterLines="50" w:line="360" w:lineRule="auto"/>
        <w:outlineLvl w:val="2"/>
        <w:rPr>
          <w:rFonts w:hint="eastAsia" w:ascii="宋体" w:hAnsi="宋体"/>
          <w:sz w:val="24"/>
          <w:szCs w:val="20"/>
        </w:rPr>
      </w:pPr>
      <w:bookmarkStart w:id="1301" w:name="_Toc486580111"/>
      <w:bookmarkStart w:id="1302" w:name="_Toc152045674"/>
      <w:bookmarkStart w:id="1303" w:name="_Toc489279922"/>
      <w:bookmarkStart w:id="1304" w:name="_Toc152042452"/>
      <w:bookmarkStart w:id="1305" w:name="_Toc144974642"/>
      <w:bookmarkStart w:id="1306" w:name="_Toc342296325"/>
      <w:bookmarkStart w:id="1307" w:name="_Toc338944767"/>
      <w:bookmarkStart w:id="1308" w:name="_Toc480486965"/>
      <w:bookmarkStart w:id="1309" w:name="_Toc117350475"/>
      <w:bookmarkStart w:id="1310" w:name="_Toc490222556"/>
      <w:bookmarkStart w:id="1311" w:name="_Toc483668140"/>
      <w:bookmarkStart w:id="1312" w:name="_Toc480486793"/>
      <w:bookmarkStart w:id="1313" w:name="_Toc179632692"/>
      <w:r>
        <w:rPr>
          <w:rFonts w:ascii="宋体" w:hAnsi="宋体"/>
          <w:sz w:val="24"/>
          <w:szCs w:val="20"/>
        </w:rPr>
        <w:t xml:space="preserve">9.1  </w:t>
      </w:r>
      <w:r>
        <w:rPr>
          <w:rFonts w:hint="eastAsia" w:ascii="宋体" w:hAnsi="宋体"/>
          <w:sz w:val="24"/>
          <w:szCs w:val="20"/>
        </w:rPr>
        <w:t>发包人的施工安全责任</w:t>
      </w:r>
      <w:bookmarkEnd w:id="1301"/>
      <w:bookmarkEnd w:id="1302"/>
      <w:bookmarkEnd w:id="1303"/>
      <w:bookmarkEnd w:id="1304"/>
      <w:bookmarkEnd w:id="1305"/>
      <w:bookmarkEnd w:id="1306"/>
      <w:bookmarkEnd w:id="1307"/>
      <w:bookmarkEnd w:id="1308"/>
      <w:bookmarkEnd w:id="1309"/>
      <w:bookmarkEnd w:id="1310"/>
      <w:bookmarkEnd w:id="1311"/>
      <w:bookmarkEnd w:id="1312"/>
      <w:bookmarkEnd w:id="1313"/>
    </w:p>
    <w:p w14:paraId="4981213C">
      <w:pPr>
        <w:spacing w:line="360" w:lineRule="auto"/>
        <w:ind w:firstLine="420" w:firstLineChars="200"/>
        <w:rPr>
          <w:rFonts w:hint="eastAsia" w:ascii="宋体" w:hAnsi="宋体"/>
        </w:rPr>
      </w:pPr>
      <w:r>
        <w:rPr>
          <w:rFonts w:ascii="宋体" w:hAnsi="宋体"/>
        </w:rPr>
        <w:t xml:space="preserve">9.1.1  </w:t>
      </w:r>
      <w:r>
        <w:rPr>
          <w:rFonts w:hint="eastAsia" w:ascii="宋体" w:hAnsi="宋体"/>
        </w:rPr>
        <w:t>发包人应按合同约定履行安全职责，授权监理人按合同约定的安全工作内容监督、检查承包人安全工作的实施，组织承包人和有关单位进行安全检查。</w:t>
      </w:r>
    </w:p>
    <w:p w14:paraId="79E4D9A8">
      <w:pPr>
        <w:spacing w:line="360" w:lineRule="auto"/>
        <w:ind w:firstLine="420" w:firstLineChars="200"/>
        <w:rPr>
          <w:rFonts w:hint="eastAsia" w:ascii="宋体" w:hAnsi="宋体"/>
        </w:rPr>
      </w:pPr>
      <w:r>
        <w:rPr>
          <w:rFonts w:ascii="宋体" w:hAnsi="宋体"/>
        </w:rPr>
        <w:t xml:space="preserve">9.1.2  </w:t>
      </w:r>
      <w:r>
        <w:rPr>
          <w:rFonts w:hint="eastAsia" w:ascii="宋体" w:hAnsi="宋体"/>
        </w:rPr>
        <w:t>发包人应对其现场机构雇佣的全部人员的工伤事故承担责任，但由于承包人原因造成发包人人员工伤的，应由承包人承担责任。</w:t>
      </w:r>
    </w:p>
    <w:p w14:paraId="5B7EF139">
      <w:pPr>
        <w:spacing w:line="360" w:lineRule="auto"/>
        <w:ind w:firstLine="420" w:firstLineChars="200"/>
        <w:rPr>
          <w:rFonts w:hint="eastAsia" w:ascii="宋体" w:hAnsi="宋体"/>
        </w:rPr>
      </w:pPr>
      <w:r>
        <w:rPr>
          <w:rFonts w:ascii="宋体" w:hAnsi="宋体"/>
        </w:rPr>
        <w:t xml:space="preserve">9.1.3  </w:t>
      </w:r>
      <w:r>
        <w:rPr>
          <w:rFonts w:hint="eastAsia" w:ascii="宋体" w:hAnsi="宋体"/>
        </w:rPr>
        <w:t>发包人应负责赔偿以下各种情况造成的第三者人身伤亡和财产损失：</w:t>
      </w:r>
    </w:p>
    <w:p w14:paraId="2FF906D4">
      <w:pPr>
        <w:spacing w:line="360" w:lineRule="auto"/>
        <w:ind w:firstLine="315" w:firstLineChars="150"/>
        <w:rPr>
          <w:rFonts w:hint="eastAsia" w:ascii="宋体" w:hAnsi="宋体"/>
        </w:rPr>
      </w:pPr>
      <w:r>
        <w:rPr>
          <w:rFonts w:hint="eastAsia" w:ascii="宋体" w:hAnsi="宋体"/>
        </w:rPr>
        <w:t>（</w:t>
      </w:r>
      <w:r>
        <w:rPr>
          <w:rFonts w:ascii="宋体" w:hAnsi="宋体"/>
        </w:rPr>
        <w:t>1</w:t>
      </w:r>
      <w:r>
        <w:rPr>
          <w:rFonts w:hint="eastAsia" w:ascii="宋体" w:hAnsi="宋体"/>
        </w:rPr>
        <w:t>）工程或工程的任何部分对土地的占用所造成的第三者财产损失；</w:t>
      </w:r>
    </w:p>
    <w:p w14:paraId="7F87B4CD">
      <w:pPr>
        <w:spacing w:line="360" w:lineRule="auto"/>
        <w:ind w:firstLine="315" w:firstLineChars="150"/>
        <w:rPr>
          <w:rFonts w:hint="eastAsia" w:ascii="宋体" w:hAnsi="宋体"/>
        </w:rPr>
      </w:pPr>
      <w:r>
        <w:rPr>
          <w:rFonts w:hint="eastAsia" w:ascii="宋体" w:hAnsi="宋体"/>
        </w:rPr>
        <w:t>（</w:t>
      </w:r>
      <w:r>
        <w:rPr>
          <w:rFonts w:ascii="宋体" w:hAnsi="宋体"/>
        </w:rPr>
        <w:t>2</w:t>
      </w:r>
      <w:r>
        <w:rPr>
          <w:rFonts w:hint="eastAsia" w:ascii="宋体" w:hAnsi="宋体"/>
        </w:rPr>
        <w:t>）由于发包人原因在施工场地及其毗邻地带造成的第三者人身伤亡和财产损失。</w:t>
      </w:r>
    </w:p>
    <w:p w14:paraId="143008BF">
      <w:pPr>
        <w:keepNext/>
        <w:keepLines/>
        <w:spacing w:before="120" w:beforeLines="50" w:after="120" w:afterLines="50" w:line="360" w:lineRule="auto"/>
        <w:outlineLvl w:val="2"/>
        <w:rPr>
          <w:rFonts w:hint="eastAsia" w:ascii="宋体" w:hAnsi="宋体"/>
          <w:sz w:val="24"/>
          <w:szCs w:val="20"/>
        </w:rPr>
      </w:pPr>
      <w:bookmarkStart w:id="1314" w:name="_Toc342296326"/>
      <w:bookmarkStart w:id="1315" w:name="_Toc489279923"/>
      <w:bookmarkStart w:id="1316" w:name="_Toc480486966"/>
      <w:bookmarkStart w:id="1317" w:name="_Toc117350476"/>
      <w:bookmarkStart w:id="1318" w:name="_Toc486580112"/>
      <w:bookmarkStart w:id="1319" w:name="_Toc490222557"/>
      <w:bookmarkStart w:id="1320" w:name="_Toc480486794"/>
      <w:bookmarkStart w:id="1321" w:name="_Toc338944768"/>
      <w:bookmarkStart w:id="1322" w:name="_Toc483668141"/>
      <w:r>
        <w:rPr>
          <w:rFonts w:ascii="宋体" w:hAnsi="宋体"/>
          <w:sz w:val="24"/>
          <w:szCs w:val="20"/>
        </w:rPr>
        <w:t xml:space="preserve">9.2  </w:t>
      </w:r>
      <w:r>
        <w:rPr>
          <w:rFonts w:hint="eastAsia" w:ascii="宋体" w:hAnsi="宋体"/>
          <w:sz w:val="24"/>
          <w:szCs w:val="20"/>
        </w:rPr>
        <w:t>承包人的施工安全责任</w:t>
      </w:r>
      <w:bookmarkEnd w:id="1314"/>
      <w:bookmarkEnd w:id="1315"/>
      <w:bookmarkEnd w:id="1316"/>
      <w:bookmarkEnd w:id="1317"/>
      <w:bookmarkEnd w:id="1318"/>
      <w:bookmarkEnd w:id="1319"/>
      <w:bookmarkEnd w:id="1320"/>
      <w:bookmarkEnd w:id="1321"/>
      <w:bookmarkEnd w:id="1322"/>
    </w:p>
    <w:p w14:paraId="11CC4D00">
      <w:pPr>
        <w:spacing w:line="360" w:lineRule="auto"/>
        <w:ind w:firstLine="420" w:firstLineChars="200"/>
        <w:rPr>
          <w:rFonts w:hint="eastAsia" w:ascii="宋体" w:hAnsi="宋体"/>
        </w:rPr>
      </w:pPr>
      <w:r>
        <w:rPr>
          <w:rFonts w:ascii="宋体" w:hAnsi="宋体"/>
        </w:rPr>
        <w:t xml:space="preserve">9.2.1  </w:t>
      </w:r>
      <w:r>
        <w:rPr>
          <w:rFonts w:hint="eastAsia" w:ascii="宋体" w:hAnsi="宋体"/>
        </w:rPr>
        <w:t>承包人应按合同约定履行安全职责</w:t>
      </w:r>
      <w:r>
        <w:rPr>
          <w:rFonts w:ascii="宋体" w:hAnsi="宋体"/>
        </w:rPr>
        <w:t>,</w:t>
      </w:r>
      <w:r>
        <w:rPr>
          <w:rFonts w:hint="eastAsia" w:ascii="宋体" w:hAnsi="宋体"/>
        </w:rPr>
        <w:t>执行监理人有关安全工作的指示</w:t>
      </w:r>
      <w:r>
        <w:rPr>
          <w:rFonts w:ascii="宋体" w:hAnsi="宋体"/>
        </w:rPr>
        <w:t>,</w:t>
      </w:r>
      <w:r>
        <w:rPr>
          <w:rFonts w:hint="eastAsia" w:ascii="宋体" w:hAnsi="宋体"/>
        </w:rPr>
        <w:t>并在合同条款专用部分约定的期限内，按合同约定的安全工作内容，编制施工安全措施计划报送监理人审批。监理人应在合同条款专用部分约定的期限内完成批复。</w:t>
      </w:r>
    </w:p>
    <w:p w14:paraId="65B2A2A8">
      <w:pPr>
        <w:spacing w:line="360" w:lineRule="auto"/>
        <w:ind w:firstLine="420" w:firstLineChars="200"/>
        <w:rPr>
          <w:rFonts w:hint="eastAsia" w:ascii="宋体" w:hAnsi="宋体"/>
        </w:rPr>
      </w:pPr>
      <w:r>
        <w:rPr>
          <w:rFonts w:ascii="宋体" w:hAnsi="宋体"/>
        </w:rPr>
        <w:t xml:space="preserve">9.2.2  </w:t>
      </w:r>
      <w:r>
        <w:rPr>
          <w:rFonts w:hint="eastAsia" w:ascii="宋体" w:hAnsi="宋体"/>
        </w:rPr>
        <w:t>承包人应加强施工作业安全管理，特别应加强易燃、易爆材料、火工器材、有毒与腐蚀性材料、行业挥发性有机物和其他危险品的管理，以及对爆破作业和地下工程施工等危险作业的管理。</w:t>
      </w:r>
    </w:p>
    <w:p w14:paraId="111706F0">
      <w:pPr>
        <w:spacing w:line="360" w:lineRule="auto"/>
        <w:ind w:firstLine="420" w:firstLineChars="200"/>
        <w:rPr>
          <w:rFonts w:hint="eastAsia" w:ascii="宋体" w:hAnsi="宋体"/>
        </w:rPr>
      </w:pPr>
      <w:r>
        <w:rPr>
          <w:rFonts w:ascii="宋体" w:hAnsi="宋体"/>
        </w:rPr>
        <w:t xml:space="preserve">9.2.3  </w:t>
      </w:r>
      <w:r>
        <w:rPr>
          <w:rFonts w:hint="eastAsia" w:ascii="宋体" w:hAnsi="宋体"/>
        </w:rPr>
        <w:t>承包人应严格按照国家安全标准制定施工安全操作规程，配备必要的安全生产和劳动保护设施，加强对承包人人员的安全教育，并发放安全工作手册和劳动保护用具。</w:t>
      </w:r>
    </w:p>
    <w:p w14:paraId="3B71DAFD">
      <w:pPr>
        <w:spacing w:line="360" w:lineRule="auto"/>
        <w:ind w:firstLine="420" w:firstLineChars="200"/>
        <w:rPr>
          <w:rFonts w:hint="eastAsia" w:ascii="宋体" w:hAnsi="宋体"/>
        </w:rPr>
      </w:pPr>
      <w:r>
        <w:rPr>
          <w:rFonts w:ascii="宋体" w:hAnsi="宋体"/>
        </w:rPr>
        <w:t xml:space="preserve">9.2.4  </w:t>
      </w:r>
      <w:r>
        <w:rPr>
          <w:rFonts w:hint="eastAsia" w:ascii="宋体" w:hAnsi="宋体"/>
        </w:rPr>
        <w:t>承包人应按监理人的指示制定应对灾害的紧急预案，报送监理人审批。承包人还应按预案做好安全检查，配置必要的救助物资和器材，切实保护好有关人员的人身和财产安全。</w:t>
      </w:r>
    </w:p>
    <w:p w14:paraId="19EADF6C">
      <w:pPr>
        <w:spacing w:line="360" w:lineRule="auto"/>
        <w:ind w:firstLine="420" w:firstLineChars="200"/>
        <w:rPr>
          <w:rFonts w:hint="eastAsia" w:ascii="宋体" w:hAnsi="宋体"/>
        </w:rPr>
      </w:pPr>
      <w:r>
        <w:rPr>
          <w:rFonts w:ascii="宋体" w:hAnsi="宋体"/>
        </w:rPr>
        <w:t xml:space="preserve">9.2.5  </w:t>
      </w:r>
      <w:r>
        <w:rPr>
          <w:rFonts w:hint="eastAsia" w:ascii="宋体" w:hAnsi="宋体"/>
        </w:rPr>
        <w:t>合同约定的安全作业环境及安全施工措施所需费用应遵守有关规定，并包括在相关工作的合同价格中。因采取合同未约定的安全作业环境及安全施工措施增加的费用，由监理人按第</w:t>
      </w:r>
      <w:r>
        <w:rPr>
          <w:rFonts w:ascii="宋体" w:hAnsi="宋体"/>
        </w:rPr>
        <w:t>3.5</w:t>
      </w:r>
      <w:r>
        <w:rPr>
          <w:rFonts w:hint="eastAsia" w:ascii="宋体" w:hAnsi="宋体"/>
        </w:rPr>
        <w:t>款商定或确定。</w:t>
      </w:r>
    </w:p>
    <w:p w14:paraId="6289FEF6">
      <w:pPr>
        <w:spacing w:line="360" w:lineRule="auto"/>
        <w:ind w:firstLine="420" w:firstLineChars="200"/>
        <w:rPr>
          <w:rFonts w:hint="eastAsia" w:ascii="宋体" w:hAnsi="宋体"/>
        </w:rPr>
      </w:pPr>
      <w:r>
        <w:rPr>
          <w:rFonts w:ascii="宋体" w:hAnsi="宋体"/>
        </w:rPr>
        <w:t xml:space="preserve">9.2.6  </w:t>
      </w:r>
      <w:r>
        <w:rPr>
          <w:rFonts w:hint="eastAsia" w:ascii="宋体" w:hAnsi="宋体"/>
        </w:rPr>
        <w:t>承包人应对其履行合同所雇佣的全部人员，包括分包人人员的工伤事故承担责任，但由于发包人原因造成承包人人员工伤事故的，应由发包人承担责任。</w:t>
      </w:r>
    </w:p>
    <w:p w14:paraId="6306FD34">
      <w:pPr>
        <w:spacing w:line="360" w:lineRule="auto"/>
        <w:ind w:firstLine="420" w:firstLineChars="200"/>
        <w:rPr>
          <w:rFonts w:hint="eastAsia" w:ascii="宋体" w:hAnsi="宋体"/>
        </w:rPr>
      </w:pPr>
      <w:r>
        <w:rPr>
          <w:rFonts w:ascii="宋体" w:hAnsi="宋体"/>
        </w:rPr>
        <w:t xml:space="preserve">9.2.7  </w:t>
      </w:r>
      <w:r>
        <w:rPr>
          <w:rFonts w:hint="eastAsia" w:ascii="宋体" w:hAnsi="宋体"/>
        </w:rPr>
        <w:t>由于承包人原因在施工场地内及其毗邻地带造成的第三者人员伤亡和财产损失，由承包人负责赔偿。</w:t>
      </w:r>
    </w:p>
    <w:p w14:paraId="1E2CABEE">
      <w:pPr>
        <w:keepNext/>
        <w:keepLines/>
        <w:spacing w:before="120" w:beforeLines="50" w:after="120" w:afterLines="50" w:line="360" w:lineRule="auto"/>
        <w:outlineLvl w:val="2"/>
        <w:rPr>
          <w:rFonts w:hint="eastAsia" w:ascii="宋体" w:hAnsi="宋体"/>
          <w:sz w:val="24"/>
          <w:szCs w:val="20"/>
        </w:rPr>
      </w:pPr>
      <w:bookmarkStart w:id="1323" w:name="_Toc342296327"/>
      <w:bookmarkStart w:id="1324" w:name="_Toc490222558"/>
      <w:bookmarkStart w:id="1325" w:name="_Toc480486967"/>
      <w:bookmarkStart w:id="1326" w:name="_Toc489279924"/>
      <w:bookmarkStart w:id="1327" w:name="_Toc486580113"/>
      <w:bookmarkStart w:id="1328" w:name="_Toc117350477"/>
      <w:bookmarkStart w:id="1329" w:name="_Toc483668142"/>
      <w:bookmarkStart w:id="1330" w:name="_Toc480486795"/>
      <w:bookmarkStart w:id="1331" w:name="_Toc338944769"/>
      <w:r>
        <w:rPr>
          <w:rFonts w:ascii="宋体" w:hAnsi="宋体"/>
          <w:sz w:val="24"/>
          <w:szCs w:val="20"/>
        </w:rPr>
        <w:t xml:space="preserve">9.3  </w:t>
      </w:r>
      <w:r>
        <w:rPr>
          <w:rFonts w:hint="eastAsia" w:ascii="宋体" w:hAnsi="宋体"/>
          <w:sz w:val="24"/>
          <w:szCs w:val="20"/>
        </w:rPr>
        <w:t>治安保卫</w:t>
      </w:r>
      <w:bookmarkEnd w:id="1323"/>
      <w:bookmarkEnd w:id="1324"/>
      <w:bookmarkEnd w:id="1325"/>
      <w:bookmarkEnd w:id="1326"/>
      <w:bookmarkEnd w:id="1327"/>
      <w:bookmarkEnd w:id="1328"/>
      <w:bookmarkEnd w:id="1329"/>
      <w:bookmarkEnd w:id="1330"/>
      <w:bookmarkEnd w:id="1331"/>
    </w:p>
    <w:p w14:paraId="32CC7C7D">
      <w:pPr>
        <w:spacing w:line="360" w:lineRule="auto"/>
        <w:ind w:firstLine="420" w:firstLineChars="200"/>
        <w:rPr>
          <w:rFonts w:hint="eastAsia" w:ascii="宋体" w:hAnsi="宋体"/>
        </w:rPr>
      </w:pPr>
      <w:r>
        <w:rPr>
          <w:rFonts w:ascii="宋体" w:hAnsi="宋体"/>
        </w:rPr>
        <w:t xml:space="preserve">9.3.1  </w:t>
      </w:r>
      <w:r>
        <w:rPr>
          <w:rFonts w:hint="eastAsia" w:ascii="宋体" w:hAnsi="宋体"/>
        </w:rPr>
        <w:t>发包人应与当地公安部门协商，在现场建立治安管理机构或联防组织，负责统一管理施工场地的治安保卫事项，履行合同工程的治安保卫职责。</w:t>
      </w:r>
    </w:p>
    <w:p w14:paraId="69D095A2">
      <w:pPr>
        <w:spacing w:line="360" w:lineRule="auto"/>
        <w:ind w:firstLine="420" w:firstLineChars="200"/>
        <w:rPr>
          <w:rFonts w:hint="eastAsia" w:ascii="宋体" w:hAnsi="宋体"/>
        </w:rPr>
      </w:pPr>
      <w:r>
        <w:rPr>
          <w:rFonts w:ascii="宋体" w:hAnsi="宋体"/>
        </w:rPr>
        <w:t xml:space="preserve">9.3.2  </w:t>
      </w:r>
      <w:r>
        <w:rPr>
          <w:rFonts w:hint="eastAsia" w:ascii="宋体" w:hAnsi="宋体"/>
        </w:rPr>
        <w:t>发包人和承包人除应协助现场治安管理机构或联防组织维护施工场地的社会治安外，还应做好包括生活区在内的各自管辖区的治安保卫工作。</w:t>
      </w:r>
    </w:p>
    <w:p w14:paraId="020959F9">
      <w:pPr>
        <w:spacing w:line="360" w:lineRule="auto"/>
        <w:ind w:firstLine="420" w:firstLineChars="200"/>
        <w:rPr>
          <w:rFonts w:hint="eastAsia" w:ascii="宋体" w:hAnsi="宋体"/>
        </w:rPr>
      </w:pPr>
      <w:r>
        <w:rPr>
          <w:rFonts w:ascii="宋体" w:hAnsi="宋体"/>
        </w:rPr>
        <w:t xml:space="preserve">9.3.3  </w:t>
      </w:r>
      <w:r>
        <w:rPr>
          <w:rFonts w:hint="eastAsia" w:ascii="宋体" w:hAnsi="宋体"/>
        </w:rPr>
        <w:t>在工程开工前应当明确责任人编制施工场地治安管理计划，并制定应对突发治安事件的紧急预案。在工程施工过程中，发生暴乱、爆炸等恐怖事件，以及群殴、械斗等群体性突发治安事件的，发包人和承包人应立即向当地政府报告。发包人和承包人应积极协助当地有关部门采取措施平息事态，防止事态扩大，尽量减少财产损失和避免人员伤亡。制定</w:t>
      </w:r>
      <w:r>
        <w:rPr>
          <w:rFonts w:hint="eastAsia" w:ascii="宋体" w:hAnsi="宋体"/>
          <w:szCs w:val="21"/>
        </w:rPr>
        <w:t>施工场地治安管理计划和突发治安事件紧急预案的责任人</w:t>
      </w:r>
      <w:r>
        <w:rPr>
          <w:rFonts w:hint="eastAsia" w:ascii="宋体" w:hAnsi="宋体"/>
        </w:rPr>
        <w:t>见合同条款专用部分。</w:t>
      </w:r>
    </w:p>
    <w:p w14:paraId="3BCD4B12">
      <w:pPr>
        <w:spacing w:line="360" w:lineRule="auto"/>
        <w:ind w:firstLine="420" w:firstLineChars="200"/>
        <w:rPr>
          <w:rFonts w:hint="eastAsia" w:ascii="宋体" w:hAnsi="宋体" w:cs="宋体"/>
        </w:rPr>
      </w:pPr>
      <w:r>
        <w:rPr>
          <w:rFonts w:ascii="宋体" w:hAnsi="宋体" w:cs="宋体"/>
        </w:rPr>
        <w:t xml:space="preserve">9.3.4  </w:t>
      </w:r>
      <w:r>
        <w:rPr>
          <w:rFonts w:hint="eastAsia" w:ascii="宋体" w:hAnsi="宋体" w:cs="宋体"/>
        </w:rPr>
        <w:t>建立健全疫情常态化防控应急机制，始终坚持疫情常态化防控和应急处置相结合的原则，按照项目所在地分区分级标准及时制定完善应急预案，明确应急处置流程，适时开展应急演练，确保责任落实到人。</w:t>
      </w:r>
    </w:p>
    <w:p w14:paraId="4DC5D26C">
      <w:pPr>
        <w:spacing w:line="360" w:lineRule="auto"/>
        <w:ind w:firstLine="420" w:firstLineChars="200"/>
        <w:rPr>
          <w:rFonts w:hint="eastAsia" w:ascii="宋体" w:hAnsi="宋体" w:cs="宋体"/>
        </w:rPr>
      </w:pPr>
      <w:r>
        <w:rPr>
          <w:rFonts w:hint="eastAsia" w:ascii="宋体" w:hAnsi="宋体" w:cs="宋体"/>
        </w:rPr>
        <w:t>建立联防联控机制，对接属地社区、卫生健康、疾控等部门，全面落实各项疫情常态化防控措施。发生涉疫情况，应第一时间向有关部门报告、第一时间启动应急预案、第一时间采取停工措施并封闭现场；并按照应急预案和相关规定进行先期处置，安排涉疫人员至隔离观察区域，与现场其他人员进行隔离，并安排专人负责卫生健康、疾控等部门防控专业人员的进场引导工作，保障急救通道畅通；同时积极配合卫生健康、疾控等部门做好流行病学调查、医学观察，对现场进行全面消杀。</w:t>
      </w:r>
    </w:p>
    <w:p w14:paraId="392664C2">
      <w:pPr>
        <w:keepNext/>
        <w:keepLines/>
        <w:spacing w:before="120" w:beforeLines="50" w:after="120" w:afterLines="50" w:line="360" w:lineRule="auto"/>
        <w:outlineLvl w:val="2"/>
        <w:rPr>
          <w:rFonts w:hint="eastAsia" w:ascii="宋体" w:hAnsi="宋体"/>
          <w:sz w:val="24"/>
          <w:szCs w:val="20"/>
        </w:rPr>
      </w:pPr>
      <w:bookmarkStart w:id="1332" w:name="_Toc489279925"/>
      <w:bookmarkStart w:id="1333" w:name="_Toc480486796"/>
      <w:bookmarkStart w:id="1334" w:name="_Toc486580114"/>
      <w:bookmarkStart w:id="1335" w:name="_Toc490222559"/>
      <w:bookmarkStart w:id="1336" w:name="_Toc117350478"/>
      <w:bookmarkStart w:id="1337" w:name="_Toc342296328"/>
      <w:bookmarkStart w:id="1338" w:name="_Toc338944770"/>
      <w:bookmarkStart w:id="1339" w:name="_Toc483668143"/>
      <w:bookmarkStart w:id="1340" w:name="_Toc480486968"/>
      <w:r>
        <w:rPr>
          <w:rFonts w:ascii="宋体" w:hAnsi="宋体"/>
          <w:sz w:val="24"/>
          <w:szCs w:val="20"/>
        </w:rPr>
        <w:t xml:space="preserve">9.4  </w:t>
      </w:r>
      <w:r>
        <w:rPr>
          <w:rFonts w:hint="eastAsia" w:ascii="宋体" w:hAnsi="宋体"/>
          <w:sz w:val="24"/>
          <w:szCs w:val="20"/>
        </w:rPr>
        <w:t>环境保护</w:t>
      </w:r>
      <w:bookmarkEnd w:id="1332"/>
      <w:bookmarkEnd w:id="1333"/>
      <w:bookmarkEnd w:id="1334"/>
      <w:bookmarkEnd w:id="1335"/>
      <w:bookmarkEnd w:id="1336"/>
      <w:bookmarkEnd w:id="1337"/>
      <w:bookmarkEnd w:id="1338"/>
      <w:bookmarkEnd w:id="1339"/>
      <w:bookmarkEnd w:id="1340"/>
    </w:p>
    <w:p w14:paraId="10F4330E">
      <w:pPr>
        <w:spacing w:line="360" w:lineRule="auto"/>
        <w:ind w:firstLine="420" w:firstLineChars="200"/>
        <w:rPr>
          <w:rFonts w:hint="eastAsia" w:ascii="宋体" w:hAnsi="宋体"/>
        </w:rPr>
      </w:pPr>
      <w:r>
        <w:rPr>
          <w:rFonts w:ascii="宋体" w:hAnsi="宋体"/>
        </w:rPr>
        <w:t xml:space="preserve">9.4.1  </w:t>
      </w:r>
      <w:r>
        <w:rPr>
          <w:rFonts w:hint="eastAsia" w:ascii="宋体" w:hAnsi="宋体"/>
        </w:rPr>
        <w:t>承包人在施工过程中，应遵守有关环境保护的法律，履行合同约定的环境保护义务，并对违反法律和合同约定义务所造成的环境破坏、人身伤害和财产损失负责。</w:t>
      </w:r>
    </w:p>
    <w:p w14:paraId="03576BFE">
      <w:pPr>
        <w:spacing w:line="360" w:lineRule="auto"/>
        <w:ind w:firstLine="420" w:firstLineChars="200"/>
        <w:rPr>
          <w:rFonts w:hint="eastAsia" w:ascii="宋体" w:hAnsi="宋体"/>
        </w:rPr>
      </w:pPr>
      <w:r>
        <w:rPr>
          <w:rFonts w:ascii="宋体" w:hAnsi="宋体"/>
        </w:rPr>
        <w:t xml:space="preserve">9.4.2  </w:t>
      </w:r>
      <w:r>
        <w:rPr>
          <w:rFonts w:hint="eastAsia" w:ascii="宋体" w:hAnsi="宋体"/>
        </w:rPr>
        <w:t>承包人应建立</w:t>
      </w:r>
      <w:r>
        <w:rPr>
          <w:rFonts w:hint="eastAsia" w:ascii="宋体" w:hAnsi="宋体"/>
          <w:szCs w:val="21"/>
        </w:rPr>
        <w:t>施工扬尘治理、建筑垃圾、土方和砂石清运与消纳、保证使用已在本市进行信息编码登记符合排放标准的非道路移动机械和严禁使用高排放非道路移动机械以及行业挥发性有机物治理（如</w:t>
      </w:r>
      <w:r>
        <w:rPr>
          <w:rFonts w:hint="eastAsia" w:ascii="宋体" w:hAnsi="宋体"/>
        </w:rPr>
        <w:t>建筑外墙涂装、钢结构等鼓励使用水性漆替代油性漆</w:t>
      </w:r>
      <w:r>
        <w:rPr>
          <w:rFonts w:hint="eastAsia" w:ascii="宋体" w:hAnsi="宋体"/>
          <w:szCs w:val="21"/>
        </w:rPr>
        <w:t>）等</w:t>
      </w:r>
      <w:r>
        <w:rPr>
          <w:rFonts w:hint="eastAsia" w:ascii="宋体" w:hAnsi="宋体"/>
        </w:rPr>
        <w:t>责任制，针对工程项目特点制定具体的实施方案，并严格实施。如扬尘治理，承包人应在建筑工地公示施工扬尘治理措施、责任人、主管部门等信息，并及时向当地主管部门报送施工扬尘治理措施落实情况。</w:t>
      </w:r>
    </w:p>
    <w:p w14:paraId="4BD6A2D3">
      <w:pPr>
        <w:spacing w:line="360" w:lineRule="auto"/>
        <w:ind w:firstLine="420" w:firstLineChars="200"/>
        <w:rPr>
          <w:rFonts w:hint="eastAsia" w:ascii="宋体" w:hAnsi="宋体"/>
        </w:rPr>
      </w:pPr>
      <w:r>
        <w:rPr>
          <w:rFonts w:ascii="宋体" w:hAnsi="宋体"/>
        </w:rPr>
        <w:t xml:space="preserve">9.4.3  </w:t>
      </w:r>
      <w:r>
        <w:rPr>
          <w:rFonts w:hint="eastAsia" w:ascii="宋体" w:hAnsi="宋体"/>
        </w:rPr>
        <w:t>承包人应在合同条款专用部分约定的时限内，按合同约定的环保工作内容，编制施工环保措施计划（包含第</w:t>
      </w:r>
      <w:r>
        <w:rPr>
          <w:rFonts w:ascii="宋体" w:hAnsi="宋体"/>
        </w:rPr>
        <w:t>9.4.2</w:t>
      </w:r>
      <w:r>
        <w:rPr>
          <w:rFonts w:hint="eastAsia" w:ascii="宋体" w:hAnsi="宋体"/>
        </w:rPr>
        <w:t>项约定的实施方案内容），报送监理人审批。监理人在合同条款专用部分约定的期限内给予批复。</w:t>
      </w:r>
    </w:p>
    <w:p w14:paraId="0431514C">
      <w:pPr>
        <w:spacing w:line="360" w:lineRule="auto"/>
        <w:ind w:firstLine="420" w:firstLineChars="200"/>
        <w:rPr>
          <w:rFonts w:hint="eastAsia" w:ascii="宋体" w:hAnsi="宋体"/>
        </w:rPr>
      </w:pPr>
      <w:r>
        <w:rPr>
          <w:rFonts w:ascii="宋体" w:hAnsi="宋体"/>
        </w:rPr>
        <w:t xml:space="preserve">9.4.4  </w:t>
      </w:r>
      <w:r>
        <w:rPr>
          <w:rFonts w:hint="eastAsia" w:ascii="宋体" w:hAnsi="宋体"/>
        </w:rPr>
        <w:t>承包人应按照批准的施工环保措施计划有序地堆放和处理施工废弃物</w:t>
      </w:r>
      <w:r>
        <w:rPr>
          <w:rFonts w:hint="eastAsia" w:ascii="宋体" w:hAnsi="宋体"/>
          <w:szCs w:val="21"/>
        </w:rPr>
        <w:t>，</w:t>
      </w:r>
      <w:r>
        <w:rPr>
          <w:rFonts w:hint="eastAsia" w:ascii="宋体" w:hAnsi="宋体"/>
        </w:rPr>
        <w:t>避免对环境造成破坏。因承包人任意堆放或弃置施工废弃物造成妨碍公共交通、影响城镇居民生活、降低河流行洪能力、危及居民安全、破坏和污染环境，或者影响其他承包人施工等后果的，承包人应承担责任。</w:t>
      </w:r>
    </w:p>
    <w:p w14:paraId="73087F83">
      <w:pPr>
        <w:spacing w:line="360" w:lineRule="auto"/>
        <w:ind w:firstLine="420" w:firstLineChars="200"/>
        <w:rPr>
          <w:rFonts w:hint="eastAsia" w:ascii="宋体" w:hAnsi="宋体"/>
        </w:rPr>
      </w:pPr>
      <w:r>
        <w:rPr>
          <w:rFonts w:ascii="宋体" w:hAnsi="宋体"/>
        </w:rPr>
        <w:t xml:space="preserve">9.4.5  </w:t>
      </w:r>
      <w:r>
        <w:rPr>
          <w:rFonts w:hint="eastAsia" w:ascii="宋体" w:hAnsi="宋体"/>
        </w:rPr>
        <w:t>承包人应按合同约定采取有效措施，对施工开挖的边坡及时进行支护</w:t>
      </w:r>
      <w:r>
        <w:rPr>
          <w:rFonts w:ascii="宋体" w:hAnsi="宋体"/>
        </w:rPr>
        <w:t>,</w:t>
      </w:r>
      <w:r>
        <w:rPr>
          <w:rFonts w:hint="eastAsia" w:ascii="宋体" w:hAnsi="宋体"/>
        </w:rPr>
        <w:t>维护排水设施，并进行水土保护，避免因施工造成的地质灾害。</w:t>
      </w:r>
    </w:p>
    <w:p w14:paraId="2810B98E">
      <w:pPr>
        <w:spacing w:line="360" w:lineRule="auto"/>
        <w:ind w:firstLine="420" w:firstLineChars="200"/>
        <w:rPr>
          <w:rFonts w:hint="eastAsia" w:ascii="宋体" w:hAnsi="宋体"/>
        </w:rPr>
      </w:pPr>
      <w:r>
        <w:rPr>
          <w:rFonts w:ascii="宋体" w:hAnsi="宋体"/>
        </w:rPr>
        <w:t xml:space="preserve">9.4.6  </w:t>
      </w:r>
      <w:r>
        <w:rPr>
          <w:rFonts w:hint="eastAsia" w:ascii="宋体" w:hAnsi="宋体"/>
        </w:rPr>
        <w:t>承包人应按国家饮用水管理标准定期对饮用水源进行监测，防止施工活动污染饮用水源。</w:t>
      </w:r>
    </w:p>
    <w:p w14:paraId="24AB44E5">
      <w:pPr>
        <w:spacing w:line="360" w:lineRule="auto"/>
        <w:ind w:firstLine="424" w:firstLineChars="202"/>
        <w:rPr>
          <w:rFonts w:hint="eastAsia" w:ascii="宋体" w:hAnsi="宋体"/>
        </w:rPr>
      </w:pPr>
      <w:r>
        <w:rPr>
          <w:rFonts w:ascii="宋体" w:hAnsi="宋体"/>
        </w:rPr>
        <w:t xml:space="preserve">9.4.7  </w:t>
      </w:r>
      <w:r>
        <w:rPr>
          <w:rFonts w:hint="eastAsia" w:ascii="宋体" w:hAnsi="宋体"/>
        </w:rPr>
        <w:t>承包人应按合同约定，加强对噪声、粉尘、废气、废水和废油的控制，努力降低噪声，控制粉尘和废气浓度，做好废水和废油的治理和排放。</w:t>
      </w:r>
    </w:p>
    <w:p w14:paraId="597EC388">
      <w:pPr>
        <w:keepNext/>
        <w:keepLines/>
        <w:spacing w:before="120" w:beforeLines="50" w:after="120" w:afterLines="50" w:line="360" w:lineRule="auto"/>
        <w:outlineLvl w:val="2"/>
        <w:rPr>
          <w:rFonts w:hint="eastAsia" w:ascii="宋体" w:hAnsi="宋体"/>
          <w:sz w:val="24"/>
          <w:szCs w:val="20"/>
        </w:rPr>
      </w:pPr>
      <w:bookmarkStart w:id="1341" w:name="_Toc152042456"/>
      <w:bookmarkStart w:id="1342" w:name="_Toc179632696"/>
      <w:bookmarkStart w:id="1343" w:name="_Toc483668144"/>
      <w:bookmarkStart w:id="1344" w:name="_Toc144974646"/>
      <w:bookmarkStart w:id="1345" w:name="_Toc486580115"/>
      <w:bookmarkStart w:id="1346" w:name="_Toc489279926"/>
      <w:bookmarkStart w:id="1347" w:name="_Toc152045678"/>
      <w:bookmarkStart w:id="1348" w:name="_Toc338944771"/>
      <w:bookmarkStart w:id="1349" w:name="_Toc342296329"/>
      <w:bookmarkStart w:id="1350" w:name="_Toc480486797"/>
      <w:bookmarkStart w:id="1351" w:name="_Toc117350479"/>
      <w:bookmarkStart w:id="1352" w:name="_Toc480486969"/>
      <w:bookmarkStart w:id="1353" w:name="_Toc490222560"/>
      <w:r>
        <w:rPr>
          <w:rFonts w:ascii="宋体" w:hAnsi="宋体"/>
          <w:sz w:val="24"/>
          <w:szCs w:val="20"/>
        </w:rPr>
        <w:t xml:space="preserve">9.5  </w:t>
      </w:r>
      <w:r>
        <w:rPr>
          <w:rFonts w:hint="eastAsia" w:ascii="宋体" w:hAnsi="宋体"/>
          <w:sz w:val="24"/>
          <w:szCs w:val="20"/>
        </w:rPr>
        <w:t>事故处理</w:t>
      </w:r>
      <w:bookmarkEnd w:id="1341"/>
      <w:bookmarkEnd w:id="1342"/>
      <w:bookmarkEnd w:id="1343"/>
      <w:bookmarkEnd w:id="1344"/>
      <w:bookmarkEnd w:id="1345"/>
      <w:bookmarkEnd w:id="1346"/>
      <w:bookmarkEnd w:id="1347"/>
      <w:bookmarkEnd w:id="1348"/>
      <w:bookmarkEnd w:id="1349"/>
      <w:bookmarkEnd w:id="1350"/>
      <w:bookmarkEnd w:id="1351"/>
      <w:bookmarkEnd w:id="1352"/>
      <w:bookmarkEnd w:id="1353"/>
    </w:p>
    <w:p w14:paraId="6F20170A">
      <w:pPr>
        <w:spacing w:line="360" w:lineRule="auto"/>
        <w:ind w:firstLine="420" w:firstLineChars="200"/>
        <w:rPr>
          <w:rFonts w:hint="eastAsia" w:ascii="宋体" w:hAnsi="宋体"/>
        </w:rPr>
      </w:pPr>
      <w:r>
        <w:rPr>
          <w:rFonts w:hint="eastAsia" w:ascii="宋体" w:hAnsi="宋体"/>
        </w:rPr>
        <w:t>工程施工过程中发生事故的，承包人应立即通知监理人，监理人应立即通知发包人。发包人和承包人应立即组织人员和设备进行紧急抢救和抢修，减少人员伤亡和财产损失，防止事故扩大，并保护事故现场。需要移动现场物品时，应作出标记和书面记录，妥善保管有关证据。发包人和承包人应按国家有关规定，及时如实地向有关部门报告事故发生的情况，以及正在采取的紧急措施等。</w:t>
      </w:r>
    </w:p>
    <w:p w14:paraId="3D20C448">
      <w:pPr>
        <w:keepNext/>
        <w:keepLines/>
        <w:spacing w:before="120" w:beforeLines="50" w:after="120" w:afterLines="50" w:line="360" w:lineRule="auto"/>
        <w:outlineLvl w:val="2"/>
        <w:rPr>
          <w:rFonts w:hint="eastAsia" w:ascii="宋体" w:hAnsi="宋体"/>
          <w:sz w:val="24"/>
          <w:szCs w:val="20"/>
        </w:rPr>
      </w:pPr>
      <w:bookmarkStart w:id="1354" w:name="_Toc117350480"/>
      <w:r>
        <w:rPr>
          <w:rFonts w:ascii="宋体" w:hAnsi="宋体"/>
          <w:sz w:val="24"/>
          <w:szCs w:val="20"/>
        </w:rPr>
        <w:t xml:space="preserve">9.6  </w:t>
      </w:r>
      <w:r>
        <w:rPr>
          <w:rFonts w:hint="eastAsia" w:ascii="宋体" w:hAnsi="宋体"/>
          <w:sz w:val="24"/>
          <w:szCs w:val="20"/>
        </w:rPr>
        <w:t>施工现场安全生产标准化管理目标</w:t>
      </w:r>
      <w:bookmarkEnd w:id="1354"/>
    </w:p>
    <w:p w14:paraId="2D16DC7E">
      <w:pPr>
        <w:spacing w:line="360" w:lineRule="auto"/>
        <w:ind w:firstLine="420" w:firstLineChars="200"/>
        <w:rPr>
          <w:rFonts w:hint="eastAsia" w:ascii="宋体" w:hAnsi="宋体"/>
        </w:rPr>
      </w:pPr>
      <w:r>
        <w:rPr>
          <w:rFonts w:ascii="宋体" w:hAnsi="宋体"/>
        </w:rPr>
        <w:t>9.6.1</w:t>
      </w:r>
      <w:r>
        <w:rPr>
          <w:rFonts w:hint="eastAsia" w:ascii="宋体" w:hAnsi="宋体"/>
        </w:rPr>
        <w:t>由于承包人原因，施工现场安全生产标准化评定、认定等级未达到合同协议书中约定的管理目标等级但“达标（合格）”的，承包人应当向发包人支付未达到合同协议书中约定的安全生产标准化管理目标等级的违约金或损失赔偿金。未达到合同协议书中约定的安全生产标准化管理目标等级的违约金或损失赔偿金的金额或者计算方法见合同条款专用部分。</w:t>
      </w:r>
    </w:p>
    <w:p w14:paraId="61159B8C">
      <w:pPr>
        <w:spacing w:line="360" w:lineRule="auto"/>
        <w:ind w:firstLine="420" w:firstLineChars="200"/>
        <w:rPr>
          <w:rFonts w:hint="eastAsia" w:ascii="宋体" w:hAnsi="宋体"/>
        </w:rPr>
      </w:pPr>
      <w:r>
        <w:rPr>
          <w:rFonts w:ascii="宋体" w:hAnsi="宋体"/>
        </w:rPr>
        <w:t xml:space="preserve">9.6.2 </w:t>
      </w:r>
      <w:r>
        <w:rPr>
          <w:rFonts w:hint="eastAsia" w:ascii="宋体" w:hAnsi="宋体"/>
        </w:rPr>
        <w:t>发包人鼓励承包人提高施工现场安全生产标准化管理。施工现场安全生产标准化评定、认定等级高于合同协议书中约定的管理目标等级的，发包人可给予承包人创优奖励。发包人是否给予承包人创优奖励及创优奖励金额或者计算方法见合同条款专用部分。</w:t>
      </w:r>
    </w:p>
    <w:p w14:paraId="14FD3888">
      <w:pPr>
        <w:keepNext/>
        <w:keepLines/>
        <w:tabs>
          <w:tab w:val="left" w:pos="567"/>
        </w:tabs>
        <w:spacing w:before="120" w:beforeLines="50" w:after="120" w:afterLines="50" w:line="360" w:lineRule="auto"/>
        <w:outlineLvl w:val="2"/>
        <w:rPr>
          <w:rFonts w:hint="eastAsia" w:ascii="宋体" w:hAnsi="宋体"/>
          <w:sz w:val="24"/>
          <w:szCs w:val="20"/>
        </w:rPr>
      </w:pPr>
      <w:bookmarkStart w:id="1355" w:name="_Toc117350481"/>
      <w:r>
        <w:rPr>
          <w:rFonts w:ascii="宋体" w:hAnsi="宋体"/>
          <w:sz w:val="24"/>
          <w:szCs w:val="20"/>
        </w:rPr>
        <w:t xml:space="preserve">9.7  </w:t>
      </w:r>
      <w:r>
        <w:rPr>
          <w:rFonts w:hint="eastAsia" w:ascii="宋体" w:hAnsi="宋体"/>
          <w:sz w:val="24"/>
          <w:szCs w:val="20"/>
        </w:rPr>
        <w:t>特殊安全文明施工</w:t>
      </w:r>
      <w:bookmarkEnd w:id="1355"/>
    </w:p>
    <w:p w14:paraId="516E77BF">
      <w:pPr>
        <w:spacing w:line="360" w:lineRule="auto"/>
        <w:ind w:firstLine="420" w:firstLineChars="200"/>
        <w:rPr>
          <w:rFonts w:hint="eastAsia" w:ascii="宋体" w:hAnsi="宋体"/>
        </w:rPr>
      </w:pPr>
      <w:r>
        <w:rPr>
          <w:rFonts w:ascii="宋体" w:hAnsi="宋体"/>
        </w:rPr>
        <w:t>9.7.1</w:t>
      </w:r>
      <w:r>
        <w:rPr>
          <w:rFonts w:hint="eastAsia" w:ascii="宋体" w:hAnsi="宋体"/>
        </w:rPr>
        <w:t>由于承包人原因，特殊安全文明施工要求未达到合同约定的要求，承包人应当向发包人支付未达到合同约定的特殊安全文明施工要求的违约金或损失赔偿金。未达到合同约定的特殊安全文明施工要求的违约金或损失赔偿金的金额或者计算方法见合同条款专用部分。</w:t>
      </w:r>
    </w:p>
    <w:p w14:paraId="15F4B906">
      <w:pPr>
        <w:spacing w:line="360" w:lineRule="auto"/>
        <w:ind w:firstLine="420" w:firstLineChars="200"/>
        <w:rPr>
          <w:rFonts w:hint="eastAsia" w:ascii="宋体" w:hAnsi="宋体"/>
        </w:rPr>
      </w:pPr>
      <w:r>
        <w:rPr>
          <w:rFonts w:ascii="宋体" w:hAnsi="宋体"/>
        </w:rPr>
        <w:t xml:space="preserve">9.7.2 </w:t>
      </w:r>
      <w:r>
        <w:rPr>
          <w:rFonts w:hint="eastAsia" w:ascii="宋体" w:hAnsi="宋体"/>
        </w:rPr>
        <w:t>发包人鼓励承包人提高特殊安全文明施工要求。特殊安全文明施工要求高于合同约定的要求，发包人可给予承包人创优奖励。发包人是否给予承包人创优奖励及创优奖励金额或者计算方法见合同条款专用部分。</w:t>
      </w:r>
    </w:p>
    <w:p w14:paraId="686ADE77">
      <w:pPr>
        <w:keepNext/>
        <w:keepLines/>
        <w:spacing w:before="120" w:beforeLines="50" w:after="120" w:afterLines="50" w:line="360" w:lineRule="auto"/>
        <w:outlineLvl w:val="1"/>
        <w:rPr>
          <w:rFonts w:hint="eastAsia" w:ascii="宋体" w:hAnsi="宋体" w:cs="宋体"/>
          <w:sz w:val="28"/>
          <w:szCs w:val="20"/>
        </w:rPr>
      </w:pPr>
      <w:bookmarkStart w:id="1356" w:name="_Toc480486970"/>
      <w:bookmarkStart w:id="1357" w:name="_Toc117350482"/>
      <w:bookmarkStart w:id="1358" w:name="_Toc342296330"/>
      <w:bookmarkStart w:id="1359" w:name="_Toc483668145"/>
      <w:bookmarkStart w:id="1360" w:name="_Toc486580116"/>
      <w:bookmarkStart w:id="1361" w:name="_Toc480486798"/>
      <w:bookmarkStart w:id="1362" w:name="_Toc338944772"/>
      <w:bookmarkStart w:id="1363" w:name="_Toc490222561"/>
      <w:bookmarkStart w:id="1364" w:name="_Toc489279927"/>
      <w:r>
        <w:rPr>
          <w:rFonts w:ascii="宋体" w:hAnsi="宋体" w:cs="宋体"/>
          <w:sz w:val="28"/>
          <w:szCs w:val="20"/>
        </w:rPr>
        <w:t>10.</w:t>
      </w:r>
      <w:r>
        <w:rPr>
          <w:rFonts w:hint="eastAsia" w:ascii="宋体" w:hAnsi="宋体" w:cs="宋体"/>
          <w:sz w:val="28"/>
          <w:szCs w:val="20"/>
        </w:rPr>
        <w:t>进度计划</w:t>
      </w:r>
      <w:bookmarkEnd w:id="1356"/>
      <w:bookmarkEnd w:id="1357"/>
      <w:bookmarkEnd w:id="1358"/>
      <w:bookmarkEnd w:id="1359"/>
      <w:bookmarkEnd w:id="1360"/>
      <w:bookmarkEnd w:id="1361"/>
      <w:bookmarkEnd w:id="1362"/>
      <w:bookmarkEnd w:id="1363"/>
      <w:bookmarkEnd w:id="1364"/>
    </w:p>
    <w:p w14:paraId="66E5596A">
      <w:pPr>
        <w:keepNext/>
        <w:keepLines/>
        <w:spacing w:before="120" w:beforeLines="50" w:after="120" w:afterLines="50" w:line="360" w:lineRule="auto"/>
        <w:outlineLvl w:val="2"/>
        <w:rPr>
          <w:rFonts w:hint="eastAsia" w:ascii="宋体" w:hAnsi="宋体"/>
          <w:sz w:val="24"/>
          <w:szCs w:val="20"/>
        </w:rPr>
      </w:pPr>
      <w:bookmarkStart w:id="1365" w:name="_Toc483668146"/>
      <w:bookmarkStart w:id="1366" w:name="_Toc480486971"/>
      <w:bookmarkStart w:id="1367" w:name="_Toc117350483"/>
      <w:bookmarkStart w:id="1368" w:name="_Toc490222562"/>
      <w:bookmarkStart w:id="1369" w:name="_Toc342296331"/>
      <w:bookmarkStart w:id="1370" w:name="_Toc489279928"/>
      <w:bookmarkStart w:id="1371" w:name="_Toc480486799"/>
      <w:bookmarkStart w:id="1372" w:name="_Toc486580117"/>
      <w:bookmarkStart w:id="1373" w:name="_Toc338944773"/>
      <w:r>
        <w:rPr>
          <w:rFonts w:ascii="宋体" w:hAnsi="宋体"/>
          <w:sz w:val="24"/>
          <w:szCs w:val="20"/>
        </w:rPr>
        <w:t xml:space="preserve">10.1  </w:t>
      </w:r>
      <w:r>
        <w:rPr>
          <w:rFonts w:hint="eastAsia" w:ascii="宋体" w:hAnsi="宋体"/>
          <w:sz w:val="24"/>
          <w:szCs w:val="20"/>
        </w:rPr>
        <w:t>合同进度计划</w:t>
      </w:r>
      <w:bookmarkEnd w:id="1365"/>
      <w:bookmarkEnd w:id="1366"/>
      <w:bookmarkEnd w:id="1367"/>
      <w:bookmarkEnd w:id="1368"/>
      <w:bookmarkEnd w:id="1369"/>
      <w:bookmarkEnd w:id="1370"/>
      <w:bookmarkEnd w:id="1371"/>
      <w:bookmarkEnd w:id="1372"/>
      <w:bookmarkEnd w:id="1373"/>
    </w:p>
    <w:p w14:paraId="07A41DB7">
      <w:pPr>
        <w:spacing w:line="360" w:lineRule="auto"/>
        <w:ind w:firstLine="420" w:firstLineChars="200"/>
        <w:rPr>
          <w:rFonts w:hint="eastAsia" w:ascii="宋体" w:hAnsi="宋体"/>
        </w:rPr>
      </w:pPr>
      <w:r>
        <w:rPr>
          <w:rFonts w:ascii="宋体" w:hAnsi="宋体"/>
        </w:rPr>
        <w:t xml:space="preserve">10.1.1  </w:t>
      </w:r>
      <w:r>
        <w:rPr>
          <w:rFonts w:hint="eastAsia" w:ascii="宋体" w:hAnsi="宋体"/>
        </w:rPr>
        <w:t xml:space="preserve"> 承包人应当在收到监理人按照第11.1.1项发出的开工通知后7天内，编制详细的施工进度计划和施工方案说明报送监理人，施工进度计划应当反映进度管理的相关要素，包括开工日期和竣工日期、要求发包人组织设计人进行阶段性工程设计交底的时间、区段工程的开始时间和完成时间、施工次序和方法、施工活动的逻辑关系，主要材料和设备进场时间和数量，管理人员、劳动力及主要施工机械设备进出场时间和数量，保障工程安全、质量和工期的技术措施等。监理人应在收到承包人报送的相关进度计划和施工方案说明后14天内批复或提出修改意见。经监理人批准的施工进度计划称合同进度计划，是控制合同工程进度的依据。承包人编制施工进度计划和施工方案说明的内容见合同条款专用部分。</w:t>
      </w:r>
    </w:p>
    <w:p w14:paraId="3E149FAA">
      <w:pPr>
        <w:spacing w:line="360" w:lineRule="auto"/>
        <w:ind w:firstLine="420" w:firstLineChars="200"/>
        <w:rPr>
          <w:rFonts w:hint="eastAsia" w:ascii="宋体" w:hAnsi="宋体"/>
        </w:rPr>
      </w:pPr>
      <w:r>
        <w:rPr>
          <w:rFonts w:ascii="宋体" w:hAnsi="宋体"/>
        </w:rPr>
        <w:t xml:space="preserve">10.1.2  </w:t>
      </w:r>
      <w:r>
        <w:rPr>
          <w:rFonts w:hint="eastAsia" w:ascii="宋体" w:hAnsi="宋体"/>
        </w:rPr>
        <w:t>承包人还应根据合同进度计划，按照第</w:t>
      </w:r>
      <w:r>
        <w:rPr>
          <w:rFonts w:ascii="宋体" w:hAnsi="宋体"/>
        </w:rPr>
        <w:t>10.1.1</w:t>
      </w:r>
      <w:r>
        <w:rPr>
          <w:rFonts w:hint="eastAsia" w:ascii="宋体" w:hAnsi="宋体"/>
        </w:rPr>
        <w:t>项相关约定编制更为详细的分阶段或分项进度计划，报监理人审批。</w:t>
      </w:r>
      <w:r>
        <w:rPr>
          <w:rFonts w:hint="eastAsia" w:ascii="宋体" w:hAnsi="宋体"/>
          <w:szCs w:val="21"/>
        </w:rPr>
        <w:t>承包人编制分阶段或分项施工进度计划和施工方案说明的内容及时限要求</w:t>
      </w:r>
      <w:r>
        <w:rPr>
          <w:rFonts w:hint="eastAsia" w:ascii="宋体" w:hAnsi="宋体"/>
        </w:rPr>
        <w:t>见合同条款专用部分。</w:t>
      </w:r>
    </w:p>
    <w:p w14:paraId="383E20B7">
      <w:pPr>
        <w:spacing w:line="360" w:lineRule="auto"/>
        <w:ind w:firstLine="420" w:firstLineChars="200"/>
        <w:rPr>
          <w:rFonts w:hint="eastAsia" w:ascii="宋体" w:hAnsi="宋体"/>
        </w:rPr>
      </w:pPr>
      <w:r>
        <w:rPr>
          <w:rFonts w:ascii="宋体" w:hAnsi="宋体"/>
          <w:szCs w:val="21"/>
        </w:rPr>
        <w:t xml:space="preserve">10.1.3  </w:t>
      </w:r>
      <w:r>
        <w:rPr>
          <w:rFonts w:hint="eastAsia" w:ascii="宋体" w:hAnsi="宋体"/>
          <w:szCs w:val="21"/>
        </w:rPr>
        <w:t>群体工程中单位工程分期进行施工的，承包人</w:t>
      </w:r>
      <w:r>
        <w:rPr>
          <w:rFonts w:hint="eastAsia" w:ascii="宋体" w:hAnsi="宋体"/>
        </w:rPr>
        <w:t>应当</w:t>
      </w:r>
      <w:r>
        <w:rPr>
          <w:rFonts w:hint="eastAsia" w:ascii="宋体" w:hAnsi="宋体"/>
          <w:szCs w:val="21"/>
        </w:rPr>
        <w:t>按照发包人提供图纸及有关资料的时间要求，编制单位工程进度计划和施工方案说明。群体工程中有关编制进度计划和施工方案说明的要求</w:t>
      </w:r>
      <w:r>
        <w:rPr>
          <w:rFonts w:hint="eastAsia" w:ascii="宋体" w:hAnsi="宋体"/>
        </w:rPr>
        <w:t>见合同条款专用部分。</w:t>
      </w:r>
    </w:p>
    <w:p w14:paraId="4279CBCC">
      <w:pPr>
        <w:keepNext/>
        <w:keepLines/>
        <w:spacing w:before="120" w:beforeLines="50" w:after="120" w:afterLines="50" w:line="360" w:lineRule="auto"/>
        <w:outlineLvl w:val="2"/>
        <w:rPr>
          <w:rFonts w:hint="eastAsia" w:ascii="宋体" w:hAnsi="宋体"/>
          <w:sz w:val="24"/>
          <w:szCs w:val="20"/>
        </w:rPr>
      </w:pPr>
      <w:bookmarkStart w:id="1374" w:name="_Toc489279929"/>
      <w:bookmarkStart w:id="1375" w:name="_Toc117350484"/>
      <w:bookmarkStart w:id="1376" w:name="_Toc490222563"/>
      <w:bookmarkStart w:id="1377" w:name="_Toc480486800"/>
      <w:bookmarkStart w:id="1378" w:name="_Toc480486972"/>
      <w:bookmarkStart w:id="1379" w:name="_Toc486580118"/>
      <w:bookmarkStart w:id="1380" w:name="_Toc342296332"/>
      <w:bookmarkStart w:id="1381" w:name="_Toc483668147"/>
      <w:bookmarkStart w:id="1382" w:name="_Toc338944774"/>
      <w:r>
        <w:rPr>
          <w:rFonts w:ascii="宋体" w:hAnsi="宋体"/>
          <w:sz w:val="24"/>
          <w:szCs w:val="20"/>
        </w:rPr>
        <w:t xml:space="preserve">10.2  </w:t>
      </w:r>
      <w:r>
        <w:rPr>
          <w:rFonts w:hint="eastAsia" w:ascii="宋体" w:hAnsi="宋体"/>
          <w:sz w:val="24"/>
          <w:szCs w:val="20"/>
        </w:rPr>
        <w:t>合同进度计划的修订</w:t>
      </w:r>
      <w:bookmarkEnd w:id="1374"/>
      <w:bookmarkEnd w:id="1375"/>
      <w:bookmarkEnd w:id="1376"/>
      <w:bookmarkEnd w:id="1377"/>
      <w:bookmarkEnd w:id="1378"/>
      <w:bookmarkEnd w:id="1379"/>
      <w:bookmarkEnd w:id="1380"/>
      <w:bookmarkEnd w:id="1381"/>
      <w:bookmarkEnd w:id="1382"/>
    </w:p>
    <w:p w14:paraId="558C173E">
      <w:pPr>
        <w:spacing w:line="360" w:lineRule="auto"/>
        <w:ind w:firstLine="420" w:firstLineChars="200"/>
        <w:rPr>
          <w:rFonts w:hint="eastAsia" w:ascii="宋体" w:hAnsi="宋体"/>
        </w:rPr>
      </w:pPr>
      <w:r>
        <w:rPr>
          <w:rFonts w:ascii="宋体" w:hAnsi="宋体"/>
        </w:rPr>
        <w:t xml:space="preserve">10.2.1  </w:t>
      </w:r>
      <w:r>
        <w:rPr>
          <w:rFonts w:hint="eastAsia" w:ascii="宋体" w:hAnsi="宋体"/>
        </w:rPr>
        <w:t>不论何种原因造成工程的实际进度与第</w:t>
      </w:r>
      <w:r>
        <w:rPr>
          <w:rFonts w:ascii="宋体" w:hAnsi="宋体"/>
        </w:rPr>
        <w:t>10.1</w:t>
      </w:r>
      <w:r>
        <w:rPr>
          <w:rFonts w:hint="eastAsia" w:ascii="宋体" w:hAnsi="宋体"/>
        </w:rPr>
        <w:t>款的合同进度计划不符时，承包人可以在合同条款专用部分约定的期限内向监理人提交修订合同进度计划的申请报告，并附有关措施和相关资料，报监理人审批。</w:t>
      </w:r>
    </w:p>
    <w:p w14:paraId="7A647FF5">
      <w:pPr>
        <w:spacing w:line="360" w:lineRule="auto"/>
        <w:ind w:firstLine="420" w:firstLineChars="200"/>
        <w:rPr>
          <w:rFonts w:hint="eastAsia" w:ascii="宋体" w:hAnsi="宋体"/>
        </w:rPr>
      </w:pPr>
      <w:r>
        <w:rPr>
          <w:rFonts w:ascii="宋体" w:hAnsi="宋体"/>
        </w:rPr>
        <w:t xml:space="preserve">10.2.2  </w:t>
      </w:r>
      <w:r>
        <w:rPr>
          <w:rFonts w:hint="eastAsia" w:ascii="宋体" w:hAnsi="宋体"/>
        </w:rPr>
        <w:t>监理人也可以直接向承包人作出修订合同进度计划的指示，承包人应按该指示修订合同进度计划，报监理人审批。监理人应在合同条款专用部分约定的期限内完成批复。监理人在批复前应获得发包人同意。</w:t>
      </w:r>
    </w:p>
    <w:p w14:paraId="7C8DE36B">
      <w:pPr>
        <w:spacing w:line="360" w:lineRule="auto"/>
        <w:ind w:firstLine="420" w:firstLineChars="200"/>
        <w:rPr>
          <w:rFonts w:hint="eastAsia" w:ascii="宋体" w:hAnsi="宋体"/>
        </w:rPr>
      </w:pPr>
      <w:bookmarkStart w:id="1383" w:name="_Hlk114649618"/>
      <w:r>
        <w:rPr>
          <w:rFonts w:hint="eastAsia" w:ascii="宋体" w:hAnsi="宋体"/>
        </w:rPr>
        <w:t>1</w:t>
      </w:r>
      <w:r>
        <w:rPr>
          <w:rFonts w:ascii="宋体" w:hAnsi="宋体"/>
        </w:rPr>
        <w:t>0.2.3</w:t>
      </w:r>
      <w:r>
        <w:rPr>
          <w:rFonts w:hint="eastAsia" w:ascii="宋体" w:hAnsi="宋体"/>
        </w:rPr>
        <w:t>发包人对修订合同进度计划的批准，不影响发包人主张逾期损失赔偿和（或）承包人主张工期顺延的权利。</w:t>
      </w:r>
    </w:p>
    <w:bookmarkEnd w:id="1383"/>
    <w:p w14:paraId="6A5A852B">
      <w:pPr>
        <w:keepNext/>
        <w:keepLines/>
        <w:spacing w:before="120" w:beforeLines="50" w:after="120" w:afterLines="50" w:line="360" w:lineRule="auto"/>
        <w:outlineLvl w:val="2"/>
        <w:rPr>
          <w:rFonts w:hint="eastAsia" w:ascii="宋体" w:hAnsi="宋体"/>
          <w:sz w:val="24"/>
          <w:szCs w:val="20"/>
        </w:rPr>
      </w:pPr>
      <w:bookmarkStart w:id="1384" w:name="_Toc117350485"/>
      <w:bookmarkStart w:id="1385" w:name="_Hlk114649637"/>
      <w:r>
        <w:rPr>
          <w:rFonts w:ascii="宋体" w:hAnsi="宋体"/>
          <w:sz w:val="24"/>
          <w:szCs w:val="20"/>
        </w:rPr>
        <w:t xml:space="preserve">10.3  </w:t>
      </w:r>
      <w:bookmarkStart w:id="1386" w:name="_Hlk112684339"/>
      <w:r>
        <w:rPr>
          <w:rFonts w:hint="eastAsia" w:ascii="宋体" w:hAnsi="宋体"/>
          <w:sz w:val="24"/>
          <w:szCs w:val="20"/>
        </w:rPr>
        <w:t>合同进度计划的其他要求</w:t>
      </w:r>
      <w:bookmarkEnd w:id="1384"/>
      <w:bookmarkEnd w:id="1386"/>
    </w:p>
    <w:p w14:paraId="2DB3A1DB">
      <w:pPr>
        <w:spacing w:line="360" w:lineRule="auto"/>
        <w:ind w:firstLine="420" w:firstLineChars="200"/>
        <w:rPr>
          <w:rFonts w:hint="eastAsia" w:ascii="宋体" w:hAnsi="宋体"/>
        </w:rPr>
      </w:pPr>
      <w:r>
        <w:rPr>
          <w:rFonts w:ascii="宋体" w:hAnsi="宋体"/>
          <w:szCs w:val="21"/>
        </w:rPr>
        <w:t xml:space="preserve">10.3.1  </w:t>
      </w:r>
      <w:r>
        <w:rPr>
          <w:rFonts w:hint="eastAsia" w:ascii="宋体" w:hAnsi="宋体"/>
        </w:rPr>
        <w:t>经发包人批准的合同进度计划或最新版本合同进度计划的修订是发承包双方调配施工生产资源和实施进度管理的根据。</w:t>
      </w:r>
    </w:p>
    <w:p w14:paraId="5F55233A">
      <w:pPr>
        <w:spacing w:line="360" w:lineRule="auto"/>
        <w:ind w:firstLine="420" w:firstLineChars="200"/>
        <w:rPr>
          <w:rFonts w:hint="eastAsia" w:ascii="宋体" w:hAnsi="宋体"/>
        </w:rPr>
      </w:pPr>
      <w:r>
        <w:rPr>
          <w:rFonts w:ascii="宋体" w:hAnsi="宋体"/>
          <w:szCs w:val="21"/>
        </w:rPr>
        <w:t xml:space="preserve">10.3.2  </w:t>
      </w:r>
      <w:bookmarkStart w:id="1387" w:name="_Hlk112684475"/>
      <w:bookmarkStart w:id="1388" w:name="_Hlk112684377"/>
      <w:r>
        <w:rPr>
          <w:rFonts w:hint="eastAsia" w:ascii="宋体" w:hAnsi="宋体"/>
          <w:szCs w:val="21"/>
        </w:rPr>
        <w:t>施工进度计划管理的人员配置</w:t>
      </w:r>
      <w:bookmarkEnd w:id="1387"/>
      <w:r>
        <w:rPr>
          <w:rFonts w:hint="eastAsia" w:ascii="宋体" w:hAnsi="宋体"/>
          <w:szCs w:val="21"/>
        </w:rPr>
        <w:t>要求</w:t>
      </w:r>
      <w:bookmarkEnd w:id="1388"/>
      <w:r>
        <w:rPr>
          <w:rFonts w:hint="eastAsia" w:ascii="宋体" w:hAnsi="宋体"/>
        </w:rPr>
        <w:t>见合同条款专用部分。</w:t>
      </w:r>
    </w:p>
    <w:p w14:paraId="60354BA6">
      <w:pPr>
        <w:spacing w:line="360" w:lineRule="auto"/>
        <w:ind w:firstLine="420" w:firstLineChars="200"/>
        <w:rPr>
          <w:rFonts w:hint="eastAsia" w:ascii="宋体" w:hAnsi="宋体"/>
        </w:rPr>
      </w:pPr>
      <w:r>
        <w:rPr>
          <w:rFonts w:ascii="宋体" w:hAnsi="宋体"/>
          <w:szCs w:val="21"/>
        </w:rPr>
        <w:t xml:space="preserve">10.3.3  </w:t>
      </w:r>
      <w:bookmarkStart w:id="1389" w:name="_Hlk112684387"/>
      <w:r>
        <w:rPr>
          <w:rFonts w:hint="eastAsia" w:ascii="宋体" w:hAnsi="宋体"/>
          <w:szCs w:val="21"/>
        </w:rPr>
        <w:t>施工进度计划的计算机应用软件要求</w:t>
      </w:r>
      <w:bookmarkEnd w:id="1389"/>
      <w:r>
        <w:rPr>
          <w:rFonts w:hint="eastAsia" w:ascii="宋体" w:hAnsi="宋体"/>
        </w:rPr>
        <w:t>见合同条款专用部分。</w:t>
      </w:r>
    </w:p>
    <w:bookmarkEnd w:id="1385"/>
    <w:p w14:paraId="77A40880">
      <w:pPr>
        <w:keepNext/>
        <w:keepLines/>
        <w:spacing w:before="120" w:beforeLines="50" w:after="120" w:afterLines="50" w:line="360" w:lineRule="auto"/>
        <w:outlineLvl w:val="1"/>
        <w:rPr>
          <w:rFonts w:hint="eastAsia" w:ascii="宋体" w:hAnsi="宋体" w:cs="宋体"/>
          <w:sz w:val="28"/>
          <w:szCs w:val="20"/>
        </w:rPr>
      </w:pPr>
      <w:bookmarkStart w:id="1390" w:name="_Toc342296333"/>
      <w:bookmarkStart w:id="1391" w:name="_Toc338944775"/>
      <w:bookmarkStart w:id="1392" w:name="_Toc480486973"/>
      <w:bookmarkStart w:id="1393" w:name="_Toc490222564"/>
      <w:bookmarkStart w:id="1394" w:name="_Toc483668148"/>
      <w:bookmarkStart w:id="1395" w:name="_Toc486580119"/>
      <w:bookmarkStart w:id="1396" w:name="_Toc117350486"/>
      <w:bookmarkStart w:id="1397" w:name="_Toc489279930"/>
      <w:bookmarkStart w:id="1398" w:name="_Toc480486801"/>
      <w:r>
        <w:rPr>
          <w:rFonts w:ascii="宋体" w:hAnsi="宋体" w:cs="宋体"/>
          <w:sz w:val="28"/>
          <w:szCs w:val="20"/>
        </w:rPr>
        <w:t>11.</w:t>
      </w:r>
      <w:r>
        <w:rPr>
          <w:rFonts w:hint="eastAsia" w:ascii="宋体" w:hAnsi="宋体" w:cs="宋体"/>
          <w:sz w:val="28"/>
          <w:szCs w:val="20"/>
        </w:rPr>
        <w:t>开工和竣工</w:t>
      </w:r>
      <w:bookmarkEnd w:id="1390"/>
      <w:bookmarkEnd w:id="1391"/>
      <w:bookmarkEnd w:id="1392"/>
      <w:bookmarkEnd w:id="1393"/>
      <w:bookmarkEnd w:id="1394"/>
      <w:bookmarkEnd w:id="1395"/>
      <w:bookmarkEnd w:id="1396"/>
      <w:bookmarkEnd w:id="1397"/>
      <w:bookmarkEnd w:id="1398"/>
    </w:p>
    <w:p w14:paraId="6AE71799">
      <w:pPr>
        <w:keepNext/>
        <w:keepLines/>
        <w:spacing w:before="120" w:beforeLines="50" w:after="120" w:afterLines="50" w:line="360" w:lineRule="auto"/>
        <w:outlineLvl w:val="2"/>
        <w:rPr>
          <w:rFonts w:hint="eastAsia" w:ascii="宋体" w:hAnsi="宋体"/>
          <w:sz w:val="24"/>
          <w:szCs w:val="20"/>
        </w:rPr>
      </w:pPr>
      <w:bookmarkStart w:id="1399" w:name="_Toc486580120"/>
      <w:bookmarkStart w:id="1400" w:name="_Toc483668149"/>
      <w:bookmarkStart w:id="1401" w:name="_Toc480486974"/>
      <w:bookmarkStart w:id="1402" w:name="_Toc179632701"/>
      <w:bookmarkStart w:id="1403" w:name="_Toc342296334"/>
      <w:bookmarkStart w:id="1404" w:name="_Toc338944776"/>
      <w:bookmarkStart w:id="1405" w:name="_Toc489279931"/>
      <w:bookmarkStart w:id="1406" w:name="_Toc152045683"/>
      <w:bookmarkStart w:id="1407" w:name="_Toc152042461"/>
      <w:bookmarkStart w:id="1408" w:name="_Toc480486802"/>
      <w:bookmarkStart w:id="1409" w:name="_Toc144974651"/>
      <w:bookmarkStart w:id="1410" w:name="_Toc490222565"/>
      <w:bookmarkStart w:id="1411" w:name="_Toc117350487"/>
      <w:r>
        <w:rPr>
          <w:rFonts w:ascii="宋体" w:hAnsi="宋体"/>
          <w:sz w:val="24"/>
          <w:szCs w:val="20"/>
        </w:rPr>
        <w:t xml:space="preserve">11.1  </w:t>
      </w:r>
      <w:r>
        <w:rPr>
          <w:rFonts w:hint="eastAsia" w:ascii="宋体" w:hAnsi="宋体"/>
          <w:sz w:val="24"/>
          <w:szCs w:val="20"/>
        </w:rPr>
        <w:t>开工</w:t>
      </w:r>
      <w:bookmarkEnd w:id="1399"/>
      <w:bookmarkEnd w:id="1400"/>
      <w:bookmarkEnd w:id="1401"/>
      <w:bookmarkEnd w:id="1402"/>
      <w:bookmarkEnd w:id="1403"/>
      <w:bookmarkEnd w:id="1404"/>
      <w:bookmarkEnd w:id="1405"/>
      <w:bookmarkEnd w:id="1406"/>
      <w:bookmarkEnd w:id="1407"/>
      <w:bookmarkEnd w:id="1408"/>
      <w:bookmarkEnd w:id="1409"/>
      <w:bookmarkEnd w:id="1410"/>
      <w:bookmarkEnd w:id="1411"/>
    </w:p>
    <w:p w14:paraId="3E814796">
      <w:pPr>
        <w:spacing w:line="360" w:lineRule="auto"/>
        <w:ind w:firstLine="420" w:firstLineChars="200"/>
        <w:rPr>
          <w:rFonts w:hint="eastAsia" w:ascii="宋体" w:hAnsi="宋体"/>
        </w:rPr>
      </w:pPr>
      <w:r>
        <w:rPr>
          <w:rFonts w:ascii="宋体" w:hAnsi="宋体"/>
        </w:rPr>
        <w:t xml:space="preserve">11.1.1  </w:t>
      </w:r>
      <w:r>
        <w:rPr>
          <w:rFonts w:hint="eastAsia" w:ascii="宋体" w:hAnsi="宋体"/>
        </w:rPr>
        <w:t>监理人应在开工日期</w:t>
      </w:r>
      <w:r>
        <w:rPr>
          <w:rFonts w:ascii="宋体" w:hAnsi="宋体"/>
        </w:rPr>
        <w:t>7</w:t>
      </w:r>
      <w:r>
        <w:rPr>
          <w:rFonts w:hint="eastAsia" w:ascii="宋体" w:hAnsi="宋体"/>
        </w:rPr>
        <w:t>天前向承包人发出开工通知。监理人在发出开工通知前应获得发包人同意。工期自监理人发出的开工通知中载明的开工日期起计算。承包人应在开工日期后尽快施工。</w:t>
      </w:r>
    </w:p>
    <w:p w14:paraId="00A41AD7">
      <w:pPr>
        <w:spacing w:line="360" w:lineRule="auto"/>
        <w:ind w:firstLine="420" w:firstLineChars="200"/>
        <w:rPr>
          <w:rFonts w:hint="eastAsia" w:ascii="宋体" w:hAnsi="宋体"/>
        </w:rPr>
      </w:pPr>
      <w:r>
        <w:rPr>
          <w:rFonts w:ascii="宋体" w:hAnsi="宋体"/>
        </w:rPr>
        <w:t xml:space="preserve">11.1.2  </w:t>
      </w:r>
      <w:r>
        <w:rPr>
          <w:rFonts w:hint="eastAsia" w:ascii="宋体" w:hAnsi="宋体"/>
        </w:rPr>
        <w:t>承包人应按第</w:t>
      </w:r>
      <w:r>
        <w:rPr>
          <w:rFonts w:ascii="宋体" w:hAnsi="宋体"/>
        </w:rPr>
        <w:t>10.1</w:t>
      </w:r>
      <w:r>
        <w:rPr>
          <w:rFonts w:hint="eastAsia" w:ascii="宋体" w:hAnsi="宋体"/>
        </w:rPr>
        <w:t>款约定的合同进度计划，向监理人提交工程开工报审表，经监理人审批后执行。开工报审表应详细说明按合同进度计划正常施工所需的施工道路、临时设施、材料设备、施工人员等施工组织措施的落实情况以及工程的进度安排。</w:t>
      </w:r>
    </w:p>
    <w:p w14:paraId="32A65950">
      <w:pPr>
        <w:keepNext/>
        <w:keepLines/>
        <w:spacing w:before="120" w:beforeLines="50" w:after="120" w:afterLines="50" w:line="360" w:lineRule="auto"/>
        <w:outlineLvl w:val="2"/>
        <w:rPr>
          <w:rFonts w:hint="eastAsia" w:ascii="宋体" w:hAnsi="宋体"/>
          <w:sz w:val="24"/>
          <w:szCs w:val="20"/>
        </w:rPr>
      </w:pPr>
      <w:bookmarkStart w:id="1412" w:name="_Toc480486803"/>
      <w:bookmarkStart w:id="1413" w:name="_Toc342296335"/>
      <w:bookmarkStart w:id="1414" w:name="_Toc144974652"/>
      <w:bookmarkStart w:id="1415" w:name="_Toc152045684"/>
      <w:bookmarkStart w:id="1416" w:name="_Toc179632702"/>
      <w:bookmarkStart w:id="1417" w:name="_Toc490222566"/>
      <w:bookmarkStart w:id="1418" w:name="_Toc489279932"/>
      <w:bookmarkStart w:id="1419" w:name="_Toc338944777"/>
      <w:bookmarkStart w:id="1420" w:name="_Toc152042462"/>
      <w:bookmarkStart w:id="1421" w:name="_Toc483668150"/>
      <w:bookmarkStart w:id="1422" w:name="_Toc117350488"/>
      <w:bookmarkStart w:id="1423" w:name="_Toc486580121"/>
      <w:bookmarkStart w:id="1424" w:name="_Toc480486975"/>
      <w:r>
        <w:rPr>
          <w:rFonts w:ascii="宋体" w:hAnsi="宋体"/>
          <w:sz w:val="24"/>
          <w:szCs w:val="20"/>
        </w:rPr>
        <w:t xml:space="preserve">11.2  </w:t>
      </w:r>
      <w:r>
        <w:rPr>
          <w:rFonts w:hint="eastAsia" w:ascii="宋体" w:hAnsi="宋体"/>
          <w:sz w:val="24"/>
          <w:szCs w:val="20"/>
        </w:rPr>
        <w:t>竣工</w:t>
      </w:r>
      <w:bookmarkEnd w:id="1412"/>
      <w:bookmarkEnd w:id="1413"/>
      <w:bookmarkEnd w:id="1414"/>
      <w:bookmarkEnd w:id="1415"/>
      <w:bookmarkEnd w:id="1416"/>
      <w:bookmarkEnd w:id="1417"/>
      <w:bookmarkEnd w:id="1418"/>
      <w:bookmarkEnd w:id="1419"/>
      <w:bookmarkEnd w:id="1420"/>
      <w:bookmarkEnd w:id="1421"/>
      <w:bookmarkEnd w:id="1422"/>
      <w:bookmarkEnd w:id="1423"/>
      <w:bookmarkEnd w:id="1424"/>
    </w:p>
    <w:p w14:paraId="32BD162D">
      <w:pPr>
        <w:spacing w:line="360" w:lineRule="auto"/>
        <w:ind w:firstLine="420" w:firstLineChars="200"/>
        <w:rPr>
          <w:rFonts w:hint="eastAsia" w:ascii="宋体" w:hAnsi="宋体"/>
        </w:rPr>
      </w:pPr>
      <w:r>
        <w:rPr>
          <w:rFonts w:hint="eastAsia" w:ascii="宋体" w:hAnsi="宋体"/>
        </w:rPr>
        <w:t>承包人应在第</w:t>
      </w:r>
      <w:r>
        <w:rPr>
          <w:rFonts w:ascii="宋体" w:hAnsi="宋体"/>
        </w:rPr>
        <w:t>1.1.4.3</w:t>
      </w:r>
      <w:r>
        <w:rPr>
          <w:rFonts w:hint="eastAsia" w:ascii="宋体" w:hAnsi="宋体"/>
        </w:rPr>
        <w:t>目约定的期限内完成合同工程。实际竣工日期在接收证书中写明。</w:t>
      </w:r>
    </w:p>
    <w:p w14:paraId="1B087F99">
      <w:pPr>
        <w:keepNext/>
        <w:keepLines/>
        <w:spacing w:before="120" w:beforeLines="50" w:after="120" w:afterLines="50" w:line="360" w:lineRule="auto"/>
        <w:outlineLvl w:val="2"/>
        <w:rPr>
          <w:rFonts w:hint="eastAsia" w:ascii="宋体" w:hAnsi="宋体"/>
          <w:sz w:val="24"/>
          <w:szCs w:val="20"/>
        </w:rPr>
      </w:pPr>
      <w:bookmarkStart w:id="1425" w:name="_Toc490222567"/>
      <w:bookmarkStart w:id="1426" w:name="_Toc480486976"/>
      <w:bookmarkStart w:id="1427" w:name="_Toc486580122"/>
      <w:bookmarkStart w:id="1428" w:name="_Toc338944778"/>
      <w:bookmarkStart w:id="1429" w:name="_Toc117350489"/>
      <w:bookmarkStart w:id="1430" w:name="_Toc489279933"/>
      <w:bookmarkStart w:id="1431" w:name="_Toc342296336"/>
      <w:bookmarkStart w:id="1432" w:name="_Toc483668151"/>
      <w:bookmarkStart w:id="1433" w:name="_Toc480486804"/>
      <w:r>
        <w:rPr>
          <w:rFonts w:ascii="宋体" w:hAnsi="宋体"/>
          <w:sz w:val="24"/>
          <w:szCs w:val="20"/>
        </w:rPr>
        <w:t xml:space="preserve">11.3  </w:t>
      </w:r>
      <w:r>
        <w:rPr>
          <w:rFonts w:hint="eastAsia" w:ascii="宋体" w:hAnsi="宋体"/>
          <w:sz w:val="24"/>
          <w:szCs w:val="20"/>
        </w:rPr>
        <w:t>发包人的工期延误</w:t>
      </w:r>
      <w:bookmarkEnd w:id="1425"/>
      <w:bookmarkEnd w:id="1426"/>
      <w:bookmarkEnd w:id="1427"/>
      <w:bookmarkEnd w:id="1428"/>
      <w:bookmarkEnd w:id="1429"/>
      <w:bookmarkEnd w:id="1430"/>
      <w:bookmarkEnd w:id="1431"/>
      <w:bookmarkEnd w:id="1432"/>
      <w:bookmarkEnd w:id="1433"/>
    </w:p>
    <w:p w14:paraId="3013D81A">
      <w:pPr>
        <w:spacing w:line="360" w:lineRule="auto"/>
        <w:ind w:firstLine="420" w:firstLineChars="200"/>
        <w:rPr>
          <w:rFonts w:hint="eastAsia" w:ascii="宋体" w:hAnsi="宋体"/>
        </w:rPr>
      </w:pPr>
      <w:r>
        <w:rPr>
          <w:rFonts w:hint="eastAsia" w:ascii="宋体" w:hAnsi="宋体"/>
        </w:rPr>
        <w:t>在履行合同过程中，由于发包人的下列原因造成承包人关键线路工期延误的，承包人有权要求发包人延长工期和（或）增加费用。需要修订合同进度计划的，按照第10.2款的约定办理。</w:t>
      </w:r>
    </w:p>
    <w:p w14:paraId="04563288">
      <w:pPr>
        <w:spacing w:line="360" w:lineRule="auto"/>
        <w:ind w:firstLine="315" w:firstLineChars="150"/>
        <w:rPr>
          <w:rFonts w:hint="eastAsia" w:ascii="宋体" w:hAnsi="宋体"/>
        </w:rPr>
      </w:pPr>
      <w:r>
        <w:rPr>
          <w:rFonts w:hint="eastAsia" w:ascii="宋体" w:hAnsi="宋体"/>
        </w:rPr>
        <w:t>（</w:t>
      </w:r>
      <w:r>
        <w:rPr>
          <w:rFonts w:ascii="宋体" w:hAnsi="宋体"/>
        </w:rPr>
        <w:t>1</w:t>
      </w:r>
      <w:r>
        <w:rPr>
          <w:rFonts w:hint="eastAsia" w:ascii="宋体" w:hAnsi="宋体"/>
        </w:rPr>
        <w:t>）增加合同工作内容；</w:t>
      </w:r>
    </w:p>
    <w:p w14:paraId="79DD3566">
      <w:pPr>
        <w:spacing w:line="360" w:lineRule="auto"/>
        <w:ind w:firstLine="315" w:firstLineChars="150"/>
        <w:rPr>
          <w:rFonts w:hint="eastAsia" w:ascii="宋体" w:hAnsi="宋体"/>
        </w:rPr>
      </w:pPr>
      <w:r>
        <w:rPr>
          <w:rFonts w:hint="eastAsia" w:ascii="宋体" w:hAnsi="宋体"/>
        </w:rPr>
        <w:t>（</w:t>
      </w:r>
      <w:r>
        <w:rPr>
          <w:rFonts w:ascii="宋体" w:hAnsi="宋体"/>
        </w:rPr>
        <w:t>2</w:t>
      </w:r>
      <w:r>
        <w:rPr>
          <w:rFonts w:hint="eastAsia" w:ascii="宋体" w:hAnsi="宋体"/>
        </w:rPr>
        <w:t>）改变合同中任何一项工作的质量要求或其他特性；</w:t>
      </w:r>
    </w:p>
    <w:p w14:paraId="36569622">
      <w:pPr>
        <w:spacing w:line="360" w:lineRule="auto"/>
        <w:ind w:firstLine="315" w:firstLineChars="150"/>
        <w:rPr>
          <w:rFonts w:hint="eastAsia" w:ascii="宋体" w:hAnsi="宋体"/>
        </w:rPr>
      </w:pPr>
      <w:r>
        <w:rPr>
          <w:rFonts w:hint="eastAsia" w:ascii="宋体" w:hAnsi="宋体"/>
        </w:rPr>
        <w:t>（</w:t>
      </w:r>
      <w:r>
        <w:rPr>
          <w:rFonts w:ascii="宋体" w:hAnsi="宋体"/>
        </w:rPr>
        <w:t>3</w:t>
      </w:r>
      <w:r>
        <w:rPr>
          <w:rFonts w:hint="eastAsia" w:ascii="宋体" w:hAnsi="宋体"/>
        </w:rPr>
        <w:t>）发包人迟延提供材料、工程设备或变更交货地点的；</w:t>
      </w:r>
    </w:p>
    <w:p w14:paraId="32CA7330">
      <w:pPr>
        <w:spacing w:line="360" w:lineRule="auto"/>
        <w:ind w:firstLine="315" w:firstLineChars="150"/>
        <w:rPr>
          <w:rFonts w:hint="eastAsia" w:ascii="宋体" w:hAnsi="宋体"/>
        </w:rPr>
      </w:pPr>
      <w:r>
        <w:rPr>
          <w:rFonts w:hint="eastAsia" w:ascii="宋体" w:hAnsi="宋体"/>
        </w:rPr>
        <w:t>（</w:t>
      </w:r>
      <w:r>
        <w:rPr>
          <w:rFonts w:ascii="宋体" w:hAnsi="宋体"/>
        </w:rPr>
        <w:t>4</w:t>
      </w:r>
      <w:r>
        <w:rPr>
          <w:rFonts w:hint="eastAsia" w:ascii="宋体" w:hAnsi="宋体"/>
        </w:rPr>
        <w:t>）因发包人原因导致的暂停施工；</w:t>
      </w:r>
    </w:p>
    <w:p w14:paraId="1BB1D44D">
      <w:pPr>
        <w:spacing w:line="360" w:lineRule="auto"/>
        <w:ind w:firstLine="315" w:firstLineChars="150"/>
        <w:rPr>
          <w:rFonts w:hint="eastAsia" w:ascii="宋体" w:hAnsi="宋体"/>
        </w:rPr>
      </w:pPr>
      <w:r>
        <w:rPr>
          <w:rFonts w:hint="eastAsia" w:ascii="宋体" w:hAnsi="宋体"/>
        </w:rPr>
        <w:t>（</w:t>
      </w:r>
      <w:r>
        <w:rPr>
          <w:rFonts w:ascii="宋体" w:hAnsi="宋体"/>
        </w:rPr>
        <w:t>5</w:t>
      </w:r>
      <w:r>
        <w:rPr>
          <w:rFonts w:hint="eastAsia" w:ascii="宋体" w:hAnsi="宋体"/>
        </w:rPr>
        <w:t>）提供图纸延误；</w:t>
      </w:r>
    </w:p>
    <w:p w14:paraId="102A5BFA">
      <w:pPr>
        <w:spacing w:line="360" w:lineRule="auto"/>
        <w:ind w:firstLine="315" w:firstLineChars="150"/>
        <w:rPr>
          <w:rFonts w:hint="eastAsia" w:ascii="宋体" w:hAnsi="宋体"/>
        </w:rPr>
      </w:pPr>
      <w:r>
        <w:rPr>
          <w:rFonts w:hint="eastAsia" w:ascii="宋体" w:hAnsi="宋体"/>
        </w:rPr>
        <w:t>（</w:t>
      </w:r>
      <w:r>
        <w:rPr>
          <w:rFonts w:ascii="宋体" w:hAnsi="宋体"/>
        </w:rPr>
        <w:t>6</w:t>
      </w:r>
      <w:r>
        <w:rPr>
          <w:rFonts w:hint="eastAsia" w:ascii="宋体" w:hAnsi="宋体"/>
        </w:rPr>
        <w:t>）未按合同约定及时支付预付款、进度款；</w:t>
      </w:r>
    </w:p>
    <w:p w14:paraId="44173CAB">
      <w:pPr>
        <w:spacing w:line="360" w:lineRule="auto"/>
        <w:ind w:firstLine="315" w:firstLineChars="150"/>
        <w:rPr>
          <w:rFonts w:hint="eastAsia" w:ascii="宋体" w:hAnsi="宋体"/>
          <w:szCs w:val="21"/>
        </w:rPr>
      </w:pPr>
      <w:r>
        <w:rPr>
          <w:rFonts w:hint="eastAsia" w:ascii="宋体" w:hAnsi="宋体"/>
        </w:rPr>
        <w:t>（</w:t>
      </w:r>
      <w:r>
        <w:rPr>
          <w:rFonts w:ascii="宋体" w:hAnsi="宋体"/>
        </w:rPr>
        <w:t>7</w:t>
      </w:r>
      <w:r>
        <w:rPr>
          <w:rFonts w:hint="eastAsia" w:ascii="宋体" w:hAnsi="宋体"/>
        </w:rPr>
        <w:t>）</w:t>
      </w:r>
      <w:r>
        <w:rPr>
          <w:rFonts w:hint="eastAsia" w:ascii="宋体" w:hAnsi="宋体"/>
          <w:szCs w:val="21"/>
        </w:rPr>
        <w:t>因发包人原因不能按照监理人发出的开工通知中载明的开工日期开工；</w:t>
      </w:r>
    </w:p>
    <w:p w14:paraId="4A7F4476">
      <w:pPr>
        <w:spacing w:line="360" w:lineRule="auto"/>
        <w:ind w:firstLine="315" w:firstLineChars="150"/>
        <w:rPr>
          <w:rFonts w:hint="eastAsia" w:ascii="宋体" w:hAnsi="宋体"/>
        </w:rPr>
      </w:pPr>
      <w:r>
        <w:rPr>
          <w:rFonts w:hint="eastAsia" w:ascii="宋体" w:hAnsi="宋体"/>
        </w:rPr>
        <w:t>（</w:t>
      </w:r>
      <w:r>
        <w:rPr>
          <w:rFonts w:ascii="宋体" w:hAnsi="宋体"/>
        </w:rPr>
        <w:t>8</w:t>
      </w:r>
      <w:r>
        <w:rPr>
          <w:rFonts w:hint="eastAsia" w:ascii="宋体" w:hAnsi="宋体"/>
        </w:rPr>
        <w:t>）发包人造成工期延误的其他原因见合同条款专用部分。</w:t>
      </w:r>
    </w:p>
    <w:p w14:paraId="0F7242A1">
      <w:pPr>
        <w:keepNext/>
        <w:keepLines/>
        <w:spacing w:before="120" w:beforeLines="50" w:after="120" w:afterLines="50" w:line="360" w:lineRule="auto"/>
        <w:outlineLvl w:val="2"/>
        <w:rPr>
          <w:rFonts w:hint="eastAsia" w:ascii="宋体" w:hAnsi="宋体"/>
          <w:sz w:val="24"/>
          <w:szCs w:val="20"/>
        </w:rPr>
      </w:pPr>
      <w:bookmarkStart w:id="1434" w:name="_Toc483668152"/>
      <w:bookmarkStart w:id="1435" w:name="_Toc117350490"/>
      <w:bookmarkStart w:id="1436" w:name="_Toc342296337"/>
      <w:bookmarkStart w:id="1437" w:name="_Toc338944779"/>
      <w:bookmarkStart w:id="1438" w:name="_Toc490222568"/>
      <w:bookmarkStart w:id="1439" w:name="_Toc480486805"/>
      <w:bookmarkStart w:id="1440" w:name="_Toc486580123"/>
      <w:bookmarkStart w:id="1441" w:name="_Toc489279934"/>
      <w:bookmarkStart w:id="1442" w:name="_Toc480486977"/>
      <w:r>
        <w:rPr>
          <w:rFonts w:ascii="宋体" w:hAnsi="宋体"/>
          <w:sz w:val="24"/>
          <w:szCs w:val="20"/>
        </w:rPr>
        <w:t xml:space="preserve">11.4  </w:t>
      </w:r>
      <w:r>
        <w:rPr>
          <w:rFonts w:hint="eastAsia" w:ascii="宋体" w:hAnsi="宋体"/>
          <w:sz w:val="24"/>
          <w:szCs w:val="20"/>
        </w:rPr>
        <w:t>异常恶劣的气候条件</w:t>
      </w:r>
      <w:bookmarkEnd w:id="1434"/>
      <w:bookmarkEnd w:id="1435"/>
      <w:bookmarkEnd w:id="1436"/>
      <w:bookmarkEnd w:id="1437"/>
      <w:bookmarkEnd w:id="1438"/>
      <w:bookmarkEnd w:id="1439"/>
      <w:bookmarkEnd w:id="1440"/>
      <w:bookmarkEnd w:id="1441"/>
      <w:bookmarkEnd w:id="1442"/>
    </w:p>
    <w:p w14:paraId="2D72D336">
      <w:pPr>
        <w:spacing w:line="360" w:lineRule="auto"/>
        <w:ind w:firstLine="420" w:firstLineChars="200"/>
        <w:rPr>
          <w:rFonts w:hint="eastAsia" w:ascii="宋体" w:hAnsi="宋体"/>
        </w:rPr>
      </w:pPr>
      <w:r>
        <w:rPr>
          <w:rFonts w:hint="eastAsia" w:ascii="宋体" w:hAnsi="宋体"/>
        </w:rPr>
        <w:t>由于出现异常恶劣气候的条件导致工期延误的，承包人有权要求发包人延长工期。</w:t>
      </w:r>
      <w:r>
        <w:rPr>
          <w:rFonts w:hint="eastAsia" w:ascii="宋体" w:hAnsi="宋体"/>
          <w:szCs w:val="21"/>
        </w:rPr>
        <w:t>异常恶劣的气候条件的范围和标准</w:t>
      </w:r>
      <w:r>
        <w:rPr>
          <w:rFonts w:hint="eastAsia" w:ascii="宋体" w:hAnsi="宋体"/>
        </w:rPr>
        <w:t>见合同条款专用部分。</w:t>
      </w:r>
    </w:p>
    <w:p w14:paraId="291D855A">
      <w:pPr>
        <w:keepNext/>
        <w:keepLines/>
        <w:spacing w:before="120" w:beforeLines="50" w:after="120" w:afterLines="50" w:line="360" w:lineRule="auto"/>
        <w:outlineLvl w:val="2"/>
        <w:rPr>
          <w:rFonts w:hint="eastAsia" w:ascii="宋体" w:hAnsi="宋体"/>
          <w:sz w:val="24"/>
          <w:szCs w:val="20"/>
        </w:rPr>
      </w:pPr>
      <w:bookmarkStart w:id="1443" w:name="_Toc483668153"/>
      <w:bookmarkStart w:id="1444" w:name="_Toc480486978"/>
      <w:bookmarkStart w:id="1445" w:name="_Toc490222569"/>
      <w:bookmarkStart w:id="1446" w:name="_Toc342296338"/>
      <w:bookmarkStart w:id="1447" w:name="_Toc486580124"/>
      <w:bookmarkStart w:id="1448" w:name="_Toc480486806"/>
      <w:bookmarkStart w:id="1449" w:name="_Toc117350491"/>
      <w:bookmarkStart w:id="1450" w:name="_Toc489279935"/>
      <w:bookmarkStart w:id="1451" w:name="_Toc338944780"/>
      <w:r>
        <w:rPr>
          <w:rFonts w:ascii="宋体" w:hAnsi="宋体"/>
          <w:sz w:val="24"/>
          <w:szCs w:val="20"/>
        </w:rPr>
        <w:t xml:space="preserve">11.5  </w:t>
      </w:r>
      <w:r>
        <w:rPr>
          <w:rFonts w:hint="eastAsia" w:ascii="宋体" w:hAnsi="宋体"/>
          <w:sz w:val="24"/>
          <w:szCs w:val="20"/>
        </w:rPr>
        <w:t>承包人的工期延误</w:t>
      </w:r>
      <w:bookmarkEnd w:id="1443"/>
      <w:bookmarkEnd w:id="1444"/>
      <w:bookmarkEnd w:id="1445"/>
      <w:bookmarkEnd w:id="1446"/>
      <w:bookmarkEnd w:id="1447"/>
      <w:bookmarkEnd w:id="1448"/>
      <w:bookmarkEnd w:id="1449"/>
      <w:bookmarkEnd w:id="1450"/>
      <w:bookmarkEnd w:id="1451"/>
    </w:p>
    <w:p w14:paraId="6C919327">
      <w:pPr>
        <w:spacing w:line="360" w:lineRule="auto"/>
        <w:ind w:firstLine="420" w:firstLineChars="200"/>
        <w:rPr>
          <w:rFonts w:hint="eastAsia" w:ascii="宋体" w:hAnsi="宋体"/>
        </w:rPr>
      </w:pPr>
      <w:r>
        <w:rPr>
          <w:rFonts w:ascii="宋体" w:hAnsi="宋体"/>
          <w:szCs w:val="21"/>
        </w:rPr>
        <w:t xml:space="preserve">11.5.1  </w:t>
      </w:r>
      <w:r>
        <w:rPr>
          <w:rFonts w:hint="eastAsia" w:ascii="宋体" w:hAnsi="宋体"/>
        </w:rPr>
        <w:t>由于承包人原因，未能按合同进度计划完成工作，或监理人认为承包人施工进度不能满足合同工期要求的，承包人应</w:t>
      </w:r>
      <w:bookmarkStart w:id="1452" w:name="_Hlk114649740"/>
      <w:r>
        <w:rPr>
          <w:rFonts w:hint="eastAsia" w:ascii="宋体" w:hAnsi="宋体"/>
        </w:rPr>
        <w:t>在不影响工程安全和质量的前提下</w:t>
      </w:r>
      <w:bookmarkEnd w:id="1452"/>
      <w:r>
        <w:rPr>
          <w:rFonts w:hint="eastAsia" w:ascii="宋体" w:hAnsi="宋体"/>
        </w:rPr>
        <w:t>采取</w:t>
      </w:r>
      <w:bookmarkStart w:id="1453" w:name="_Hlk114649750"/>
      <w:r>
        <w:rPr>
          <w:rFonts w:hint="eastAsia" w:ascii="宋体" w:hAnsi="宋体"/>
        </w:rPr>
        <w:t>必要的赶工</w:t>
      </w:r>
      <w:bookmarkEnd w:id="1453"/>
      <w:r>
        <w:rPr>
          <w:rFonts w:hint="eastAsia" w:ascii="宋体" w:hAnsi="宋体"/>
        </w:rPr>
        <w:t>措施加快进度，并承担加快进度所增加的费用。</w:t>
      </w:r>
    </w:p>
    <w:p w14:paraId="27C7279F">
      <w:pPr>
        <w:spacing w:line="360" w:lineRule="auto"/>
        <w:ind w:firstLine="420" w:firstLineChars="200"/>
        <w:rPr>
          <w:rFonts w:hint="eastAsia" w:ascii="宋体" w:hAnsi="宋体"/>
          <w:szCs w:val="21"/>
        </w:rPr>
      </w:pPr>
      <w:r>
        <w:rPr>
          <w:rFonts w:ascii="宋体" w:hAnsi="宋体"/>
          <w:szCs w:val="21"/>
        </w:rPr>
        <w:t xml:space="preserve">11.5.2  </w:t>
      </w:r>
      <w:r>
        <w:rPr>
          <w:rFonts w:hint="eastAsia" w:ascii="宋体" w:hAnsi="宋体"/>
          <w:szCs w:val="21"/>
        </w:rPr>
        <w:t>由于承包人原因造成不能按期竣工的，按照合同约定的竣工日期（包括按合同工期延长）后7天内，监理人应当按第23.4.1项的约定书面通知承包人,说明发包人有权得到逾期竣工违约金，逾期竣工违约金计算标准和计算方法见合同条款专用部分。</w:t>
      </w:r>
    </w:p>
    <w:p w14:paraId="1E47BA55">
      <w:pPr>
        <w:spacing w:line="360" w:lineRule="auto"/>
        <w:ind w:firstLine="420" w:firstLineChars="200"/>
        <w:rPr>
          <w:rFonts w:hint="eastAsia" w:ascii="宋体" w:hAnsi="宋体"/>
          <w:szCs w:val="21"/>
        </w:rPr>
      </w:pPr>
      <w:r>
        <w:rPr>
          <w:rFonts w:hint="eastAsia" w:ascii="宋体" w:hAnsi="宋体"/>
          <w:szCs w:val="21"/>
        </w:rPr>
        <w:t>监理人未在规定的期限内发出本款约定的书面通知的，发包人丧失主张逾期竣工违约金的权利。</w:t>
      </w:r>
    </w:p>
    <w:p w14:paraId="40C411DD">
      <w:pPr>
        <w:spacing w:line="360" w:lineRule="auto"/>
        <w:ind w:firstLine="420" w:firstLineChars="200"/>
        <w:rPr>
          <w:rFonts w:hint="eastAsia" w:ascii="宋体" w:hAnsi="宋体"/>
        </w:rPr>
      </w:pPr>
      <w:r>
        <w:rPr>
          <w:rFonts w:ascii="宋体" w:hAnsi="宋体"/>
          <w:szCs w:val="21"/>
        </w:rPr>
        <w:t xml:space="preserve">11.5.3  </w:t>
      </w:r>
      <w:r>
        <w:rPr>
          <w:rFonts w:hint="eastAsia" w:ascii="宋体" w:hAnsi="宋体"/>
        </w:rPr>
        <w:t>承包人支付逾期竣工违约金，不免除承包人完成工程及修补缺陷的义务。</w:t>
      </w:r>
    </w:p>
    <w:p w14:paraId="3CEE33F6">
      <w:pPr>
        <w:keepNext/>
        <w:keepLines/>
        <w:spacing w:before="120" w:beforeLines="50" w:after="120" w:afterLines="50" w:line="360" w:lineRule="auto"/>
        <w:outlineLvl w:val="2"/>
        <w:rPr>
          <w:rFonts w:hint="eastAsia" w:ascii="宋体" w:hAnsi="宋体"/>
          <w:sz w:val="24"/>
          <w:szCs w:val="20"/>
        </w:rPr>
      </w:pPr>
      <w:bookmarkStart w:id="1454" w:name="_Toc117350492"/>
      <w:bookmarkStart w:id="1455" w:name="_Hlk114649770"/>
      <w:r>
        <w:rPr>
          <w:rFonts w:ascii="宋体" w:hAnsi="宋体"/>
          <w:sz w:val="24"/>
          <w:szCs w:val="20"/>
        </w:rPr>
        <w:t xml:space="preserve">11.6  </w:t>
      </w:r>
      <w:r>
        <w:rPr>
          <w:rFonts w:hint="eastAsia" w:ascii="宋体" w:hAnsi="宋体"/>
          <w:sz w:val="24"/>
          <w:szCs w:val="20"/>
        </w:rPr>
        <w:t>发承包双方原因导致的工期延误</w:t>
      </w:r>
      <w:bookmarkEnd w:id="1454"/>
    </w:p>
    <w:p w14:paraId="194C34B1">
      <w:pPr>
        <w:spacing w:line="360" w:lineRule="auto"/>
        <w:ind w:firstLine="420" w:firstLineChars="200"/>
        <w:rPr>
          <w:rFonts w:hint="eastAsia" w:ascii="宋体" w:hAnsi="宋体"/>
        </w:rPr>
      </w:pPr>
      <w:r>
        <w:rPr>
          <w:rFonts w:hint="eastAsia" w:ascii="宋体" w:hAnsi="宋体"/>
        </w:rPr>
        <w:t>在履行合同过程中，由于发承包双方的原因造成承包人关键线路工期延误</w:t>
      </w:r>
      <w:r>
        <w:rPr>
          <w:rFonts w:hint="eastAsia" w:ascii="宋体" w:hAnsi="宋体"/>
          <w:szCs w:val="21"/>
        </w:rPr>
        <w:t>或窝工降效的</w:t>
      </w:r>
      <w:r>
        <w:rPr>
          <w:rFonts w:hint="eastAsia" w:ascii="宋体" w:hAnsi="宋体"/>
        </w:rPr>
        <w:t>，</w:t>
      </w:r>
      <w:r>
        <w:rPr>
          <w:rFonts w:ascii="宋体" w:hAnsi="宋体"/>
          <w:szCs w:val="21"/>
        </w:rPr>
        <w:t>承</w:t>
      </w:r>
      <w:r>
        <w:rPr>
          <w:rFonts w:hint="eastAsia" w:ascii="宋体" w:hAnsi="宋体"/>
          <w:szCs w:val="21"/>
        </w:rPr>
        <w:t>包</w:t>
      </w:r>
      <w:r>
        <w:rPr>
          <w:rFonts w:ascii="宋体" w:hAnsi="宋体"/>
          <w:szCs w:val="21"/>
        </w:rPr>
        <w:t>人</w:t>
      </w:r>
      <w:r>
        <w:rPr>
          <w:rFonts w:hint="eastAsia" w:ascii="宋体" w:hAnsi="宋体"/>
          <w:szCs w:val="21"/>
        </w:rPr>
        <w:t>可根据实际影响情况</w:t>
      </w:r>
      <w:r>
        <w:rPr>
          <w:rFonts w:ascii="宋体" w:hAnsi="宋体"/>
          <w:szCs w:val="21"/>
        </w:rPr>
        <w:t>并按照合同约定期限提出工期顺延</w:t>
      </w:r>
      <w:r>
        <w:rPr>
          <w:rFonts w:hint="eastAsia" w:ascii="宋体" w:hAnsi="宋体"/>
          <w:szCs w:val="21"/>
        </w:rPr>
        <w:t>和（或）费用损失申请</w:t>
      </w:r>
      <w:r>
        <w:rPr>
          <w:rFonts w:ascii="宋体" w:hAnsi="宋体"/>
          <w:szCs w:val="21"/>
        </w:rPr>
        <w:t>，发包人应当在合同约定的期限内及时处理</w:t>
      </w:r>
      <w:r>
        <w:rPr>
          <w:rFonts w:hint="eastAsia" w:ascii="宋体" w:hAnsi="宋体"/>
          <w:szCs w:val="21"/>
        </w:rPr>
        <w:t>，并</w:t>
      </w:r>
      <w:r>
        <w:rPr>
          <w:rFonts w:ascii="宋体" w:hAnsi="宋体"/>
          <w:szCs w:val="21"/>
        </w:rPr>
        <w:t>按</w:t>
      </w:r>
      <w:r>
        <w:rPr>
          <w:rFonts w:hint="eastAsia" w:ascii="宋体" w:hAnsi="宋体"/>
          <w:szCs w:val="21"/>
        </w:rPr>
        <w:t>过错</w:t>
      </w:r>
      <w:r>
        <w:rPr>
          <w:rFonts w:ascii="宋体" w:hAnsi="宋体"/>
          <w:szCs w:val="21"/>
        </w:rPr>
        <w:t>责任分担</w:t>
      </w:r>
      <w:r>
        <w:rPr>
          <w:rFonts w:hint="eastAsia" w:ascii="宋体" w:hAnsi="宋体"/>
          <w:szCs w:val="21"/>
        </w:rPr>
        <w:t>工期</w:t>
      </w:r>
      <w:r>
        <w:rPr>
          <w:rFonts w:ascii="宋体" w:hAnsi="宋体"/>
          <w:szCs w:val="21"/>
        </w:rPr>
        <w:t>和</w:t>
      </w:r>
      <w:r>
        <w:rPr>
          <w:rFonts w:hint="eastAsia" w:ascii="宋体" w:hAnsi="宋体"/>
          <w:szCs w:val="21"/>
        </w:rPr>
        <w:t>（或）费用损失；责任</w:t>
      </w:r>
      <w:r>
        <w:rPr>
          <w:rFonts w:ascii="宋体" w:hAnsi="宋体"/>
          <w:szCs w:val="21"/>
        </w:rPr>
        <w:t>划分不清的，以主导原因为主</w:t>
      </w:r>
      <w:r>
        <w:rPr>
          <w:rFonts w:hint="eastAsia" w:ascii="宋体" w:hAnsi="宋体"/>
          <w:szCs w:val="21"/>
        </w:rPr>
        <w:t>承担工期</w:t>
      </w:r>
      <w:r>
        <w:rPr>
          <w:rFonts w:ascii="宋体" w:hAnsi="宋体"/>
          <w:szCs w:val="21"/>
        </w:rPr>
        <w:t>和</w:t>
      </w:r>
      <w:r>
        <w:rPr>
          <w:rFonts w:hint="eastAsia" w:ascii="宋体" w:hAnsi="宋体"/>
          <w:szCs w:val="21"/>
        </w:rPr>
        <w:t>（或）费用损失。</w:t>
      </w:r>
      <w:r>
        <w:rPr>
          <w:rFonts w:hint="eastAsia" w:ascii="宋体" w:hAnsi="宋体"/>
        </w:rPr>
        <w:t>需要修订合同进度计划的，按照第</w:t>
      </w:r>
      <w:r>
        <w:rPr>
          <w:rFonts w:ascii="宋体" w:hAnsi="宋体"/>
        </w:rPr>
        <w:t>10.2</w:t>
      </w:r>
      <w:r>
        <w:rPr>
          <w:rFonts w:hint="eastAsia" w:ascii="宋体" w:hAnsi="宋体"/>
        </w:rPr>
        <w:t>款的约定办理。发承包双方导致工期延误的原因见合同条款专用部分。</w:t>
      </w:r>
    </w:p>
    <w:p w14:paraId="1B8E395A">
      <w:pPr>
        <w:keepNext/>
        <w:keepLines/>
        <w:spacing w:before="120" w:beforeLines="50" w:after="120" w:afterLines="50" w:line="360" w:lineRule="auto"/>
        <w:outlineLvl w:val="2"/>
        <w:rPr>
          <w:rFonts w:hint="eastAsia" w:ascii="宋体" w:hAnsi="宋体"/>
          <w:sz w:val="24"/>
          <w:szCs w:val="20"/>
        </w:rPr>
      </w:pPr>
      <w:bookmarkStart w:id="1456" w:name="_Toc117350493"/>
      <w:r>
        <w:rPr>
          <w:rFonts w:ascii="宋体" w:hAnsi="宋体"/>
          <w:sz w:val="24"/>
          <w:szCs w:val="20"/>
        </w:rPr>
        <w:t xml:space="preserve">11.7  </w:t>
      </w:r>
      <w:r>
        <w:rPr>
          <w:rFonts w:hint="eastAsia" w:ascii="宋体" w:hAnsi="宋体"/>
          <w:sz w:val="24"/>
          <w:szCs w:val="20"/>
        </w:rPr>
        <w:t>非发承包双方原因导致的工期延误</w:t>
      </w:r>
      <w:bookmarkEnd w:id="1456"/>
    </w:p>
    <w:p w14:paraId="3A3AFD60">
      <w:pPr>
        <w:spacing w:line="360" w:lineRule="auto"/>
        <w:ind w:firstLine="420" w:firstLineChars="200"/>
        <w:rPr>
          <w:rFonts w:hint="eastAsia" w:ascii="宋体" w:hAnsi="宋体"/>
        </w:rPr>
      </w:pPr>
      <w:r>
        <w:rPr>
          <w:rFonts w:hint="eastAsia" w:ascii="宋体" w:hAnsi="宋体"/>
        </w:rPr>
        <w:t>在履行合同过程中，由于非发承包双方的原因造成承包人关键线路工期延误</w:t>
      </w:r>
      <w:r>
        <w:rPr>
          <w:rFonts w:hint="eastAsia" w:ascii="宋体" w:hAnsi="宋体"/>
          <w:szCs w:val="21"/>
        </w:rPr>
        <w:t>或窝工降效的</w:t>
      </w:r>
      <w:r>
        <w:rPr>
          <w:rFonts w:hint="eastAsia" w:ascii="宋体" w:hAnsi="宋体"/>
        </w:rPr>
        <w:t>，</w:t>
      </w:r>
      <w:r>
        <w:rPr>
          <w:rFonts w:ascii="宋体" w:hAnsi="宋体"/>
          <w:szCs w:val="21"/>
        </w:rPr>
        <w:t>承</w:t>
      </w:r>
      <w:r>
        <w:rPr>
          <w:rFonts w:hint="eastAsia" w:ascii="宋体" w:hAnsi="宋体"/>
          <w:szCs w:val="21"/>
        </w:rPr>
        <w:t>包</w:t>
      </w:r>
      <w:r>
        <w:rPr>
          <w:rFonts w:ascii="宋体" w:hAnsi="宋体"/>
          <w:szCs w:val="21"/>
        </w:rPr>
        <w:t>人</w:t>
      </w:r>
      <w:r>
        <w:rPr>
          <w:rFonts w:hint="eastAsia" w:ascii="宋体" w:hAnsi="宋体"/>
          <w:szCs w:val="21"/>
        </w:rPr>
        <w:t>可根据实际影响情况</w:t>
      </w:r>
      <w:r>
        <w:rPr>
          <w:rFonts w:ascii="宋体" w:hAnsi="宋体"/>
          <w:szCs w:val="21"/>
        </w:rPr>
        <w:t>并按照合同约定期限提出工期顺延</w:t>
      </w:r>
      <w:r>
        <w:rPr>
          <w:rFonts w:hint="eastAsia" w:ascii="宋体" w:hAnsi="宋体"/>
          <w:szCs w:val="21"/>
        </w:rPr>
        <w:t>和（或）费用损失申请</w:t>
      </w:r>
      <w:r>
        <w:rPr>
          <w:rFonts w:ascii="宋体" w:hAnsi="宋体"/>
          <w:szCs w:val="21"/>
        </w:rPr>
        <w:t>，发包人应当在合同约定的期限内及时处理</w:t>
      </w:r>
      <w:r>
        <w:rPr>
          <w:rFonts w:hint="eastAsia" w:ascii="宋体" w:hAnsi="宋体"/>
          <w:szCs w:val="21"/>
        </w:rPr>
        <w:t>，给予顺延工期，发承包双方应根据公平原则分担费用损失。</w:t>
      </w:r>
      <w:r>
        <w:rPr>
          <w:rFonts w:hint="eastAsia" w:ascii="宋体" w:hAnsi="宋体"/>
        </w:rPr>
        <w:t>需要修订合同进度计划的，按照第</w:t>
      </w:r>
      <w:r>
        <w:rPr>
          <w:rFonts w:ascii="宋体" w:hAnsi="宋体"/>
        </w:rPr>
        <w:t>10.2</w:t>
      </w:r>
      <w:r>
        <w:rPr>
          <w:rFonts w:hint="eastAsia" w:ascii="宋体" w:hAnsi="宋体"/>
        </w:rPr>
        <w:t>款的约定办理。非发承包双方导致工期延误的原因见合同条款专用部分。</w:t>
      </w:r>
    </w:p>
    <w:bookmarkEnd w:id="1455"/>
    <w:p w14:paraId="041710E3">
      <w:pPr>
        <w:keepNext/>
        <w:keepLines/>
        <w:spacing w:before="120" w:beforeLines="50" w:after="120" w:afterLines="50" w:line="360" w:lineRule="auto"/>
        <w:outlineLvl w:val="2"/>
        <w:rPr>
          <w:rFonts w:hint="eastAsia" w:ascii="宋体" w:hAnsi="宋体"/>
          <w:sz w:val="24"/>
          <w:szCs w:val="20"/>
        </w:rPr>
      </w:pPr>
      <w:bookmarkStart w:id="1457" w:name="_Toc117350494"/>
      <w:bookmarkStart w:id="1458" w:name="_Toc483668154"/>
      <w:bookmarkStart w:id="1459" w:name="_Toc490222570"/>
      <w:bookmarkStart w:id="1460" w:name="_Toc489279936"/>
      <w:bookmarkStart w:id="1461" w:name="_Toc338944781"/>
      <w:bookmarkStart w:id="1462" w:name="_Toc480486807"/>
      <w:bookmarkStart w:id="1463" w:name="_Toc342296339"/>
      <w:bookmarkStart w:id="1464" w:name="_Toc486580125"/>
      <w:bookmarkStart w:id="1465" w:name="_Toc480486979"/>
      <w:r>
        <w:rPr>
          <w:rFonts w:ascii="宋体" w:hAnsi="宋体"/>
          <w:sz w:val="24"/>
          <w:szCs w:val="20"/>
        </w:rPr>
        <w:t xml:space="preserve">11.8  </w:t>
      </w:r>
      <w:r>
        <w:rPr>
          <w:rFonts w:hint="eastAsia" w:ascii="宋体" w:hAnsi="宋体"/>
          <w:sz w:val="24"/>
          <w:szCs w:val="20"/>
        </w:rPr>
        <w:t>工期提前</w:t>
      </w:r>
      <w:bookmarkEnd w:id="1457"/>
      <w:bookmarkEnd w:id="1458"/>
      <w:bookmarkEnd w:id="1459"/>
      <w:bookmarkEnd w:id="1460"/>
      <w:bookmarkEnd w:id="1461"/>
      <w:bookmarkEnd w:id="1462"/>
      <w:bookmarkEnd w:id="1463"/>
      <w:bookmarkEnd w:id="1464"/>
      <w:bookmarkEnd w:id="1465"/>
    </w:p>
    <w:p w14:paraId="03EF931C">
      <w:pPr>
        <w:keepNext/>
        <w:keepLines/>
        <w:spacing w:before="120" w:beforeLines="50" w:after="120" w:afterLines="50" w:line="360" w:lineRule="auto"/>
        <w:outlineLvl w:val="1"/>
        <w:rPr>
          <w:rFonts w:hint="eastAsia" w:ascii="宋体" w:hAnsi="宋体"/>
        </w:rPr>
      </w:pPr>
      <w:bookmarkStart w:id="1466" w:name="_Toc342296340"/>
      <w:bookmarkStart w:id="1467" w:name="_Toc117350495"/>
      <w:bookmarkStart w:id="1468" w:name="_Toc338944782"/>
      <w:bookmarkStart w:id="1469" w:name="_Toc486580126"/>
      <w:bookmarkStart w:id="1470" w:name="_Toc483668155"/>
      <w:bookmarkStart w:id="1471" w:name="_Toc480486808"/>
      <w:bookmarkStart w:id="1472" w:name="_Toc489279937"/>
      <w:bookmarkStart w:id="1473" w:name="_Toc490222571"/>
      <w:bookmarkStart w:id="1474" w:name="_Toc480486980"/>
      <w:r>
        <w:rPr>
          <w:rFonts w:hint="eastAsia" w:ascii="宋体" w:hAnsi="宋体"/>
        </w:rPr>
        <w:t>发包人要求承包人提前竣工，或承包人提出提前竣工的建议能够给发包人带来效益的，应由监理人与承包人共同协商采取加快工程进度的措施和修订合同进度计划。发包人应承担承包人由此增加的费用。提前竣工的奖励办法见合同条款专用部分。</w:t>
      </w:r>
    </w:p>
    <w:p w14:paraId="18EB46F5">
      <w:pPr>
        <w:keepNext/>
        <w:keepLines/>
        <w:spacing w:before="120" w:beforeLines="50" w:after="120" w:afterLines="50" w:line="360" w:lineRule="auto"/>
        <w:outlineLvl w:val="1"/>
        <w:rPr>
          <w:rFonts w:hint="eastAsia" w:ascii="宋体" w:hAnsi="宋体" w:cs="宋体"/>
          <w:sz w:val="28"/>
          <w:szCs w:val="20"/>
        </w:rPr>
      </w:pPr>
      <w:r>
        <w:rPr>
          <w:rFonts w:ascii="宋体" w:hAnsi="宋体" w:cs="宋体"/>
          <w:sz w:val="28"/>
          <w:szCs w:val="20"/>
        </w:rPr>
        <w:t>12.</w:t>
      </w:r>
      <w:r>
        <w:rPr>
          <w:rFonts w:hint="eastAsia" w:ascii="宋体" w:hAnsi="宋体" w:cs="宋体"/>
          <w:sz w:val="28"/>
          <w:szCs w:val="20"/>
        </w:rPr>
        <w:t>暂停施工</w:t>
      </w:r>
      <w:bookmarkEnd w:id="1466"/>
      <w:bookmarkEnd w:id="1467"/>
      <w:bookmarkEnd w:id="1468"/>
      <w:bookmarkEnd w:id="1469"/>
      <w:bookmarkEnd w:id="1470"/>
      <w:bookmarkEnd w:id="1471"/>
      <w:bookmarkEnd w:id="1472"/>
      <w:bookmarkEnd w:id="1473"/>
      <w:bookmarkEnd w:id="1474"/>
    </w:p>
    <w:p w14:paraId="150DD7CF">
      <w:pPr>
        <w:keepNext/>
        <w:keepLines/>
        <w:spacing w:before="120" w:beforeLines="50" w:after="120" w:afterLines="50" w:line="360" w:lineRule="auto"/>
        <w:outlineLvl w:val="2"/>
        <w:rPr>
          <w:rFonts w:hint="eastAsia" w:ascii="宋体" w:hAnsi="宋体"/>
          <w:sz w:val="24"/>
          <w:szCs w:val="20"/>
        </w:rPr>
      </w:pPr>
      <w:bookmarkStart w:id="1475" w:name="_Toc342296341"/>
      <w:bookmarkStart w:id="1476" w:name="_Toc117350496"/>
      <w:bookmarkStart w:id="1477" w:name="_Toc480486981"/>
      <w:bookmarkStart w:id="1478" w:name="_Toc338944783"/>
      <w:bookmarkStart w:id="1479" w:name="_Toc480486809"/>
      <w:bookmarkStart w:id="1480" w:name="_Toc489279938"/>
      <w:bookmarkStart w:id="1481" w:name="_Toc490222572"/>
      <w:bookmarkStart w:id="1482" w:name="_Toc486580127"/>
      <w:bookmarkStart w:id="1483" w:name="_Toc483668156"/>
      <w:r>
        <w:rPr>
          <w:rFonts w:ascii="宋体" w:hAnsi="宋体"/>
          <w:sz w:val="24"/>
          <w:szCs w:val="20"/>
        </w:rPr>
        <w:t xml:space="preserve">12.1  </w:t>
      </w:r>
      <w:r>
        <w:rPr>
          <w:rFonts w:hint="eastAsia" w:ascii="宋体" w:hAnsi="宋体"/>
          <w:sz w:val="24"/>
          <w:szCs w:val="20"/>
        </w:rPr>
        <w:t>承包人暂停施工的责任</w:t>
      </w:r>
      <w:bookmarkEnd w:id="1475"/>
      <w:bookmarkEnd w:id="1476"/>
      <w:bookmarkEnd w:id="1477"/>
      <w:bookmarkEnd w:id="1478"/>
      <w:bookmarkEnd w:id="1479"/>
      <w:bookmarkEnd w:id="1480"/>
      <w:bookmarkEnd w:id="1481"/>
      <w:bookmarkEnd w:id="1482"/>
      <w:bookmarkEnd w:id="1483"/>
    </w:p>
    <w:p w14:paraId="4F1CD985">
      <w:pPr>
        <w:spacing w:line="360" w:lineRule="auto"/>
        <w:ind w:firstLine="420" w:firstLineChars="200"/>
        <w:rPr>
          <w:rFonts w:hint="eastAsia" w:ascii="宋体" w:hAnsi="宋体"/>
        </w:rPr>
      </w:pPr>
      <w:r>
        <w:rPr>
          <w:rFonts w:hint="eastAsia" w:ascii="宋体" w:hAnsi="宋体"/>
        </w:rPr>
        <w:t>因下列</w:t>
      </w:r>
      <w:r>
        <w:rPr>
          <w:rFonts w:hint="eastAsia" w:ascii="宋体" w:hAnsi="宋体"/>
          <w:szCs w:val="21"/>
        </w:rPr>
        <w:t>情形</w:t>
      </w:r>
      <w:r>
        <w:rPr>
          <w:rFonts w:hint="eastAsia" w:ascii="宋体" w:hAnsi="宋体"/>
        </w:rPr>
        <w:t>暂停施工增加的费用和（或）工期延误由承包人承担：</w:t>
      </w:r>
    </w:p>
    <w:p w14:paraId="20D19B6F">
      <w:pPr>
        <w:spacing w:line="360" w:lineRule="auto"/>
        <w:ind w:firstLine="315" w:firstLineChars="150"/>
        <w:rPr>
          <w:rFonts w:hint="eastAsia" w:ascii="宋体" w:hAnsi="宋体"/>
        </w:rPr>
      </w:pPr>
      <w:r>
        <w:rPr>
          <w:rFonts w:hint="eastAsia" w:ascii="宋体" w:hAnsi="宋体"/>
        </w:rPr>
        <w:t>（</w:t>
      </w:r>
      <w:r>
        <w:rPr>
          <w:rFonts w:ascii="宋体" w:hAnsi="宋体"/>
        </w:rPr>
        <w:t>1</w:t>
      </w:r>
      <w:r>
        <w:rPr>
          <w:rFonts w:hint="eastAsia" w:ascii="宋体" w:hAnsi="宋体"/>
        </w:rPr>
        <w:t>）承包人违约引起的暂停施工；</w:t>
      </w:r>
    </w:p>
    <w:p w14:paraId="2444BC2E">
      <w:pPr>
        <w:spacing w:line="360" w:lineRule="auto"/>
        <w:ind w:firstLine="315" w:firstLineChars="150"/>
        <w:rPr>
          <w:rFonts w:hint="eastAsia" w:ascii="宋体" w:hAnsi="宋体"/>
        </w:rPr>
      </w:pPr>
      <w:r>
        <w:rPr>
          <w:rFonts w:hint="eastAsia" w:ascii="宋体" w:hAnsi="宋体"/>
        </w:rPr>
        <w:t>（</w:t>
      </w:r>
      <w:r>
        <w:rPr>
          <w:rFonts w:ascii="宋体" w:hAnsi="宋体"/>
        </w:rPr>
        <w:t>2</w:t>
      </w:r>
      <w:r>
        <w:rPr>
          <w:rFonts w:hint="eastAsia" w:ascii="宋体" w:hAnsi="宋体"/>
        </w:rPr>
        <w:t>）由于承包人原因为工程合理施工和安全保障所必需的暂停施工；</w:t>
      </w:r>
    </w:p>
    <w:p w14:paraId="7BF3F5CB">
      <w:pPr>
        <w:spacing w:line="360" w:lineRule="auto"/>
        <w:ind w:firstLine="315" w:firstLineChars="150"/>
        <w:rPr>
          <w:rFonts w:hint="eastAsia" w:ascii="宋体" w:hAnsi="宋体"/>
        </w:rPr>
      </w:pPr>
      <w:r>
        <w:rPr>
          <w:rFonts w:hint="eastAsia" w:ascii="宋体" w:hAnsi="宋体"/>
        </w:rPr>
        <w:t>（</w:t>
      </w:r>
      <w:r>
        <w:rPr>
          <w:rFonts w:ascii="宋体" w:hAnsi="宋体"/>
        </w:rPr>
        <w:t>3</w:t>
      </w:r>
      <w:r>
        <w:rPr>
          <w:rFonts w:hint="eastAsia" w:ascii="宋体" w:hAnsi="宋体"/>
        </w:rPr>
        <w:t>）承包人擅自暂停施工；</w:t>
      </w:r>
    </w:p>
    <w:p w14:paraId="592958B7">
      <w:pPr>
        <w:spacing w:line="360" w:lineRule="auto"/>
        <w:ind w:firstLine="315" w:firstLineChars="150"/>
        <w:rPr>
          <w:rFonts w:hint="eastAsia" w:ascii="宋体" w:hAnsi="宋体"/>
        </w:rPr>
      </w:pPr>
      <w:r>
        <w:rPr>
          <w:rFonts w:hint="eastAsia" w:ascii="宋体" w:hAnsi="宋体"/>
        </w:rPr>
        <w:t>（</w:t>
      </w:r>
      <w:r>
        <w:rPr>
          <w:rFonts w:ascii="宋体" w:hAnsi="宋体"/>
        </w:rPr>
        <w:t>4</w:t>
      </w:r>
      <w:r>
        <w:rPr>
          <w:rFonts w:hint="eastAsia" w:ascii="宋体" w:hAnsi="宋体"/>
        </w:rPr>
        <w:t>）</w:t>
      </w:r>
      <w:r>
        <w:rPr>
          <w:rFonts w:hint="eastAsia" w:ascii="宋体" w:hAnsi="宋体"/>
          <w:szCs w:val="21"/>
        </w:rPr>
        <w:t>承包人承担暂停施工责任的其他情形</w:t>
      </w:r>
      <w:r>
        <w:rPr>
          <w:rFonts w:hint="eastAsia" w:ascii="宋体" w:hAnsi="宋体"/>
        </w:rPr>
        <w:t>见合同条款专用部分。</w:t>
      </w:r>
    </w:p>
    <w:p w14:paraId="223D5AF2">
      <w:pPr>
        <w:keepNext/>
        <w:keepLines/>
        <w:spacing w:before="120" w:beforeLines="50" w:after="120" w:afterLines="50" w:line="360" w:lineRule="auto"/>
        <w:outlineLvl w:val="2"/>
        <w:rPr>
          <w:rFonts w:hint="eastAsia" w:ascii="宋体" w:hAnsi="宋体"/>
          <w:sz w:val="24"/>
          <w:szCs w:val="20"/>
        </w:rPr>
      </w:pPr>
      <w:bookmarkStart w:id="1484" w:name="_Toc486580128"/>
      <w:bookmarkStart w:id="1485" w:name="_Toc144974660"/>
      <w:bookmarkStart w:id="1486" w:name="_Toc480486810"/>
      <w:bookmarkStart w:id="1487" w:name="_Toc152045691"/>
      <w:bookmarkStart w:id="1488" w:name="_Toc480486982"/>
      <w:bookmarkStart w:id="1489" w:name="_Toc490222573"/>
      <w:bookmarkStart w:id="1490" w:name="_Toc338944784"/>
      <w:bookmarkStart w:id="1491" w:name="_Toc117350497"/>
      <w:bookmarkStart w:id="1492" w:name="_Toc179632709"/>
      <w:bookmarkStart w:id="1493" w:name="_Toc489279939"/>
      <w:bookmarkStart w:id="1494" w:name="_Toc483668157"/>
      <w:bookmarkStart w:id="1495" w:name="_Toc152042469"/>
      <w:bookmarkStart w:id="1496" w:name="_Toc342296342"/>
      <w:r>
        <w:rPr>
          <w:rFonts w:ascii="宋体" w:hAnsi="宋体"/>
          <w:sz w:val="24"/>
          <w:szCs w:val="20"/>
        </w:rPr>
        <w:t xml:space="preserve">12.2  </w:t>
      </w:r>
      <w:r>
        <w:rPr>
          <w:rFonts w:hint="eastAsia" w:ascii="宋体" w:hAnsi="宋体"/>
          <w:sz w:val="24"/>
          <w:szCs w:val="20"/>
        </w:rPr>
        <w:t>发包人暂停施工的责任</w:t>
      </w:r>
      <w:bookmarkEnd w:id="1484"/>
      <w:bookmarkEnd w:id="1485"/>
      <w:bookmarkEnd w:id="1486"/>
      <w:bookmarkEnd w:id="1487"/>
      <w:bookmarkEnd w:id="1488"/>
      <w:bookmarkEnd w:id="1489"/>
      <w:bookmarkEnd w:id="1490"/>
      <w:bookmarkEnd w:id="1491"/>
      <w:bookmarkEnd w:id="1492"/>
      <w:bookmarkEnd w:id="1493"/>
      <w:bookmarkEnd w:id="1494"/>
      <w:bookmarkEnd w:id="1495"/>
      <w:bookmarkEnd w:id="1496"/>
    </w:p>
    <w:p w14:paraId="26D6B00F">
      <w:pPr>
        <w:spacing w:line="360" w:lineRule="auto"/>
        <w:ind w:firstLine="420" w:firstLineChars="200"/>
        <w:rPr>
          <w:rFonts w:hint="eastAsia" w:ascii="宋体" w:hAnsi="宋体"/>
        </w:rPr>
      </w:pPr>
      <w:r>
        <w:rPr>
          <w:rFonts w:hint="eastAsia" w:ascii="宋体" w:hAnsi="宋体"/>
        </w:rPr>
        <w:t>由于发包人原因引起的暂停施工造成工期延误的，承包人有权要求发包人延长工期和（或）增加费用。</w:t>
      </w:r>
    </w:p>
    <w:p w14:paraId="152D077E">
      <w:pPr>
        <w:spacing w:line="360" w:lineRule="auto"/>
        <w:ind w:firstLine="420" w:firstLineChars="200"/>
        <w:rPr>
          <w:rFonts w:hint="eastAsia" w:ascii="宋体" w:hAnsi="宋体"/>
        </w:rPr>
      </w:pPr>
      <w:r>
        <w:rPr>
          <w:rFonts w:hint="eastAsia" w:ascii="宋体" w:hAnsi="宋体"/>
        </w:rPr>
        <w:t>12.3  监理人暂停施工指示</w:t>
      </w:r>
    </w:p>
    <w:p w14:paraId="7B8530A8">
      <w:pPr>
        <w:spacing w:line="360" w:lineRule="auto"/>
        <w:ind w:firstLine="420" w:firstLineChars="200"/>
        <w:rPr>
          <w:rFonts w:hint="eastAsia" w:ascii="宋体" w:hAnsi="宋体"/>
        </w:rPr>
      </w:pPr>
      <w:r>
        <w:rPr>
          <w:rFonts w:hint="eastAsia" w:ascii="宋体" w:hAnsi="宋体"/>
        </w:rPr>
        <w:t>12.3.1  监理人认为有必要时，可向承包人作出暂停施工的指示，承包人应按监理人指示暂停施工。不论由于何种原因引起的暂停施工，暂停施工期间承包人应负责妥善保护工程并提供安全保障。</w:t>
      </w:r>
    </w:p>
    <w:p w14:paraId="3FA88C9A">
      <w:pPr>
        <w:spacing w:line="360" w:lineRule="auto"/>
        <w:ind w:firstLine="420" w:firstLineChars="200"/>
        <w:rPr>
          <w:rFonts w:hint="eastAsia" w:ascii="宋体" w:hAnsi="宋体"/>
        </w:rPr>
      </w:pPr>
      <w:r>
        <w:rPr>
          <w:rFonts w:hint="eastAsia" w:ascii="宋体" w:hAnsi="宋体"/>
        </w:rPr>
        <w:t>12.3.2  由于发包人的原因发生暂停施工的紧急情况，且监理人未及时下达暂停施工指示的，承包人可先暂停施工，并及时向监理人提出暂停施工的书面请求。监理人应在接到书面请求后的24小时内予以答复。</w:t>
      </w:r>
    </w:p>
    <w:p w14:paraId="4026B541">
      <w:pPr>
        <w:spacing w:line="360" w:lineRule="auto"/>
        <w:ind w:firstLine="420" w:firstLineChars="200"/>
        <w:rPr>
          <w:rFonts w:hint="eastAsia" w:ascii="宋体" w:hAnsi="宋体"/>
        </w:rPr>
      </w:pPr>
      <w:r>
        <w:rPr>
          <w:rFonts w:hint="eastAsia" w:ascii="宋体" w:hAnsi="宋体"/>
        </w:rPr>
        <w:t>12.4  暂停施工后的复工</w:t>
      </w:r>
    </w:p>
    <w:p w14:paraId="28045921">
      <w:pPr>
        <w:spacing w:line="360" w:lineRule="auto"/>
        <w:ind w:firstLine="420" w:firstLineChars="200"/>
        <w:rPr>
          <w:rFonts w:hint="eastAsia" w:ascii="宋体" w:hAnsi="宋体"/>
        </w:rPr>
      </w:pPr>
      <w:r>
        <w:rPr>
          <w:rFonts w:hint="eastAsia" w:ascii="宋体" w:hAnsi="宋体"/>
        </w:rPr>
        <w:t>12.4.1  暂停施工后，监理人应与发包人和承包人协商，采取有效措施积极消除暂停施工的影响。当工程具备复工条件时，监理人应立即向承包人发出复工通知。承包人收到复工通知后，应在监理人指定的期限内复工。</w:t>
      </w:r>
    </w:p>
    <w:p w14:paraId="49DC0AA6">
      <w:pPr>
        <w:spacing w:line="360" w:lineRule="auto"/>
        <w:ind w:firstLine="420" w:firstLineChars="200"/>
        <w:rPr>
          <w:rFonts w:hint="eastAsia" w:ascii="宋体" w:hAnsi="宋体"/>
        </w:rPr>
      </w:pPr>
      <w:r>
        <w:rPr>
          <w:rFonts w:hint="eastAsia" w:ascii="宋体" w:hAnsi="宋体"/>
        </w:rPr>
        <w:t>12.4.2  承包人无故拖延和拒绝复工的，由此增加的费用和工期延误由承包人承担；因发包人原因无法按时复工的，承包人有权要求发包人延长工期和（或）增加费用。</w:t>
      </w:r>
    </w:p>
    <w:p w14:paraId="19915CF8">
      <w:pPr>
        <w:spacing w:line="360" w:lineRule="auto"/>
        <w:ind w:firstLine="420" w:firstLineChars="200"/>
        <w:rPr>
          <w:rFonts w:hint="eastAsia" w:ascii="宋体" w:hAnsi="宋体"/>
        </w:rPr>
      </w:pPr>
      <w:r>
        <w:rPr>
          <w:rFonts w:hint="eastAsia" w:ascii="宋体" w:hAnsi="宋体"/>
        </w:rPr>
        <w:t>12.4.3  根据第12.4.1款的约定，监理人发出复工通知后，监理人应和承包人一起对受到暂停施工影响的工程、材料和工程设备进行检查。承包人负责修复在暂停施工期间发生在工程、材料和工程设备上的任何损蚀、缺陷或损失，修复费用由承担暂停施工责任的责任人承担。</w:t>
      </w:r>
    </w:p>
    <w:p w14:paraId="78A867B0">
      <w:pPr>
        <w:spacing w:line="360" w:lineRule="auto"/>
        <w:ind w:firstLine="420" w:firstLineChars="200"/>
        <w:rPr>
          <w:rFonts w:hint="eastAsia" w:ascii="宋体" w:hAnsi="宋体"/>
        </w:rPr>
      </w:pPr>
      <w:r>
        <w:rPr>
          <w:rFonts w:hint="eastAsia" w:ascii="宋体" w:hAnsi="宋体"/>
        </w:rPr>
        <w:t>12.4.4  暂停施工持续56天以上，按合同约定由承包人提供的材料和工程设备，由于暂停施工原因导致承包人在暂停施工前已经订购但被暂停运至施工现场的，经发包人确认后，发包人应按照承包人订购合同的约定支付相应的订购款项。</w:t>
      </w:r>
    </w:p>
    <w:p w14:paraId="6F9EC3B8">
      <w:pPr>
        <w:keepNext/>
        <w:keepLines/>
        <w:spacing w:before="120" w:beforeLines="50" w:after="120" w:afterLines="50" w:line="360" w:lineRule="auto"/>
        <w:outlineLvl w:val="2"/>
        <w:rPr>
          <w:rFonts w:hint="eastAsia" w:ascii="宋体" w:hAnsi="宋体"/>
          <w:sz w:val="24"/>
          <w:szCs w:val="20"/>
        </w:rPr>
      </w:pPr>
      <w:bookmarkStart w:id="1497" w:name="_Toc152045694"/>
      <w:bookmarkStart w:id="1498" w:name="_Toc486580131"/>
      <w:bookmarkStart w:id="1499" w:name="_Toc489279942"/>
      <w:bookmarkStart w:id="1500" w:name="_Toc490222576"/>
      <w:bookmarkStart w:id="1501" w:name="_Toc152042472"/>
      <w:bookmarkStart w:id="1502" w:name="_Toc483668160"/>
      <w:bookmarkStart w:id="1503" w:name="_Toc117350500"/>
      <w:bookmarkStart w:id="1504" w:name="_Toc338944787"/>
      <w:bookmarkStart w:id="1505" w:name="_Toc480486813"/>
      <w:bookmarkStart w:id="1506" w:name="_Toc342296345"/>
      <w:bookmarkStart w:id="1507" w:name="_Toc480486985"/>
      <w:bookmarkStart w:id="1508" w:name="_Toc179632712"/>
      <w:bookmarkStart w:id="1509" w:name="_Toc144974663"/>
      <w:r>
        <w:rPr>
          <w:rFonts w:ascii="宋体" w:hAnsi="宋体"/>
          <w:sz w:val="24"/>
          <w:szCs w:val="20"/>
        </w:rPr>
        <w:t xml:space="preserve">12.5  </w:t>
      </w:r>
      <w:r>
        <w:rPr>
          <w:rFonts w:hint="eastAsia" w:ascii="宋体" w:hAnsi="宋体"/>
          <w:sz w:val="24"/>
          <w:szCs w:val="20"/>
        </w:rPr>
        <w:t>暂停施工持续</w:t>
      </w:r>
      <w:r>
        <w:rPr>
          <w:rFonts w:ascii="宋体" w:hAnsi="宋体"/>
          <w:sz w:val="24"/>
          <w:szCs w:val="20"/>
        </w:rPr>
        <w:t>56</w:t>
      </w:r>
      <w:r>
        <w:rPr>
          <w:rFonts w:hint="eastAsia" w:ascii="宋体" w:hAnsi="宋体"/>
          <w:sz w:val="24"/>
          <w:szCs w:val="20"/>
        </w:rPr>
        <w:t>天以上</w:t>
      </w:r>
      <w:bookmarkEnd w:id="1497"/>
      <w:bookmarkEnd w:id="1498"/>
      <w:bookmarkEnd w:id="1499"/>
      <w:bookmarkEnd w:id="1500"/>
      <w:bookmarkEnd w:id="1501"/>
      <w:bookmarkEnd w:id="1502"/>
      <w:bookmarkEnd w:id="1503"/>
      <w:bookmarkEnd w:id="1504"/>
      <w:bookmarkEnd w:id="1505"/>
      <w:bookmarkEnd w:id="1506"/>
      <w:bookmarkEnd w:id="1507"/>
      <w:bookmarkEnd w:id="1508"/>
      <w:bookmarkEnd w:id="1509"/>
    </w:p>
    <w:p w14:paraId="38C7628E">
      <w:pPr>
        <w:spacing w:line="360" w:lineRule="auto"/>
        <w:ind w:firstLine="420" w:firstLineChars="200"/>
        <w:rPr>
          <w:rFonts w:hint="eastAsia" w:ascii="宋体" w:hAnsi="宋体"/>
        </w:rPr>
      </w:pPr>
      <w:r>
        <w:rPr>
          <w:rFonts w:hint="eastAsia" w:ascii="宋体" w:hAnsi="宋体"/>
        </w:rPr>
        <w:t>12.5.1  监理人发出暂停施工指示后56天内未向承包人发出复工通知，除了该项停工属于第12.1款的情况外，承包人可向监理人提交书面通知，要求监理人在收到书面通知后28天内准许已暂停施工的工程或其中一部分工程继续施工。</w:t>
      </w:r>
    </w:p>
    <w:p w14:paraId="541CAD0A">
      <w:pPr>
        <w:spacing w:line="360" w:lineRule="auto"/>
        <w:ind w:firstLine="420" w:firstLineChars="200"/>
        <w:rPr>
          <w:rFonts w:hint="eastAsia" w:ascii="宋体" w:hAnsi="宋体"/>
        </w:rPr>
      </w:pPr>
      <w:r>
        <w:rPr>
          <w:rFonts w:hint="eastAsia" w:ascii="宋体" w:hAnsi="宋体"/>
        </w:rPr>
        <w:t>12.5.2  由于承包人责任引起的暂停施工，如承包人在收到监理人暂停施工指示后56天内不认真采取有效的复工措施，造成工期延误，可视为承包人违约，应按第22.1款的规定办理。</w:t>
      </w:r>
    </w:p>
    <w:p w14:paraId="6B272F19">
      <w:pPr>
        <w:keepNext/>
        <w:keepLines/>
        <w:spacing w:before="120" w:beforeLines="50" w:after="120" w:afterLines="50" w:line="360" w:lineRule="auto"/>
        <w:ind w:firstLine="0" w:firstLineChars="0"/>
        <w:outlineLvl w:val="1"/>
        <w:rPr>
          <w:rFonts w:hint="eastAsia" w:ascii="宋体" w:hAnsi="宋体"/>
        </w:rPr>
      </w:pPr>
      <w:r>
        <w:rPr>
          <w:rFonts w:hint="eastAsia" w:ascii="宋体" w:hAnsi="宋体" w:cs="宋体"/>
          <w:sz w:val="28"/>
          <w:szCs w:val="20"/>
        </w:rPr>
        <w:t>13.工程质量</w:t>
      </w:r>
    </w:p>
    <w:p w14:paraId="5946C373">
      <w:pPr>
        <w:keepNext/>
        <w:keepLines/>
        <w:spacing w:before="120" w:beforeLines="50" w:after="120" w:afterLines="50" w:line="360" w:lineRule="auto"/>
        <w:ind w:firstLine="0" w:firstLineChars="0"/>
        <w:outlineLvl w:val="2"/>
        <w:rPr>
          <w:rFonts w:hint="eastAsia" w:ascii="宋体" w:hAnsi="宋体"/>
        </w:rPr>
      </w:pPr>
      <w:r>
        <w:rPr>
          <w:rFonts w:hint="eastAsia" w:ascii="宋体" w:hAnsi="宋体"/>
          <w:sz w:val="24"/>
          <w:szCs w:val="20"/>
        </w:rPr>
        <w:t>13.1  工程质量要求</w:t>
      </w:r>
    </w:p>
    <w:p w14:paraId="0AC4E5E0">
      <w:pPr>
        <w:spacing w:line="360" w:lineRule="auto"/>
        <w:ind w:firstLine="420" w:firstLineChars="200"/>
        <w:rPr>
          <w:rFonts w:hint="eastAsia" w:ascii="宋体" w:hAnsi="宋体"/>
        </w:rPr>
      </w:pPr>
      <w:r>
        <w:rPr>
          <w:rFonts w:hint="eastAsia" w:ascii="宋体" w:hAnsi="宋体"/>
        </w:rPr>
        <w:t>13.1.1  工程质量验收按合同约定验收标准执行。</w:t>
      </w:r>
    </w:p>
    <w:p w14:paraId="3EB386B6">
      <w:pPr>
        <w:spacing w:line="360" w:lineRule="auto"/>
        <w:ind w:firstLine="420" w:firstLineChars="200"/>
        <w:rPr>
          <w:rFonts w:hint="eastAsia" w:ascii="宋体" w:hAnsi="宋体"/>
        </w:rPr>
      </w:pPr>
      <w:r>
        <w:rPr>
          <w:rFonts w:hint="eastAsia" w:ascii="宋体" w:hAnsi="宋体"/>
        </w:rPr>
        <w:t>13.1.2  因承包人原因造成工程质量达不到合同约定验收标准的，监理人有权要求承包人返工直至符合合同要求为止，由此造成的费用增加和（或）工期延误由承包人承担。</w:t>
      </w:r>
    </w:p>
    <w:p w14:paraId="0843C0C6">
      <w:pPr>
        <w:spacing w:line="360" w:lineRule="auto"/>
        <w:ind w:firstLine="420" w:firstLineChars="200"/>
        <w:rPr>
          <w:rFonts w:hint="eastAsia" w:ascii="宋体" w:hAnsi="宋体"/>
        </w:rPr>
      </w:pPr>
      <w:r>
        <w:rPr>
          <w:rFonts w:hint="eastAsia" w:ascii="宋体" w:hAnsi="宋体"/>
        </w:rPr>
        <w:t>13.1.3  因发包人原因造成工程质量达不到合同约定验收标准的，发包人应承担由于承包人返工造成的费用增加和（或）工期延误。</w:t>
      </w:r>
    </w:p>
    <w:p w14:paraId="2A471870">
      <w:pPr>
        <w:keepNext/>
        <w:keepLines/>
        <w:spacing w:before="120" w:beforeLines="50" w:after="120" w:afterLines="50" w:line="360" w:lineRule="auto"/>
        <w:outlineLvl w:val="2"/>
        <w:rPr>
          <w:rFonts w:hint="eastAsia" w:ascii="宋体" w:hAnsi="宋体"/>
          <w:sz w:val="24"/>
          <w:szCs w:val="20"/>
        </w:rPr>
      </w:pPr>
      <w:bookmarkStart w:id="1510" w:name="_Toc480486988"/>
      <w:bookmarkStart w:id="1511" w:name="_Toc486580134"/>
      <w:bookmarkStart w:id="1512" w:name="_Toc480486816"/>
      <w:bookmarkStart w:id="1513" w:name="_Toc117350503"/>
      <w:bookmarkStart w:id="1514" w:name="_Toc489279945"/>
      <w:bookmarkStart w:id="1515" w:name="_Toc483668163"/>
      <w:bookmarkStart w:id="1516" w:name="_Toc338944790"/>
      <w:bookmarkStart w:id="1517" w:name="_Toc342296348"/>
      <w:bookmarkStart w:id="1518" w:name="_Toc490222579"/>
      <w:r>
        <w:rPr>
          <w:rFonts w:ascii="宋体" w:hAnsi="宋体"/>
          <w:sz w:val="24"/>
          <w:szCs w:val="20"/>
        </w:rPr>
        <w:t xml:space="preserve">13.2  </w:t>
      </w:r>
      <w:r>
        <w:rPr>
          <w:rFonts w:hint="eastAsia" w:ascii="宋体" w:hAnsi="宋体"/>
          <w:sz w:val="24"/>
          <w:szCs w:val="20"/>
        </w:rPr>
        <w:t>承包人的质量管理</w:t>
      </w:r>
      <w:bookmarkEnd w:id="1510"/>
      <w:bookmarkEnd w:id="1511"/>
      <w:bookmarkEnd w:id="1512"/>
      <w:bookmarkEnd w:id="1513"/>
      <w:bookmarkEnd w:id="1514"/>
      <w:bookmarkEnd w:id="1515"/>
      <w:bookmarkEnd w:id="1516"/>
      <w:bookmarkEnd w:id="1517"/>
      <w:bookmarkEnd w:id="1518"/>
    </w:p>
    <w:p w14:paraId="0481567C">
      <w:pPr>
        <w:spacing w:line="360" w:lineRule="auto"/>
        <w:ind w:firstLine="420" w:firstLineChars="200"/>
        <w:rPr>
          <w:rFonts w:hint="eastAsia" w:ascii="宋体" w:hAnsi="宋体"/>
        </w:rPr>
      </w:pPr>
      <w:r>
        <w:rPr>
          <w:rFonts w:ascii="宋体" w:hAnsi="宋体"/>
        </w:rPr>
        <w:t xml:space="preserve">13.2.1  </w:t>
      </w:r>
      <w:r>
        <w:rPr>
          <w:rFonts w:hint="eastAsia" w:ascii="宋体" w:hAnsi="宋体"/>
        </w:rPr>
        <w:t>承包人应在施工场地设置专门的质量检查机构，配备专职质量检查人员，建立完善的质量检查制度。承包人应在合同条款专用部分约定的期限内，提交工程质量保证措施文件，包括质量检查机构的组织和岗位责任、质检人员的组成、质量检查程序和实施细则等，报送监理人审批。监理人应在合同条款专用部分约定的期限内完成审批。</w:t>
      </w:r>
    </w:p>
    <w:p w14:paraId="70DF85B2">
      <w:pPr>
        <w:spacing w:line="360" w:lineRule="auto"/>
        <w:ind w:firstLine="420" w:firstLineChars="200"/>
        <w:rPr>
          <w:rFonts w:hint="eastAsia" w:ascii="宋体" w:hAnsi="宋体"/>
        </w:rPr>
      </w:pPr>
      <w:r>
        <w:rPr>
          <w:rFonts w:ascii="宋体" w:hAnsi="宋体"/>
        </w:rPr>
        <w:t xml:space="preserve">13.2.2  </w:t>
      </w:r>
      <w:r>
        <w:rPr>
          <w:rFonts w:hint="eastAsia" w:ascii="宋体" w:hAnsi="宋体"/>
        </w:rPr>
        <w:t>承包人应加强对施工人员的质量教育和技术培训，定期考核施工人员的劳动技能，严格执行规范和操作规程。</w:t>
      </w:r>
    </w:p>
    <w:p w14:paraId="4A18F5C6">
      <w:pPr>
        <w:keepNext/>
        <w:keepLines/>
        <w:spacing w:before="120" w:beforeLines="50" w:after="120" w:afterLines="50" w:line="360" w:lineRule="auto"/>
        <w:outlineLvl w:val="2"/>
        <w:rPr>
          <w:rFonts w:hint="eastAsia" w:ascii="宋体" w:hAnsi="宋体"/>
          <w:sz w:val="24"/>
          <w:szCs w:val="20"/>
        </w:rPr>
      </w:pPr>
      <w:bookmarkStart w:id="1519" w:name="_Toc486580135"/>
      <w:bookmarkStart w:id="1520" w:name="_Toc117350504"/>
      <w:bookmarkStart w:id="1521" w:name="_Toc338944791"/>
      <w:bookmarkStart w:id="1522" w:name="_Toc480486817"/>
      <w:bookmarkStart w:id="1523" w:name="_Toc480486989"/>
      <w:bookmarkStart w:id="1524" w:name="_Toc490222580"/>
      <w:bookmarkStart w:id="1525" w:name="_Toc483668164"/>
      <w:bookmarkStart w:id="1526" w:name="_Toc342296349"/>
      <w:bookmarkStart w:id="1527" w:name="_Toc489279946"/>
      <w:r>
        <w:rPr>
          <w:rFonts w:ascii="宋体" w:hAnsi="宋体"/>
          <w:sz w:val="24"/>
          <w:szCs w:val="20"/>
        </w:rPr>
        <w:t xml:space="preserve">13.3  </w:t>
      </w:r>
      <w:r>
        <w:rPr>
          <w:rFonts w:hint="eastAsia" w:ascii="宋体" w:hAnsi="宋体"/>
          <w:sz w:val="24"/>
          <w:szCs w:val="20"/>
        </w:rPr>
        <w:t>承包人的质量检查</w:t>
      </w:r>
      <w:bookmarkEnd w:id="1519"/>
      <w:bookmarkEnd w:id="1520"/>
      <w:bookmarkEnd w:id="1521"/>
      <w:bookmarkEnd w:id="1522"/>
      <w:bookmarkEnd w:id="1523"/>
      <w:bookmarkEnd w:id="1524"/>
      <w:bookmarkEnd w:id="1525"/>
      <w:bookmarkEnd w:id="1526"/>
      <w:bookmarkEnd w:id="1527"/>
    </w:p>
    <w:p w14:paraId="3A998D5D">
      <w:pPr>
        <w:spacing w:line="360" w:lineRule="auto"/>
        <w:ind w:firstLine="420" w:firstLineChars="200"/>
        <w:rPr>
          <w:rFonts w:hint="eastAsia" w:ascii="宋体" w:hAnsi="宋体"/>
        </w:rPr>
      </w:pPr>
      <w:r>
        <w:rPr>
          <w:rFonts w:hint="eastAsia" w:ascii="宋体" w:hAnsi="宋体"/>
        </w:rPr>
        <w:t>承包人应按合同条款专用部分的约定对材料、工程设备以及工程的所有部位及其施工工艺进行全过程的质量检查和检验，并作详细记录，编制工程质量报表，报送监理人审查。监理人应在合同条款专用部分约定的期限内完成审查。</w:t>
      </w:r>
    </w:p>
    <w:p w14:paraId="2FD0F9DC">
      <w:pPr>
        <w:keepNext/>
        <w:keepLines/>
        <w:spacing w:before="120" w:beforeLines="50" w:after="120" w:afterLines="50" w:line="360" w:lineRule="auto"/>
        <w:outlineLvl w:val="2"/>
        <w:rPr>
          <w:rFonts w:hint="eastAsia" w:ascii="宋体" w:hAnsi="宋体"/>
          <w:sz w:val="24"/>
          <w:szCs w:val="20"/>
        </w:rPr>
      </w:pPr>
      <w:bookmarkStart w:id="1528" w:name="_Toc483668165"/>
      <w:bookmarkStart w:id="1529" w:name="_Toc342296350"/>
      <w:bookmarkStart w:id="1530" w:name="_Toc480486990"/>
      <w:bookmarkStart w:id="1531" w:name="_Toc480486818"/>
      <w:bookmarkStart w:id="1532" w:name="_Toc338944792"/>
      <w:bookmarkStart w:id="1533" w:name="_Toc117350505"/>
      <w:bookmarkStart w:id="1534" w:name="_Toc486580136"/>
      <w:bookmarkStart w:id="1535" w:name="_Toc489279947"/>
      <w:bookmarkStart w:id="1536" w:name="_Toc490222581"/>
      <w:r>
        <w:rPr>
          <w:rFonts w:ascii="宋体" w:hAnsi="宋体"/>
          <w:sz w:val="24"/>
          <w:szCs w:val="20"/>
        </w:rPr>
        <w:t xml:space="preserve">13.4  </w:t>
      </w:r>
      <w:r>
        <w:rPr>
          <w:rFonts w:hint="eastAsia" w:ascii="宋体" w:hAnsi="宋体"/>
          <w:sz w:val="24"/>
          <w:szCs w:val="20"/>
        </w:rPr>
        <w:t>监理人的质量检查</w:t>
      </w:r>
      <w:bookmarkEnd w:id="1528"/>
      <w:bookmarkEnd w:id="1529"/>
      <w:bookmarkEnd w:id="1530"/>
      <w:bookmarkEnd w:id="1531"/>
      <w:bookmarkEnd w:id="1532"/>
      <w:bookmarkEnd w:id="1533"/>
      <w:bookmarkEnd w:id="1534"/>
      <w:bookmarkEnd w:id="1535"/>
      <w:bookmarkEnd w:id="1536"/>
    </w:p>
    <w:p w14:paraId="7F0E34ED">
      <w:pPr>
        <w:spacing w:line="360" w:lineRule="auto"/>
        <w:ind w:firstLine="420" w:firstLineChars="200"/>
        <w:rPr>
          <w:rFonts w:hint="eastAsia" w:ascii="宋体" w:hAnsi="宋体"/>
        </w:rPr>
      </w:pPr>
      <w:r>
        <w:rPr>
          <w:rFonts w:hint="eastAsia" w:ascii="宋体" w:hAnsi="宋体"/>
        </w:rPr>
        <w:t>监理人有权对工程的所有部位及其施工工艺、材料和工程设备进行检查和检验。承包人应为监理人的检查和检验提供方便，包括监理人到施工场地，或制造、加工地点，或合同约定的其他地方进行察看和查阅施工原始记录。承包人还应按监理人指示，进行施工场地取样试验、工程复核测量和设备性能检测，提供试验样品、提交试验报告和测量成果以及监理人要求进行的其他工作。监理人的检查和检验，不免除承包人按合同约定应负的责任。监理人可以进行察看和查阅施工原始记录的其他地方见合同条款专用部分。</w:t>
      </w:r>
    </w:p>
    <w:p w14:paraId="5F11574A">
      <w:pPr>
        <w:keepNext/>
        <w:keepLines/>
        <w:spacing w:before="120" w:beforeLines="50" w:after="120" w:afterLines="50" w:line="360" w:lineRule="auto"/>
        <w:outlineLvl w:val="2"/>
        <w:rPr>
          <w:rFonts w:hint="eastAsia" w:ascii="宋体" w:hAnsi="宋体"/>
          <w:sz w:val="24"/>
          <w:szCs w:val="20"/>
        </w:rPr>
      </w:pPr>
      <w:bookmarkStart w:id="1537" w:name="_Toc486580137"/>
      <w:bookmarkStart w:id="1538" w:name="_Toc342296351"/>
      <w:bookmarkStart w:id="1539" w:name="_Toc490222582"/>
      <w:bookmarkStart w:id="1540" w:name="_Toc489279948"/>
      <w:bookmarkStart w:id="1541" w:name="_Toc483668166"/>
      <w:bookmarkStart w:id="1542" w:name="_Toc480486991"/>
      <w:bookmarkStart w:id="1543" w:name="_Toc338944793"/>
      <w:bookmarkStart w:id="1544" w:name="_Toc117350506"/>
      <w:bookmarkStart w:id="1545" w:name="_Toc480486819"/>
      <w:r>
        <w:rPr>
          <w:rFonts w:ascii="宋体" w:hAnsi="宋体"/>
          <w:sz w:val="24"/>
          <w:szCs w:val="20"/>
        </w:rPr>
        <w:t xml:space="preserve">13.5  </w:t>
      </w:r>
      <w:r>
        <w:rPr>
          <w:rFonts w:hint="eastAsia" w:ascii="宋体" w:hAnsi="宋体"/>
          <w:sz w:val="24"/>
          <w:szCs w:val="20"/>
        </w:rPr>
        <w:t>工程隐蔽部位覆盖前的检查</w:t>
      </w:r>
      <w:bookmarkEnd w:id="1537"/>
      <w:bookmarkEnd w:id="1538"/>
      <w:bookmarkEnd w:id="1539"/>
      <w:bookmarkEnd w:id="1540"/>
      <w:bookmarkEnd w:id="1541"/>
      <w:bookmarkEnd w:id="1542"/>
      <w:bookmarkEnd w:id="1543"/>
      <w:bookmarkEnd w:id="1544"/>
      <w:bookmarkEnd w:id="1545"/>
    </w:p>
    <w:p w14:paraId="374EA101">
      <w:pPr>
        <w:spacing w:line="360" w:lineRule="auto"/>
        <w:ind w:firstLine="420" w:firstLineChars="200"/>
        <w:rPr>
          <w:rFonts w:hint="eastAsia" w:ascii="宋体" w:hAnsi="宋体"/>
        </w:rPr>
      </w:pPr>
      <w:r>
        <w:rPr>
          <w:rFonts w:ascii="宋体" w:hAnsi="宋体"/>
        </w:rPr>
        <w:t xml:space="preserve">13.5.1  </w:t>
      </w:r>
      <w:r>
        <w:rPr>
          <w:rFonts w:hint="eastAsia" w:ascii="宋体" w:hAnsi="宋体"/>
        </w:rPr>
        <w:t>通知监理人检查</w:t>
      </w:r>
    </w:p>
    <w:p w14:paraId="5E836526">
      <w:pPr>
        <w:spacing w:line="360" w:lineRule="auto"/>
        <w:ind w:firstLine="420" w:firstLineChars="200"/>
        <w:rPr>
          <w:rFonts w:hint="eastAsia" w:ascii="宋体" w:hAnsi="宋体"/>
        </w:rPr>
      </w:pPr>
      <w:r>
        <w:rPr>
          <w:rFonts w:hint="eastAsia" w:ascii="宋体" w:hAnsi="宋体"/>
        </w:rPr>
        <w:t>经承包人自检确认的工程隐蔽部位具备覆盖条件后，承包人应通知监理人在合同约定的期限内检查。承包人的通知应附有自检记录和必要的检查资料。监理人应按时到场检查。经监理人检查确认质量符合隐蔽要求，并在检查记录上签字后，承包人才能进行覆盖。监理人检查确认质量不合格的，承包人应在监理人指示的时间内修整返工后，由监理人重新检查。</w:t>
      </w:r>
      <w:r>
        <w:rPr>
          <w:rFonts w:hint="eastAsia" w:ascii="宋体" w:hAnsi="宋体"/>
          <w:szCs w:val="21"/>
        </w:rPr>
        <w:t>监理人对工程隐蔽部位进行检查的期限</w:t>
      </w:r>
      <w:r>
        <w:rPr>
          <w:rFonts w:hint="eastAsia" w:ascii="宋体" w:hAnsi="宋体"/>
        </w:rPr>
        <w:t>见合同条款专用部分。</w:t>
      </w:r>
    </w:p>
    <w:p w14:paraId="71CC4F13">
      <w:pPr>
        <w:spacing w:line="360" w:lineRule="auto"/>
        <w:ind w:firstLine="420" w:firstLineChars="200"/>
        <w:rPr>
          <w:rFonts w:hint="eastAsia" w:ascii="宋体" w:hAnsi="宋体"/>
        </w:rPr>
      </w:pPr>
      <w:r>
        <w:rPr>
          <w:rFonts w:ascii="宋体" w:hAnsi="宋体"/>
        </w:rPr>
        <w:t xml:space="preserve">13.5.2  </w:t>
      </w:r>
      <w:r>
        <w:rPr>
          <w:rFonts w:hint="eastAsia" w:ascii="宋体" w:hAnsi="宋体"/>
        </w:rPr>
        <w:t>监理人未到场检查</w:t>
      </w:r>
    </w:p>
    <w:p w14:paraId="460277CD">
      <w:pPr>
        <w:spacing w:line="360" w:lineRule="auto"/>
        <w:ind w:firstLine="420" w:firstLineChars="200"/>
        <w:rPr>
          <w:rFonts w:hint="eastAsia" w:ascii="宋体" w:hAnsi="宋体"/>
        </w:rPr>
      </w:pPr>
      <w:r>
        <w:rPr>
          <w:rFonts w:hint="eastAsia" w:ascii="宋体" w:hAnsi="宋体"/>
        </w:rPr>
        <w:t>监理人未按第</w:t>
      </w:r>
      <w:r>
        <w:rPr>
          <w:rFonts w:ascii="宋体" w:hAnsi="宋体"/>
        </w:rPr>
        <w:t>13.5.1</w:t>
      </w:r>
      <w:r>
        <w:rPr>
          <w:rFonts w:hint="eastAsia" w:ascii="宋体" w:hAnsi="宋体"/>
        </w:rPr>
        <w:t>项约定的时间进行检查的，除监理人另有指示外，承包人可自行完成覆盖工作，并作相应记录报送监理人，监理人应签字确认。监理人事后对检查记录有疑问的，可按第</w:t>
      </w:r>
      <w:r>
        <w:rPr>
          <w:rFonts w:ascii="宋体" w:hAnsi="宋体"/>
        </w:rPr>
        <w:t>13.5.3</w:t>
      </w:r>
      <w:r>
        <w:rPr>
          <w:rFonts w:hint="eastAsia" w:ascii="宋体" w:hAnsi="宋体"/>
        </w:rPr>
        <w:t>项的约定重新检查。</w:t>
      </w:r>
    </w:p>
    <w:p w14:paraId="67BABC87">
      <w:pPr>
        <w:spacing w:line="360" w:lineRule="auto"/>
        <w:ind w:firstLine="420" w:firstLineChars="200"/>
        <w:rPr>
          <w:rFonts w:hint="eastAsia" w:ascii="宋体" w:hAnsi="宋体"/>
        </w:rPr>
      </w:pPr>
      <w:r>
        <w:rPr>
          <w:rFonts w:ascii="宋体" w:hAnsi="宋体"/>
        </w:rPr>
        <w:t xml:space="preserve">13.5.3  </w:t>
      </w:r>
      <w:r>
        <w:rPr>
          <w:rFonts w:hint="eastAsia" w:ascii="宋体" w:hAnsi="宋体"/>
        </w:rPr>
        <w:t>监理人重新检查</w:t>
      </w:r>
    </w:p>
    <w:p w14:paraId="01DF64B5">
      <w:pPr>
        <w:spacing w:line="360" w:lineRule="auto"/>
        <w:ind w:firstLine="420" w:firstLineChars="200"/>
        <w:rPr>
          <w:rFonts w:hint="eastAsia" w:ascii="宋体" w:hAnsi="宋体"/>
        </w:rPr>
      </w:pPr>
      <w:r>
        <w:rPr>
          <w:rFonts w:hint="eastAsia" w:ascii="宋体" w:hAnsi="宋体"/>
        </w:rPr>
        <w:t>承包人按第13.5.1项或第13.5.2项覆盖工程隐蔽部位后，监理人对质量有疑问的，可要求承包人对已覆盖的部位进行钻孔探测或揭开重新检验，承包人应遵照执行，并在检验后重新覆盖恢复原状。经检验证明工程质量符合合同要求的，由发包人承担由此增加的费用和（或）工期延误；经检验证明工程质量不符合合同要求的，由此增加的费用和（或）工期延误由承包人承担。</w:t>
      </w:r>
    </w:p>
    <w:p w14:paraId="7227292D">
      <w:pPr>
        <w:spacing w:line="360" w:lineRule="auto"/>
        <w:ind w:firstLine="420" w:firstLineChars="200"/>
        <w:rPr>
          <w:rFonts w:hint="eastAsia" w:ascii="宋体" w:hAnsi="宋体"/>
        </w:rPr>
      </w:pPr>
      <w:r>
        <w:rPr>
          <w:rFonts w:ascii="宋体" w:hAnsi="宋体"/>
        </w:rPr>
        <w:t xml:space="preserve">13.5.4  </w:t>
      </w:r>
      <w:r>
        <w:rPr>
          <w:rFonts w:hint="eastAsia" w:ascii="宋体" w:hAnsi="宋体"/>
        </w:rPr>
        <w:t>承包人私自覆盖</w:t>
      </w:r>
    </w:p>
    <w:p w14:paraId="636390BE">
      <w:pPr>
        <w:spacing w:line="360" w:lineRule="auto"/>
        <w:ind w:firstLine="420" w:firstLineChars="200"/>
        <w:rPr>
          <w:rFonts w:hint="eastAsia" w:ascii="宋体" w:hAnsi="宋体"/>
        </w:rPr>
      </w:pPr>
      <w:r>
        <w:rPr>
          <w:rFonts w:hint="eastAsia" w:ascii="宋体" w:hAnsi="宋体"/>
        </w:rPr>
        <w:t>承包人未通知监理人到场检查，私自将工程隐蔽部位覆盖的，监理人有权指示承包人钻孔探测或揭开检查，由此增加的费用和（或）工期延误由承包人承担。</w:t>
      </w:r>
    </w:p>
    <w:p w14:paraId="7DB4C16E">
      <w:pPr>
        <w:keepNext/>
        <w:keepLines/>
        <w:spacing w:before="120" w:beforeLines="50" w:after="120" w:afterLines="50" w:line="360" w:lineRule="auto"/>
        <w:outlineLvl w:val="2"/>
        <w:rPr>
          <w:rFonts w:hint="eastAsia" w:ascii="宋体" w:hAnsi="宋体"/>
          <w:sz w:val="24"/>
          <w:szCs w:val="20"/>
        </w:rPr>
      </w:pPr>
      <w:bookmarkStart w:id="1546" w:name="_Toc480486820"/>
      <w:bookmarkStart w:id="1547" w:name="_Toc338944794"/>
      <w:bookmarkStart w:id="1548" w:name="_Toc486580138"/>
      <w:bookmarkStart w:id="1549" w:name="_Toc179632719"/>
      <w:bookmarkStart w:id="1550" w:name="_Toc342296352"/>
      <w:bookmarkStart w:id="1551" w:name="_Toc483668167"/>
      <w:bookmarkStart w:id="1552" w:name="_Toc489279949"/>
      <w:bookmarkStart w:id="1553" w:name="_Toc144974670"/>
      <w:bookmarkStart w:id="1554" w:name="_Toc117350507"/>
      <w:bookmarkStart w:id="1555" w:name="_Toc152042479"/>
      <w:bookmarkStart w:id="1556" w:name="_Toc480486992"/>
      <w:bookmarkStart w:id="1557" w:name="_Toc490222583"/>
      <w:bookmarkStart w:id="1558" w:name="_Toc152045701"/>
      <w:r>
        <w:rPr>
          <w:rFonts w:ascii="宋体" w:hAnsi="宋体"/>
          <w:sz w:val="24"/>
          <w:szCs w:val="20"/>
        </w:rPr>
        <w:t xml:space="preserve">13.6  </w:t>
      </w:r>
      <w:r>
        <w:rPr>
          <w:rFonts w:hint="eastAsia" w:ascii="宋体" w:hAnsi="宋体"/>
          <w:sz w:val="24"/>
          <w:szCs w:val="20"/>
        </w:rPr>
        <w:t>清除不合格工程</w:t>
      </w:r>
      <w:bookmarkEnd w:id="1546"/>
      <w:bookmarkEnd w:id="1547"/>
      <w:bookmarkEnd w:id="1548"/>
      <w:bookmarkEnd w:id="1549"/>
      <w:bookmarkEnd w:id="1550"/>
      <w:bookmarkEnd w:id="1551"/>
      <w:bookmarkEnd w:id="1552"/>
      <w:bookmarkEnd w:id="1553"/>
      <w:bookmarkEnd w:id="1554"/>
      <w:bookmarkEnd w:id="1555"/>
      <w:bookmarkEnd w:id="1556"/>
      <w:bookmarkEnd w:id="1557"/>
      <w:bookmarkEnd w:id="1558"/>
    </w:p>
    <w:p w14:paraId="1A6D9532">
      <w:pPr>
        <w:spacing w:line="360" w:lineRule="auto"/>
        <w:ind w:firstLine="420" w:firstLineChars="200"/>
        <w:rPr>
          <w:rFonts w:hint="eastAsia" w:ascii="宋体" w:hAnsi="宋体"/>
        </w:rPr>
      </w:pPr>
      <w:r>
        <w:rPr>
          <w:rFonts w:ascii="宋体" w:hAnsi="宋体"/>
        </w:rPr>
        <w:t xml:space="preserve">13.6.1  </w:t>
      </w:r>
      <w:r>
        <w:rPr>
          <w:rFonts w:hint="eastAsia" w:ascii="宋体" w:hAnsi="宋体"/>
        </w:rPr>
        <w:t>承包人使用不合格材料、工程设备，或采用不适当的施工工艺，或施工不当，造成工程不合格的，监理人可以随时发出指示，要求承包人立即采取措施进行补救，直至达到合同要求的质量标准，由此增加的费用和（或）工期延误由承包人承担。</w:t>
      </w:r>
    </w:p>
    <w:p w14:paraId="790158EE">
      <w:pPr>
        <w:spacing w:line="360" w:lineRule="auto"/>
        <w:ind w:firstLine="420" w:firstLineChars="200"/>
        <w:rPr>
          <w:rFonts w:hint="eastAsia" w:ascii="宋体" w:hAnsi="宋体"/>
        </w:rPr>
      </w:pPr>
      <w:r>
        <w:rPr>
          <w:rFonts w:ascii="宋体" w:hAnsi="宋体"/>
        </w:rPr>
        <w:t xml:space="preserve">13.6.2  </w:t>
      </w:r>
      <w:r>
        <w:rPr>
          <w:rFonts w:hint="eastAsia" w:ascii="宋体" w:hAnsi="宋体"/>
        </w:rPr>
        <w:t xml:space="preserve"> 由于发包人提供的材料或工程设备不合格造成的工程不合格，需要承包人采取措施补救的，发包人应承担由此增加的费用和（或）工期延误。</w:t>
      </w:r>
    </w:p>
    <w:p w14:paraId="43BDA463">
      <w:pPr>
        <w:keepNext/>
        <w:keepLines/>
        <w:spacing w:before="120" w:beforeLines="50" w:after="120" w:afterLines="50" w:line="360" w:lineRule="auto"/>
        <w:outlineLvl w:val="2"/>
        <w:rPr>
          <w:rFonts w:hint="eastAsia" w:ascii="宋体" w:hAnsi="宋体"/>
          <w:sz w:val="24"/>
          <w:szCs w:val="20"/>
        </w:rPr>
      </w:pPr>
      <w:bookmarkStart w:id="1559" w:name="_Toc476479360"/>
      <w:bookmarkStart w:id="1560" w:name="_Toc480486821"/>
      <w:bookmarkStart w:id="1561" w:name="_Toc480486993"/>
      <w:bookmarkStart w:id="1562" w:name="_Toc486580139"/>
      <w:bookmarkStart w:id="1563" w:name="_Toc241459713"/>
      <w:bookmarkStart w:id="1564" w:name="_Toc483668168"/>
      <w:bookmarkStart w:id="1565" w:name="_Toc489279950"/>
      <w:bookmarkStart w:id="1566" w:name="_Toc342296472"/>
      <w:bookmarkStart w:id="1567" w:name="_Toc490222584"/>
      <w:bookmarkStart w:id="1568" w:name="_Toc117350508"/>
      <w:r>
        <w:rPr>
          <w:rFonts w:ascii="宋体" w:hAnsi="宋体"/>
          <w:sz w:val="24"/>
          <w:szCs w:val="20"/>
        </w:rPr>
        <w:t xml:space="preserve">13.7  </w:t>
      </w:r>
      <w:r>
        <w:rPr>
          <w:rFonts w:hint="eastAsia" w:ascii="宋体" w:hAnsi="宋体"/>
          <w:sz w:val="24"/>
          <w:szCs w:val="20"/>
        </w:rPr>
        <w:t>质量争议</w:t>
      </w:r>
      <w:bookmarkEnd w:id="1559"/>
      <w:bookmarkEnd w:id="1560"/>
      <w:bookmarkEnd w:id="1561"/>
      <w:bookmarkEnd w:id="1562"/>
      <w:bookmarkEnd w:id="1563"/>
      <w:bookmarkEnd w:id="1564"/>
      <w:bookmarkEnd w:id="1565"/>
      <w:bookmarkEnd w:id="1566"/>
      <w:bookmarkEnd w:id="1567"/>
      <w:bookmarkEnd w:id="1568"/>
    </w:p>
    <w:p w14:paraId="5D58429B">
      <w:pPr>
        <w:spacing w:line="360" w:lineRule="auto"/>
        <w:ind w:firstLine="420" w:firstLineChars="200"/>
        <w:rPr>
          <w:rFonts w:hint="eastAsia" w:ascii="宋体" w:hAnsi="宋体"/>
        </w:rPr>
      </w:pPr>
      <w:r>
        <w:rPr>
          <w:rFonts w:hint="eastAsia" w:ascii="宋体" w:hAnsi="宋体"/>
          <w:szCs w:val="21"/>
        </w:rPr>
        <w:t>发包人和承包人对工程质量有争议的，除可按第</w:t>
      </w:r>
      <w:r>
        <w:rPr>
          <w:rFonts w:ascii="宋体" w:hAnsi="宋体"/>
          <w:szCs w:val="21"/>
        </w:rPr>
        <w:t>24</w:t>
      </w:r>
      <w:r>
        <w:rPr>
          <w:rFonts w:hint="eastAsia" w:ascii="宋体" w:hAnsi="宋体"/>
          <w:szCs w:val="21"/>
        </w:rPr>
        <w:t>条办理外，监理人可提请合同双方委托有相应资质的工程质量检测机构进行鉴定，所需费用及因此造成的损失，由责任人承担，双方均有责任，由双方根据其责任分别承担。经检测，质量确有缺陷的，已竣工验收或已竣工未验收但实际投入使用的工程，其处理按工程保修书的约定执行；已竣工未验收且未实际投入使用的工程以及停工、停建的工程，根据检测结果确定解决方案，或按工程质量监督机构的处理决定执行。</w:t>
      </w:r>
    </w:p>
    <w:p w14:paraId="1E000994">
      <w:pPr>
        <w:keepNext/>
        <w:keepLines/>
        <w:spacing w:before="120" w:beforeLines="50" w:after="120" w:afterLines="50" w:line="360" w:lineRule="auto"/>
        <w:outlineLvl w:val="1"/>
        <w:rPr>
          <w:rFonts w:hint="eastAsia" w:ascii="宋体" w:hAnsi="宋体" w:cs="宋体"/>
          <w:sz w:val="28"/>
          <w:szCs w:val="20"/>
        </w:rPr>
      </w:pPr>
      <w:bookmarkStart w:id="1569" w:name="_Toc338944795"/>
      <w:bookmarkStart w:id="1570" w:name="_Toc144974671"/>
      <w:bookmarkStart w:id="1571" w:name="_Toc117350509"/>
      <w:bookmarkStart w:id="1572" w:name="_Toc486580140"/>
      <w:bookmarkStart w:id="1573" w:name="_Toc483668169"/>
      <w:bookmarkStart w:id="1574" w:name="_Toc152042480"/>
      <w:bookmarkStart w:id="1575" w:name="_Toc489279951"/>
      <w:bookmarkStart w:id="1576" w:name="_Toc490222585"/>
      <w:bookmarkStart w:id="1577" w:name="_Toc480486822"/>
      <w:bookmarkStart w:id="1578" w:name="_Toc179632720"/>
      <w:bookmarkStart w:id="1579" w:name="_Toc152045702"/>
      <w:bookmarkStart w:id="1580" w:name="_Toc480486994"/>
      <w:bookmarkStart w:id="1581" w:name="_Toc342296353"/>
      <w:r>
        <w:rPr>
          <w:rFonts w:ascii="宋体" w:hAnsi="宋体" w:cs="宋体"/>
          <w:sz w:val="28"/>
          <w:szCs w:val="20"/>
        </w:rPr>
        <w:t>14.</w:t>
      </w:r>
      <w:r>
        <w:rPr>
          <w:rFonts w:hint="eastAsia" w:ascii="宋体" w:hAnsi="宋体" w:cs="宋体"/>
          <w:sz w:val="28"/>
          <w:szCs w:val="20"/>
        </w:rPr>
        <w:t>试验和检验</w:t>
      </w:r>
      <w:bookmarkEnd w:id="1569"/>
      <w:bookmarkEnd w:id="1570"/>
      <w:bookmarkEnd w:id="1571"/>
      <w:bookmarkEnd w:id="1572"/>
      <w:bookmarkEnd w:id="1573"/>
      <w:bookmarkEnd w:id="1574"/>
      <w:bookmarkEnd w:id="1575"/>
      <w:bookmarkEnd w:id="1576"/>
      <w:bookmarkEnd w:id="1577"/>
      <w:bookmarkEnd w:id="1578"/>
      <w:bookmarkEnd w:id="1579"/>
      <w:bookmarkEnd w:id="1580"/>
      <w:bookmarkEnd w:id="1581"/>
    </w:p>
    <w:p w14:paraId="027C415F">
      <w:pPr>
        <w:keepNext/>
        <w:keepLines/>
        <w:spacing w:before="120" w:beforeLines="50" w:after="120" w:afterLines="50" w:line="360" w:lineRule="auto"/>
        <w:outlineLvl w:val="2"/>
        <w:rPr>
          <w:rFonts w:hint="eastAsia" w:ascii="宋体" w:hAnsi="宋体"/>
          <w:sz w:val="24"/>
          <w:szCs w:val="20"/>
        </w:rPr>
      </w:pPr>
      <w:bookmarkStart w:id="1582" w:name="_Toc342296354"/>
      <w:bookmarkStart w:id="1583" w:name="_Toc483668170"/>
      <w:bookmarkStart w:id="1584" w:name="_Toc486580141"/>
      <w:bookmarkStart w:id="1585" w:name="_Toc489279952"/>
      <w:bookmarkStart w:id="1586" w:name="_Toc152042481"/>
      <w:bookmarkStart w:id="1587" w:name="_Toc117350510"/>
      <w:bookmarkStart w:id="1588" w:name="_Toc338944796"/>
      <w:bookmarkStart w:id="1589" w:name="_Toc144974672"/>
      <w:bookmarkStart w:id="1590" w:name="_Toc480486995"/>
      <w:bookmarkStart w:id="1591" w:name="_Toc179632721"/>
      <w:bookmarkStart w:id="1592" w:name="_Toc480486823"/>
      <w:bookmarkStart w:id="1593" w:name="_Toc490222586"/>
      <w:bookmarkStart w:id="1594" w:name="_Toc152045703"/>
      <w:r>
        <w:rPr>
          <w:rFonts w:ascii="宋体" w:hAnsi="宋体"/>
          <w:sz w:val="24"/>
          <w:szCs w:val="20"/>
        </w:rPr>
        <w:t xml:space="preserve">14.1  </w:t>
      </w:r>
      <w:r>
        <w:rPr>
          <w:rFonts w:hint="eastAsia" w:ascii="宋体" w:hAnsi="宋体"/>
          <w:sz w:val="24"/>
          <w:szCs w:val="20"/>
        </w:rPr>
        <w:t>材料、工程设备和工程的试验和检验</w:t>
      </w:r>
      <w:bookmarkEnd w:id="1582"/>
      <w:bookmarkEnd w:id="1583"/>
      <w:bookmarkEnd w:id="1584"/>
      <w:bookmarkEnd w:id="1585"/>
      <w:bookmarkEnd w:id="1586"/>
      <w:bookmarkEnd w:id="1587"/>
      <w:bookmarkEnd w:id="1588"/>
      <w:bookmarkEnd w:id="1589"/>
      <w:bookmarkEnd w:id="1590"/>
      <w:bookmarkEnd w:id="1591"/>
      <w:bookmarkEnd w:id="1592"/>
      <w:bookmarkEnd w:id="1593"/>
      <w:bookmarkEnd w:id="1594"/>
    </w:p>
    <w:p w14:paraId="73E47B60">
      <w:pPr>
        <w:spacing w:line="360" w:lineRule="auto"/>
        <w:ind w:firstLine="420" w:firstLineChars="200"/>
        <w:rPr>
          <w:rFonts w:hint="eastAsia" w:ascii="宋体" w:hAnsi="宋体"/>
        </w:rPr>
      </w:pPr>
      <w:r>
        <w:rPr>
          <w:rFonts w:ascii="宋体" w:hAnsi="宋体"/>
        </w:rPr>
        <w:t xml:space="preserve">14.1.1  </w:t>
      </w:r>
      <w:r>
        <w:rPr>
          <w:rFonts w:hint="eastAsia" w:ascii="宋体" w:hAnsi="宋体"/>
        </w:rPr>
        <w:t>承包人应按合同约定进行材料、工程设备和工程的试验和检验，并为监理人对上述材料、工程设备和工程的质量检查提供必要的试验资料和原始记录。按合同约定应由监理人与承包人共同进行试验和检验的，由承包人负责提供必要的试验资料和原始记录。</w:t>
      </w:r>
    </w:p>
    <w:p w14:paraId="1F5E15FA">
      <w:pPr>
        <w:spacing w:line="360" w:lineRule="auto"/>
        <w:ind w:firstLine="420" w:firstLineChars="200"/>
        <w:rPr>
          <w:rFonts w:hint="eastAsia" w:ascii="宋体" w:hAnsi="宋体"/>
        </w:rPr>
      </w:pPr>
      <w:r>
        <w:rPr>
          <w:rFonts w:ascii="宋体" w:hAnsi="宋体"/>
        </w:rPr>
        <w:t xml:space="preserve">14.1.2  </w:t>
      </w:r>
      <w:r>
        <w:rPr>
          <w:rFonts w:hint="eastAsia" w:ascii="宋体" w:hAnsi="宋体"/>
        </w:rPr>
        <w:t>监理人未按合同约定派员参加试验和检验的，除监理人另有指示外，承包人可自行试验和检验，并应立即将试验和检验结果报送监理人，监理人应签字确认。</w:t>
      </w:r>
    </w:p>
    <w:p w14:paraId="777DEB36">
      <w:pPr>
        <w:spacing w:line="360" w:lineRule="auto"/>
        <w:ind w:firstLine="420" w:firstLineChars="200"/>
        <w:rPr>
          <w:rFonts w:hint="eastAsia" w:ascii="宋体" w:hAnsi="宋体"/>
        </w:rPr>
      </w:pPr>
      <w:r>
        <w:rPr>
          <w:rFonts w:ascii="宋体" w:hAnsi="宋体"/>
        </w:rPr>
        <w:t xml:space="preserve">14.1.3  </w:t>
      </w:r>
      <w:r>
        <w:rPr>
          <w:rFonts w:hint="eastAsia" w:ascii="宋体" w:hAnsi="宋体"/>
        </w:rPr>
        <w:t>监理人对承包人的试验和检验结果有疑问的，或为查清承包人试验和检验成果的可靠性要求承包人重新试验和检验的，可按合同约定由监理人与承包人共同进行。重新试验和检验的结果证明该项材料、工程设备或工程的质量不符合合同要求的，由此增加的费用和（或）工期延误由承包人承担；重新试验和检验结果证明该项材料、工程设备和工程符合合同要求，由发包人承担由此增加的费用和（或）工期延误。</w:t>
      </w:r>
    </w:p>
    <w:p w14:paraId="34B57D30">
      <w:pPr>
        <w:keepNext/>
        <w:keepLines/>
        <w:spacing w:before="120" w:beforeLines="50" w:after="120" w:afterLines="50" w:line="360" w:lineRule="auto"/>
        <w:outlineLvl w:val="2"/>
        <w:rPr>
          <w:rFonts w:hint="eastAsia" w:ascii="宋体" w:hAnsi="宋体"/>
          <w:sz w:val="24"/>
          <w:szCs w:val="20"/>
        </w:rPr>
      </w:pPr>
      <w:bookmarkStart w:id="1595" w:name="_Toc489279953"/>
      <w:bookmarkStart w:id="1596" w:name="_Toc152042482"/>
      <w:bookmarkStart w:id="1597" w:name="_Toc490222587"/>
      <w:bookmarkStart w:id="1598" w:name="_Toc152045704"/>
      <w:bookmarkStart w:id="1599" w:name="_Toc338944797"/>
      <w:bookmarkStart w:id="1600" w:name="_Toc486580142"/>
      <w:bookmarkStart w:id="1601" w:name="_Toc483668171"/>
      <w:bookmarkStart w:id="1602" w:name="_Toc480486824"/>
      <w:bookmarkStart w:id="1603" w:name="_Toc179632722"/>
      <w:bookmarkStart w:id="1604" w:name="_Toc144974673"/>
      <w:bookmarkStart w:id="1605" w:name="_Toc117350511"/>
      <w:bookmarkStart w:id="1606" w:name="_Toc342296355"/>
      <w:bookmarkStart w:id="1607" w:name="_Toc480486996"/>
      <w:r>
        <w:rPr>
          <w:rFonts w:ascii="宋体" w:hAnsi="宋体"/>
          <w:sz w:val="24"/>
          <w:szCs w:val="20"/>
        </w:rPr>
        <w:t xml:space="preserve">14.2  </w:t>
      </w:r>
      <w:r>
        <w:rPr>
          <w:rFonts w:hint="eastAsia" w:ascii="宋体" w:hAnsi="宋体"/>
          <w:sz w:val="24"/>
          <w:szCs w:val="20"/>
        </w:rPr>
        <w:t>现场材料试验</w:t>
      </w:r>
      <w:bookmarkEnd w:id="1595"/>
      <w:bookmarkEnd w:id="1596"/>
      <w:bookmarkEnd w:id="1597"/>
      <w:bookmarkEnd w:id="1598"/>
      <w:bookmarkEnd w:id="1599"/>
      <w:bookmarkEnd w:id="1600"/>
      <w:bookmarkEnd w:id="1601"/>
      <w:bookmarkEnd w:id="1602"/>
      <w:bookmarkEnd w:id="1603"/>
      <w:bookmarkEnd w:id="1604"/>
      <w:bookmarkEnd w:id="1605"/>
      <w:bookmarkEnd w:id="1606"/>
      <w:bookmarkEnd w:id="1607"/>
    </w:p>
    <w:p w14:paraId="31907CF8">
      <w:pPr>
        <w:spacing w:line="360" w:lineRule="auto"/>
        <w:ind w:firstLine="420" w:firstLineChars="200"/>
        <w:rPr>
          <w:rFonts w:hint="eastAsia" w:ascii="宋体" w:hAnsi="宋体"/>
        </w:rPr>
      </w:pPr>
      <w:r>
        <w:rPr>
          <w:rFonts w:ascii="宋体" w:hAnsi="宋体"/>
        </w:rPr>
        <w:t xml:space="preserve">14.2.1  </w:t>
      </w:r>
      <w:r>
        <w:rPr>
          <w:rFonts w:hint="eastAsia" w:ascii="宋体" w:hAnsi="宋体"/>
        </w:rPr>
        <w:t>承包人根据合同约定或监理人指示进行的现场材料试验，应由承包人提供试验场所、试验人员、试验设备器材以及其他必要的试验条件。</w:t>
      </w:r>
    </w:p>
    <w:p w14:paraId="0F170A77">
      <w:pPr>
        <w:spacing w:line="360" w:lineRule="auto"/>
        <w:ind w:firstLine="420" w:firstLineChars="200"/>
        <w:rPr>
          <w:rFonts w:hint="eastAsia" w:ascii="宋体" w:hAnsi="宋体"/>
        </w:rPr>
      </w:pPr>
      <w:r>
        <w:rPr>
          <w:rFonts w:ascii="宋体" w:hAnsi="宋体"/>
        </w:rPr>
        <w:t xml:space="preserve">14.2.2  </w:t>
      </w:r>
      <w:r>
        <w:rPr>
          <w:rFonts w:hint="eastAsia" w:ascii="宋体" w:hAnsi="宋体"/>
        </w:rPr>
        <w:t>监理人在必要时可以使用承包人的试验场所、试验设备器材以及其他试验条件，进行以工程质量检查为目的的复核性材料试验，承包人应予以协助。</w:t>
      </w:r>
    </w:p>
    <w:p w14:paraId="01F93EF1">
      <w:pPr>
        <w:keepNext/>
        <w:keepLines/>
        <w:spacing w:before="120" w:beforeLines="50" w:after="120" w:afterLines="50" w:line="360" w:lineRule="auto"/>
        <w:outlineLvl w:val="2"/>
        <w:rPr>
          <w:rFonts w:hint="eastAsia" w:ascii="宋体" w:hAnsi="宋体"/>
          <w:sz w:val="24"/>
          <w:szCs w:val="20"/>
        </w:rPr>
      </w:pPr>
      <w:bookmarkStart w:id="1608" w:name="_Toc338944798"/>
      <w:bookmarkStart w:id="1609" w:name="_Toc490222588"/>
      <w:bookmarkStart w:id="1610" w:name="_Toc480486997"/>
      <w:bookmarkStart w:id="1611" w:name="_Toc486580143"/>
      <w:bookmarkStart w:id="1612" w:name="_Toc144974674"/>
      <w:bookmarkStart w:id="1613" w:name="_Toc152042483"/>
      <w:bookmarkStart w:id="1614" w:name="_Toc117350512"/>
      <w:bookmarkStart w:id="1615" w:name="_Toc179632723"/>
      <w:bookmarkStart w:id="1616" w:name="_Toc480486825"/>
      <w:bookmarkStart w:id="1617" w:name="_Toc152045705"/>
      <w:bookmarkStart w:id="1618" w:name="_Toc483668172"/>
      <w:bookmarkStart w:id="1619" w:name="_Toc489279954"/>
      <w:bookmarkStart w:id="1620" w:name="_Toc342296356"/>
      <w:r>
        <w:rPr>
          <w:rFonts w:ascii="宋体" w:hAnsi="宋体"/>
          <w:sz w:val="24"/>
          <w:szCs w:val="20"/>
        </w:rPr>
        <w:t xml:space="preserve">14.3  </w:t>
      </w:r>
      <w:r>
        <w:rPr>
          <w:rFonts w:hint="eastAsia" w:ascii="宋体" w:hAnsi="宋体"/>
          <w:sz w:val="24"/>
          <w:szCs w:val="20"/>
        </w:rPr>
        <w:t>现场工艺试验</w:t>
      </w:r>
      <w:bookmarkEnd w:id="1608"/>
      <w:bookmarkEnd w:id="1609"/>
      <w:bookmarkEnd w:id="1610"/>
      <w:bookmarkEnd w:id="1611"/>
      <w:bookmarkEnd w:id="1612"/>
      <w:bookmarkEnd w:id="1613"/>
      <w:bookmarkEnd w:id="1614"/>
      <w:bookmarkEnd w:id="1615"/>
      <w:bookmarkEnd w:id="1616"/>
      <w:bookmarkEnd w:id="1617"/>
      <w:bookmarkEnd w:id="1618"/>
      <w:bookmarkEnd w:id="1619"/>
      <w:bookmarkEnd w:id="1620"/>
    </w:p>
    <w:p w14:paraId="51F05082">
      <w:pPr>
        <w:spacing w:line="360" w:lineRule="auto"/>
        <w:ind w:firstLine="420" w:firstLineChars="200"/>
        <w:rPr>
          <w:rFonts w:hint="eastAsia" w:ascii="宋体" w:hAnsi="宋体"/>
        </w:rPr>
      </w:pPr>
      <w:r>
        <w:rPr>
          <w:rFonts w:hint="eastAsia" w:ascii="宋体" w:hAnsi="宋体"/>
        </w:rPr>
        <w:t>承包人应按合同约定或监理人指示进行现场工艺试验。对大型的现场工艺试验，监理人认为必要时，应由承包人根据监理人提出的工艺试验要求，编制工艺试验措施计划，报送监理人审批。</w:t>
      </w:r>
    </w:p>
    <w:p w14:paraId="0B4D6479">
      <w:pPr>
        <w:keepNext/>
        <w:keepLines/>
        <w:spacing w:before="120" w:beforeLines="50" w:after="120" w:afterLines="50" w:line="360" w:lineRule="auto"/>
        <w:outlineLvl w:val="1"/>
        <w:rPr>
          <w:rFonts w:hint="eastAsia" w:ascii="宋体" w:hAnsi="宋体" w:cs="宋体"/>
          <w:sz w:val="28"/>
          <w:szCs w:val="20"/>
        </w:rPr>
      </w:pPr>
      <w:bookmarkStart w:id="1621" w:name="_Toc490222589"/>
      <w:bookmarkStart w:id="1622" w:name="_Toc483668173"/>
      <w:bookmarkStart w:id="1623" w:name="_Toc480486998"/>
      <w:bookmarkStart w:id="1624" w:name="_Toc480486826"/>
      <w:bookmarkStart w:id="1625" w:name="_Toc117350513"/>
      <w:bookmarkStart w:id="1626" w:name="_Toc486580144"/>
      <w:bookmarkStart w:id="1627" w:name="_Toc342296357"/>
      <w:bookmarkStart w:id="1628" w:name="_Toc489279955"/>
      <w:bookmarkStart w:id="1629" w:name="_Toc338944799"/>
      <w:r>
        <w:rPr>
          <w:rFonts w:ascii="宋体" w:hAnsi="宋体" w:cs="宋体"/>
          <w:sz w:val="28"/>
          <w:szCs w:val="20"/>
        </w:rPr>
        <w:t>15.</w:t>
      </w:r>
      <w:r>
        <w:rPr>
          <w:rFonts w:hint="eastAsia" w:ascii="宋体" w:hAnsi="宋体" w:cs="宋体"/>
          <w:sz w:val="28"/>
          <w:szCs w:val="20"/>
        </w:rPr>
        <w:t>变更</w:t>
      </w:r>
      <w:bookmarkEnd w:id="1621"/>
      <w:bookmarkEnd w:id="1622"/>
      <w:bookmarkEnd w:id="1623"/>
      <w:bookmarkEnd w:id="1624"/>
      <w:bookmarkEnd w:id="1625"/>
      <w:bookmarkEnd w:id="1626"/>
      <w:bookmarkEnd w:id="1627"/>
      <w:bookmarkEnd w:id="1628"/>
      <w:bookmarkEnd w:id="1629"/>
    </w:p>
    <w:p w14:paraId="331426E3">
      <w:pPr>
        <w:keepNext/>
        <w:keepLines/>
        <w:spacing w:before="120" w:beforeLines="50" w:after="120" w:afterLines="50" w:line="360" w:lineRule="auto"/>
        <w:outlineLvl w:val="2"/>
        <w:rPr>
          <w:rFonts w:hint="eastAsia" w:ascii="宋体" w:hAnsi="宋体"/>
          <w:sz w:val="24"/>
          <w:szCs w:val="20"/>
        </w:rPr>
      </w:pPr>
      <w:bookmarkStart w:id="1630" w:name="_Toc486580145"/>
      <w:bookmarkStart w:id="1631" w:name="_Toc117350514"/>
      <w:bookmarkStart w:id="1632" w:name="_Toc342296358"/>
      <w:bookmarkStart w:id="1633" w:name="_Toc338944800"/>
      <w:bookmarkStart w:id="1634" w:name="_Toc490222590"/>
      <w:bookmarkStart w:id="1635" w:name="_Toc483668174"/>
      <w:bookmarkStart w:id="1636" w:name="_Toc489279956"/>
      <w:bookmarkStart w:id="1637" w:name="_Toc480486999"/>
      <w:bookmarkStart w:id="1638" w:name="_Toc480486827"/>
      <w:r>
        <w:rPr>
          <w:rFonts w:ascii="宋体" w:hAnsi="宋体"/>
          <w:sz w:val="24"/>
          <w:szCs w:val="20"/>
        </w:rPr>
        <w:t xml:space="preserve">15.1  </w:t>
      </w:r>
      <w:r>
        <w:rPr>
          <w:rFonts w:hint="eastAsia" w:ascii="宋体" w:hAnsi="宋体"/>
          <w:sz w:val="24"/>
          <w:szCs w:val="20"/>
        </w:rPr>
        <w:t>变更的范围和内容</w:t>
      </w:r>
      <w:bookmarkEnd w:id="1630"/>
      <w:bookmarkEnd w:id="1631"/>
      <w:bookmarkEnd w:id="1632"/>
      <w:bookmarkEnd w:id="1633"/>
      <w:bookmarkEnd w:id="1634"/>
      <w:bookmarkEnd w:id="1635"/>
      <w:bookmarkEnd w:id="1636"/>
      <w:bookmarkEnd w:id="1637"/>
      <w:bookmarkEnd w:id="1638"/>
    </w:p>
    <w:p w14:paraId="27249D65">
      <w:pPr>
        <w:spacing w:line="360" w:lineRule="auto"/>
        <w:ind w:firstLine="420" w:firstLineChars="200"/>
        <w:rPr>
          <w:rFonts w:hint="eastAsia" w:ascii="宋体" w:hAnsi="宋体"/>
        </w:rPr>
      </w:pPr>
      <w:r>
        <w:rPr>
          <w:rFonts w:ascii="宋体" w:hAnsi="宋体"/>
        </w:rPr>
        <w:t xml:space="preserve">15.1.1  </w:t>
      </w:r>
      <w:r>
        <w:rPr>
          <w:rFonts w:hint="eastAsia" w:ascii="宋体" w:hAnsi="宋体"/>
        </w:rPr>
        <w:t>在履行合同中发生以下情形之一，应按照本条规定进行变更。</w:t>
      </w:r>
    </w:p>
    <w:p w14:paraId="42B6F7BE">
      <w:pPr>
        <w:spacing w:line="360" w:lineRule="auto"/>
        <w:ind w:firstLine="315" w:firstLineChars="150"/>
        <w:rPr>
          <w:rFonts w:hint="eastAsia" w:ascii="宋体" w:hAnsi="宋体"/>
        </w:rPr>
      </w:pPr>
      <w:r>
        <w:rPr>
          <w:rFonts w:hint="eastAsia" w:ascii="宋体" w:hAnsi="宋体"/>
        </w:rPr>
        <w:t>（</w:t>
      </w:r>
      <w:r>
        <w:rPr>
          <w:rFonts w:ascii="宋体" w:hAnsi="宋体"/>
        </w:rPr>
        <w:t>1</w:t>
      </w:r>
      <w:r>
        <w:rPr>
          <w:rFonts w:hint="eastAsia" w:ascii="宋体" w:hAnsi="宋体"/>
        </w:rPr>
        <w:t>）取消合同中任何一项工作，但被取消的工作不能转由发包人或其他人实施；</w:t>
      </w:r>
    </w:p>
    <w:p w14:paraId="004B1BE1">
      <w:pPr>
        <w:spacing w:line="360" w:lineRule="auto"/>
        <w:ind w:firstLine="315" w:firstLineChars="150"/>
        <w:rPr>
          <w:rFonts w:hint="eastAsia" w:ascii="宋体" w:hAnsi="宋体"/>
        </w:rPr>
      </w:pPr>
      <w:r>
        <w:rPr>
          <w:rFonts w:hint="eastAsia" w:ascii="宋体" w:hAnsi="宋体"/>
        </w:rPr>
        <w:t>（</w:t>
      </w:r>
      <w:r>
        <w:rPr>
          <w:rFonts w:ascii="宋体" w:hAnsi="宋体"/>
        </w:rPr>
        <w:t>2</w:t>
      </w:r>
      <w:r>
        <w:rPr>
          <w:rFonts w:hint="eastAsia" w:ascii="宋体" w:hAnsi="宋体"/>
        </w:rPr>
        <w:t>）改变合同中任何一项工作的质量或其他特性；</w:t>
      </w:r>
    </w:p>
    <w:p w14:paraId="5C7930C6">
      <w:pPr>
        <w:spacing w:line="360" w:lineRule="auto"/>
        <w:ind w:firstLine="315" w:firstLineChars="150"/>
        <w:rPr>
          <w:rFonts w:hint="eastAsia" w:ascii="宋体" w:hAnsi="宋体"/>
        </w:rPr>
      </w:pPr>
      <w:r>
        <w:rPr>
          <w:rFonts w:hint="eastAsia" w:ascii="宋体" w:hAnsi="宋体"/>
        </w:rPr>
        <w:t>（</w:t>
      </w:r>
      <w:r>
        <w:rPr>
          <w:rFonts w:ascii="宋体" w:hAnsi="宋体"/>
        </w:rPr>
        <w:t>3</w:t>
      </w:r>
      <w:r>
        <w:rPr>
          <w:rFonts w:hint="eastAsia" w:ascii="宋体" w:hAnsi="宋体"/>
        </w:rPr>
        <w:t>）改变合同工程的基线、标高、位置或尺寸；</w:t>
      </w:r>
    </w:p>
    <w:p w14:paraId="3050F1F3">
      <w:pPr>
        <w:spacing w:line="360" w:lineRule="auto"/>
        <w:ind w:firstLine="315" w:firstLineChars="150"/>
        <w:rPr>
          <w:rFonts w:hint="eastAsia" w:ascii="宋体" w:hAnsi="宋体"/>
        </w:rPr>
      </w:pPr>
      <w:r>
        <w:rPr>
          <w:rFonts w:hint="eastAsia" w:ascii="宋体" w:hAnsi="宋体"/>
        </w:rPr>
        <w:t>（</w:t>
      </w:r>
      <w:r>
        <w:rPr>
          <w:rFonts w:ascii="宋体" w:hAnsi="宋体"/>
        </w:rPr>
        <w:t>4</w:t>
      </w:r>
      <w:r>
        <w:rPr>
          <w:rFonts w:hint="eastAsia" w:ascii="宋体" w:hAnsi="宋体"/>
        </w:rPr>
        <w:t>）改变合同中任何一项工作的施工时间或改变已批准的施工工艺或顺序；</w:t>
      </w:r>
    </w:p>
    <w:p w14:paraId="2C5ECD39">
      <w:pPr>
        <w:spacing w:line="360" w:lineRule="auto"/>
        <w:ind w:firstLine="315" w:firstLineChars="150"/>
        <w:rPr>
          <w:rFonts w:hint="eastAsia" w:ascii="宋体" w:hAnsi="宋体"/>
        </w:rPr>
      </w:pPr>
      <w:r>
        <w:rPr>
          <w:rFonts w:hint="eastAsia" w:ascii="宋体" w:hAnsi="宋体"/>
        </w:rPr>
        <w:t>（</w:t>
      </w:r>
      <w:r>
        <w:rPr>
          <w:rFonts w:ascii="宋体" w:hAnsi="宋体"/>
        </w:rPr>
        <w:t>5</w:t>
      </w:r>
      <w:r>
        <w:rPr>
          <w:rFonts w:hint="eastAsia" w:ascii="宋体" w:hAnsi="宋体"/>
        </w:rPr>
        <w:t>）为完成工程需要追加的额外工作；</w:t>
      </w:r>
    </w:p>
    <w:p w14:paraId="4BF3C44B">
      <w:pPr>
        <w:spacing w:line="360" w:lineRule="auto"/>
        <w:ind w:firstLine="315" w:firstLineChars="150"/>
        <w:rPr>
          <w:rFonts w:hint="eastAsia" w:ascii="宋体" w:hAnsi="宋体"/>
        </w:rPr>
      </w:pPr>
      <w:r>
        <w:rPr>
          <w:rFonts w:hint="eastAsia" w:ascii="宋体" w:hAnsi="宋体"/>
        </w:rPr>
        <w:t>（</w:t>
      </w:r>
      <w:r>
        <w:rPr>
          <w:rFonts w:ascii="宋体" w:hAnsi="宋体"/>
        </w:rPr>
        <w:t>6</w:t>
      </w:r>
      <w:r>
        <w:rPr>
          <w:rFonts w:hint="eastAsia" w:ascii="宋体" w:hAnsi="宋体"/>
        </w:rPr>
        <w:t>）</w:t>
      </w:r>
      <w:r>
        <w:rPr>
          <w:rFonts w:hint="eastAsia" w:ascii="宋体" w:hAnsi="宋体"/>
          <w:szCs w:val="21"/>
        </w:rPr>
        <w:t>变更的其他情形</w:t>
      </w:r>
      <w:r>
        <w:rPr>
          <w:rFonts w:hint="eastAsia" w:ascii="宋体" w:hAnsi="宋体"/>
        </w:rPr>
        <w:t>见合同条款专用部分。</w:t>
      </w:r>
    </w:p>
    <w:p w14:paraId="61BE611D">
      <w:pPr>
        <w:spacing w:line="360" w:lineRule="auto"/>
        <w:ind w:firstLine="420" w:firstLineChars="200"/>
        <w:rPr>
          <w:rFonts w:hint="eastAsia" w:ascii="宋体" w:hAnsi="宋体"/>
          <w:szCs w:val="21"/>
        </w:rPr>
      </w:pPr>
      <w:r>
        <w:rPr>
          <w:rFonts w:ascii="宋体" w:hAnsi="宋体"/>
          <w:szCs w:val="21"/>
        </w:rPr>
        <w:t xml:space="preserve">15.1.2 </w:t>
      </w:r>
      <w:r>
        <w:rPr>
          <w:rFonts w:hint="eastAsia" w:ascii="宋体" w:hAnsi="宋体"/>
          <w:szCs w:val="21"/>
        </w:rPr>
        <w:t>发包人违背第15.1（1）目的约定，将被取消的合同中的工作转由发包人或其他人实施的，承包人可向监理人发出通知，要求发包人采取有效措施纠正违约行为，发包人在监理人收到承包人通知后28天内仍不纠正违约行为的，应当赔偿承包人损失并承担由此引起的其他责任。承包人应当按第23.1（1）项的约定，在上述28天期限到期后的28天内，向监理人递交索赔意向通知书,并按第23.1（2）项的约定，及时向监理人递交正式索赔通知书，说明有权得到的损失赔偿金额并附必要的记录和证明材料。</w:t>
      </w:r>
    </w:p>
    <w:p w14:paraId="5FA076A4">
      <w:pPr>
        <w:keepNext/>
        <w:keepLines/>
        <w:spacing w:before="120" w:beforeLines="50" w:after="120" w:afterLines="50" w:line="360" w:lineRule="auto"/>
        <w:outlineLvl w:val="2"/>
        <w:rPr>
          <w:rFonts w:hint="eastAsia" w:ascii="宋体" w:hAnsi="宋体"/>
          <w:sz w:val="24"/>
          <w:szCs w:val="20"/>
        </w:rPr>
      </w:pPr>
      <w:bookmarkStart w:id="1639" w:name="_Toc490222591"/>
      <w:bookmarkStart w:id="1640" w:name="_Toc179632726"/>
      <w:bookmarkStart w:id="1641" w:name="_Toc480486828"/>
      <w:bookmarkStart w:id="1642" w:name="_Toc144974677"/>
      <w:bookmarkStart w:id="1643" w:name="_Toc483668175"/>
      <w:bookmarkStart w:id="1644" w:name="_Toc152045708"/>
      <w:bookmarkStart w:id="1645" w:name="_Toc338944801"/>
      <w:bookmarkStart w:id="1646" w:name="_Toc486580146"/>
      <w:bookmarkStart w:id="1647" w:name="_Toc152042486"/>
      <w:bookmarkStart w:id="1648" w:name="_Toc480487000"/>
      <w:bookmarkStart w:id="1649" w:name="_Toc342296359"/>
      <w:bookmarkStart w:id="1650" w:name="_Toc489279957"/>
      <w:bookmarkStart w:id="1651" w:name="_Toc117350515"/>
      <w:r>
        <w:rPr>
          <w:rFonts w:ascii="宋体" w:hAnsi="宋体"/>
          <w:sz w:val="24"/>
          <w:szCs w:val="20"/>
        </w:rPr>
        <w:t xml:space="preserve">15.2  </w:t>
      </w:r>
      <w:r>
        <w:rPr>
          <w:rFonts w:hint="eastAsia" w:ascii="宋体" w:hAnsi="宋体"/>
          <w:sz w:val="24"/>
          <w:szCs w:val="20"/>
        </w:rPr>
        <w:t>变更权</w:t>
      </w:r>
      <w:bookmarkEnd w:id="1639"/>
      <w:bookmarkEnd w:id="1640"/>
      <w:bookmarkEnd w:id="1641"/>
      <w:bookmarkEnd w:id="1642"/>
      <w:bookmarkEnd w:id="1643"/>
      <w:bookmarkEnd w:id="1644"/>
      <w:bookmarkEnd w:id="1645"/>
      <w:bookmarkEnd w:id="1646"/>
      <w:bookmarkEnd w:id="1647"/>
      <w:bookmarkEnd w:id="1648"/>
      <w:bookmarkEnd w:id="1649"/>
      <w:bookmarkEnd w:id="1650"/>
      <w:bookmarkEnd w:id="1651"/>
    </w:p>
    <w:p w14:paraId="29F45B01">
      <w:pPr>
        <w:spacing w:line="360" w:lineRule="auto"/>
        <w:ind w:firstLine="420" w:firstLineChars="200"/>
        <w:rPr>
          <w:rFonts w:hint="eastAsia" w:ascii="宋体" w:hAnsi="宋体"/>
        </w:rPr>
      </w:pPr>
      <w:r>
        <w:rPr>
          <w:rFonts w:hint="eastAsia" w:ascii="宋体" w:hAnsi="宋体"/>
        </w:rPr>
        <w:t>在履行合同过程中，经发包人同意，监理人可按第</w:t>
      </w:r>
      <w:r>
        <w:rPr>
          <w:rFonts w:ascii="宋体" w:hAnsi="宋体"/>
        </w:rPr>
        <w:t>15.3</w:t>
      </w:r>
      <w:r>
        <w:rPr>
          <w:rFonts w:hint="eastAsia" w:ascii="宋体" w:hAnsi="宋体"/>
        </w:rPr>
        <w:t>款约定的变更程序向承包人作出变更指示，承包人应遵照执行。没有监理人的变更指示，承包人不得擅自变更。</w:t>
      </w:r>
    </w:p>
    <w:p w14:paraId="1E53FEA5">
      <w:pPr>
        <w:keepNext/>
        <w:keepLines/>
        <w:spacing w:before="120" w:beforeLines="50" w:after="120" w:afterLines="50" w:line="360" w:lineRule="auto"/>
        <w:outlineLvl w:val="2"/>
        <w:rPr>
          <w:rFonts w:hint="eastAsia" w:ascii="宋体" w:hAnsi="宋体"/>
          <w:sz w:val="24"/>
          <w:szCs w:val="20"/>
        </w:rPr>
      </w:pPr>
      <w:bookmarkStart w:id="1652" w:name="_Toc490222592"/>
      <w:bookmarkStart w:id="1653" w:name="_Toc480487001"/>
      <w:bookmarkStart w:id="1654" w:name="_Toc480486829"/>
      <w:bookmarkStart w:id="1655" w:name="_Toc486580147"/>
      <w:bookmarkStart w:id="1656" w:name="_Toc483668176"/>
      <w:bookmarkStart w:id="1657" w:name="_Toc342296360"/>
      <w:bookmarkStart w:id="1658" w:name="_Toc338944802"/>
      <w:bookmarkStart w:id="1659" w:name="_Toc117350516"/>
      <w:bookmarkStart w:id="1660" w:name="_Toc489279958"/>
      <w:r>
        <w:rPr>
          <w:rFonts w:ascii="宋体" w:hAnsi="宋体"/>
          <w:sz w:val="24"/>
          <w:szCs w:val="20"/>
        </w:rPr>
        <w:t xml:space="preserve">15.3  </w:t>
      </w:r>
      <w:r>
        <w:rPr>
          <w:rFonts w:hint="eastAsia" w:ascii="宋体" w:hAnsi="宋体"/>
          <w:sz w:val="24"/>
          <w:szCs w:val="20"/>
        </w:rPr>
        <w:t>变更程序</w:t>
      </w:r>
      <w:bookmarkEnd w:id="1652"/>
      <w:bookmarkEnd w:id="1653"/>
      <w:bookmarkEnd w:id="1654"/>
      <w:bookmarkEnd w:id="1655"/>
      <w:bookmarkEnd w:id="1656"/>
      <w:bookmarkEnd w:id="1657"/>
      <w:bookmarkEnd w:id="1658"/>
      <w:bookmarkEnd w:id="1659"/>
      <w:bookmarkEnd w:id="1660"/>
    </w:p>
    <w:p w14:paraId="175CCC25">
      <w:pPr>
        <w:spacing w:line="360" w:lineRule="auto"/>
        <w:ind w:firstLine="420" w:firstLineChars="200"/>
        <w:rPr>
          <w:rFonts w:hint="eastAsia" w:ascii="宋体" w:hAnsi="宋体"/>
        </w:rPr>
      </w:pPr>
      <w:r>
        <w:rPr>
          <w:rFonts w:ascii="宋体" w:hAnsi="宋体"/>
        </w:rPr>
        <w:t xml:space="preserve">15.3.1  </w:t>
      </w:r>
      <w:r>
        <w:rPr>
          <w:rFonts w:hint="eastAsia" w:ascii="宋体" w:hAnsi="宋体"/>
        </w:rPr>
        <w:t>变更的提出</w:t>
      </w:r>
    </w:p>
    <w:p w14:paraId="5E1076DD">
      <w:pPr>
        <w:spacing w:line="360" w:lineRule="auto"/>
        <w:ind w:firstLine="315" w:firstLineChars="150"/>
        <w:rPr>
          <w:rFonts w:hint="eastAsia" w:ascii="宋体" w:hAnsi="宋体"/>
        </w:rPr>
      </w:pPr>
      <w:r>
        <w:rPr>
          <w:rFonts w:hint="eastAsia" w:ascii="宋体" w:hAnsi="宋体"/>
        </w:rPr>
        <w:t>（</w:t>
      </w:r>
      <w:r>
        <w:rPr>
          <w:rFonts w:ascii="宋体" w:hAnsi="宋体"/>
        </w:rPr>
        <w:t>1</w:t>
      </w:r>
      <w:r>
        <w:rPr>
          <w:rFonts w:hint="eastAsia" w:ascii="宋体" w:hAnsi="宋体"/>
        </w:rPr>
        <w:t>）在合同履行过程中，可能发生第</w:t>
      </w:r>
      <w:r>
        <w:rPr>
          <w:rFonts w:ascii="宋体" w:hAnsi="宋体"/>
        </w:rPr>
        <w:t>15.1.1</w:t>
      </w:r>
      <w:r>
        <w:rPr>
          <w:rFonts w:hint="eastAsia" w:ascii="宋体" w:hAnsi="宋体"/>
        </w:rPr>
        <w:t>项约定情形的，监理人可向承包人发出变更意向书。变更意向书应说明变更的具体内容和发包人对变更的时间要求，并附必要的图纸和相关资料。变更意向书应要求承包人提交包括拟实施变更工作的计划、措施和竣工时间等内容的实施方案。发包人同意承包人根据变更意向书要求提交的变更实施方案的，由监理人按第</w:t>
      </w:r>
      <w:r>
        <w:rPr>
          <w:rFonts w:ascii="宋体" w:hAnsi="宋体"/>
        </w:rPr>
        <w:t>15.3.3</w:t>
      </w:r>
      <w:r>
        <w:rPr>
          <w:rFonts w:hint="eastAsia" w:ascii="宋体" w:hAnsi="宋体"/>
        </w:rPr>
        <w:t>项约定发出变更指示。</w:t>
      </w:r>
      <w:r>
        <w:rPr>
          <w:rFonts w:ascii="宋体" w:hAnsi="宋体"/>
        </w:rPr>
        <w:t xml:space="preserve"> </w:t>
      </w:r>
    </w:p>
    <w:p w14:paraId="38ACEACE">
      <w:pPr>
        <w:spacing w:line="360" w:lineRule="auto"/>
        <w:ind w:firstLine="315" w:firstLineChars="150"/>
        <w:rPr>
          <w:rFonts w:hint="eastAsia" w:ascii="宋体" w:hAnsi="宋体"/>
        </w:rPr>
      </w:pPr>
      <w:r>
        <w:rPr>
          <w:rFonts w:hint="eastAsia" w:ascii="宋体" w:hAnsi="宋体"/>
        </w:rPr>
        <w:t>（</w:t>
      </w:r>
      <w:r>
        <w:rPr>
          <w:rFonts w:ascii="宋体" w:hAnsi="宋体"/>
        </w:rPr>
        <w:t>2</w:t>
      </w:r>
      <w:r>
        <w:rPr>
          <w:rFonts w:hint="eastAsia" w:ascii="宋体" w:hAnsi="宋体"/>
        </w:rPr>
        <w:t>）在合同履行过程中，发生第</w:t>
      </w:r>
      <w:r>
        <w:rPr>
          <w:rFonts w:ascii="宋体" w:hAnsi="宋体"/>
        </w:rPr>
        <w:t>15.1.1</w:t>
      </w:r>
      <w:r>
        <w:rPr>
          <w:rFonts w:hint="eastAsia" w:ascii="宋体" w:hAnsi="宋体"/>
        </w:rPr>
        <w:t>项约定情形的，监理人应按照第</w:t>
      </w:r>
      <w:r>
        <w:rPr>
          <w:rFonts w:ascii="宋体" w:hAnsi="宋体"/>
        </w:rPr>
        <w:t>15.3.3</w:t>
      </w:r>
      <w:r>
        <w:rPr>
          <w:rFonts w:hint="eastAsia" w:ascii="宋体" w:hAnsi="宋体"/>
        </w:rPr>
        <w:t>项约定向承包人发出变更指示。</w:t>
      </w:r>
    </w:p>
    <w:p w14:paraId="5CB8B79A">
      <w:pPr>
        <w:spacing w:line="360" w:lineRule="auto"/>
        <w:ind w:firstLine="315" w:firstLineChars="150"/>
        <w:rPr>
          <w:rFonts w:hint="eastAsia" w:ascii="宋体" w:hAnsi="宋体"/>
        </w:rPr>
      </w:pPr>
      <w:r>
        <w:rPr>
          <w:rFonts w:hint="eastAsia" w:ascii="宋体" w:hAnsi="宋体"/>
        </w:rPr>
        <w:t>（</w:t>
      </w:r>
      <w:r>
        <w:rPr>
          <w:rFonts w:ascii="宋体" w:hAnsi="宋体"/>
        </w:rPr>
        <w:t>3</w:t>
      </w:r>
      <w:r>
        <w:rPr>
          <w:rFonts w:hint="eastAsia" w:ascii="宋体" w:hAnsi="宋体"/>
        </w:rPr>
        <w:t>）承包人收到监理人按合同约定发出的图纸和文件，经检查认为其中存在第</w:t>
      </w:r>
      <w:r>
        <w:rPr>
          <w:rFonts w:ascii="宋体" w:hAnsi="宋体"/>
        </w:rPr>
        <w:t>15.1.1</w:t>
      </w:r>
      <w:r>
        <w:rPr>
          <w:rFonts w:hint="eastAsia" w:ascii="宋体" w:hAnsi="宋体"/>
        </w:rPr>
        <w:t>项约定情形的，可向监理人提出书面变更建议。变更建议应阐明要求变更的依据，并附必要的图纸和说明。监理人收到承包人书面建议后，应与发包人共同研究，确认存在变更的，应在收到承包人书面建议后的</w:t>
      </w:r>
      <w:r>
        <w:rPr>
          <w:rFonts w:ascii="宋体" w:hAnsi="宋体"/>
        </w:rPr>
        <w:t>14</w:t>
      </w:r>
      <w:r>
        <w:rPr>
          <w:rFonts w:hint="eastAsia" w:ascii="宋体" w:hAnsi="宋体"/>
        </w:rPr>
        <w:t>天内作出变更指示。经研究后不同意作为变更的，应由监理人书面答复承包人。</w:t>
      </w:r>
    </w:p>
    <w:p w14:paraId="356875D3">
      <w:pPr>
        <w:spacing w:line="360" w:lineRule="auto"/>
        <w:ind w:firstLine="315" w:firstLineChars="150"/>
        <w:rPr>
          <w:rFonts w:hint="eastAsia" w:ascii="宋体" w:hAnsi="宋体"/>
        </w:rPr>
      </w:pPr>
      <w:r>
        <w:rPr>
          <w:rFonts w:hint="eastAsia" w:ascii="宋体" w:hAnsi="宋体"/>
        </w:rPr>
        <w:t>（</w:t>
      </w:r>
      <w:r>
        <w:rPr>
          <w:rFonts w:ascii="宋体" w:hAnsi="宋体"/>
        </w:rPr>
        <w:t>4</w:t>
      </w:r>
      <w:r>
        <w:rPr>
          <w:rFonts w:hint="eastAsia" w:ascii="宋体" w:hAnsi="宋体"/>
        </w:rPr>
        <w:t>）若承包人收到监理人的变更意向书后认为难以实施此项变更，应立即通知监理人，说明原因并附详细依据。监理人与承包人和发包人协商后确定撤销、改变或不改变原变更意向书。</w:t>
      </w:r>
    </w:p>
    <w:p w14:paraId="037CE231">
      <w:pPr>
        <w:spacing w:line="360" w:lineRule="auto"/>
        <w:ind w:firstLine="420" w:firstLineChars="200"/>
        <w:rPr>
          <w:rFonts w:hint="eastAsia" w:ascii="宋体" w:hAnsi="宋体"/>
        </w:rPr>
      </w:pPr>
      <w:r>
        <w:rPr>
          <w:rFonts w:ascii="宋体" w:hAnsi="宋体"/>
        </w:rPr>
        <w:t xml:space="preserve">15.3.2  </w:t>
      </w:r>
      <w:r>
        <w:rPr>
          <w:rFonts w:hint="eastAsia" w:ascii="宋体" w:hAnsi="宋体"/>
        </w:rPr>
        <w:t>变更估价</w:t>
      </w:r>
    </w:p>
    <w:p w14:paraId="68FE30AA">
      <w:pPr>
        <w:spacing w:line="360" w:lineRule="auto"/>
        <w:ind w:firstLine="315" w:firstLineChars="150"/>
        <w:rPr>
          <w:rFonts w:hint="eastAsia" w:ascii="宋体" w:hAnsi="宋体"/>
        </w:rPr>
      </w:pPr>
      <w:r>
        <w:rPr>
          <w:rFonts w:hint="eastAsia" w:ascii="宋体" w:hAnsi="宋体"/>
        </w:rPr>
        <w:t>（</w:t>
      </w:r>
      <w:r>
        <w:rPr>
          <w:rFonts w:ascii="宋体" w:hAnsi="宋体"/>
        </w:rPr>
        <w:t>1</w:t>
      </w:r>
      <w:r>
        <w:rPr>
          <w:rFonts w:hint="eastAsia" w:ascii="宋体" w:hAnsi="宋体"/>
        </w:rPr>
        <w:t>）除合同条款专用部分对期限另有约定外，承包人应在收到变更指示或变更意向书后的</w:t>
      </w:r>
      <w:r>
        <w:rPr>
          <w:rFonts w:ascii="宋体" w:hAnsi="宋体"/>
        </w:rPr>
        <w:t>14</w:t>
      </w:r>
      <w:r>
        <w:rPr>
          <w:rFonts w:hint="eastAsia" w:ascii="宋体" w:hAnsi="宋体"/>
        </w:rPr>
        <w:t>天内，向监理人提交变更报价书，报价内容应根据第</w:t>
      </w:r>
      <w:r>
        <w:rPr>
          <w:rFonts w:ascii="宋体" w:hAnsi="宋体"/>
        </w:rPr>
        <w:t>15.4</w:t>
      </w:r>
      <w:r>
        <w:rPr>
          <w:rFonts w:hint="eastAsia" w:ascii="宋体" w:hAnsi="宋体"/>
        </w:rPr>
        <w:t>款约定的估价原则，详细开列变更工作的价格组成及其依据，并附必要的施工方法说明和有关图纸。</w:t>
      </w:r>
      <w:r>
        <w:rPr>
          <w:rFonts w:hint="eastAsia" w:ascii="宋体" w:hAnsi="宋体"/>
          <w:szCs w:val="21"/>
        </w:rPr>
        <w:t>承包人提交变更报价书的期限</w:t>
      </w:r>
      <w:r>
        <w:rPr>
          <w:rFonts w:hint="eastAsia" w:ascii="宋体" w:hAnsi="宋体"/>
        </w:rPr>
        <w:t>见合同条款专用部分。</w:t>
      </w:r>
    </w:p>
    <w:p w14:paraId="7A9DD2CE">
      <w:pPr>
        <w:spacing w:line="360" w:lineRule="auto"/>
        <w:ind w:firstLine="315" w:firstLineChars="150"/>
        <w:rPr>
          <w:rFonts w:hint="eastAsia" w:ascii="宋体" w:hAnsi="宋体"/>
        </w:rPr>
      </w:pPr>
      <w:r>
        <w:rPr>
          <w:rFonts w:hint="eastAsia" w:ascii="宋体" w:hAnsi="宋体"/>
        </w:rPr>
        <w:t>（</w:t>
      </w:r>
      <w:r>
        <w:rPr>
          <w:rFonts w:ascii="宋体" w:hAnsi="宋体"/>
        </w:rPr>
        <w:t>2</w:t>
      </w:r>
      <w:r>
        <w:rPr>
          <w:rFonts w:hint="eastAsia" w:ascii="宋体" w:hAnsi="宋体"/>
        </w:rPr>
        <w:t>）变更工作影响工期的，承包人应提出调整工期的具体细节。监理人认为有必要时，可要求承包人提交要求提前或延长工期的施工进度计划，及相应施工措施等详细资料。</w:t>
      </w:r>
    </w:p>
    <w:p w14:paraId="13AD1C01">
      <w:pPr>
        <w:spacing w:line="360" w:lineRule="auto"/>
        <w:ind w:firstLine="315" w:firstLineChars="150"/>
        <w:rPr>
          <w:rFonts w:hint="eastAsia" w:ascii="宋体" w:hAnsi="宋体"/>
        </w:rPr>
      </w:pPr>
      <w:r>
        <w:rPr>
          <w:rFonts w:hint="eastAsia" w:ascii="宋体" w:hAnsi="宋体"/>
        </w:rPr>
        <w:t>（</w:t>
      </w:r>
      <w:r>
        <w:rPr>
          <w:rFonts w:ascii="宋体" w:hAnsi="宋体"/>
        </w:rPr>
        <w:t>3</w:t>
      </w:r>
      <w:r>
        <w:rPr>
          <w:rFonts w:hint="eastAsia" w:ascii="宋体" w:hAnsi="宋体"/>
        </w:rPr>
        <w:t>）除合同条款专用部分对期限另有约定外，监理人收到承包人变更报价书后的</w:t>
      </w:r>
      <w:r>
        <w:rPr>
          <w:rFonts w:ascii="宋体" w:hAnsi="宋体"/>
        </w:rPr>
        <w:t>14</w:t>
      </w:r>
      <w:r>
        <w:rPr>
          <w:rFonts w:hint="eastAsia" w:ascii="宋体" w:hAnsi="宋体"/>
        </w:rPr>
        <w:t>天内，根据第</w:t>
      </w:r>
      <w:r>
        <w:rPr>
          <w:rFonts w:ascii="宋体" w:hAnsi="宋体"/>
        </w:rPr>
        <w:t>15.4</w:t>
      </w:r>
      <w:r>
        <w:rPr>
          <w:rFonts w:hint="eastAsia" w:ascii="宋体" w:hAnsi="宋体"/>
        </w:rPr>
        <w:t>款约定的估价原则，按照第</w:t>
      </w:r>
      <w:r>
        <w:rPr>
          <w:rFonts w:ascii="宋体" w:hAnsi="宋体"/>
        </w:rPr>
        <w:t>3.5</w:t>
      </w:r>
      <w:r>
        <w:rPr>
          <w:rFonts w:hint="eastAsia" w:ascii="宋体" w:hAnsi="宋体"/>
        </w:rPr>
        <w:t>款商定或确定变更价格。</w:t>
      </w:r>
      <w:r>
        <w:rPr>
          <w:rFonts w:hint="eastAsia" w:ascii="宋体" w:hAnsi="宋体"/>
          <w:szCs w:val="21"/>
        </w:rPr>
        <w:t>监理人商定或确定变更价格的期限</w:t>
      </w:r>
      <w:r>
        <w:rPr>
          <w:rFonts w:hint="eastAsia" w:ascii="宋体" w:hAnsi="宋体"/>
        </w:rPr>
        <w:t>见合同条款专用部分。</w:t>
      </w:r>
    </w:p>
    <w:p w14:paraId="73180CE1">
      <w:pPr>
        <w:spacing w:line="360" w:lineRule="auto"/>
        <w:ind w:firstLine="315" w:firstLineChars="150"/>
        <w:rPr>
          <w:rFonts w:hint="eastAsia" w:ascii="宋体" w:hAnsi="宋体"/>
        </w:rPr>
      </w:pPr>
      <w:r>
        <w:rPr>
          <w:rFonts w:hint="eastAsia" w:ascii="宋体" w:hAnsi="宋体"/>
          <w:szCs w:val="21"/>
        </w:rPr>
        <w:t>（</w:t>
      </w:r>
      <w:r>
        <w:rPr>
          <w:rFonts w:ascii="宋体" w:hAnsi="宋体"/>
          <w:szCs w:val="21"/>
        </w:rPr>
        <w:t>4</w:t>
      </w:r>
      <w:r>
        <w:rPr>
          <w:rFonts w:hint="eastAsia" w:ascii="宋体" w:hAnsi="宋体"/>
          <w:szCs w:val="21"/>
        </w:rPr>
        <w:t>）收到变更指示后，如承包人未在规定的期限内提交变更报价书的，监理人可自行决定是否调整合同价款以及如果监理人决定调整合同价款时，相应调整的具体金额。</w:t>
      </w:r>
    </w:p>
    <w:p w14:paraId="7CB30E9E">
      <w:pPr>
        <w:spacing w:line="360" w:lineRule="auto"/>
        <w:ind w:firstLine="420" w:firstLineChars="200"/>
        <w:rPr>
          <w:rFonts w:hint="eastAsia" w:ascii="宋体" w:hAnsi="宋体"/>
        </w:rPr>
      </w:pPr>
      <w:r>
        <w:rPr>
          <w:rFonts w:ascii="宋体" w:hAnsi="宋体"/>
        </w:rPr>
        <w:t xml:space="preserve">15.3.3  </w:t>
      </w:r>
      <w:r>
        <w:rPr>
          <w:rFonts w:hint="eastAsia" w:ascii="宋体" w:hAnsi="宋体"/>
        </w:rPr>
        <w:t>变更指示</w:t>
      </w:r>
    </w:p>
    <w:p w14:paraId="7C44BF67">
      <w:pPr>
        <w:spacing w:line="360" w:lineRule="auto"/>
        <w:ind w:firstLine="420" w:firstLineChars="200"/>
        <w:rPr>
          <w:rFonts w:hint="eastAsia" w:ascii="宋体" w:hAnsi="宋体"/>
        </w:rPr>
      </w:pPr>
      <w:r>
        <w:rPr>
          <w:rFonts w:hint="eastAsia" w:ascii="宋体" w:hAnsi="宋体"/>
        </w:rPr>
        <w:t>（</w:t>
      </w:r>
      <w:r>
        <w:rPr>
          <w:rFonts w:ascii="宋体" w:hAnsi="宋体"/>
        </w:rPr>
        <w:t>1</w:t>
      </w:r>
      <w:r>
        <w:rPr>
          <w:rFonts w:hint="eastAsia" w:ascii="宋体" w:hAnsi="宋体"/>
        </w:rPr>
        <w:t>）变更指示只能由监理人发出。</w:t>
      </w:r>
    </w:p>
    <w:p w14:paraId="746FC3EE">
      <w:pPr>
        <w:spacing w:line="360" w:lineRule="auto"/>
        <w:ind w:firstLine="420" w:firstLineChars="200"/>
        <w:rPr>
          <w:rFonts w:hint="eastAsia" w:ascii="宋体" w:hAnsi="宋体"/>
        </w:rPr>
      </w:pPr>
      <w:r>
        <w:rPr>
          <w:rFonts w:hint="eastAsia" w:ascii="宋体" w:hAnsi="宋体"/>
        </w:rPr>
        <w:t>（</w:t>
      </w:r>
      <w:r>
        <w:rPr>
          <w:rFonts w:ascii="宋体" w:hAnsi="宋体"/>
        </w:rPr>
        <w:t>2</w:t>
      </w:r>
      <w:r>
        <w:rPr>
          <w:rFonts w:hint="eastAsia" w:ascii="宋体" w:hAnsi="宋体"/>
        </w:rPr>
        <w:t>）变更指示应说明变更的目的、范围、变更内容以及变更的工程量及其进度和技术要求，并附有关图纸和文件。承包人收到变更指示后，应按变更指示进行变更工作。</w:t>
      </w:r>
    </w:p>
    <w:p w14:paraId="7EBC88DA">
      <w:pPr>
        <w:keepNext/>
        <w:keepLines/>
        <w:spacing w:before="120" w:beforeLines="50" w:after="120" w:afterLines="50" w:line="360" w:lineRule="auto"/>
        <w:outlineLvl w:val="2"/>
        <w:rPr>
          <w:rFonts w:hint="eastAsia" w:ascii="宋体" w:hAnsi="宋体"/>
          <w:sz w:val="24"/>
          <w:szCs w:val="20"/>
        </w:rPr>
      </w:pPr>
      <w:bookmarkStart w:id="1661" w:name="_Toc342296361"/>
      <w:bookmarkStart w:id="1662" w:name="_Toc480486830"/>
      <w:bookmarkStart w:id="1663" w:name="_Toc483668177"/>
      <w:bookmarkStart w:id="1664" w:name="_Toc486580148"/>
      <w:bookmarkStart w:id="1665" w:name="_Toc480487002"/>
      <w:bookmarkStart w:id="1666" w:name="_Toc117350517"/>
      <w:bookmarkStart w:id="1667" w:name="_Toc489279959"/>
      <w:bookmarkStart w:id="1668" w:name="_Toc490222593"/>
      <w:bookmarkStart w:id="1669" w:name="_Toc338944803"/>
      <w:r>
        <w:rPr>
          <w:rFonts w:ascii="宋体" w:hAnsi="宋体"/>
          <w:sz w:val="24"/>
          <w:szCs w:val="20"/>
        </w:rPr>
        <w:t xml:space="preserve">15.4  </w:t>
      </w:r>
      <w:r>
        <w:rPr>
          <w:rFonts w:hint="eastAsia" w:ascii="宋体" w:hAnsi="宋体"/>
          <w:sz w:val="24"/>
          <w:szCs w:val="20"/>
        </w:rPr>
        <w:t>变更的估价原则</w:t>
      </w:r>
      <w:bookmarkEnd w:id="1661"/>
      <w:bookmarkEnd w:id="1662"/>
      <w:bookmarkEnd w:id="1663"/>
      <w:bookmarkEnd w:id="1664"/>
      <w:bookmarkEnd w:id="1665"/>
      <w:bookmarkEnd w:id="1666"/>
      <w:bookmarkEnd w:id="1667"/>
      <w:bookmarkEnd w:id="1668"/>
      <w:bookmarkEnd w:id="1669"/>
    </w:p>
    <w:p w14:paraId="21DB1C17">
      <w:pPr>
        <w:spacing w:line="360" w:lineRule="auto"/>
        <w:ind w:firstLine="420" w:firstLineChars="200"/>
        <w:rPr>
          <w:rFonts w:hint="eastAsia" w:ascii="宋体" w:hAnsi="宋体"/>
        </w:rPr>
      </w:pPr>
      <w:r>
        <w:rPr>
          <w:rFonts w:hint="eastAsia" w:ascii="宋体" w:hAnsi="宋体"/>
        </w:rPr>
        <w:t>因</w:t>
      </w:r>
      <w:r>
        <w:rPr>
          <w:rFonts w:hint="eastAsia" w:ascii="宋体" w:hAnsi="宋体"/>
          <w:szCs w:val="21"/>
        </w:rPr>
        <w:t>工程量清单漏项（仅适用于合同协议书约定采用单价合同形式时）或</w:t>
      </w:r>
      <w:r>
        <w:rPr>
          <w:rFonts w:hint="eastAsia" w:ascii="宋体" w:hAnsi="宋体"/>
        </w:rPr>
        <w:t>变更引起的价格调整按照本款约定处理。</w:t>
      </w:r>
    </w:p>
    <w:p w14:paraId="6DD172CC">
      <w:pPr>
        <w:spacing w:line="360" w:lineRule="auto"/>
        <w:ind w:firstLine="420" w:firstLineChars="200"/>
        <w:rPr>
          <w:rFonts w:hint="eastAsia" w:ascii="宋体" w:hAnsi="宋体"/>
        </w:rPr>
      </w:pPr>
      <w:r>
        <w:rPr>
          <w:rFonts w:ascii="宋体" w:hAnsi="宋体"/>
        </w:rPr>
        <w:t xml:space="preserve">15.4.1  </w:t>
      </w:r>
      <w:r>
        <w:rPr>
          <w:rFonts w:hint="eastAsia" w:ascii="宋体" w:hAnsi="宋体"/>
        </w:rPr>
        <w:t>已标价工程量清单中有适用于变更工作的子目的，采用该子目的单价。</w:t>
      </w:r>
    </w:p>
    <w:p w14:paraId="172DF126">
      <w:pPr>
        <w:spacing w:line="360" w:lineRule="auto"/>
        <w:ind w:firstLine="420" w:firstLineChars="200"/>
        <w:rPr>
          <w:rFonts w:hint="eastAsia" w:ascii="宋体" w:hAnsi="宋体"/>
        </w:rPr>
      </w:pPr>
      <w:r>
        <w:rPr>
          <w:rFonts w:ascii="宋体" w:hAnsi="宋体"/>
        </w:rPr>
        <w:t xml:space="preserve">15.4.2  </w:t>
      </w:r>
      <w:r>
        <w:rPr>
          <w:rFonts w:hint="eastAsia" w:ascii="宋体" w:hAnsi="宋体"/>
        </w:rPr>
        <w:t>已标价工程量清单中无适用于变更工作的子目，但有类似子目的，可在合理范围内参照类似子目的单价，由监理人按第</w:t>
      </w:r>
      <w:r>
        <w:rPr>
          <w:rFonts w:ascii="宋体" w:hAnsi="宋体"/>
        </w:rPr>
        <w:t>3.5</w:t>
      </w:r>
      <w:r>
        <w:rPr>
          <w:rFonts w:hint="eastAsia" w:ascii="宋体" w:hAnsi="宋体"/>
        </w:rPr>
        <w:t>款商定或确定变更工作的单价。</w:t>
      </w:r>
    </w:p>
    <w:p w14:paraId="58890E27">
      <w:pPr>
        <w:spacing w:line="360" w:lineRule="auto"/>
        <w:ind w:firstLine="420" w:firstLineChars="200"/>
        <w:rPr>
          <w:rFonts w:hint="eastAsia" w:ascii="宋体" w:hAnsi="宋体"/>
        </w:rPr>
      </w:pPr>
      <w:r>
        <w:rPr>
          <w:rFonts w:ascii="宋体" w:hAnsi="宋体"/>
        </w:rPr>
        <w:t xml:space="preserve">15.4.3  </w:t>
      </w:r>
      <w:r>
        <w:rPr>
          <w:rFonts w:hint="eastAsia" w:ascii="宋体" w:hAnsi="宋体"/>
        </w:rPr>
        <w:t>已标价工程量清单中无适用或类似子目的单价，可按照成本加利润的原则，由监理人按第</w:t>
      </w:r>
      <w:r>
        <w:rPr>
          <w:rFonts w:ascii="宋体" w:hAnsi="宋体"/>
        </w:rPr>
        <w:t>3.5</w:t>
      </w:r>
      <w:r>
        <w:rPr>
          <w:rFonts w:hint="eastAsia" w:ascii="宋体" w:hAnsi="宋体"/>
        </w:rPr>
        <w:t>款商定或确定变更工作的单价。</w:t>
      </w:r>
    </w:p>
    <w:p w14:paraId="1CF0D5B9">
      <w:pPr>
        <w:spacing w:line="360" w:lineRule="auto"/>
        <w:ind w:firstLine="420" w:firstLineChars="200"/>
        <w:rPr>
          <w:rFonts w:hint="eastAsia" w:ascii="宋体" w:hAnsi="宋体"/>
          <w:szCs w:val="21"/>
        </w:rPr>
      </w:pPr>
      <w:r>
        <w:rPr>
          <w:rFonts w:ascii="宋体" w:hAnsi="宋体"/>
        </w:rPr>
        <w:t xml:space="preserve">15.4.4  </w:t>
      </w:r>
      <w:r>
        <w:rPr>
          <w:rFonts w:hint="eastAsia" w:ascii="宋体" w:hAnsi="宋体"/>
          <w:szCs w:val="21"/>
        </w:rPr>
        <w:t>因工程量清单漏项（仅适用于合同协议书约定采用单价合同形式时）或变更引起措施项目发生变化，原措施项目费中已有的措施项目，采用原措施项目费的组价方法变更；原措施项目费中没有的措施项目，由承包人根据措施项目变更情况，提出适当的措施项目费变更，由监理人按第</w:t>
      </w:r>
      <w:r>
        <w:rPr>
          <w:rFonts w:ascii="宋体" w:hAnsi="宋体"/>
          <w:szCs w:val="21"/>
        </w:rPr>
        <w:t>3.5</w:t>
      </w:r>
      <w:r>
        <w:rPr>
          <w:rFonts w:hint="eastAsia" w:ascii="宋体" w:hAnsi="宋体"/>
          <w:szCs w:val="21"/>
        </w:rPr>
        <w:t>款商定或确定变更措施项目的费用。</w:t>
      </w:r>
    </w:p>
    <w:p w14:paraId="5E43CEBB">
      <w:pPr>
        <w:spacing w:line="360" w:lineRule="auto"/>
        <w:ind w:firstLine="420" w:firstLineChars="200"/>
        <w:rPr>
          <w:rFonts w:hint="eastAsia" w:ascii="宋体" w:hAnsi="宋体"/>
        </w:rPr>
      </w:pPr>
      <w:r>
        <w:rPr>
          <w:rFonts w:ascii="宋体" w:hAnsi="宋体"/>
        </w:rPr>
        <w:t xml:space="preserve">15.4.5  </w:t>
      </w:r>
      <w:r>
        <w:rPr>
          <w:rFonts w:hint="eastAsia" w:ascii="宋体" w:hAnsi="宋体"/>
          <w:szCs w:val="21"/>
        </w:rPr>
        <w:t>合同协议书约定采用单价合同形式时，因非承包人原因引起已标价工程量清单中列明的工程量发生增减，超过合同约定范围且导致分部分项工程费总额变化超过一定幅度时，可以调整单价，否则不因已标价工程量清单中列明工程量的增减而调整单价。其调整的原则见合同条款专用部分。</w:t>
      </w:r>
    </w:p>
    <w:p w14:paraId="6A5EC26F">
      <w:pPr>
        <w:spacing w:line="360" w:lineRule="auto"/>
        <w:ind w:firstLine="420" w:firstLineChars="200"/>
        <w:rPr>
          <w:rFonts w:hint="eastAsia" w:ascii="宋体" w:hAnsi="宋体"/>
        </w:rPr>
      </w:pPr>
      <w:r>
        <w:rPr>
          <w:rFonts w:ascii="宋体" w:hAnsi="宋体"/>
        </w:rPr>
        <w:t xml:space="preserve">15.4.6  </w:t>
      </w:r>
      <w:r>
        <w:rPr>
          <w:rFonts w:hint="eastAsia" w:ascii="宋体" w:hAnsi="宋体"/>
          <w:szCs w:val="21"/>
        </w:rPr>
        <w:t>因变更引起价格调整的其他处理方式见合同条款专用部分。</w:t>
      </w:r>
    </w:p>
    <w:p w14:paraId="505608BF">
      <w:pPr>
        <w:keepNext/>
        <w:keepLines/>
        <w:spacing w:before="120" w:beforeLines="50" w:after="120" w:afterLines="50" w:line="360" w:lineRule="auto"/>
        <w:outlineLvl w:val="2"/>
        <w:rPr>
          <w:rFonts w:hint="eastAsia" w:ascii="宋体" w:hAnsi="宋体"/>
          <w:sz w:val="24"/>
          <w:szCs w:val="20"/>
        </w:rPr>
      </w:pPr>
      <w:bookmarkStart w:id="1670" w:name="_Toc489279960"/>
      <w:bookmarkStart w:id="1671" w:name="_Toc342296362"/>
      <w:bookmarkStart w:id="1672" w:name="_Toc117350518"/>
      <w:bookmarkStart w:id="1673" w:name="_Toc483668178"/>
      <w:bookmarkStart w:id="1674" w:name="_Toc480487003"/>
      <w:bookmarkStart w:id="1675" w:name="_Toc486580149"/>
      <w:bookmarkStart w:id="1676" w:name="_Toc490222594"/>
      <w:bookmarkStart w:id="1677" w:name="_Toc338944804"/>
      <w:bookmarkStart w:id="1678" w:name="_Toc480486831"/>
      <w:r>
        <w:rPr>
          <w:rFonts w:ascii="宋体" w:hAnsi="宋体"/>
          <w:sz w:val="24"/>
          <w:szCs w:val="20"/>
        </w:rPr>
        <w:t xml:space="preserve">15.5  </w:t>
      </w:r>
      <w:r>
        <w:rPr>
          <w:rFonts w:hint="eastAsia" w:ascii="宋体" w:hAnsi="宋体"/>
          <w:sz w:val="24"/>
          <w:szCs w:val="20"/>
        </w:rPr>
        <w:t>承包人的合理化建议</w:t>
      </w:r>
      <w:bookmarkEnd w:id="1670"/>
      <w:bookmarkEnd w:id="1671"/>
      <w:bookmarkEnd w:id="1672"/>
      <w:bookmarkEnd w:id="1673"/>
      <w:bookmarkEnd w:id="1674"/>
      <w:bookmarkEnd w:id="1675"/>
      <w:bookmarkEnd w:id="1676"/>
      <w:bookmarkEnd w:id="1677"/>
      <w:bookmarkEnd w:id="1678"/>
    </w:p>
    <w:p w14:paraId="0F9A5ADC">
      <w:pPr>
        <w:spacing w:line="360" w:lineRule="auto"/>
        <w:ind w:firstLine="420" w:firstLineChars="200"/>
        <w:rPr>
          <w:rFonts w:hint="eastAsia" w:ascii="宋体" w:hAnsi="宋体"/>
        </w:rPr>
      </w:pPr>
      <w:r>
        <w:rPr>
          <w:rFonts w:ascii="宋体" w:hAnsi="宋体"/>
        </w:rPr>
        <w:t xml:space="preserve">15.5.1  </w:t>
      </w:r>
      <w:r>
        <w:rPr>
          <w:rFonts w:hint="eastAsia" w:ascii="宋体" w:hAnsi="宋体"/>
        </w:rPr>
        <w:t>在履行合同过程中，承包人对发包人提供的图纸、技术要求以及其他方面提出的合理化建议，均应以书面形式提交监理人。合理化建议书的内容应包括建议工作的详细说明、进度计划和效益以及与其他工作的协调等，并附必要的设计文件。监理人应与发包人协商是否采纳建议。建议被采纳并构成变更的，应按第</w:t>
      </w:r>
      <w:r>
        <w:rPr>
          <w:rFonts w:ascii="宋体" w:hAnsi="宋体"/>
        </w:rPr>
        <w:t>15.3.3</w:t>
      </w:r>
      <w:r>
        <w:rPr>
          <w:rFonts w:hint="eastAsia" w:ascii="宋体" w:hAnsi="宋体"/>
        </w:rPr>
        <w:t>项约定向承包人发出变更指示。</w:t>
      </w:r>
    </w:p>
    <w:p w14:paraId="2F9C6ABC">
      <w:pPr>
        <w:spacing w:line="360" w:lineRule="auto"/>
        <w:ind w:firstLine="420" w:firstLineChars="200"/>
        <w:rPr>
          <w:rFonts w:hint="eastAsia" w:ascii="宋体" w:hAnsi="宋体"/>
        </w:rPr>
      </w:pPr>
      <w:r>
        <w:rPr>
          <w:rFonts w:ascii="宋体" w:hAnsi="宋体"/>
        </w:rPr>
        <w:t xml:space="preserve">15.5.2  </w:t>
      </w:r>
      <w:r>
        <w:rPr>
          <w:rFonts w:hint="eastAsia" w:ascii="宋体" w:hAnsi="宋体"/>
        </w:rPr>
        <w:t>承包人提出的合理化建议降低了合同价格、缩短了工期或者提高了工程经济效益的，发包人可按国家有关规定给予奖励。</w:t>
      </w:r>
      <w:r>
        <w:rPr>
          <w:rFonts w:hint="eastAsia" w:ascii="宋体" w:hAnsi="宋体"/>
          <w:szCs w:val="21"/>
        </w:rPr>
        <w:t>对承包人提出合理化建议的奖励方法见合同条款专用部分。</w:t>
      </w:r>
    </w:p>
    <w:p w14:paraId="1EB78CB5">
      <w:pPr>
        <w:keepNext/>
        <w:keepLines/>
        <w:spacing w:before="120" w:beforeLines="50" w:after="120" w:afterLines="50" w:line="360" w:lineRule="auto"/>
        <w:outlineLvl w:val="2"/>
        <w:rPr>
          <w:rFonts w:hint="eastAsia" w:ascii="宋体" w:hAnsi="宋体"/>
          <w:sz w:val="24"/>
          <w:szCs w:val="20"/>
        </w:rPr>
      </w:pPr>
      <w:bookmarkStart w:id="1679" w:name="_Toc179632730"/>
      <w:bookmarkStart w:id="1680" w:name="_Toc490222595"/>
      <w:bookmarkStart w:id="1681" w:name="_Toc483668179"/>
      <w:bookmarkStart w:id="1682" w:name="_Toc152045712"/>
      <w:bookmarkStart w:id="1683" w:name="_Toc486580150"/>
      <w:bookmarkStart w:id="1684" w:name="_Toc152042490"/>
      <w:bookmarkStart w:id="1685" w:name="_Toc480486832"/>
      <w:bookmarkStart w:id="1686" w:name="_Toc342296363"/>
      <w:bookmarkStart w:id="1687" w:name="_Toc489279961"/>
      <w:bookmarkStart w:id="1688" w:name="_Toc338944805"/>
      <w:bookmarkStart w:id="1689" w:name="_Toc117350519"/>
      <w:bookmarkStart w:id="1690" w:name="_Toc480487004"/>
      <w:bookmarkStart w:id="1691" w:name="_Toc144974681"/>
      <w:r>
        <w:rPr>
          <w:rFonts w:ascii="宋体" w:hAnsi="宋体"/>
          <w:sz w:val="24"/>
          <w:szCs w:val="20"/>
        </w:rPr>
        <w:t xml:space="preserve">15.6  </w:t>
      </w:r>
      <w:r>
        <w:rPr>
          <w:rFonts w:hint="eastAsia" w:ascii="宋体" w:hAnsi="宋体"/>
          <w:sz w:val="24"/>
          <w:szCs w:val="20"/>
        </w:rPr>
        <w:t>暂列金额</w:t>
      </w:r>
      <w:bookmarkEnd w:id="1679"/>
      <w:bookmarkEnd w:id="1680"/>
      <w:bookmarkEnd w:id="1681"/>
      <w:bookmarkEnd w:id="1682"/>
      <w:bookmarkEnd w:id="1683"/>
      <w:bookmarkEnd w:id="1684"/>
      <w:bookmarkEnd w:id="1685"/>
      <w:bookmarkEnd w:id="1686"/>
      <w:bookmarkEnd w:id="1687"/>
      <w:bookmarkEnd w:id="1688"/>
      <w:bookmarkEnd w:id="1689"/>
      <w:bookmarkEnd w:id="1690"/>
      <w:bookmarkEnd w:id="1691"/>
    </w:p>
    <w:p w14:paraId="029DD080">
      <w:pPr>
        <w:spacing w:line="360" w:lineRule="auto"/>
        <w:ind w:firstLine="420" w:firstLineChars="200"/>
        <w:rPr>
          <w:rFonts w:hint="eastAsia" w:ascii="宋体" w:hAnsi="宋体"/>
        </w:rPr>
      </w:pPr>
      <w:r>
        <w:rPr>
          <w:rFonts w:hint="eastAsia" w:ascii="宋体" w:hAnsi="宋体"/>
        </w:rPr>
        <w:t>暂列金额只能按照监理人的指示使用，并对合同价格进行相应调整。</w:t>
      </w:r>
    </w:p>
    <w:p w14:paraId="7B5482AE">
      <w:pPr>
        <w:keepNext/>
        <w:keepLines/>
        <w:spacing w:before="120" w:beforeLines="50" w:after="120" w:afterLines="50" w:line="360" w:lineRule="auto"/>
        <w:outlineLvl w:val="2"/>
        <w:rPr>
          <w:rFonts w:hint="eastAsia" w:ascii="宋体" w:hAnsi="宋体"/>
          <w:sz w:val="24"/>
          <w:szCs w:val="20"/>
        </w:rPr>
      </w:pPr>
      <w:bookmarkStart w:id="1692" w:name="_Toc486580151"/>
      <w:bookmarkStart w:id="1693" w:name="_Toc490222596"/>
      <w:bookmarkStart w:id="1694" w:name="_Toc152042491"/>
      <w:bookmarkStart w:id="1695" w:name="_Toc179632731"/>
      <w:bookmarkStart w:id="1696" w:name="_Toc480486833"/>
      <w:bookmarkStart w:id="1697" w:name="_Toc144974682"/>
      <w:bookmarkStart w:id="1698" w:name="_Toc342296364"/>
      <w:bookmarkStart w:id="1699" w:name="_Toc489279962"/>
      <w:bookmarkStart w:id="1700" w:name="_Toc117350520"/>
      <w:bookmarkStart w:id="1701" w:name="_Toc338944806"/>
      <w:bookmarkStart w:id="1702" w:name="_Toc152045713"/>
      <w:bookmarkStart w:id="1703" w:name="_Toc483668180"/>
      <w:bookmarkStart w:id="1704" w:name="_Toc480487005"/>
      <w:r>
        <w:rPr>
          <w:rFonts w:ascii="宋体" w:hAnsi="宋体"/>
          <w:sz w:val="24"/>
          <w:szCs w:val="20"/>
        </w:rPr>
        <w:t xml:space="preserve">15.7  </w:t>
      </w:r>
      <w:r>
        <w:rPr>
          <w:rFonts w:hint="eastAsia" w:ascii="宋体" w:hAnsi="宋体"/>
          <w:sz w:val="24"/>
          <w:szCs w:val="20"/>
        </w:rPr>
        <w:t>计日工</w:t>
      </w:r>
      <w:bookmarkEnd w:id="1692"/>
      <w:bookmarkEnd w:id="1693"/>
      <w:bookmarkEnd w:id="1694"/>
      <w:bookmarkEnd w:id="1695"/>
      <w:bookmarkEnd w:id="1696"/>
      <w:bookmarkEnd w:id="1697"/>
      <w:bookmarkEnd w:id="1698"/>
      <w:bookmarkEnd w:id="1699"/>
      <w:bookmarkEnd w:id="1700"/>
      <w:bookmarkEnd w:id="1701"/>
      <w:bookmarkEnd w:id="1702"/>
      <w:bookmarkEnd w:id="1703"/>
      <w:bookmarkEnd w:id="1704"/>
    </w:p>
    <w:p w14:paraId="742658A7">
      <w:pPr>
        <w:spacing w:line="360" w:lineRule="auto"/>
        <w:ind w:firstLine="420" w:firstLineChars="200"/>
        <w:rPr>
          <w:rFonts w:hint="eastAsia" w:ascii="宋体" w:hAnsi="宋体"/>
        </w:rPr>
      </w:pPr>
      <w:r>
        <w:rPr>
          <w:rFonts w:ascii="宋体" w:hAnsi="宋体"/>
        </w:rPr>
        <w:t xml:space="preserve">15.7.1  </w:t>
      </w:r>
      <w:r>
        <w:rPr>
          <w:rFonts w:hint="eastAsia" w:ascii="宋体" w:hAnsi="宋体"/>
        </w:rPr>
        <w:t>发包人认为有必要时，</w:t>
      </w:r>
      <w:r>
        <w:rPr>
          <w:rFonts w:hint="eastAsia" w:ascii="宋体" w:hAnsi="宋体"/>
          <w:szCs w:val="21"/>
        </w:rPr>
        <w:t>由</w:t>
      </w:r>
      <w:r>
        <w:rPr>
          <w:rFonts w:hint="eastAsia" w:ascii="宋体" w:hAnsi="宋体"/>
        </w:rPr>
        <w:t>监理人通知承包人以计日工方式实施变更的零星工作。其价款按列入已标价工程量清单中的计日工计价子目及其单价进行计算。</w:t>
      </w:r>
    </w:p>
    <w:p w14:paraId="7E23F0C8">
      <w:pPr>
        <w:spacing w:line="360" w:lineRule="auto"/>
        <w:ind w:firstLine="420" w:firstLineChars="200"/>
        <w:rPr>
          <w:rFonts w:hint="eastAsia" w:ascii="宋体" w:hAnsi="宋体"/>
        </w:rPr>
      </w:pPr>
      <w:r>
        <w:rPr>
          <w:rFonts w:ascii="宋体" w:hAnsi="宋体"/>
        </w:rPr>
        <w:t xml:space="preserve">15.7.2  </w:t>
      </w:r>
      <w:r>
        <w:rPr>
          <w:rFonts w:hint="eastAsia" w:ascii="宋体" w:hAnsi="宋体"/>
        </w:rPr>
        <w:t>采用计日工计价的任何一项变更工作，应从暂列金额中支付，承包人应在该项变更的实施过程中，每天提交以下报表和有关凭证报送监理人审批：</w:t>
      </w:r>
    </w:p>
    <w:p w14:paraId="43D91B12">
      <w:pPr>
        <w:spacing w:line="360" w:lineRule="auto"/>
        <w:ind w:firstLine="315" w:firstLineChars="150"/>
        <w:rPr>
          <w:rFonts w:hint="eastAsia" w:ascii="宋体" w:hAnsi="宋体"/>
        </w:rPr>
      </w:pPr>
      <w:r>
        <w:rPr>
          <w:rFonts w:hint="eastAsia" w:ascii="宋体" w:hAnsi="宋体"/>
        </w:rPr>
        <w:t>（</w:t>
      </w:r>
      <w:r>
        <w:rPr>
          <w:rFonts w:ascii="宋体" w:hAnsi="宋体"/>
        </w:rPr>
        <w:t>1</w:t>
      </w:r>
      <w:r>
        <w:rPr>
          <w:rFonts w:hint="eastAsia" w:ascii="宋体" w:hAnsi="宋体"/>
        </w:rPr>
        <w:t>）工作名称、内容和数量；</w:t>
      </w:r>
    </w:p>
    <w:p w14:paraId="7AF06976">
      <w:pPr>
        <w:spacing w:line="360" w:lineRule="auto"/>
        <w:ind w:firstLine="315" w:firstLineChars="150"/>
        <w:rPr>
          <w:rFonts w:hint="eastAsia" w:ascii="宋体" w:hAnsi="宋体"/>
        </w:rPr>
      </w:pPr>
      <w:r>
        <w:rPr>
          <w:rFonts w:hint="eastAsia" w:ascii="宋体" w:hAnsi="宋体"/>
        </w:rPr>
        <w:t>（</w:t>
      </w:r>
      <w:r>
        <w:rPr>
          <w:rFonts w:ascii="宋体" w:hAnsi="宋体"/>
        </w:rPr>
        <w:t>2</w:t>
      </w:r>
      <w:r>
        <w:rPr>
          <w:rFonts w:hint="eastAsia" w:ascii="宋体" w:hAnsi="宋体"/>
        </w:rPr>
        <w:t>）投入该工作所有人员的姓名、工种、级别和耗用工时；</w:t>
      </w:r>
    </w:p>
    <w:p w14:paraId="740AD198">
      <w:pPr>
        <w:spacing w:line="360" w:lineRule="auto"/>
        <w:ind w:firstLine="315" w:firstLineChars="150"/>
        <w:rPr>
          <w:rFonts w:hint="eastAsia" w:ascii="宋体" w:hAnsi="宋体"/>
        </w:rPr>
      </w:pPr>
      <w:r>
        <w:rPr>
          <w:rFonts w:hint="eastAsia" w:ascii="宋体" w:hAnsi="宋体"/>
        </w:rPr>
        <w:t>（</w:t>
      </w:r>
      <w:r>
        <w:rPr>
          <w:rFonts w:ascii="宋体" w:hAnsi="宋体"/>
        </w:rPr>
        <w:t>3</w:t>
      </w:r>
      <w:r>
        <w:rPr>
          <w:rFonts w:hint="eastAsia" w:ascii="宋体" w:hAnsi="宋体"/>
        </w:rPr>
        <w:t>）投入该工作的材料类别和数量；</w:t>
      </w:r>
    </w:p>
    <w:p w14:paraId="5E17ACA1">
      <w:pPr>
        <w:spacing w:line="360" w:lineRule="auto"/>
        <w:ind w:firstLine="315" w:firstLineChars="150"/>
        <w:rPr>
          <w:rFonts w:hint="eastAsia" w:ascii="宋体" w:hAnsi="宋体"/>
        </w:rPr>
      </w:pPr>
      <w:r>
        <w:rPr>
          <w:rFonts w:hint="eastAsia" w:ascii="宋体" w:hAnsi="宋体"/>
        </w:rPr>
        <w:t>（</w:t>
      </w:r>
      <w:r>
        <w:rPr>
          <w:rFonts w:ascii="宋体" w:hAnsi="宋体"/>
        </w:rPr>
        <w:t>4</w:t>
      </w:r>
      <w:r>
        <w:rPr>
          <w:rFonts w:hint="eastAsia" w:ascii="宋体" w:hAnsi="宋体"/>
        </w:rPr>
        <w:t>）投入该工作的施工设备型号、台数和耗用台时；</w:t>
      </w:r>
    </w:p>
    <w:p w14:paraId="4D46726E">
      <w:pPr>
        <w:spacing w:line="360" w:lineRule="auto"/>
        <w:ind w:firstLine="315" w:firstLineChars="150"/>
        <w:rPr>
          <w:rFonts w:hint="eastAsia" w:ascii="宋体" w:hAnsi="宋体"/>
        </w:rPr>
      </w:pPr>
      <w:r>
        <w:rPr>
          <w:rFonts w:hint="eastAsia" w:ascii="宋体" w:hAnsi="宋体"/>
        </w:rPr>
        <w:t>（</w:t>
      </w:r>
      <w:r>
        <w:rPr>
          <w:rFonts w:ascii="宋体" w:hAnsi="宋体"/>
        </w:rPr>
        <w:t>5</w:t>
      </w:r>
      <w:r>
        <w:rPr>
          <w:rFonts w:hint="eastAsia" w:ascii="宋体" w:hAnsi="宋体"/>
        </w:rPr>
        <w:t>）监理人要求提交的其他资料和凭证。</w:t>
      </w:r>
    </w:p>
    <w:p w14:paraId="22A0CCEA">
      <w:pPr>
        <w:spacing w:line="360" w:lineRule="auto"/>
        <w:ind w:firstLine="420" w:firstLineChars="200"/>
        <w:rPr>
          <w:rFonts w:hint="eastAsia" w:ascii="宋体" w:hAnsi="宋体"/>
        </w:rPr>
      </w:pPr>
      <w:r>
        <w:rPr>
          <w:rFonts w:ascii="宋体" w:hAnsi="宋体"/>
        </w:rPr>
        <w:t xml:space="preserve">15.7.3  </w:t>
      </w:r>
      <w:r>
        <w:rPr>
          <w:rFonts w:hint="eastAsia" w:ascii="宋体" w:hAnsi="宋体"/>
        </w:rPr>
        <w:t>计日工由承包人汇总后，按第</w:t>
      </w:r>
      <w:r>
        <w:rPr>
          <w:rFonts w:ascii="宋体" w:hAnsi="宋体"/>
        </w:rPr>
        <w:t>17.3.2</w:t>
      </w:r>
      <w:r>
        <w:rPr>
          <w:rFonts w:hint="eastAsia" w:ascii="宋体" w:hAnsi="宋体"/>
        </w:rPr>
        <w:t>项的约定列入进度付款申请单，由监理人复核并经发包人同意后列入进度付款。</w:t>
      </w:r>
    </w:p>
    <w:p w14:paraId="0DE1F684">
      <w:pPr>
        <w:keepNext/>
        <w:keepLines/>
        <w:spacing w:before="120" w:beforeLines="50" w:after="120" w:afterLines="50" w:line="360" w:lineRule="auto"/>
        <w:outlineLvl w:val="2"/>
        <w:rPr>
          <w:rFonts w:hint="eastAsia" w:ascii="宋体" w:hAnsi="宋体"/>
          <w:sz w:val="24"/>
          <w:szCs w:val="20"/>
        </w:rPr>
      </w:pPr>
      <w:bookmarkStart w:id="1705" w:name="_Toc490222597"/>
      <w:bookmarkStart w:id="1706" w:name="_Toc338944807"/>
      <w:bookmarkStart w:id="1707" w:name="_Toc117350521"/>
      <w:bookmarkStart w:id="1708" w:name="_Toc480487006"/>
      <w:bookmarkStart w:id="1709" w:name="_Toc342296365"/>
      <w:bookmarkStart w:id="1710" w:name="_Toc489279963"/>
      <w:bookmarkStart w:id="1711" w:name="_Toc480486834"/>
      <w:bookmarkStart w:id="1712" w:name="_Toc486580152"/>
      <w:bookmarkStart w:id="1713" w:name="_Toc483668181"/>
      <w:r>
        <w:rPr>
          <w:rFonts w:ascii="宋体" w:hAnsi="宋体"/>
          <w:sz w:val="24"/>
          <w:szCs w:val="20"/>
        </w:rPr>
        <w:t xml:space="preserve">15.8  </w:t>
      </w:r>
      <w:r>
        <w:rPr>
          <w:rFonts w:hint="eastAsia" w:ascii="宋体" w:hAnsi="宋体"/>
          <w:sz w:val="24"/>
          <w:szCs w:val="20"/>
        </w:rPr>
        <w:t>暂估价</w:t>
      </w:r>
      <w:bookmarkEnd w:id="1705"/>
      <w:bookmarkEnd w:id="1706"/>
      <w:bookmarkEnd w:id="1707"/>
      <w:bookmarkEnd w:id="1708"/>
      <w:bookmarkEnd w:id="1709"/>
      <w:bookmarkEnd w:id="1710"/>
      <w:bookmarkEnd w:id="1711"/>
      <w:bookmarkEnd w:id="1712"/>
      <w:bookmarkEnd w:id="1713"/>
    </w:p>
    <w:p w14:paraId="30BAE0B3">
      <w:pPr>
        <w:spacing w:line="360" w:lineRule="auto"/>
        <w:ind w:firstLine="420" w:firstLineChars="200"/>
        <w:rPr>
          <w:rFonts w:hint="eastAsia" w:ascii="宋体" w:hAnsi="宋体"/>
        </w:rPr>
      </w:pPr>
      <w:r>
        <w:rPr>
          <w:rFonts w:ascii="宋体" w:hAnsi="宋体"/>
        </w:rPr>
        <w:t xml:space="preserve">15.8.1  </w:t>
      </w:r>
      <w:r>
        <w:rPr>
          <w:rFonts w:hint="eastAsia" w:ascii="宋体" w:hAnsi="宋体"/>
        </w:rPr>
        <w:t>发包人在工程量清单中给定暂估价的材料和工程设备及专业工程属于依法必须招标的范围并达到规定的规模标准的，由发包人和承包人</w:t>
      </w:r>
      <w:r>
        <w:rPr>
          <w:rFonts w:hint="eastAsia" w:ascii="宋体" w:hAnsi="宋体"/>
          <w:szCs w:val="21"/>
        </w:rPr>
        <w:t>采用招标方式选择专项供应商或专业分包人</w:t>
      </w:r>
      <w:r>
        <w:rPr>
          <w:rFonts w:hint="eastAsia" w:ascii="宋体" w:hAnsi="宋体"/>
        </w:rPr>
        <w:t>。发包人和承包人的权利义务关系约定如下：</w:t>
      </w:r>
      <w:r>
        <w:rPr>
          <w:rFonts w:ascii="宋体" w:hAnsi="宋体"/>
        </w:rPr>
        <w:t xml:space="preserve"> </w:t>
      </w:r>
    </w:p>
    <w:p w14:paraId="0C4AF617">
      <w:pPr>
        <w:spacing w:line="360" w:lineRule="auto"/>
        <w:ind w:firstLine="315" w:firstLineChars="150"/>
        <w:rPr>
          <w:rFonts w:hint="eastAsia" w:ascii="宋体" w:hAnsi="宋体"/>
          <w:szCs w:val="21"/>
        </w:rPr>
      </w:pPr>
      <w:r>
        <w:rPr>
          <w:rFonts w:hint="eastAsia" w:ascii="宋体" w:hAnsi="宋体"/>
          <w:szCs w:val="21"/>
        </w:rPr>
        <w:t>（</w:t>
      </w:r>
      <w:r>
        <w:rPr>
          <w:rFonts w:ascii="宋体" w:hAnsi="宋体"/>
          <w:szCs w:val="21"/>
        </w:rPr>
        <w:t>1</w:t>
      </w:r>
      <w:r>
        <w:rPr>
          <w:rFonts w:hint="eastAsia" w:ascii="宋体" w:hAnsi="宋体"/>
          <w:szCs w:val="21"/>
        </w:rPr>
        <w:t>）由承包人作为招标人，依法组织招标工作并接受有管辖权的建设工程招标投标行政监督部门的监督。</w:t>
      </w:r>
    </w:p>
    <w:p w14:paraId="32CF99A3">
      <w:pPr>
        <w:spacing w:line="360" w:lineRule="auto"/>
        <w:ind w:firstLine="315" w:firstLineChars="150"/>
        <w:rPr>
          <w:rFonts w:hint="eastAsia" w:ascii="宋体" w:hAnsi="宋体"/>
          <w:szCs w:val="21"/>
        </w:rPr>
      </w:pPr>
      <w:r>
        <w:rPr>
          <w:rFonts w:hint="eastAsia" w:ascii="宋体" w:hAnsi="宋体"/>
          <w:szCs w:val="21"/>
        </w:rPr>
        <w:t>（</w:t>
      </w:r>
      <w:r>
        <w:rPr>
          <w:rFonts w:ascii="宋体" w:hAnsi="宋体"/>
          <w:szCs w:val="21"/>
        </w:rPr>
        <w:t>2</w:t>
      </w:r>
      <w:r>
        <w:rPr>
          <w:rFonts w:hint="eastAsia" w:ascii="宋体" w:hAnsi="宋体"/>
          <w:szCs w:val="21"/>
        </w:rPr>
        <w:t>）与组织招标工作有关的费用应当被认为已经包括在承包人的签约合同价（投标总报价）中。</w:t>
      </w:r>
    </w:p>
    <w:p w14:paraId="6145CE6A">
      <w:pPr>
        <w:spacing w:line="360" w:lineRule="auto"/>
        <w:ind w:firstLine="315" w:firstLineChars="150"/>
        <w:rPr>
          <w:rFonts w:hint="eastAsia" w:ascii="宋体" w:hAnsi="宋体"/>
          <w:szCs w:val="21"/>
        </w:rPr>
      </w:pPr>
      <w:r>
        <w:rPr>
          <w:rFonts w:hint="eastAsia" w:ascii="宋体" w:hAnsi="宋体"/>
          <w:szCs w:val="21"/>
        </w:rPr>
        <w:t>（</w:t>
      </w:r>
      <w:r>
        <w:rPr>
          <w:rFonts w:ascii="宋体" w:hAnsi="宋体"/>
          <w:szCs w:val="21"/>
        </w:rPr>
        <w:t>3</w:t>
      </w:r>
      <w:r>
        <w:rPr>
          <w:rFonts w:hint="eastAsia" w:ascii="宋体" w:hAnsi="宋体"/>
          <w:szCs w:val="21"/>
        </w:rPr>
        <w:t>）中标金额与工程量清单中所列的暂估价的金额差以及相应的税金等其他费用列入合同价格。</w:t>
      </w:r>
    </w:p>
    <w:p w14:paraId="4E0CAE4B">
      <w:pPr>
        <w:spacing w:line="360" w:lineRule="auto"/>
        <w:ind w:firstLine="315" w:firstLineChars="150"/>
        <w:rPr>
          <w:rFonts w:hint="eastAsia" w:ascii="宋体" w:hAnsi="宋体"/>
          <w:szCs w:val="21"/>
        </w:rPr>
      </w:pPr>
      <w:r>
        <w:rPr>
          <w:rFonts w:hint="eastAsia" w:ascii="宋体" w:hAnsi="宋体"/>
          <w:szCs w:val="21"/>
        </w:rPr>
        <w:t>（</w:t>
      </w:r>
      <w:r>
        <w:rPr>
          <w:rFonts w:ascii="宋体" w:hAnsi="宋体"/>
          <w:szCs w:val="21"/>
        </w:rPr>
        <w:t>4</w:t>
      </w:r>
      <w:r>
        <w:rPr>
          <w:rFonts w:hint="eastAsia" w:ascii="宋体" w:hAnsi="宋体"/>
          <w:szCs w:val="21"/>
        </w:rPr>
        <w:t>）在任何招标工作启动前，承包人应当按照合同条款专用部分约定期限编制招标工作计划并通过监理人报请发包人审批，招标工作计划应当包括招标工作的时间安排、拟采用的招标方式、拟采用的资格审查方法、主要招标过程文件的编制内容、对投标人的资格条件要求、评标标准和方法、评标委员会组成、是否编制招标控制价和（或）标底以及招标控制价和（或）标底编制原则。发包人应当在监理人收到承包人报送的招标工作计划后应当在合同条款专用部分约定期限内给予批准或者提出修改意见。承包人应当严格按照经过发包人批准的招标工作计划开展招标工作。</w:t>
      </w:r>
    </w:p>
    <w:p w14:paraId="578761C4">
      <w:pPr>
        <w:spacing w:line="360" w:lineRule="auto"/>
        <w:ind w:firstLine="315" w:firstLineChars="150"/>
        <w:rPr>
          <w:rFonts w:hint="eastAsia" w:ascii="宋体" w:hAnsi="宋体"/>
          <w:szCs w:val="21"/>
        </w:rPr>
      </w:pPr>
      <w:r>
        <w:rPr>
          <w:rFonts w:hint="eastAsia" w:ascii="宋体" w:hAnsi="宋体"/>
          <w:szCs w:val="21"/>
        </w:rPr>
        <w:t>（</w:t>
      </w:r>
      <w:r>
        <w:rPr>
          <w:rFonts w:ascii="宋体" w:hAnsi="宋体"/>
          <w:szCs w:val="21"/>
        </w:rPr>
        <w:t>5</w:t>
      </w:r>
      <w:r>
        <w:rPr>
          <w:rFonts w:hint="eastAsia" w:ascii="宋体" w:hAnsi="宋体"/>
          <w:szCs w:val="21"/>
        </w:rPr>
        <w:t>）承包人应当在发出招标公告（或者资格预审公告或者投标邀请书）、资格预审文件和招标文件前按照合同条款专用部分约定期限，分别将相关文件通过监理人报请发包人审批，发包人应当在监理人收到承包人报送的相关文件后应当在合同条款专用部分约定期限内给予批准或者提出修改意见，经发包人批准的相关文件，由承包人负责誊清整理并准备出开展实际招标工作所需要的份数，通过监理人报发包人核查并加盖发包人印章，发包人在相关文件上加盖印章只表明相关文件经过发包人审核批准。最终发出的文件应当分别报送一份给发包人和监理人备查。</w:t>
      </w:r>
    </w:p>
    <w:p w14:paraId="7FBE72F7">
      <w:pPr>
        <w:spacing w:line="360" w:lineRule="auto"/>
        <w:ind w:firstLine="315" w:firstLineChars="150"/>
        <w:rPr>
          <w:rFonts w:hint="eastAsia" w:ascii="宋体" w:hAnsi="宋体"/>
          <w:szCs w:val="21"/>
        </w:rPr>
      </w:pPr>
      <w:r>
        <w:rPr>
          <w:rFonts w:hint="eastAsia" w:ascii="宋体" w:hAnsi="宋体"/>
          <w:szCs w:val="21"/>
        </w:rPr>
        <w:t>（</w:t>
      </w:r>
      <w:r>
        <w:rPr>
          <w:rFonts w:ascii="宋体" w:hAnsi="宋体"/>
          <w:szCs w:val="21"/>
        </w:rPr>
        <w:t>6</w:t>
      </w:r>
      <w:r>
        <w:rPr>
          <w:rFonts w:hint="eastAsia" w:ascii="宋体" w:hAnsi="宋体"/>
          <w:szCs w:val="21"/>
        </w:rPr>
        <w:t>）如果发、承包任何一方委派评标代表，评标委员会应当由七人以上单数构成。除发包人或者承包人自愿放弃委派评标代表的权利外，招标人评标代表应当分别由发包人和承包人等额委派。</w:t>
      </w:r>
    </w:p>
    <w:p w14:paraId="484D7AF8">
      <w:pPr>
        <w:spacing w:line="360" w:lineRule="auto"/>
        <w:ind w:firstLine="315" w:firstLineChars="150"/>
        <w:rPr>
          <w:rFonts w:hint="eastAsia" w:ascii="宋体" w:hAnsi="宋体"/>
          <w:szCs w:val="21"/>
        </w:rPr>
      </w:pPr>
      <w:r>
        <w:rPr>
          <w:rFonts w:hint="eastAsia" w:ascii="宋体" w:hAnsi="宋体"/>
          <w:szCs w:val="21"/>
        </w:rPr>
        <w:t>（</w:t>
      </w:r>
      <w:r>
        <w:rPr>
          <w:rFonts w:ascii="宋体" w:hAnsi="宋体"/>
          <w:szCs w:val="21"/>
        </w:rPr>
        <w:t>7</w:t>
      </w:r>
      <w:r>
        <w:rPr>
          <w:rFonts w:hint="eastAsia" w:ascii="宋体" w:hAnsi="宋体"/>
          <w:szCs w:val="21"/>
        </w:rPr>
        <w:t>）设有标底的，承包人应当在开标前提前</w:t>
      </w:r>
      <w:r>
        <w:rPr>
          <w:rFonts w:ascii="宋体" w:hAnsi="宋体"/>
          <w:szCs w:val="21"/>
        </w:rPr>
        <w:t>48</w:t>
      </w:r>
      <w:r>
        <w:rPr>
          <w:rFonts w:hint="eastAsia" w:ascii="宋体" w:hAnsi="宋体"/>
          <w:szCs w:val="21"/>
        </w:rPr>
        <w:t>小时将标底报发包人审核认可，发包人应当在收到承包人报送的标底后</w:t>
      </w:r>
      <w:r>
        <w:rPr>
          <w:rFonts w:ascii="宋体" w:hAnsi="宋体"/>
          <w:szCs w:val="21"/>
        </w:rPr>
        <w:t>24</w:t>
      </w:r>
      <w:r>
        <w:rPr>
          <w:rFonts w:hint="eastAsia" w:ascii="宋体" w:hAnsi="宋体"/>
          <w:szCs w:val="21"/>
        </w:rPr>
        <w:t>小时内给予批准或者提出修改意见。承包人和发包人应当共同制定标底保密措施，不得提前泄露标底。标底的最终审核和决定权属于发包人。</w:t>
      </w:r>
    </w:p>
    <w:p w14:paraId="5F736511">
      <w:pPr>
        <w:spacing w:line="360" w:lineRule="auto"/>
        <w:ind w:firstLine="315" w:firstLineChars="150"/>
        <w:rPr>
          <w:rFonts w:hint="eastAsia" w:ascii="宋体" w:hAnsi="宋体"/>
          <w:szCs w:val="21"/>
        </w:rPr>
      </w:pPr>
      <w:r>
        <w:rPr>
          <w:rFonts w:hint="eastAsia" w:ascii="宋体" w:hAnsi="宋体"/>
          <w:szCs w:val="21"/>
        </w:rPr>
        <w:t>（</w:t>
      </w:r>
      <w:r>
        <w:rPr>
          <w:rFonts w:ascii="宋体" w:hAnsi="宋体"/>
          <w:szCs w:val="21"/>
        </w:rPr>
        <w:t>8</w:t>
      </w:r>
      <w:r>
        <w:rPr>
          <w:rFonts w:hint="eastAsia" w:ascii="宋体" w:hAnsi="宋体"/>
          <w:szCs w:val="21"/>
        </w:rPr>
        <w:t>）设有招标控制价的，承包人应当在招标文件发出前提前</w:t>
      </w:r>
      <w:r>
        <w:rPr>
          <w:rFonts w:ascii="宋体" w:hAnsi="宋体"/>
          <w:szCs w:val="21"/>
        </w:rPr>
        <w:t>7</w:t>
      </w:r>
      <w:r>
        <w:rPr>
          <w:rFonts w:hint="eastAsia" w:ascii="宋体" w:hAnsi="宋体"/>
          <w:szCs w:val="21"/>
        </w:rPr>
        <w:t>天将招标控制价报发包人审核认可，发包人应当在收到承包人报送的招标控制价后</w:t>
      </w:r>
      <w:r>
        <w:rPr>
          <w:rFonts w:ascii="宋体" w:hAnsi="宋体"/>
          <w:szCs w:val="21"/>
        </w:rPr>
        <w:t>72</w:t>
      </w:r>
      <w:r>
        <w:rPr>
          <w:rFonts w:hint="eastAsia" w:ascii="宋体" w:hAnsi="宋体"/>
          <w:szCs w:val="21"/>
        </w:rPr>
        <w:t>小时内给予认可或者提出修改意见。招标控制价的最终审核和决定权属于发包人，未经发包人认可，承包人不得发出招标文件。</w:t>
      </w:r>
    </w:p>
    <w:p w14:paraId="68F9295F">
      <w:pPr>
        <w:spacing w:line="360" w:lineRule="auto"/>
        <w:ind w:firstLine="315" w:firstLineChars="150"/>
        <w:rPr>
          <w:rFonts w:hint="eastAsia" w:ascii="宋体" w:hAnsi="宋体"/>
          <w:szCs w:val="21"/>
        </w:rPr>
      </w:pPr>
      <w:r>
        <w:rPr>
          <w:rFonts w:hint="eastAsia" w:ascii="宋体" w:hAnsi="宋体"/>
          <w:szCs w:val="21"/>
        </w:rPr>
        <w:t>（</w:t>
      </w:r>
      <w:r>
        <w:rPr>
          <w:rFonts w:ascii="宋体" w:hAnsi="宋体"/>
          <w:szCs w:val="21"/>
        </w:rPr>
        <w:t>9</w:t>
      </w:r>
      <w:r>
        <w:rPr>
          <w:rFonts w:hint="eastAsia" w:ascii="宋体" w:hAnsi="宋体"/>
          <w:szCs w:val="21"/>
        </w:rPr>
        <w:t>）承包人在收到相关招标项目评标委员会提交的评标报告后，应当在</w:t>
      </w:r>
      <w:r>
        <w:rPr>
          <w:rFonts w:ascii="宋体" w:hAnsi="宋体"/>
          <w:szCs w:val="21"/>
        </w:rPr>
        <w:t>24</w:t>
      </w:r>
      <w:r>
        <w:rPr>
          <w:rFonts w:hint="eastAsia" w:ascii="宋体" w:hAnsi="宋体"/>
          <w:szCs w:val="21"/>
        </w:rPr>
        <w:t>小时内通过监理人转报发包人核查，发包人应当在监理人收到承包人报送的评标报告后</w:t>
      </w:r>
      <w:r>
        <w:rPr>
          <w:rFonts w:ascii="宋体" w:hAnsi="宋体"/>
          <w:szCs w:val="21"/>
        </w:rPr>
        <w:t>48</w:t>
      </w:r>
      <w:r>
        <w:rPr>
          <w:rFonts w:hint="eastAsia" w:ascii="宋体" w:hAnsi="宋体"/>
          <w:szCs w:val="21"/>
        </w:rPr>
        <w:t>小时内核查完毕，评标报告经过发包人核查认可后，承包人才可以开始后续程序，依法确定中标人并发出中标通知书。</w:t>
      </w:r>
    </w:p>
    <w:p w14:paraId="39B50671">
      <w:pPr>
        <w:spacing w:line="360" w:lineRule="auto"/>
        <w:ind w:firstLine="315" w:firstLineChars="150"/>
        <w:rPr>
          <w:rFonts w:hint="eastAsia" w:ascii="宋体" w:hAnsi="宋体"/>
          <w:szCs w:val="21"/>
        </w:rPr>
      </w:pPr>
      <w:r>
        <w:rPr>
          <w:rFonts w:hint="eastAsia" w:ascii="宋体" w:hAnsi="宋体"/>
          <w:szCs w:val="21"/>
        </w:rPr>
        <w:t>（</w:t>
      </w:r>
      <w:r>
        <w:rPr>
          <w:rFonts w:ascii="宋体" w:hAnsi="宋体"/>
          <w:szCs w:val="21"/>
        </w:rPr>
        <w:t>10</w:t>
      </w:r>
      <w:r>
        <w:rPr>
          <w:rFonts w:hint="eastAsia" w:ascii="宋体" w:hAnsi="宋体"/>
          <w:szCs w:val="21"/>
        </w:rPr>
        <w:t>）承包人与专业分包人或者专项供应商订立合同前应当按照合同条款专用部分约定期限，将准备用于正式签订的合同文件通过监理人报发包人审核，发包人应当在监理人收到相关文件后在合同条款专用部分约定期限内给予批准或者提出修改意见，承包人应当按照发包人批准的合同文件签订相关合同，合同订立后，在合同条款专用部分约定期限内，承包人应当将其中的两份副本报送监理人，其中一份由监理人报发包人留存。</w:t>
      </w:r>
    </w:p>
    <w:p w14:paraId="70C4EA39">
      <w:pPr>
        <w:spacing w:line="360" w:lineRule="auto"/>
        <w:ind w:firstLine="315" w:firstLineChars="150"/>
        <w:rPr>
          <w:rFonts w:hint="eastAsia" w:ascii="宋体" w:hAnsi="宋体"/>
          <w:szCs w:val="21"/>
        </w:rPr>
      </w:pPr>
      <w:r>
        <w:rPr>
          <w:rFonts w:hint="eastAsia" w:ascii="宋体" w:hAnsi="宋体"/>
          <w:szCs w:val="21"/>
        </w:rPr>
        <w:t>（</w:t>
      </w:r>
      <w:r>
        <w:rPr>
          <w:rFonts w:ascii="宋体" w:hAnsi="宋体"/>
          <w:szCs w:val="21"/>
        </w:rPr>
        <w:t>11</w:t>
      </w:r>
      <w:r>
        <w:rPr>
          <w:rFonts w:hint="eastAsia" w:ascii="宋体" w:hAnsi="宋体"/>
          <w:szCs w:val="21"/>
        </w:rPr>
        <w:t>）发包人对承包人报送文件进行审批或提出的修改意见应当合理，并符合现行有关法律法规的规定。</w:t>
      </w:r>
    </w:p>
    <w:p w14:paraId="4D5A905B">
      <w:pPr>
        <w:spacing w:line="360" w:lineRule="auto"/>
        <w:ind w:firstLine="315" w:firstLineChars="150"/>
        <w:rPr>
          <w:rFonts w:hint="eastAsia" w:ascii="宋体" w:hAnsi="宋体"/>
        </w:rPr>
      </w:pPr>
      <w:r>
        <w:rPr>
          <w:rFonts w:hint="eastAsia" w:ascii="宋体" w:hAnsi="宋体"/>
          <w:szCs w:val="21"/>
        </w:rPr>
        <w:t>（</w:t>
      </w:r>
      <w:r>
        <w:rPr>
          <w:rFonts w:ascii="宋体" w:hAnsi="宋体"/>
          <w:szCs w:val="21"/>
        </w:rPr>
        <w:t>12</w:t>
      </w:r>
      <w:r>
        <w:rPr>
          <w:rFonts w:hint="eastAsia" w:ascii="宋体" w:hAnsi="宋体"/>
          <w:szCs w:val="21"/>
        </w:rPr>
        <w:t>）承包人违背本项上述约定的程序或者未履行本项上述约定的报批手续的，发包人有权拒绝对相关专业工程或者涉及相关专项供应的材料和工程设备的工程进行验收和拨付相应工程款项，所造成的费用增加和（或）工期延误由承包人承担。发包人未按本项上述约定履行审批手续的，所造成的费用增加和（或）工期延误由发包人承担。</w:t>
      </w:r>
    </w:p>
    <w:p w14:paraId="2660D272">
      <w:pPr>
        <w:spacing w:line="360" w:lineRule="auto"/>
        <w:ind w:firstLine="420" w:firstLineChars="200"/>
        <w:rPr>
          <w:rFonts w:hint="eastAsia" w:ascii="宋体" w:hAnsi="宋体"/>
        </w:rPr>
      </w:pPr>
      <w:r>
        <w:rPr>
          <w:rFonts w:ascii="宋体" w:hAnsi="宋体"/>
        </w:rPr>
        <w:t xml:space="preserve">15.8.2  </w:t>
      </w:r>
      <w:r>
        <w:rPr>
          <w:rFonts w:hint="eastAsia" w:ascii="宋体" w:hAnsi="宋体"/>
        </w:rPr>
        <w:t>发包人在工程量清单中给定暂估价的专业工程不属于依法必须招标的范围或未达到规定的规模标准的，由监理人按照第15.4款进行估价，但合同条款专用部分另有约定的除外。经估价的专业工程与工程量清单中所列的暂估价的金额差以及相应的税金等其他费用列入合同价格。</w:t>
      </w:r>
    </w:p>
    <w:p w14:paraId="6B761BA7">
      <w:pPr>
        <w:keepNext/>
        <w:keepLines/>
        <w:spacing w:before="120" w:beforeLines="50" w:after="120" w:afterLines="50" w:line="360" w:lineRule="auto"/>
        <w:outlineLvl w:val="1"/>
        <w:rPr>
          <w:rFonts w:hint="eastAsia" w:ascii="宋体" w:hAnsi="宋体" w:cs="宋体"/>
          <w:sz w:val="28"/>
          <w:szCs w:val="20"/>
        </w:rPr>
      </w:pPr>
      <w:bookmarkStart w:id="1714" w:name="_Toc483668182"/>
      <w:bookmarkStart w:id="1715" w:name="_Toc480486835"/>
      <w:bookmarkStart w:id="1716" w:name="_Toc480487007"/>
      <w:bookmarkStart w:id="1717" w:name="_Toc489279964"/>
      <w:bookmarkStart w:id="1718" w:name="_Toc486580153"/>
      <w:bookmarkStart w:id="1719" w:name="_Toc338944808"/>
      <w:bookmarkStart w:id="1720" w:name="_Toc342296366"/>
      <w:bookmarkStart w:id="1721" w:name="_Toc490222598"/>
      <w:bookmarkStart w:id="1722" w:name="_Toc117350522"/>
      <w:r>
        <w:rPr>
          <w:rFonts w:ascii="宋体" w:hAnsi="宋体" w:cs="宋体"/>
          <w:sz w:val="28"/>
          <w:szCs w:val="20"/>
        </w:rPr>
        <w:t>16.</w:t>
      </w:r>
      <w:r>
        <w:rPr>
          <w:rFonts w:hint="eastAsia" w:ascii="宋体" w:hAnsi="宋体" w:cs="宋体"/>
          <w:sz w:val="28"/>
          <w:szCs w:val="20"/>
        </w:rPr>
        <w:t>价格调整</w:t>
      </w:r>
      <w:bookmarkEnd w:id="1714"/>
      <w:bookmarkEnd w:id="1715"/>
      <w:bookmarkEnd w:id="1716"/>
      <w:bookmarkEnd w:id="1717"/>
      <w:bookmarkEnd w:id="1718"/>
      <w:bookmarkEnd w:id="1719"/>
      <w:bookmarkEnd w:id="1720"/>
      <w:bookmarkEnd w:id="1721"/>
      <w:bookmarkEnd w:id="1722"/>
    </w:p>
    <w:p w14:paraId="2D0FD75F">
      <w:pPr>
        <w:keepNext/>
        <w:keepLines/>
        <w:spacing w:before="120" w:beforeLines="50" w:after="120" w:afterLines="50" w:line="360" w:lineRule="auto"/>
        <w:outlineLvl w:val="2"/>
        <w:rPr>
          <w:rFonts w:hint="eastAsia" w:ascii="宋体" w:hAnsi="宋体"/>
          <w:sz w:val="24"/>
          <w:szCs w:val="20"/>
        </w:rPr>
      </w:pPr>
      <w:bookmarkStart w:id="1723" w:name="_Toc489279965"/>
      <w:bookmarkStart w:id="1724" w:name="_Toc486580154"/>
      <w:bookmarkStart w:id="1725" w:name="_Toc338944809"/>
      <w:bookmarkStart w:id="1726" w:name="_Toc490222599"/>
      <w:bookmarkStart w:id="1727" w:name="_Toc483668183"/>
      <w:bookmarkStart w:id="1728" w:name="_Toc342296367"/>
      <w:bookmarkStart w:id="1729" w:name="_Toc117350523"/>
      <w:bookmarkStart w:id="1730" w:name="_Toc480487008"/>
      <w:bookmarkStart w:id="1731" w:name="_Toc480486836"/>
      <w:r>
        <w:rPr>
          <w:rFonts w:ascii="宋体" w:hAnsi="宋体"/>
          <w:sz w:val="24"/>
          <w:szCs w:val="20"/>
        </w:rPr>
        <w:t xml:space="preserve">16.1  </w:t>
      </w:r>
      <w:r>
        <w:rPr>
          <w:rFonts w:hint="eastAsia" w:ascii="宋体" w:hAnsi="宋体"/>
          <w:sz w:val="24"/>
          <w:szCs w:val="20"/>
        </w:rPr>
        <w:t>物价波动引起的价格调整</w:t>
      </w:r>
      <w:bookmarkEnd w:id="1723"/>
      <w:bookmarkEnd w:id="1724"/>
      <w:bookmarkEnd w:id="1725"/>
      <w:bookmarkEnd w:id="1726"/>
      <w:bookmarkEnd w:id="1727"/>
      <w:bookmarkEnd w:id="1728"/>
      <w:bookmarkEnd w:id="1729"/>
      <w:bookmarkEnd w:id="1730"/>
      <w:bookmarkEnd w:id="1731"/>
    </w:p>
    <w:p w14:paraId="53C61B2C">
      <w:pPr>
        <w:spacing w:line="360" w:lineRule="auto"/>
        <w:ind w:firstLine="420" w:firstLineChars="200"/>
        <w:rPr>
          <w:rFonts w:hint="eastAsia" w:ascii="宋体" w:hAnsi="宋体"/>
        </w:rPr>
      </w:pPr>
      <w:r>
        <w:rPr>
          <w:rFonts w:hint="eastAsia" w:ascii="宋体" w:hAnsi="宋体"/>
        </w:rPr>
        <w:t>除合同条款专用部分另有约定外，因物价波动引起的价格调整按照本款约定处理。</w:t>
      </w:r>
    </w:p>
    <w:p w14:paraId="720D41A5">
      <w:pPr>
        <w:spacing w:line="360" w:lineRule="auto"/>
        <w:ind w:firstLine="420" w:firstLineChars="200"/>
        <w:rPr>
          <w:rFonts w:hint="eastAsia" w:ascii="宋体" w:hAnsi="宋体"/>
        </w:rPr>
      </w:pPr>
      <w:r>
        <w:rPr>
          <w:rFonts w:ascii="宋体" w:hAnsi="宋体"/>
        </w:rPr>
        <w:t xml:space="preserve">16.1.1 </w:t>
      </w:r>
      <w:r>
        <w:rPr>
          <w:rFonts w:hint="eastAsia" w:ascii="宋体" w:hAnsi="宋体"/>
        </w:rPr>
        <w:t>采用价格指数调整价格差额</w:t>
      </w:r>
    </w:p>
    <w:p w14:paraId="019C4EE8">
      <w:pPr>
        <w:spacing w:line="360" w:lineRule="auto"/>
        <w:ind w:firstLine="630" w:firstLineChars="300"/>
        <w:rPr>
          <w:rFonts w:hint="eastAsia" w:ascii="宋体" w:hAnsi="宋体"/>
        </w:rPr>
      </w:pPr>
      <w:bookmarkStart w:id="1732" w:name="_Toc429569374"/>
      <w:r>
        <w:rPr>
          <w:rFonts w:ascii="宋体" w:hAnsi="宋体"/>
        </w:rPr>
        <w:t xml:space="preserve">16.1.1.1 </w:t>
      </w:r>
      <w:r>
        <w:rPr>
          <w:rFonts w:hint="eastAsia" w:ascii="宋体" w:hAnsi="宋体"/>
        </w:rPr>
        <w:t>价格调整公式</w:t>
      </w:r>
      <w:bookmarkEnd w:id="1732"/>
    </w:p>
    <w:p w14:paraId="648BC66A">
      <w:pPr>
        <w:spacing w:line="360" w:lineRule="auto"/>
        <w:ind w:firstLine="630" w:firstLineChars="300"/>
        <w:rPr>
          <w:rFonts w:hint="eastAsia" w:ascii="宋体" w:hAnsi="宋体"/>
        </w:rPr>
      </w:pPr>
      <w:r>
        <w:rPr>
          <w:rFonts w:hint="eastAsia" w:ascii="宋体" w:hAnsi="宋体"/>
        </w:rPr>
        <w:t>因人工、材料和设备等价格波动影响合同价格时，根据投标函附录中的价格指数和权重表约定的数据，按以下公式计算差额并调整合同价格。</w:t>
      </w:r>
    </w:p>
    <w:p w14:paraId="6147A9D2">
      <w:pPr>
        <w:spacing w:line="360" w:lineRule="auto"/>
        <w:rPr>
          <w:rFonts w:hint="eastAsia" w:ascii="宋体" w:hAnsi="宋体"/>
        </w:rPr>
      </w:pPr>
      <w:r>
        <w:rPr>
          <w:rFonts w:ascii="宋体" w:hAnsi="宋体"/>
          <w:b/>
          <w:bCs/>
          <w:sz w:val="19"/>
          <w:szCs w:val="19"/>
          <w:lang w:val="zh-CN"/>
        </w:rPr>
        <w:t xml:space="preserve">        </w:t>
      </w:r>
      <w:r>
        <w:rPr>
          <w:rFonts w:ascii="宋体" w:hAnsi="宋体"/>
          <w:position w:val="-34"/>
        </w:rPr>
        <w:drawing>
          <wp:inline distT="0" distB="0" distL="0" distR="0">
            <wp:extent cx="3872230" cy="532765"/>
            <wp:effectExtent l="0" t="0" r="13970" b="63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3872230" cy="532765"/>
                    </a:xfrm>
                    <a:prstGeom prst="rect">
                      <a:avLst/>
                    </a:prstGeom>
                    <a:noFill/>
                    <a:ln>
                      <a:noFill/>
                    </a:ln>
                  </pic:spPr>
                </pic:pic>
              </a:graphicData>
            </a:graphic>
          </wp:inline>
        </w:drawing>
      </w:r>
    </w:p>
    <w:p w14:paraId="154AD660">
      <w:pPr>
        <w:tabs>
          <w:tab w:val="left" w:pos="1260"/>
        </w:tabs>
        <w:spacing w:line="400" w:lineRule="exact"/>
        <w:ind w:firstLine="420" w:firstLineChars="200"/>
        <w:rPr>
          <w:rFonts w:hint="eastAsia" w:ascii="宋体" w:hAnsi="宋体"/>
        </w:rPr>
      </w:pPr>
      <w:r>
        <w:rPr>
          <w:rFonts w:ascii="宋体" w:hAnsi="宋体"/>
        </w:rPr>
        <w:t xml:space="preserve"> </w:t>
      </w:r>
    </w:p>
    <w:p w14:paraId="730EE8BA">
      <w:pPr>
        <w:tabs>
          <w:tab w:val="left" w:pos="1260"/>
        </w:tabs>
        <w:spacing w:line="360" w:lineRule="auto"/>
        <w:ind w:firstLine="420" w:firstLineChars="200"/>
        <w:rPr>
          <w:rFonts w:hint="eastAsia" w:ascii="宋体" w:hAnsi="宋体"/>
        </w:rPr>
      </w:pPr>
      <w:r>
        <w:rPr>
          <w:rFonts w:hint="eastAsia" w:ascii="宋体" w:hAnsi="宋体"/>
        </w:rPr>
        <w:t>式中：</w:t>
      </w:r>
      <w:r>
        <w:rPr>
          <w:rFonts w:ascii="宋体" w:hAnsi="宋体"/>
        </w:rPr>
        <w:t xml:space="preserve"> </w:t>
      </w:r>
      <w:r>
        <w:rPr>
          <w:rFonts w:hint="eastAsia" w:ascii="宋体" w:hAnsi="宋体"/>
        </w:rPr>
        <w:t>△</w:t>
      </w:r>
      <w:r>
        <w:rPr>
          <w:rFonts w:ascii="宋体" w:hAnsi="宋体"/>
        </w:rPr>
        <w:t xml:space="preserve">P -- </w:t>
      </w:r>
      <w:r>
        <w:rPr>
          <w:rFonts w:hint="eastAsia" w:ascii="宋体" w:hAnsi="宋体"/>
        </w:rPr>
        <w:t>需调整的价格差额；</w:t>
      </w:r>
    </w:p>
    <w:p w14:paraId="1E032F31">
      <w:pPr>
        <w:tabs>
          <w:tab w:val="left" w:pos="1260"/>
        </w:tabs>
        <w:spacing w:line="360" w:lineRule="auto"/>
        <w:rPr>
          <w:rFonts w:hint="eastAsia" w:ascii="宋体" w:hAnsi="宋体"/>
        </w:rPr>
      </w:pPr>
      <w:r>
        <w:rPr>
          <w:rFonts w:ascii="宋体" w:hAnsi="宋体"/>
        </w:rPr>
        <w:tab/>
      </w:r>
      <w:r>
        <w:rPr>
          <w:rFonts w:ascii="宋体" w:hAnsi="宋体"/>
        </w:rPr>
        <w:t>P</w:t>
      </w:r>
      <w:r>
        <w:rPr>
          <w:rFonts w:ascii="宋体" w:hAnsi="宋体"/>
          <w:szCs w:val="21"/>
          <w:vertAlign w:val="subscript"/>
        </w:rPr>
        <w:t>0</w:t>
      </w:r>
      <w:r>
        <w:rPr>
          <w:rFonts w:ascii="宋体" w:hAnsi="宋体"/>
        </w:rPr>
        <w:t xml:space="preserve"> -- </w:t>
      </w:r>
      <w:r>
        <w:rPr>
          <w:rFonts w:hint="eastAsia" w:ascii="宋体" w:hAnsi="宋体"/>
        </w:rPr>
        <w:t>第</w:t>
      </w:r>
      <w:r>
        <w:rPr>
          <w:rFonts w:ascii="宋体" w:hAnsi="宋体"/>
        </w:rPr>
        <w:t>17.3.3</w:t>
      </w:r>
      <w:r>
        <w:rPr>
          <w:rFonts w:hint="eastAsia" w:ascii="宋体" w:hAnsi="宋体"/>
        </w:rPr>
        <w:t>项、第</w:t>
      </w:r>
      <w:r>
        <w:rPr>
          <w:rFonts w:ascii="宋体" w:hAnsi="宋体"/>
        </w:rPr>
        <w:t>17.5.3</w:t>
      </w:r>
      <w:r>
        <w:rPr>
          <w:rFonts w:hint="eastAsia" w:ascii="宋体" w:hAnsi="宋体"/>
        </w:rPr>
        <w:t>项和第</w:t>
      </w:r>
      <w:r>
        <w:rPr>
          <w:rFonts w:ascii="宋体" w:hAnsi="宋体"/>
        </w:rPr>
        <w:t>17.6.2</w:t>
      </w:r>
      <w:r>
        <w:rPr>
          <w:rFonts w:hint="eastAsia" w:ascii="宋体" w:hAnsi="宋体"/>
        </w:rPr>
        <w:t>项约定的付款证书中承包人应得到的已完成工程量的金额。此项金额应不包括价格调整、不计质量保证金的扣留和支付、预付款的支付和扣回。第</w:t>
      </w:r>
      <w:r>
        <w:rPr>
          <w:rFonts w:ascii="宋体" w:hAnsi="宋体"/>
        </w:rPr>
        <w:t>15</w:t>
      </w:r>
      <w:r>
        <w:rPr>
          <w:rFonts w:hint="eastAsia" w:ascii="宋体" w:hAnsi="宋体"/>
        </w:rPr>
        <w:t>条约定的变更及其他金额已按现行价格计价的，也不计在内；</w:t>
      </w:r>
    </w:p>
    <w:p w14:paraId="7B363BF2">
      <w:pPr>
        <w:tabs>
          <w:tab w:val="left" w:pos="1260"/>
        </w:tabs>
        <w:spacing w:line="360" w:lineRule="auto"/>
        <w:rPr>
          <w:rFonts w:hint="eastAsia" w:ascii="宋体" w:hAnsi="宋体"/>
        </w:rPr>
      </w:pPr>
      <w:r>
        <w:rPr>
          <w:rFonts w:ascii="宋体" w:hAnsi="宋体"/>
        </w:rPr>
        <w:tab/>
      </w:r>
      <w:bookmarkStart w:id="1733" w:name="_Toc152042495"/>
      <w:bookmarkStart w:id="1734" w:name="_Toc144974686"/>
      <w:r>
        <w:rPr>
          <w:rFonts w:ascii="宋体" w:hAnsi="宋体"/>
        </w:rPr>
        <w:t xml:space="preserve">A -- </w:t>
      </w:r>
      <w:r>
        <w:rPr>
          <w:rFonts w:hint="eastAsia" w:ascii="宋体" w:hAnsi="宋体"/>
        </w:rPr>
        <w:t>定值权重</w:t>
      </w:r>
      <w:r>
        <w:rPr>
          <w:rFonts w:ascii="宋体" w:hAnsi="宋体"/>
        </w:rPr>
        <w:t>(</w:t>
      </w:r>
      <w:r>
        <w:rPr>
          <w:rFonts w:hint="eastAsia" w:ascii="宋体" w:hAnsi="宋体"/>
        </w:rPr>
        <w:t>即不调部分的权重</w:t>
      </w:r>
      <w:r>
        <w:rPr>
          <w:rFonts w:ascii="宋体" w:hAnsi="宋体"/>
        </w:rPr>
        <w:t>)</w:t>
      </w:r>
      <w:r>
        <w:rPr>
          <w:rFonts w:hint="eastAsia" w:ascii="宋体" w:hAnsi="宋体"/>
        </w:rPr>
        <w:t>；</w:t>
      </w:r>
      <w:bookmarkEnd w:id="1733"/>
      <w:bookmarkEnd w:id="1734"/>
    </w:p>
    <w:p w14:paraId="6AA6A840">
      <w:pPr>
        <w:tabs>
          <w:tab w:val="left" w:pos="1260"/>
        </w:tabs>
        <w:spacing w:line="360" w:lineRule="auto"/>
        <w:rPr>
          <w:rFonts w:hint="eastAsia" w:ascii="宋体" w:hAnsi="宋体"/>
        </w:rPr>
      </w:pPr>
      <w:r>
        <w:rPr>
          <w:rFonts w:ascii="宋体" w:hAnsi="宋体"/>
        </w:rPr>
        <w:tab/>
      </w:r>
      <w:r>
        <w:rPr>
          <w:rFonts w:ascii="宋体" w:hAnsi="宋体"/>
        </w:rPr>
        <w:t>B</w:t>
      </w:r>
      <w:r>
        <w:rPr>
          <w:rFonts w:ascii="宋体" w:hAnsi="宋体"/>
          <w:szCs w:val="21"/>
          <w:vertAlign w:val="subscript"/>
        </w:rPr>
        <w:t>1</w:t>
      </w:r>
      <w:r>
        <w:rPr>
          <w:rFonts w:ascii="宋体" w:hAnsi="宋体"/>
          <w:sz w:val="15"/>
          <w:szCs w:val="15"/>
        </w:rPr>
        <w:t>;</w:t>
      </w:r>
      <w:r>
        <w:rPr>
          <w:rFonts w:ascii="宋体" w:hAnsi="宋体"/>
        </w:rPr>
        <w:t xml:space="preserve"> B</w:t>
      </w:r>
      <w:r>
        <w:rPr>
          <w:rFonts w:ascii="宋体" w:hAnsi="宋体"/>
          <w:szCs w:val="21"/>
          <w:vertAlign w:val="subscript"/>
        </w:rPr>
        <w:t>2</w:t>
      </w:r>
      <w:r>
        <w:rPr>
          <w:rFonts w:ascii="宋体" w:hAnsi="宋体"/>
        </w:rPr>
        <w:t xml:space="preserve"> ;B</w:t>
      </w:r>
      <w:r>
        <w:rPr>
          <w:rFonts w:ascii="宋体" w:hAnsi="宋体"/>
          <w:szCs w:val="21"/>
          <w:vertAlign w:val="subscript"/>
        </w:rPr>
        <w:t>3</w:t>
      </w:r>
      <w:r>
        <w:rPr>
          <w:rFonts w:hint="eastAsia" w:ascii="宋体" w:hAnsi="宋体"/>
          <w:sz w:val="15"/>
          <w:szCs w:val="15"/>
        </w:rPr>
        <w:t>·····</w:t>
      </w:r>
      <w:r>
        <w:rPr>
          <w:rFonts w:ascii="宋体" w:hAnsi="宋体"/>
        </w:rPr>
        <w:t>B</w:t>
      </w:r>
      <w:r>
        <w:rPr>
          <w:rFonts w:ascii="宋体" w:hAnsi="宋体"/>
          <w:szCs w:val="21"/>
          <w:vertAlign w:val="subscript"/>
        </w:rPr>
        <w:t>n</w:t>
      </w:r>
      <w:r>
        <w:rPr>
          <w:rFonts w:ascii="宋体" w:hAnsi="宋体"/>
        </w:rPr>
        <w:t xml:space="preserve"> -- </w:t>
      </w:r>
      <w:r>
        <w:rPr>
          <w:rFonts w:hint="eastAsia" w:ascii="宋体" w:hAnsi="宋体"/>
        </w:rPr>
        <w:t>各可调因子的变值权重</w:t>
      </w:r>
      <w:r>
        <w:rPr>
          <w:rFonts w:ascii="宋体" w:hAnsi="宋体"/>
        </w:rPr>
        <w:t>(</w:t>
      </w:r>
      <w:r>
        <w:rPr>
          <w:rFonts w:hint="eastAsia" w:ascii="宋体" w:hAnsi="宋体"/>
        </w:rPr>
        <w:t>即可调部分的权重</w:t>
      </w:r>
      <w:r>
        <w:rPr>
          <w:rFonts w:ascii="宋体" w:hAnsi="宋体"/>
        </w:rPr>
        <w:t>)</w:t>
      </w:r>
      <w:r>
        <w:rPr>
          <w:rFonts w:hint="eastAsia" w:ascii="宋体" w:hAnsi="宋体"/>
        </w:rPr>
        <w:t>为各可调因子在投标函投标总报价中所占的比例；</w:t>
      </w:r>
    </w:p>
    <w:p w14:paraId="16918A7A">
      <w:pPr>
        <w:tabs>
          <w:tab w:val="left" w:pos="1260"/>
        </w:tabs>
        <w:spacing w:line="360" w:lineRule="auto"/>
        <w:rPr>
          <w:rFonts w:hint="eastAsia" w:ascii="宋体" w:hAnsi="宋体"/>
        </w:rPr>
      </w:pPr>
      <w:r>
        <w:rPr>
          <w:rFonts w:ascii="宋体" w:hAnsi="宋体"/>
        </w:rPr>
        <w:tab/>
      </w:r>
      <w:r>
        <w:rPr>
          <w:rFonts w:ascii="宋体" w:hAnsi="宋体"/>
        </w:rPr>
        <w:t>F</w:t>
      </w:r>
      <w:r>
        <w:rPr>
          <w:rFonts w:ascii="宋体" w:hAnsi="宋体"/>
          <w:szCs w:val="21"/>
          <w:vertAlign w:val="subscript"/>
        </w:rPr>
        <w:t>t1</w:t>
      </w:r>
      <w:r>
        <w:rPr>
          <w:rFonts w:ascii="宋体" w:hAnsi="宋体"/>
        </w:rPr>
        <w:t xml:space="preserve"> ;F</w:t>
      </w:r>
      <w:r>
        <w:rPr>
          <w:rFonts w:ascii="宋体" w:hAnsi="宋体"/>
          <w:szCs w:val="21"/>
          <w:vertAlign w:val="subscript"/>
        </w:rPr>
        <w:t>t2</w:t>
      </w:r>
      <w:r>
        <w:rPr>
          <w:rFonts w:ascii="宋体" w:hAnsi="宋体"/>
        </w:rPr>
        <w:t xml:space="preserve"> ;F</w:t>
      </w:r>
      <w:r>
        <w:rPr>
          <w:rFonts w:ascii="宋体" w:hAnsi="宋体"/>
          <w:szCs w:val="21"/>
          <w:vertAlign w:val="subscript"/>
        </w:rPr>
        <w:t>t3</w:t>
      </w:r>
      <w:r>
        <w:rPr>
          <w:rFonts w:hint="eastAsia" w:ascii="宋体" w:hAnsi="宋体"/>
          <w:sz w:val="15"/>
          <w:szCs w:val="15"/>
        </w:rPr>
        <w:t>·····</w:t>
      </w:r>
      <w:r>
        <w:rPr>
          <w:rFonts w:ascii="宋体" w:hAnsi="宋体"/>
        </w:rPr>
        <w:t>F</w:t>
      </w:r>
      <w:r>
        <w:rPr>
          <w:rFonts w:ascii="宋体" w:hAnsi="宋体"/>
          <w:szCs w:val="21"/>
          <w:vertAlign w:val="subscript"/>
        </w:rPr>
        <w:t>tn</w:t>
      </w:r>
      <w:r>
        <w:rPr>
          <w:rFonts w:ascii="宋体" w:hAnsi="宋体"/>
        </w:rPr>
        <w:t xml:space="preserve"> -- </w:t>
      </w:r>
      <w:r>
        <w:rPr>
          <w:rFonts w:hint="eastAsia" w:ascii="宋体" w:hAnsi="宋体"/>
        </w:rPr>
        <w:t>各可调因子的现行价格指数，指第</w:t>
      </w:r>
      <w:r>
        <w:rPr>
          <w:rFonts w:ascii="宋体" w:hAnsi="宋体"/>
        </w:rPr>
        <w:t>17.3.3</w:t>
      </w:r>
      <w:r>
        <w:rPr>
          <w:rFonts w:hint="eastAsia" w:ascii="宋体" w:hAnsi="宋体"/>
        </w:rPr>
        <w:t>项、第</w:t>
      </w:r>
      <w:r>
        <w:rPr>
          <w:rFonts w:ascii="宋体" w:hAnsi="宋体"/>
        </w:rPr>
        <w:t>17.5.3</w:t>
      </w:r>
      <w:r>
        <w:rPr>
          <w:rFonts w:hint="eastAsia" w:ascii="宋体" w:hAnsi="宋体"/>
        </w:rPr>
        <w:t>项和第</w:t>
      </w:r>
      <w:r>
        <w:rPr>
          <w:rFonts w:ascii="宋体" w:hAnsi="宋体"/>
        </w:rPr>
        <w:t>17.6.2</w:t>
      </w:r>
      <w:r>
        <w:rPr>
          <w:rFonts w:hint="eastAsia" w:ascii="宋体" w:hAnsi="宋体"/>
        </w:rPr>
        <w:t>项约定的付款证书相关周期最后一天的前</w:t>
      </w:r>
      <w:r>
        <w:rPr>
          <w:rFonts w:ascii="宋体" w:hAnsi="宋体"/>
        </w:rPr>
        <w:t>42</w:t>
      </w:r>
      <w:r>
        <w:rPr>
          <w:rFonts w:hint="eastAsia" w:ascii="宋体" w:hAnsi="宋体"/>
        </w:rPr>
        <w:t>天的各可调因子的价格指数；</w:t>
      </w:r>
    </w:p>
    <w:p w14:paraId="687A1B06">
      <w:pPr>
        <w:tabs>
          <w:tab w:val="left" w:pos="1260"/>
        </w:tabs>
        <w:spacing w:line="360" w:lineRule="auto"/>
        <w:rPr>
          <w:rFonts w:hint="eastAsia" w:ascii="宋体" w:hAnsi="宋体"/>
        </w:rPr>
      </w:pPr>
      <w:r>
        <w:rPr>
          <w:rFonts w:ascii="宋体" w:hAnsi="宋体"/>
        </w:rPr>
        <w:tab/>
      </w:r>
      <w:r>
        <w:rPr>
          <w:rFonts w:ascii="宋体" w:hAnsi="宋体"/>
        </w:rPr>
        <w:t>F</w:t>
      </w:r>
      <w:r>
        <w:rPr>
          <w:rFonts w:ascii="宋体" w:hAnsi="宋体"/>
          <w:szCs w:val="21"/>
          <w:vertAlign w:val="subscript"/>
        </w:rPr>
        <w:t>o1</w:t>
      </w:r>
      <w:r>
        <w:rPr>
          <w:rFonts w:ascii="宋体" w:hAnsi="宋体"/>
        </w:rPr>
        <w:t>; F</w:t>
      </w:r>
      <w:r>
        <w:rPr>
          <w:rFonts w:ascii="宋体" w:hAnsi="宋体"/>
          <w:szCs w:val="21"/>
          <w:vertAlign w:val="subscript"/>
        </w:rPr>
        <w:t>o2</w:t>
      </w:r>
      <w:r>
        <w:rPr>
          <w:rFonts w:ascii="宋体" w:hAnsi="宋体"/>
          <w:sz w:val="15"/>
          <w:szCs w:val="15"/>
        </w:rPr>
        <w:t>;</w:t>
      </w:r>
      <w:r>
        <w:rPr>
          <w:rFonts w:ascii="宋体" w:hAnsi="宋体"/>
        </w:rPr>
        <w:t xml:space="preserve"> F</w:t>
      </w:r>
      <w:r>
        <w:rPr>
          <w:rFonts w:ascii="宋体" w:hAnsi="宋体"/>
          <w:szCs w:val="21"/>
          <w:vertAlign w:val="subscript"/>
        </w:rPr>
        <w:t>o3</w:t>
      </w:r>
      <w:r>
        <w:rPr>
          <w:rFonts w:hint="eastAsia" w:ascii="宋体" w:hAnsi="宋体"/>
          <w:sz w:val="15"/>
          <w:szCs w:val="15"/>
        </w:rPr>
        <w:t>·····</w:t>
      </w:r>
      <w:r>
        <w:rPr>
          <w:rFonts w:ascii="宋体" w:hAnsi="宋体"/>
        </w:rPr>
        <w:t>F</w:t>
      </w:r>
      <w:r>
        <w:rPr>
          <w:rFonts w:ascii="宋体" w:hAnsi="宋体"/>
          <w:szCs w:val="21"/>
          <w:vertAlign w:val="subscript"/>
        </w:rPr>
        <w:t>on</w:t>
      </w:r>
      <w:r>
        <w:rPr>
          <w:rFonts w:ascii="宋体" w:hAnsi="宋体"/>
        </w:rPr>
        <w:t xml:space="preserve"> -- </w:t>
      </w:r>
      <w:r>
        <w:rPr>
          <w:rFonts w:hint="eastAsia" w:ascii="宋体" w:hAnsi="宋体"/>
        </w:rPr>
        <w:t>各可调因子的基本价格指数，指基准日期的各可调因子的价格指数。</w:t>
      </w:r>
    </w:p>
    <w:p w14:paraId="2F6B9191">
      <w:pPr>
        <w:spacing w:line="360" w:lineRule="auto"/>
        <w:ind w:firstLine="630" w:firstLineChars="300"/>
        <w:rPr>
          <w:rFonts w:hint="eastAsia" w:ascii="宋体" w:hAnsi="宋体"/>
        </w:rPr>
      </w:pPr>
      <w:r>
        <w:rPr>
          <w:rFonts w:hint="eastAsia" w:ascii="宋体" w:hAnsi="宋体"/>
        </w:rPr>
        <w:t>以上价格调整公式中的各可调因子、定值和变值权重，以及基本价格指数及其来源在投标函附录价格指数和权重表中约定。价格指数应首先采用有关部门提供的价格指数，缺乏上述价格指数时，可采用有关部门提供的价格代替。</w:t>
      </w:r>
    </w:p>
    <w:p w14:paraId="4CBC4017">
      <w:pPr>
        <w:spacing w:line="360" w:lineRule="auto"/>
        <w:ind w:firstLine="630" w:firstLineChars="300"/>
        <w:rPr>
          <w:rFonts w:hint="eastAsia" w:ascii="宋体" w:hAnsi="宋体"/>
        </w:rPr>
      </w:pPr>
      <w:r>
        <w:rPr>
          <w:rFonts w:ascii="宋体" w:hAnsi="宋体"/>
        </w:rPr>
        <w:t xml:space="preserve">16.1.1.2 </w:t>
      </w:r>
      <w:r>
        <w:rPr>
          <w:rFonts w:hint="eastAsia" w:ascii="宋体" w:hAnsi="宋体"/>
        </w:rPr>
        <w:t>暂时确定调整差额</w:t>
      </w:r>
    </w:p>
    <w:p w14:paraId="6CF39914">
      <w:pPr>
        <w:spacing w:line="360" w:lineRule="auto"/>
        <w:ind w:firstLine="630" w:firstLineChars="300"/>
        <w:rPr>
          <w:rFonts w:hint="eastAsia" w:ascii="宋体" w:hAnsi="宋体"/>
        </w:rPr>
      </w:pPr>
      <w:r>
        <w:rPr>
          <w:rFonts w:hint="eastAsia" w:ascii="宋体" w:hAnsi="宋体"/>
        </w:rPr>
        <w:t>在计算调整差额时得不到现行价格指数的，可暂用上一次价格指数计算，并在以后的付款中再按实际价格指数进行调整。</w:t>
      </w:r>
    </w:p>
    <w:p w14:paraId="58449597">
      <w:pPr>
        <w:spacing w:line="360" w:lineRule="auto"/>
        <w:ind w:firstLine="630" w:firstLineChars="300"/>
        <w:rPr>
          <w:rFonts w:hint="eastAsia" w:ascii="宋体" w:hAnsi="宋体"/>
        </w:rPr>
      </w:pPr>
      <w:bookmarkStart w:id="1735" w:name="_Toc429569375"/>
      <w:r>
        <w:rPr>
          <w:rFonts w:ascii="宋体" w:hAnsi="宋体"/>
        </w:rPr>
        <w:t xml:space="preserve">16.1.1.3 </w:t>
      </w:r>
      <w:r>
        <w:rPr>
          <w:rFonts w:hint="eastAsia" w:ascii="宋体" w:hAnsi="宋体"/>
        </w:rPr>
        <w:t>权重的调整</w:t>
      </w:r>
      <w:bookmarkEnd w:id="1735"/>
    </w:p>
    <w:p w14:paraId="5A2BAF79">
      <w:pPr>
        <w:spacing w:line="360" w:lineRule="auto"/>
        <w:ind w:firstLine="630" w:firstLineChars="300"/>
        <w:rPr>
          <w:rFonts w:hint="eastAsia" w:ascii="宋体" w:hAnsi="宋体"/>
        </w:rPr>
      </w:pPr>
      <w:r>
        <w:rPr>
          <w:rFonts w:hint="eastAsia" w:ascii="宋体" w:hAnsi="宋体"/>
        </w:rPr>
        <w:t>按第</w:t>
      </w:r>
      <w:r>
        <w:rPr>
          <w:rFonts w:ascii="宋体" w:hAnsi="宋体"/>
        </w:rPr>
        <w:t>15.1</w:t>
      </w:r>
      <w:r>
        <w:rPr>
          <w:rFonts w:hint="eastAsia" w:ascii="宋体" w:hAnsi="宋体"/>
        </w:rPr>
        <w:t>款约定的变更导致原定合同中的权重不合理时，由监理人与承包人和发包人协商后进行调整。</w:t>
      </w:r>
    </w:p>
    <w:p w14:paraId="58F7AB31">
      <w:pPr>
        <w:spacing w:line="360" w:lineRule="auto"/>
        <w:ind w:firstLine="630" w:firstLineChars="300"/>
        <w:rPr>
          <w:rFonts w:hint="eastAsia" w:ascii="宋体" w:hAnsi="宋体"/>
        </w:rPr>
      </w:pPr>
      <w:r>
        <w:rPr>
          <w:rFonts w:ascii="宋体" w:hAnsi="宋体"/>
        </w:rPr>
        <w:t xml:space="preserve">16.1.1.4 </w:t>
      </w:r>
      <w:r>
        <w:rPr>
          <w:rFonts w:hint="eastAsia" w:ascii="宋体" w:hAnsi="宋体"/>
        </w:rPr>
        <w:t>承包人工期延误后的价格调整</w:t>
      </w:r>
    </w:p>
    <w:p w14:paraId="306F68C5">
      <w:pPr>
        <w:spacing w:line="360" w:lineRule="auto"/>
        <w:ind w:firstLine="630" w:firstLineChars="300"/>
        <w:rPr>
          <w:rFonts w:hint="eastAsia" w:ascii="宋体" w:hAnsi="宋体"/>
        </w:rPr>
      </w:pPr>
      <w:r>
        <w:rPr>
          <w:rFonts w:hint="eastAsia" w:ascii="宋体" w:hAnsi="宋体"/>
        </w:rPr>
        <w:t>由于承包人原因未在约定的工期内竣工的，则对原约定竣工日期后继续施工的工程，在使用第</w:t>
      </w:r>
      <w:r>
        <w:rPr>
          <w:rFonts w:ascii="宋体" w:hAnsi="宋体"/>
        </w:rPr>
        <w:t>16.1.1.1</w:t>
      </w:r>
      <w:r>
        <w:rPr>
          <w:rFonts w:hint="eastAsia" w:ascii="宋体" w:hAnsi="宋体"/>
        </w:rPr>
        <w:t>目价格调整公式时，应采用原约定竣工日期与实际竣工日期的两个价格指数中较低的一个作为现行价格指数。</w:t>
      </w:r>
    </w:p>
    <w:p w14:paraId="3D130B9C">
      <w:pPr>
        <w:spacing w:line="360" w:lineRule="auto"/>
        <w:ind w:firstLine="420" w:firstLineChars="200"/>
        <w:rPr>
          <w:rFonts w:hint="eastAsia" w:ascii="宋体" w:hAnsi="宋体"/>
        </w:rPr>
      </w:pPr>
      <w:r>
        <w:rPr>
          <w:rFonts w:ascii="宋体" w:hAnsi="宋体"/>
        </w:rPr>
        <w:t xml:space="preserve">16.1.2  </w:t>
      </w:r>
      <w:r>
        <w:rPr>
          <w:rFonts w:hint="eastAsia" w:ascii="宋体" w:hAnsi="宋体"/>
        </w:rPr>
        <w:t>采用造价信息调整价格差额</w:t>
      </w:r>
    </w:p>
    <w:p w14:paraId="1EB1226F">
      <w:pPr>
        <w:spacing w:line="360" w:lineRule="auto"/>
        <w:ind w:firstLine="420" w:firstLineChars="200"/>
        <w:rPr>
          <w:rFonts w:hint="eastAsia" w:ascii="宋体" w:hAnsi="宋体"/>
        </w:rPr>
      </w:pPr>
      <w:r>
        <w:rPr>
          <w:rFonts w:hint="eastAsia" w:ascii="宋体" w:hAnsi="宋体"/>
        </w:rPr>
        <w:t>施工期内，因人工、材料、设备和机械台班价格波动影响合同价格时，需要进行价格调整的，其价格和数量应由监理人审核，监理人确认需调整的内容、范围、价格和数量作为调整工程合同价格差额的依据。</w:t>
      </w:r>
    </w:p>
    <w:p w14:paraId="0C82D019">
      <w:pPr>
        <w:spacing w:line="360" w:lineRule="auto"/>
        <w:ind w:firstLine="630" w:firstLineChars="300"/>
        <w:rPr>
          <w:rFonts w:hint="eastAsia" w:ascii="宋体" w:hAnsi="宋体"/>
        </w:rPr>
      </w:pPr>
      <w:r>
        <w:rPr>
          <w:rFonts w:ascii="宋体" w:hAnsi="宋体"/>
        </w:rPr>
        <w:t xml:space="preserve">16.1.2.1  </w:t>
      </w:r>
      <w:r>
        <w:rPr>
          <w:rFonts w:hint="eastAsia" w:ascii="宋体" w:hAnsi="宋体"/>
        </w:rPr>
        <w:t>引起价格调整的物价波动风险范围及幅度</w:t>
      </w:r>
    </w:p>
    <w:p w14:paraId="11760569">
      <w:pPr>
        <w:spacing w:line="360" w:lineRule="auto"/>
        <w:ind w:firstLine="630" w:firstLineChars="300"/>
        <w:rPr>
          <w:rFonts w:hint="eastAsia" w:ascii="宋体" w:hAnsi="宋体"/>
        </w:rPr>
      </w:pPr>
      <w:r>
        <w:rPr>
          <w:rFonts w:hint="eastAsia" w:ascii="宋体" w:hAnsi="宋体"/>
        </w:rPr>
        <w:t>施工期内，因人工、材料、设备和机械台班发生物价波动变化幅度在合同约定的风险幅度范围以内的，由承包人承担或受益，不调整合同价格；其价格波动变化幅度在合同约定的风险幅度范围以外的，由发包人承担或受益。</w:t>
      </w:r>
      <w:r>
        <w:rPr>
          <w:rFonts w:hint="eastAsia" w:ascii="宋体" w:hAnsi="宋体"/>
          <w:szCs w:val="21"/>
        </w:rPr>
        <w:t>物价波动引起</w:t>
      </w:r>
      <w:r>
        <w:rPr>
          <w:rFonts w:hint="eastAsia" w:ascii="宋体" w:hAnsi="宋体"/>
        </w:rPr>
        <w:t>价格调整的风险范围以及调整的风险幅度</w:t>
      </w:r>
      <w:r>
        <w:rPr>
          <w:rFonts w:hint="eastAsia" w:ascii="宋体" w:hAnsi="宋体"/>
          <w:szCs w:val="21"/>
        </w:rPr>
        <w:t>见合同条款专用部分。</w:t>
      </w:r>
    </w:p>
    <w:p w14:paraId="77BA34B4">
      <w:pPr>
        <w:spacing w:line="360" w:lineRule="auto"/>
        <w:ind w:firstLine="630" w:firstLineChars="300"/>
        <w:rPr>
          <w:rFonts w:hint="eastAsia" w:ascii="宋体" w:hAnsi="宋体"/>
        </w:rPr>
      </w:pPr>
      <w:r>
        <w:rPr>
          <w:rFonts w:ascii="宋体" w:hAnsi="宋体"/>
        </w:rPr>
        <w:t xml:space="preserve">16.1.2.2  </w:t>
      </w:r>
      <w:r>
        <w:rPr>
          <w:rFonts w:hint="eastAsia" w:ascii="宋体" w:hAnsi="宋体"/>
        </w:rPr>
        <w:t>物价波动变化幅度的计算方法</w:t>
      </w:r>
    </w:p>
    <w:p w14:paraId="3D84D9FF">
      <w:pPr>
        <w:spacing w:line="360" w:lineRule="auto"/>
        <w:ind w:firstLine="525" w:firstLineChars="250"/>
        <w:rPr>
          <w:rFonts w:hint="eastAsia" w:ascii="宋体" w:hAnsi="宋体"/>
        </w:rPr>
      </w:pPr>
      <w:r>
        <w:rPr>
          <w:rFonts w:hint="eastAsia" w:ascii="宋体" w:hAnsi="宋体"/>
        </w:rPr>
        <w:t>（</w:t>
      </w:r>
      <w:r>
        <w:rPr>
          <w:rFonts w:ascii="宋体" w:hAnsi="宋体"/>
        </w:rPr>
        <w:t>1</w:t>
      </w:r>
      <w:r>
        <w:rPr>
          <w:rFonts w:hint="eastAsia" w:ascii="宋体" w:hAnsi="宋体"/>
        </w:rPr>
        <w:t>）投标报价基准期确定的人工、材料、设备和机械台班的市场价格即为基准价。投标报价基准期</w:t>
      </w:r>
      <w:r>
        <w:rPr>
          <w:rFonts w:hint="eastAsia" w:ascii="宋体" w:hAnsi="宋体"/>
          <w:szCs w:val="21"/>
        </w:rPr>
        <w:t>见合同条款专用部分。</w:t>
      </w:r>
    </w:p>
    <w:p w14:paraId="2CABE82D">
      <w:pPr>
        <w:spacing w:line="360" w:lineRule="auto"/>
        <w:ind w:firstLine="525" w:firstLineChars="250"/>
        <w:rPr>
          <w:rFonts w:hint="eastAsia" w:ascii="宋体" w:hAnsi="宋体"/>
        </w:rPr>
      </w:pPr>
      <w:r>
        <w:rPr>
          <w:rFonts w:hint="eastAsia" w:ascii="宋体" w:hAnsi="宋体"/>
        </w:rPr>
        <w:t>（</w:t>
      </w:r>
      <w:r>
        <w:rPr>
          <w:rFonts w:ascii="宋体" w:hAnsi="宋体"/>
        </w:rPr>
        <w:t>2</w:t>
      </w:r>
      <w:r>
        <w:rPr>
          <w:rFonts w:hint="eastAsia" w:ascii="宋体" w:hAnsi="宋体"/>
        </w:rPr>
        <w:t>）《北京工程造价信息》中工程造价信息价有的，以北京市建设工程造价管理机构发布的《北京工程造价信息》中的工程造价信息价（以下简称造价信息价格）为依据确定基准价，造价信息价格中有上、下限的，以下限为准；《北京工程造价信息》工程造价信息价中没有的，确定基准价的方法</w:t>
      </w:r>
      <w:r>
        <w:rPr>
          <w:rFonts w:hint="eastAsia" w:ascii="宋体" w:hAnsi="宋体"/>
          <w:szCs w:val="21"/>
        </w:rPr>
        <w:t>见合同条款专用部分。</w:t>
      </w:r>
    </w:p>
    <w:p w14:paraId="59F6C656">
      <w:pPr>
        <w:spacing w:line="360" w:lineRule="auto"/>
        <w:ind w:firstLine="525" w:firstLineChars="250"/>
        <w:rPr>
          <w:rFonts w:hint="eastAsia" w:ascii="宋体" w:hAnsi="宋体"/>
        </w:rPr>
      </w:pPr>
      <w:r>
        <w:rPr>
          <w:rFonts w:hint="eastAsia" w:ascii="宋体" w:hAnsi="宋体"/>
        </w:rPr>
        <w:t>（</w:t>
      </w:r>
      <w:r>
        <w:rPr>
          <w:rFonts w:ascii="宋体" w:hAnsi="宋体"/>
        </w:rPr>
        <w:t>3</w:t>
      </w:r>
      <w:r>
        <w:rPr>
          <w:rFonts w:hint="eastAsia" w:ascii="宋体" w:hAnsi="宋体"/>
        </w:rPr>
        <w:t>）合同履行期间价格的确定方法</w:t>
      </w:r>
      <w:r>
        <w:rPr>
          <w:rFonts w:hint="eastAsia" w:ascii="宋体" w:hAnsi="宋体"/>
          <w:szCs w:val="21"/>
        </w:rPr>
        <w:t>见合同条款专用部分。</w:t>
      </w:r>
    </w:p>
    <w:p w14:paraId="6B23AFB9">
      <w:pPr>
        <w:spacing w:line="360" w:lineRule="auto"/>
        <w:ind w:firstLine="525" w:firstLineChars="250"/>
        <w:rPr>
          <w:rFonts w:hint="eastAsia" w:ascii="宋体" w:hAnsi="宋体"/>
          <w:szCs w:val="21"/>
        </w:rPr>
      </w:pPr>
      <w:r>
        <w:rPr>
          <w:rFonts w:hint="eastAsia" w:ascii="宋体" w:hAnsi="宋体"/>
        </w:rPr>
        <w:t>（</w:t>
      </w:r>
      <w:r>
        <w:rPr>
          <w:rFonts w:ascii="宋体" w:hAnsi="宋体"/>
        </w:rPr>
        <w:t>4</w:t>
      </w:r>
      <w:r>
        <w:rPr>
          <w:rFonts w:hint="eastAsia" w:ascii="宋体" w:hAnsi="宋体"/>
        </w:rPr>
        <w:t>）物价波动变化幅度</w:t>
      </w:r>
      <w:r>
        <w:rPr>
          <w:rFonts w:hint="eastAsia" w:ascii="宋体" w:hAnsi="宋体"/>
          <w:szCs w:val="21"/>
        </w:rPr>
        <w:t>的计算方法见合同条款专用部分。</w:t>
      </w:r>
    </w:p>
    <w:p w14:paraId="53194E48">
      <w:pPr>
        <w:spacing w:line="360" w:lineRule="auto"/>
        <w:ind w:firstLine="630" w:firstLineChars="300"/>
        <w:rPr>
          <w:rFonts w:hint="eastAsia" w:ascii="宋体" w:hAnsi="宋体"/>
        </w:rPr>
      </w:pPr>
      <w:r>
        <w:rPr>
          <w:rFonts w:ascii="宋体" w:hAnsi="宋体"/>
        </w:rPr>
        <w:t xml:space="preserve">16.1.2.3  </w:t>
      </w:r>
      <w:r>
        <w:rPr>
          <w:rFonts w:hint="eastAsia" w:ascii="宋体" w:hAnsi="宋体"/>
        </w:rPr>
        <w:t>物价波动引起价格调整的方法</w:t>
      </w:r>
    </w:p>
    <w:p w14:paraId="0CDD0696">
      <w:pPr>
        <w:spacing w:line="360" w:lineRule="auto"/>
        <w:ind w:firstLine="420" w:firstLineChars="200"/>
        <w:rPr>
          <w:rFonts w:hint="eastAsia" w:ascii="宋体" w:hAnsi="宋体"/>
          <w:szCs w:val="21"/>
        </w:rPr>
      </w:pPr>
      <w:r>
        <w:rPr>
          <w:rFonts w:hint="eastAsia" w:ascii="宋体" w:hAnsi="宋体"/>
        </w:rPr>
        <w:t>（</w:t>
      </w:r>
      <w:r>
        <w:rPr>
          <w:rFonts w:ascii="宋体" w:hAnsi="宋体"/>
        </w:rPr>
        <w:t>1</w:t>
      </w:r>
      <w:r>
        <w:rPr>
          <w:rFonts w:hint="eastAsia" w:ascii="宋体" w:hAnsi="宋体"/>
        </w:rPr>
        <w:t>）第</w:t>
      </w:r>
      <w:r>
        <w:rPr>
          <w:rFonts w:ascii="宋体" w:hAnsi="宋体"/>
        </w:rPr>
        <w:t>16.1.2.1</w:t>
      </w:r>
      <w:r>
        <w:rPr>
          <w:rFonts w:hint="eastAsia" w:ascii="宋体" w:hAnsi="宋体"/>
        </w:rPr>
        <w:t>目中约定的人工、材料、设备和机械台班</w:t>
      </w:r>
      <w:r>
        <w:rPr>
          <w:rFonts w:hint="eastAsia" w:ascii="宋体" w:hAnsi="宋体"/>
          <w:szCs w:val="21"/>
        </w:rPr>
        <w:t>的</w:t>
      </w:r>
      <w:r>
        <w:rPr>
          <w:rFonts w:hint="eastAsia" w:ascii="宋体" w:hAnsi="宋体"/>
        </w:rPr>
        <w:t>物价波动变化幅度</w:t>
      </w:r>
      <w:r>
        <w:rPr>
          <w:rFonts w:hint="eastAsia" w:ascii="宋体" w:hAnsi="宋体"/>
          <w:szCs w:val="21"/>
        </w:rPr>
        <w:t>超过风险幅度时，价格调整方法见合同条款专用部分。</w:t>
      </w:r>
    </w:p>
    <w:p w14:paraId="16526796">
      <w:pPr>
        <w:spacing w:line="360" w:lineRule="auto"/>
        <w:ind w:firstLine="420" w:firstLineChars="200"/>
        <w:rPr>
          <w:rFonts w:hint="eastAsia" w:ascii="宋体" w:hAnsi="宋体"/>
          <w:szCs w:val="21"/>
        </w:rPr>
      </w:pPr>
      <w:r>
        <w:rPr>
          <w:rFonts w:hint="eastAsia" w:ascii="宋体" w:hAnsi="宋体"/>
          <w:szCs w:val="21"/>
        </w:rPr>
        <w:t>（2）第16.1.2.1目中约定的人工的物价波动变化幅度超过风险幅度时，应当计算全部价格差额，其价格差额由发包人承担或受益，其价格差额只计取税金。</w:t>
      </w:r>
    </w:p>
    <w:p w14:paraId="725C96B8">
      <w:pPr>
        <w:spacing w:line="360" w:lineRule="auto"/>
        <w:ind w:firstLine="420" w:firstLineChars="200"/>
        <w:rPr>
          <w:rFonts w:hint="eastAsia" w:ascii="宋体" w:hAnsi="宋体"/>
          <w:szCs w:val="21"/>
        </w:rPr>
      </w:pPr>
      <w:r>
        <w:rPr>
          <w:rFonts w:hint="eastAsia" w:ascii="宋体" w:hAnsi="宋体"/>
          <w:szCs w:val="21"/>
        </w:rPr>
        <w:t>（3）第16.1.2.1目中约定的材料、设备和机械台班的物价波动变化幅度超过风险幅度时，应当计算超过部分的价格差额，其价格差额由发包人承担或受益，其价格差额只计取税金。</w:t>
      </w:r>
    </w:p>
    <w:p w14:paraId="650EF7A5">
      <w:pPr>
        <w:spacing w:line="360" w:lineRule="auto"/>
        <w:ind w:firstLine="420" w:firstLineChars="200"/>
        <w:rPr>
          <w:rFonts w:hint="eastAsia" w:ascii="宋体" w:hAnsi="宋体"/>
          <w:szCs w:val="21"/>
        </w:rPr>
      </w:pPr>
      <w:r>
        <w:rPr>
          <w:rFonts w:hint="eastAsia" w:ascii="宋体" w:hAnsi="宋体"/>
          <w:szCs w:val="21"/>
        </w:rPr>
        <w:t>16.1.2.4  物价波动引起价格调整的其他约定见合同条款专用部分。</w:t>
      </w:r>
    </w:p>
    <w:p w14:paraId="0A3F56E0">
      <w:pPr>
        <w:spacing w:line="360" w:lineRule="auto"/>
        <w:ind w:firstLine="420" w:firstLineChars="200"/>
        <w:rPr>
          <w:rFonts w:hint="eastAsia" w:ascii="宋体" w:hAnsi="宋体"/>
        </w:rPr>
      </w:pPr>
      <w:r>
        <w:rPr>
          <w:rFonts w:ascii="宋体" w:hAnsi="宋体"/>
        </w:rPr>
        <w:t xml:space="preserve">16.1.3  </w:t>
      </w:r>
      <w:r>
        <w:rPr>
          <w:rFonts w:hint="eastAsia" w:ascii="宋体" w:hAnsi="宋体"/>
          <w:szCs w:val="21"/>
        </w:rPr>
        <w:t>物</w:t>
      </w:r>
      <w:r>
        <w:rPr>
          <w:rFonts w:hint="eastAsia" w:ascii="宋体" w:hAnsi="宋体"/>
        </w:rPr>
        <w:t>价波动引起价格调整的其他方法</w:t>
      </w:r>
      <w:r>
        <w:rPr>
          <w:rFonts w:hint="eastAsia" w:ascii="宋体" w:hAnsi="宋体"/>
          <w:szCs w:val="21"/>
        </w:rPr>
        <w:t>见合同条款专用部分</w:t>
      </w:r>
      <w:r>
        <w:rPr>
          <w:rFonts w:hint="eastAsia" w:ascii="宋体" w:hAnsi="宋体"/>
        </w:rPr>
        <w:t>。</w:t>
      </w:r>
    </w:p>
    <w:p w14:paraId="3AF4925D">
      <w:pPr>
        <w:keepNext/>
        <w:keepLines/>
        <w:spacing w:before="120" w:beforeLines="50" w:after="120" w:afterLines="50" w:line="360" w:lineRule="auto"/>
        <w:outlineLvl w:val="2"/>
        <w:rPr>
          <w:rFonts w:hint="eastAsia" w:ascii="宋体" w:hAnsi="宋体"/>
          <w:sz w:val="24"/>
          <w:szCs w:val="20"/>
        </w:rPr>
      </w:pPr>
      <w:bookmarkStart w:id="1736" w:name="_Toc483668184"/>
      <w:bookmarkStart w:id="1737" w:name="_Toc179632735"/>
      <w:bookmarkStart w:id="1738" w:name="_Toc480487009"/>
      <w:bookmarkStart w:id="1739" w:name="_Toc486580155"/>
      <w:bookmarkStart w:id="1740" w:name="_Toc144974688"/>
      <w:bookmarkStart w:id="1741" w:name="_Toc117350524"/>
      <w:bookmarkStart w:id="1742" w:name="_Toc338944810"/>
      <w:bookmarkStart w:id="1743" w:name="_Toc480486837"/>
      <w:bookmarkStart w:id="1744" w:name="_Toc342296368"/>
      <w:bookmarkStart w:id="1745" w:name="_Toc152042496"/>
      <w:bookmarkStart w:id="1746" w:name="_Toc152045717"/>
      <w:bookmarkStart w:id="1747" w:name="_Toc489279966"/>
      <w:bookmarkStart w:id="1748" w:name="_Toc490222600"/>
      <w:r>
        <w:rPr>
          <w:rFonts w:ascii="宋体" w:hAnsi="宋体"/>
          <w:sz w:val="24"/>
          <w:szCs w:val="20"/>
        </w:rPr>
        <w:t xml:space="preserve">16.2  </w:t>
      </w:r>
      <w:r>
        <w:rPr>
          <w:rFonts w:hint="eastAsia" w:ascii="宋体" w:hAnsi="宋体"/>
          <w:sz w:val="24"/>
          <w:szCs w:val="20"/>
        </w:rPr>
        <w:t>法律变化引起的价格调整</w:t>
      </w:r>
      <w:bookmarkEnd w:id="1736"/>
      <w:bookmarkEnd w:id="1737"/>
      <w:bookmarkEnd w:id="1738"/>
      <w:bookmarkEnd w:id="1739"/>
      <w:bookmarkEnd w:id="1740"/>
      <w:bookmarkEnd w:id="1741"/>
      <w:bookmarkEnd w:id="1742"/>
      <w:bookmarkEnd w:id="1743"/>
      <w:bookmarkEnd w:id="1744"/>
      <w:bookmarkEnd w:id="1745"/>
      <w:bookmarkEnd w:id="1746"/>
      <w:bookmarkEnd w:id="1747"/>
      <w:bookmarkEnd w:id="1748"/>
    </w:p>
    <w:p w14:paraId="539FBC19">
      <w:pPr>
        <w:spacing w:line="360" w:lineRule="auto"/>
        <w:ind w:firstLine="420" w:firstLineChars="200"/>
        <w:rPr>
          <w:rFonts w:hint="eastAsia" w:ascii="宋体" w:hAnsi="宋体"/>
        </w:rPr>
      </w:pPr>
      <w:r>
        <w:rPr>
          <w:rFonts w:hint="eastAsia" w:ascii="宋体" w:hAnsi="宋体"/>
        </w:rPr>
        <w:t>在基准日后，因法律变化导致承包人在合同履行中所需要的工程费用发生除第</w:t>
      </w:r>
      <w:r>
        <w:rPr>
          <w:rFonts w:ascii="宋体" w:hAnsi="宋体"/>
        </w:rPr>
        <w:t>16.1</w:t>
      </w:r>
      <w:r>
        <w:rPr>
          <w:rFonts w:hint="eastAsia" w:ascii="宋体" w:hAnsi="宋体"/>
        </w:rPr>
        <w:t>款约定以外的增减时，监理人应根据法律、国家或省、自治区、直辖市有关部门的规定，按第</w:t>
      </w:r>
      <w:r>
        <w:rPr>
          <w:rFonts w:ascii="宋体" w:hAnsi="宋体"/>
        </w:rPr>
        <w:t>3.5</w:t>
      </w:r>
      <w:r>
        <w:rPr>
          <w:rFonts w:hint="eastAsia" w:ascii="宋体" w:hAnsi="宋体"/>
        </w:rPr>
        <w:t>款商定或确定需调整的合同价款。</w:t>
      </w:r>
    </w:p>
    <w:p w14:paraId="31FFDB68">
      <w:pPr>
        <w:keepNext/>
        <w:keepLines/>
        <w:spacing w:before="120" w:beforeLines="50" w:after="120" w:afterLines="50" w:line="360" w:lineRule="auto"/>
        <w:outlineLvl w:val="1"/>
        <w:rPr>
          <w:rFonts w:hint="eastAsia" w:ascii="宋体" w:hAnsi="宋体" w:cs="宋体"/>
          <w:sz w:val="28"/>
          <w:szCs w:val="20"/>
        </w:rPr>
      </w:pPr>
      <w:bookmarkStart w:id="1749" w:name="_Toc483668185"/>
      <w:bookmarkStart w:id="1750" w:name="_Toc486580156"/>
      <w:bookmarkStart w:id="1751" w:name="_Toc480486838"/>
      <w:bookmarkStart w:id="1752" w:name="_Toc490222601"/>
      <w:bookmarkStart w:id="1753" w:name="_Toc480487010"/>
      <w:bookmarkStart w:id="1754" w:name="_Toc117350525"/>
      <w:bookmarkStart w:id="1755" w:name="_Toc338944811"/>
      <w:bookmarkStart w:id="1756" w:name="_Toc342296369"/>
      <w:bookmarkStart w:id="1757" w:name="_Toc489279967"/>
      <w:r>
        <w:rPr>
          <w:rFonts w:ascii="宋体" w:hAnsi="宋体" w:cs="宋体"/>
          <w:sz w:val="28"/>
          <w:szCs w:val="20"/>
        </w:rPr>
        <w:t>17.</w:t>
      </w:r>
      <w:r>
        <w:rPr>
          <w:rFonts w:hint="eastAsia" w:ascii="宋体" w:hAnsi="宋体" w:cs="宋体"/>
          <w:sz w:val="28"/>
          <w:szCs w:val="20"/>
        </w:rPr>
        <w:t>计量与支付</w:t>
      </w:r>
      <w:bookmarkEnd w:id="1749"/>
      <w:bookmarkEnd w:id="1750"/>
      <w:bookmarkEnd w:id="1751"/>
      <w:bookmarkEnd w:id="1752"/>
      <w:bookmarkEnd w:id="1753"/>
      <w:bookmarkEnd w:id="1754"/>
      <w:bookmarkEnd w:id="1755"/>
      <w:bookmarkEnd w:id="1756"/>
      <w:bookmarkEnd w:id="1757"/>
    </w:p>
    <w:p w14:paraId="3F90F3D5">
      <w:pPr>
        <w:keepNext/>
        <w:keepLines/>
        <w:spacing w:before="120" w:beforeLines="50" w:after="120" w:afterLines="50" w:line="360" w:lineRule="auto"/>
        <w:outlineLvl w:val="2"/>
        <w:rPr>
          <w:rFonts w:hint="eastAsia" w:ascii="宋体" w:hAnsi="宋体"/>
          <w:sz w:val="24"/>
          <w:szCs w:val="20"/>
        </w:rPr>
      </w:pPr>
      <w:bookmarkStart w:id="1758" w:name="_Toc480486839"/>
      <w:bookmarkStart w:id="1759" w:name="_Toc480487011"/>
      <w:bookmarkStart w:id="1760" w:name="_Toc489279968"/>
      <w:bookmarkStart w:id="1761" w:name="_Toc490222602"/>
      <w:bookmarkStart w:id="1762" w:name="_Toc483668186"/>
      <w:bookmarkStart w:id="1763" w:name="_Toc342296370"/>
      <w:bookmarkStart w:id="1764" w:name="_Toc338944812"/>
      <w:bookmarkStart w:id="1765" w:name="_Toc486580157"/>
      <w:bookmarkStart w:id="1766" w:name="_Toc117350526"/>
      <w:r>
        <w:rPr>
          <w:rFonts w:ascii="宋体" w:hAnsi="宋体"/>
          <w:sz w:val="24"/>
          <w:szCs w:val="20"/>
        </w:rPr>
        <w:t xml:space="preserve">17.1  </w:t>
      </w:r>
      <w:r>
        <w:rPr>
          <w:rFonts w:hint="eastAsia" w:ascii="宋体" w:hAnsi="宋体"/>
          <w:sz w:val="24"/>
          <w:szCs w:val="20"/>
        </w:rPr>
        <w:t>计量</w:t>
      </w:r>
      <w:bookmarkEnd w:id="1758"/>
      <w:bookmarkEnd w:id="1759"/>
      <w:bookmarkEnd w:id="1760"/>
      <w:bookmarkEnd w:id="1761"/>
      <w:bookmarkEnd w:id="1762"/>
      <w:bookmarkEnd w:id="1763"/>
      <w:bookmarkEnd w:id="1764"/>
      <w:bookmarkEnd w:id="1765"/>
      <w:bookmarkEnd w:id="1766"/>
    </w:p>
    <w:p w14:paraId="36E6FE0F">
      <w:pPr>
        <w:spacing w:line="360" w:lineRule="auto"/>
        <w:ind w:firstLine="420" w:firstLineChars="200"/>
        <w:rPr>
          <w:rFonts w:hint="eastAsia" w:ascii="宋体" w:hAnsi="宋体"/>
        </w:rPr>
      </w:pPr>
      <w:r>
        <w:rPr>
          <w:rFonts w:ascii="宋体" w:hAnsi="宋体"/>
        </w:rPr>
        <w:t xml:space="preserve">17.1.1  </w:t>
      </w:r>
      <w:r>
        <w:rPr>
          <w:rFonts w:hint="eastAsia" w:ascii="宋体" w:hAnsi="宋体"/>
        </w:rPr>
        <w:t>计量单位</w:t>
      </w:r>
    </w:p>
    <w:p w14:paraId="56AD4A75">
      <w:pPr>
        <w:spacing w:line="360" w:lineRule="auto"/>
        <w:ind w:firstLine="420" w:firstLineChars="200"/>
        <w:rPr>
          <w:rFonts w:hint="eastAsia" w:ascii="宋体" w:hAnsi="宋体"/>
        </w:rPr>
      </w:pPr>
      <w:r>
        <w:rPr>
          <w:rFonts w:hint="eastAsia" w:ascii="宋体" w:hAnsi="宋体"/>
        </w:rPr>
        <w:t>计量采用国家法定的计量单位。</w:t>
      </w:r>
    </w:p>
    <w:p w14:paraId="510E4F82">
      <w:pPr>
        <w:spacing w:line="360" w:lineRule="auto"/>
        <w:ind w:firstLine="420" w:firstLineChars="200"/>
        <w:rPr>
          <w:rFonts w:hint="eastAsia" w:ascii="宋体" w:hAnsi="宋体"/>
        </w:rPr>
      </w:pPr>
      <w:r>
        <w:rPr>
          <w:rFonts w:ascii="宋体" w:hAnsi="宋体"/>
        </w:rPr>
        <w:t xml:space="preserve">17.1.2  </w:t>
      </w:r>
      <w:r>
        <w:rPr>
          <w:rFonts w:hint="eastAsia" w:ascii="宋体" w:hAnsi="宋体"/>
        </w:rPr>
        <w:t>计量方法</w:t>
      </w:r>
    </w:p>
    <w:p w14:paraId="2D0D025F">
      <w:pPr>
        <w:spacing w:line="360" w:lineRule="auto"/>
        <w:ind w:firstLine="420" w:firstLineChars="200"/>
        <w:rPr>
          <w:rFonts w:hint="eastAsia" w:ascii="宋体" w:hAnsi="宋体"/>
        </w:rPr>
      </w:pPr>
      <w:r>
        <w:rPr>
          <w:rFonts w:hint="eastAsia" w:ascii="宋体" w:hAnsi="宋体"/>
        </w:rPr>
        <w:t>工程量计算规则执行工程量清单中约定的计量计价规范版本。除合同另有约定外，承包人实际完成的工程量按约定的工程量计算规则和有合同约束力的图纸进行计量。</w:t>
      </w:r>
    </w:p>
    <w:p w14:paraId="6720CFAD">
      <w:pPr>
        <w:spacing w:line="360" w:lineRule="auto"/>
        <w:ind w:firstLine="420" w:firstLineChars="200"/>
        <w:rPr>
          <w:rFonts w:hint="eastAsia" w:ascii="宋体" w:hAnsi="宋体"/>
        </w:rPr>
      </w:pPr>
      <w:r>
        <w:rPr>
          <w:rFonts w:ascii="宋体" w:hAnsi="宋体"/>
        </w:rPr>
        <w:t xml:space="preserve">17.1.3  </w:t>
      </w:r>
      <w:r>
        <w:rPr>
          <w:rFonts w:hint="eastAsia" w:ascii="宋体" w:hAnsi="宋体"/>
        </w:rPr>
        <w:t>计量周期</w:t>
      </w:r>
    </w:p>
    <w:p w14:paraId="70CBFF87">
      <w:pPr>
        <w:spacing w:line="360" w:lineRule="auto"/>
        <w:ind w:firstLine="420" w:firstLineChars="200"/>
        <w:rPr>
          <w:rFonts w:hint="eastAsia" w:ascii="宋体" w:hAnsi="宋体"/>
        </w:rPr>
      </w:pPr>
      <w:r>
        <w:rPr>
          <w:rFonts w:hint="eastAsia" w:ascii="宋体" w:hAnsi="宋体"/>
          <w:szCs w:val="21"/>
        </w:rPr>
        <w:t>（</w:t>
      </w:r>
      <w:r>
        <w:rPr>
          <w:rFonts w:ascii="宋体" w:hAnsi="宋体"/>
          <w:szCs w:val="21"/>
        </w:rPr>
        <w:t>1</w:t>
      </w:r>
      <w:r>
        <w:rPr>
          <w:rFonts w:hint="eastAsia" w:ascii="宋体" w:hAnsi="宋体"/>
          <w:szCs w:val="21"/>
        </w:rPr>
        <w:t>）本合同的计量周期为月，当月计量截止日期（不含当日）和下月计量起始日期（含当日）见合同条款专用部分。</w:t>
      </w:r>
    </w:p>
    <w:p w14:paraId="5D16DC85">
      <w:pPr>
        <w:spacing w:line="360" w:lineRule="auto"/>
        <w:ind w:firstLine="420" w:firstLineChars="200"/>
        <w:rPr>
          <w:rFonts w:hint="eastAsia" w:ascii="宋体" w:hAnsi="宋体"/>
        </w:rPr>
      </w:pPr>
      <w:r>
        <w:rPr>
          <w:rFonts w:hint="eastAsia" w:ascii="宋体" w:hAnsi="宋体"/>
        </w:rPr>
        <w:t>（</w:t>
      </w:r>
      <w:r>
        <w:rPr>
          <w:rFonts w:ascii="宋体" w:hAnsi="宋体"/>
        </w:rPr>
        <w:t>2</w:t>
      </w:r>
      <w:r>
        <w:rPr>
          <w:rFonts w:hint="eastAsia" w:ascii="宋体" w:hAnsi="宋体"/>
        </w:rPr>
        <w:t>）单价子目已完成工程量是否按月计量</w:t>
      </w:r>
      <w:r>
        <w:rPr>
          <w:rFonts w:hint="eastAsia" w:ascii="宋体" w:hAnsi="宋体"/>
          <w:szCs w:val="21"/>
        </w:rPr>
        <w:t>见合同条款专用部分。</w:t>
      </w:r>
    </w:p>
    <w:p w14:paraId="5116CB88">
      <w:pPr>
        <w:spacing w:line="360" w:lineRule="auto"/>
        <w:ind w:firstLine="420" w:firstLineChars="200"/>
        <w:rPr>
          <w:rFonts w:hint="eastAsia" w:ascii="宋体" w:hAnsi="宋体"/>
        </w:rPr>
      </w:pPr>
      <w:r>
        <w:rPr>
          <w:rFonts w:hint="eastAsia" w:ascii="宋体" w:hAnsi="宋体"/>
          <w:szCs w:val="21"/>
        </w:rPr>
        <w:t>（</w:t>
      </w:r>
      <w:r>
        <w:rPr>
          <w:rFonts w:ascii="宋体" w:hAnsi="宋体"/>
          <w:szCs w:val="21"/>
        </w:rPr>
        <w:t>3</w:t>
      </w:r>
      <w:r>
        <w:rPr>
          <w:rFonts w:hint="eastAsia" w:ascii="宋体" w:hAnsi="宋体"/>
          <w:szCs w:val="21"/>
        </w:rPr>
        <w:t>）总价子目计量方法见合同条款专用部分</w:t>
      </w:r>
      <w:r>
        <w:rPr>
          <w:rFonts w:hint="eastAsia" w:ascii="宋体" w:hAnsi="宋体" w:cs="Arial"/>
        </w:rPr>
        <w:t>。</w:t>
      </w:r>
    </w:p>
    <w:p w14:paraId="728B0BDA">
      <w:pPr>
        <w:spacing w:line="360" w:lineRule="auto"/>
        <w:ind w:firstLine="420" w:firstLineChars="200"/>
        <w:rPr>
          <w:rFonts w:hint="eastAsia" w:ascii="宋体" w:hAnsi="宋体"/>
        </w:rPr>
      </w:pPr>
      <w:r>
        <w:rPr>
          <w:rFonts w:ascii="宋体" w:hAnsi="宋体"/>
        </w:rPr>
        <w:t xml:space="preserve">17.1.4  </w:t>
      </w:r>
      <w:r>
        <w:rPr>
          <w:rFonts w:hint="eastAsia" w:ascii="宋体" w:hAnsi="宋体"/>
        </w:rPr>
        <w:t>单价子目的计量</w:t>
      </w:r>
    </w:p>
    <w:p w14:paraId="5B52962A">
      <w:pPr>
        <w:spacing w:line="360" w:lineRule="auto"/>
        <w:ind w:firstLine="420" w:firstLineChars="200"/>
        <w:rPr>
          <w:rFonts w:hint="eastAsia" w:ascii="宋体" w:hAnsi="宋体"/>
        </w:rPr>
      </w:pPr>
      <w:r>
        <w:rPr>
          <w:rFonts w:hint="eastAsia" w:ascii="宋体" w:hAnsi="宋体"/>
        </w:rPr>
        <w:t>（</w:t>
      </w:r>
      <w:r>
        <w:rPr>
          <w:rFonts w:ascii="宋体" w:hAnsi="宋体"/>
        </w:rPr>
        <w:t>1</w:t>
      </w:r>
      <w:r>
        <w:rPr>
          <w:rFonts w:hint="eastAsia" w:ascii="宋体" w:hAnsi="宋体"/>
        </w:rPr>
        <w:t>）已标价工程量清单中的单价子目工程量为估算工程量。结算工程量是承包人实际完成的，并按合同约定的计量方法进行计量的工程量。</w:t>
      </w:r>
    </w:p>
    <w:p w14:paraId="0A57BFB9">
      <w:pPr>
        <w:spacing w:line="360" w:lineRule="auto"/>
        <w:ind w:firstLine="420" w:firstLineChars="200"/>
        <w:rPr>
          <w:rFonts w:hint="eastAsia" w:ascii="宋体" w:hAnsi="宋体"/>
        </w:rPr>
      </w:pPr>
      <w:r>
        <w:rPr>
          <w:rFonts w:hint="eastAsia" w:ascii="宋体" w:hAnsi="宋体"/>
        </w:rPr>
        <w:t>（</w:t>
      </w:r>
      <w:r>
        <w:rPr>
          <w:rFonts w:ascii="宋体" w:hAnsi="宋体"/>
        </w:rPr>
        <w:t>2</w:t>
      </w:r>
      <w:r>
        <w:rPr>
          <w:rFonts w:hint="eastAsia" w:ascii="宋体" w:hAnsi="宋体"/>
        </w:rPr>
        <w:t>）承包人对已完成的工程进行计量，向监理人提交进度付款申请单、已完成工程量报表和有关计量资料。</w:t>
      </w:r>
    </w:p>
    <w:p w14:paraId="6362D659">
      <w:pPr>
        <w:spacing w:line="360" w:lineRule="auto"/>
        <w:ind w:firstLine="420" w:firstLineChars="200"/>
        <w:rPr>
          <w:rFonts w:hint="eastAsia" w:ascii="宋体" w:hAnsi="宋体"/>
        </w:rPr>
      </w:pPr>
      <w:r>
        <w:rPr>
          <w:rFonts w:hint="eastAsia" w:ascii="宋体" w:hAnsi="宋体"/>
        </w:rPr>
        <w:t>（</w:t>
      </w:r>
      <w:r>
        <w:rPr>
          <w:rFonts w:ascii="宋体" w:hAnsi="宋体"/>
        </w:rPr>
        <w:t>3</w:t>
      </w:r>
      <w:r>
        <w:rPr>
          <w:rFonts w:hint="eastAsia" w:ascii="宋体" w:hAnsi="宋体"/>
        </w:rPr>
        <w:t>）监理人对承包人提交的工程量报表进行复核，以确定实际完成的工程量。对数量有异议的，可要求承包人按第</w:t>
      </w:r>
      <w:r>
        <w:rPr>
          <w:rFonts w:ascii="宋体" w:hAnsi="宋体"/>
        </w:rPr>
        <w:t>8.2</w:t>
      </w:r>
      <w:r>
        <w:rPr>
          <w:rFonts w:hint="eastAsia" w:ascii="宋体" w:hAnsi="宋体"/>
        </w:rPr>
        <w:t>款约定进行共同复核和抽样复测。承包人应协助监理人进行复核并按监理人要求提供补充计量资料。承包人未按监理人要求参加复核，监理人复核或修正的工程量视为承包人实际完成的工程量。</w:t>
      </w:r>
    </w:p>
    <w:p w14:paraId="61C612BC">
      <w:pPr>
        <w:spacing w:line="360" w:lineRule="auto"/>
        <w:ind w:firstLine="420" w:firstLineChars="200"/>
        <w:rPr>
          <w:rFonts w:hint="eastAsia" w:ascii="宋体" w:hAnsi="宋体"/>
        </w:rPr>
      </w:pPr>
      <w:r>
        <w:rPr>
          <w:rFonts w:hint="eastAsia" w:ascii="宋体" w:hAnsi="宋体"/>
        </w:rPr>
        <w:t>（</w:t>
      </w:r>
      <w:r>
        <w:rPr>
          <w:rFonts w:ascii="宋体" w:hAnsi="宋体"/>
        </w:rPr>
        <w:t>4</w:t>
      </w:r>
      <w:r>
        <w:rPr>
          <w:rFonts w:hint="eastAsia" w:ascii="宋体" w:hAnsi="宋体"/>
        </w:rPr>
        <w:t>）监理人认为有必要时，可通知承包人共同进行联合测量、计量，承包人应遵照执行。</w:t>
      </w:r>
    </w:p>
    <w:p w14:paraId="06C9A08D">
      <w:pPr>
        <w:spacing w:line="360" w:lineRule="auto"/>
        <w:ind w:firstLine="420" w:firstLineChars="200"/>
        <w:rPr>
          <w:rFonts w:hint="eastAsia" w:ascii="宋体" w:hAnsi="宋体"/>
        </w:rPr>
      </w:pPr>
      <w:r>
        <w:rPr>
          <w:rFonts w:hint="eastAsia" w:ascii="宋体" w:hAnsi="宋体"/>
        </w:rPr>
        <w:t>（</w:t>
      </w:r>
      <w:r>
        <w:rPr>
          <w:rFonts w:ascii="宋体" w:hAnsi="宋体"/>
        </w:rPr>
        <w:t>5</w:t>
      </w:r>
      <w:r>
        <w:rPr>
          <w:rFonts w:hint="eastAsia" w:ascii="宋体" w:hAnsi="宋体"/>
        </w:rPr>
        <w:t>）承包人完成工程量清单中每个子目的工程量后，监理人应要求承包人派员共同对每个子目的历次计量报表进行汇总，以核实最终结算工程量。监理人可要求承包人提供补充计量资料，以确定最后一次进度付款的准确工程量。承包人未按监理人要求派员参加的，监理人最终核实的工程量视为承包人完成该子目的准确工程量。</w:t>
      </w:r>
    </w:p>
    <w:p w14:paraId="0020E412">
      <w:pPr>
        <w:spacing w:line="360" w:lineRule="auto"/>
        <w:ind w:firstLine="420" w:firstLineChars="200"/>
        <w:rPr>
          <w:rFonts w:hint="eastAsia" w:ascii="宋体" w:hAnsi="宋体"/>
        </w:rPr>
      </w:pPr>
      <w:r>
        <w:rPr>
          <w:rFonts w:hint="eastAsia" w:ascii="宋体" w:hAnsi="宋体"/>
        </w:rPr>
        <w:t>（</w:t>
      </w:r>
      <w:r>
        <w:rPr>
          <w:rFonts w:ascii="宋体" w:hAnsi="宋体"/>
        </w:rPr>
        <w:t>6</w:t>
      </w:r>
      <w:r>
        <w:rPr>
          <w:rFonts w:hint="eastAsia" w:ascii="宋体" w:hAnsi="宋体"/>
        </w:rPr>
        <w:t>）监理人应在收到承包人提交的工程量报表后的7天内进行复核。</w:t>
      </w:r>
    </w:p>
    <w:p w14:paraId="08DA256A">
      <w:pPr>
        <w:spacing w:line="360" w:lineRule="auto"/>
        <w:ind w:firstLine="420" w:firstLineChars="200"/>
        <w:rPr>
          <w:rFonts w:hint="eastAsia" w:ascii="宋体" w:hAnsi="宋体"/>
        </w:rPr>
      </w:pPr>
      <w:r>
        <w:rPr>
          <w:rFonts w:ascii="宋体" w:hAnsi="宋体"/>
        </w:rPr>
        <w:t xml:space="preserve">17.1.5  </w:t>
      </w:r>
      <w:r>
        <w:rPr>
          <w:rFonts w:hint="eastAsia" w:ascii="宋体" w:hAnsi="宋体"/>
        </w:rPr>
        <w:t>总价子目的计量（适用于采用支付分解报告）</w:t>
      </w:r>
    </w:p>
    <w:p w14:paraId="33DA00B1">
      <w:pPr>
        <w:spacing w:line="400" w:lineRule="exact"/>
        <w:ind w:firstLine="420" w:firstLineChars="200"/>
        <w:rPr>
          <w:rFonts w:hint="eastAsia" w:ascii="宋体" w:hAnsi="宋体"/>
          <w:szCs w:val="21"/>
        </w:rPr>
      </w:pPr>
      <w:r>
        <w:rPr>
          <w:rFonts w:hint="eastAsia" w:ascii="宋体" w:hAnsi="宋体"/>
          <w:szCs w:val="21"/>
        </w:rPr>
        <w:t>总价子目按照有合同约束力的支付分解表支付。承包人应根据合同条款第</w:t>
      </w:r>
      <w:r>
        <w:rPr>
          <w:rFonts w:ascii="宋体" w:hAnsi="宋体"/>
          <w:szCs w:val="21"/>
        </w:rPr>
        <w:t>10</w:t>
      </w:r>
      <w:r>
        <w:rPr>
          <w:rFonts w:hint="eastAsia" w:ascii="宋体" w:hAnsi="宋体"/>
          <w:szCs w:val="21"/>
        </w:rPr>
        <w:t>条约定的合同进度计划和总价子目的总价构成、费用性质、计划发生时间和相应工作量等因素对各个总价子目的总价按月进行分解，形成支付分解报告。承包人应当在收到经过监理人批复的合同进度计划后</w:t>
      </w:r>
      <w:r>
        <w:rPr>
          <w:rFonts w:ascii="宋体" w:hAnsi="宋体"/>
          <w:szCs w:val="21"/>
        </w:rPr>
        <w:t>7</w:t>
      </w:r>
      <w:r>
        <w:rPr>
          <w:rFonts w:hint="eastAsia" w:ascii="宋体" w:hAnsi="宋体"/>
          <w:szCs w:val="21"/>
        </w:rPr>
        <w:t>天内，将支付分解报告以及形成支付分解报告的分项计量和总价分解等支持性资料报监理人审批，监理人应当在收到承包人报送的支付分解报告后</w:t>
      </w:r>
      <w:r>
        <w:rPr>
          <w:rFonts w:ascii="宋体" w:hAnsi="宋体"/>
          <w:szCs w:val="21"/>
        </w:rPr>
        <w:t>7</w:t>
      </w:r>
      <w:r>
        <w:rPr>
          <w:rFonts w:hint="eastAsia" w:ascii="宋体" w:hAnsi="宋体"/>
          <w:szCs w:val="21"/>
        </w:rPr>
        <w:t>天内给予批复或提出修改意见，经监理人批准的支付分解报告为有合同约束力的支付分解表。支付分解表应根据合同条款第</w:t>
      </w:r>
      <w:r>
        <w:rPr>
          <w:rFonts w:ascii="宋体" w:hAnsi="宋体"/>
          <w:szCs w:val="21"/>
        </w:rPr>
        <w:t>10.2</w:t>
      </w:r>
      <w:r>
        <w:rPr>
          <w:rFonts w:hint="eastAsia" w:ascii="宋体" w:hAnsi="宋体"/>
          <w:szCs w:val="21"/>
        </w:rPr>
        <w:t>款约定的修订合同进度计划进行修正，修正的程序和期限应当依照本项上述约定，经修正的支付分解表为有合同约束力的支付分解表。</w:t>
      </w:r>
    </w:p>
    <w:p w14:paraId="4D595C75">
      <w:pPr>
        <w:spacing w:line="400" w:lineRule="exact"/>
        <w:ind w:firstLine="420" w:firstLineChars="200"/>
        <w:rPr>
          <w:rFonts w:hint="eastAsia" w:ascii="宋体" w:hAnsi="宋体" w:cs="Arial"/>
        </w:rPr>
      </w:pPr>
      <w:r>
        <w:rPr>
          <w:rFonts w:hint="eastAsia" w:ascii="宋体" w:hAnsi="宋体" w:cs="Arial"/>
        </w:rPr>
        <w:t>（</w:t>
      </w:r>
      <w:r>
        <w:rPr>
          <w:rFonts w:ascii="宋体" w:hAnsi="宋体" w:cs="Arial"/>
        </w:rPr>
        <w:t>1</w:t>
      </w:r>
      <w:r>
        <w:rPr>
          <w:rFonts w:hint="eastAsia" w:ascii="宋体" w:hAnsi="宋体" w:cs="Arial"/>
        </w:rPr>
        <w:t>）总价</w:t>
      </w:r>
      <w:r>
        <w:rPr>
          <w:rFonts w:hint="eastAsia" w:ascii="宋体" w:hAnsi="宋体"/>
          <w:szCs w:val="21"/>
        </w:rPr>
        <w:t>子目</w:t>
      </w:r>
      <w:r>
        <w:rPr>
          <w:rFonts w:hint="eastAsia" w:ascii="宋体" w:hAnsi="宋体" w:cs="Arial"/>
        </w:rPr>
        <w:t>的价格调整方法</w:t>
      </w:r>
      <w:r>
        <w:rPr>
          <w:rFonts w:hint="eastAsia" w:ascii="宋体" w:hAnsi="宋体"/>
          <w:szCs w:val="21"/>
        </w:rPr>
        <w:t>见合同条款专用部分</w:t>
      </w:r>
      <w:r>
        <w:rPr>
          <w:rFonts w:hint="eastAsia" w:ascii="宋体" w:hAnsi="宋体" w:cs="Arial"/>
        </w:rPr>
        <w:t>。</w:t>
      </w:r>
    </w:p>
    <w:p w14:paraId="783CE11C">
      <w:pPr>
        <w:spacing w:line="400" w:lineRule="exact"/>
        <w:ind w:firstLine="420" w:firstLineChars="200"/>
        <w:rPr>
          <w:rFonts w:hint="eastAsia" w:ascii="宋体" w:hAnsi="宋体" w:cs="Arial"/>
        </w:rPr>
      </w:pPr>
      <w:r>
        <w:rPr>
          <w:rFonts w:hint="eastAsia" w:ascii="宋体" w:hAnsi="宋体" w:cs="Arial"/>
        </w:rPr>
        <w:t>（</w:t>
      </w:r>
      <w:r>
        <w:rPr>
          <w:rFonts w:ascii="宋体" w:hAnsi="宋体" w:cs="Arial"/>
        </w:rPr>
        <w:t>2</w:t>
      </w:r>
      <w:r>
        <w:rPr>
          <w:rFonts w:hint="eastAsia" w:ascii="宋体" w:hAnsi="宋体" w:cs="Arial"/>
        </w:rPr>
        <w:t>）列入每月进度付款申请单中各总价</w:t>
      </w:r>
      <w:r>
        <w:rPr>
          <w:rFonts w:hint="eastAsia" w:ascii="宋体" w:hAnsi="宋体"/>
          <w:szCs w:val="21"/>
        </w:rPr>
        <w:t>子目</w:t>
      </w:r>
      <w:r>
        <w:rPr>
          <w:rFonts w:hint="eastAsia" w:ascii="宋体" w:hAnsi="宋体" w:cs="Arial"/>
        </w:rPr>
        <w:t>的价值为有合同约束力的支付分解表中对应月份的总价</w:t>
      </w:r>
      <w:r>
        <w:rPr>
          <w:rFonts w:hint="eastAsia" w:ascii="宋体" w:hAnsi="宋体"/>
          <w:szCs w:val="21"/>
        </w:rPr>
        <w:t>子目</w:t>
      </w:r>
      <w:r>
        <w:rPr>
          <w:rFonts w:hint="eastAsia" w:ascii="宋体" w:hAnsi="宋体" w:cs="Arial"/>
        </w:rPr>
        <w:t>总价值。</w:t>
      </w:r>
    </w:p>
    <w:p w14:paraId="5294E735">
      <w:pPr>
        <w:spacing w:line="400" w:lineRule="exact"/>
        <w:ind w:firstLine="420" w:firstLineChars="200"/>
        <w:rPr>
          <w:rFonts w:hint="eastAsia" w:ascii="宋体" w:hAnsi="宋体" w:cs="Arial"/>
        </w:rPr>
      </w:pPr>
      <w:r>
        <w:rPr>
          <w:rFonts w:hint="eastAsia" w:ascii="宋体" w:hAnsi="宋体" w:cs="Arial"/>
        </w:rPr>
        <w:t>（</w:t>
      </w:r>
      <w:r>
        <w:rPr>
          <w:rFonts w:ascii="宋体" w:hAnsi="宋体" w:cs="Arial"/>
        </w:rPr>
        <w:t>3</w:t>
      </w:r>
      <w:r>
        <w:rPr>
          <w:rFonts w:hint="eastAsia" w:ascii="宋体" w:hAnsi="宋体" w:cs="Arial"/>
        </w:rPr>
        <w:t>）监理人根据有合同约束力的支付分解表复核列入每月进度付款申请单中的总价</w:t>
      </w:r>
      <w:r>
        <w:rPr>
          <w:rFonts w:hint="eastAsia" w:ascii="宋体" w:hAnsi="宋体"/>
          <w:szCs w:val="21"/>
        </w:rPr>
        <w:t>子目</w:t>
      </w:r>
      <w:r>
        <w:rPr>
          <w:rFonts w:hint="eastAsia" w:ascii="宋体" w:hAnsi="宋体" w:cs="Arial"/>
        </w:rPr>
        <w:t>的总价值。</w:t>
      </w:r>
    </w:p>
    <w:p w14:paraId="3576B5CB">
      <w:pPr>
        <w:spacing w:line="360" w:lineRule="auto"/>
        <w:ind w:firstLine="420" w:firstLineChars="200"/>
        <w:rPr>
          <w:rFonts w:hint="eastAsia" w:ascii="宋体" w:hAnsi="宋体" w:cs="Arial"/>
        </w:rPr>
      </w:pPr>
      <w:r>
        <w:rPr>
          <w:rFonts w:hint="eastAsia" w:ascii="宋体" w:hAnsi="宋体" w:cs="Arial"/>
        </w:rPr>
        <w:t>（</w:t>
      </w:r>
      <w:r>
        <w:rPr>
          <w:rFonts w:ascii="宋体" w:hAnsi="宋体" w:cs="Arial"/>
        </w:rPr>
        <w:t>4</w:t>
      </w:r>
      <w:r>
        <w:rPr>
          <w:rFonts w:hint="eastAsia" w:ascii="宋体" w:hAnsi="宋体" w:cs="Arial"/>
        </w:rPr>
        <w:t>）除按照第</w:t>
      </w:r>
      <w:r>
        <w:rPr>
          <w:rFonts w:ascii="宋体" w:hAnsi="宋体" w:cs="Arial"/>
        </w:rPr>
        <w:t>15</w:t>
      </w:r>
      <w:r>
        <w:rPr>
          <w:rFonts w:hint="eastAsia" w:ascii="宋体" w:hAnsi="宋体" w:cs="Arial"/>
        </w:rPr>
        <w:t>条约定的变更外，在竣工结算时总价</w:t>
      </w:r>
      <w:r>
        <w:rPr>
          <w:rFonts w:hint="eastAsia" w:ascii="宋体" w:hAnsi="宋体"/>
          <w:szCs w:val="21"/>
        </w:rPr>
        <w:t>子目</w:t>
      </w:r>
      <w:r>
        <w:rPr>
          <w:rFonts w:hint="eastAsia" w:ascii="宋体" w:hAnsi="宋体" w:cs="Arial"/>
        </w:rPr>
        <w:t>的工程量不应当重新计量，签约合同价所基于的工程量即是用于竣工结算的最终工程量。</w:t>
      </w:r>
    </w:p>
    <w:p w14:paraId="262908E9">
      <w:pPr>
        <w:spacing w:line="360" w:lineRule="auto"/>
        <w:ind w:firstLine="420" w:firstLineChars="200"/>
        <w:rPr>
          <w:rFonts w:hint="eastAsia" w:ascii="宋体" w:hAnsi="宋体" w:cs="Arial"/>
        </w:rPr>
      </w:pPr>
      <w:r>
        <w:rPr>
          <w:rFonts w:ascii="宋体" w:hAnsi="宋体" w:cs="Arial"/>
        </w:rPr>
        <w:t xml:space="preserve">17.1.5  </w:t>
      </w:r>
      <w:r>
        <w:rPr>
          <w:rFonts w:hint="eastAsia" w:ascii="宋体" w:hAnsi="宋体" w:cs="Arial"/>
        </w:rPr>
        <w:t>总价</w:t>
      </w:r>
      <w:r>
        <w:rPr>
          <w:rFonts w:hint="eastAsia" w:ascii="宋体" w:hAnsi="宋体"/>
          <w:szCs w:val="21"/>
        </w:rPr>
        <w:t>子目</w:t>
      </w:r>
      <w:r>
        <w:rPr>
          <w:rFonts w:hint="eastAsia" w:ascii="宋体" w:hAnsi="宋体" w:cs="Arial"/>
        </w:rPr>
        <w:t>的计量（适用于采用按实际完成工程量计量）</w:t>
      </w:r>
    </w:p>
    <w:p w14:paraId="0F479629">
      <w:pPr>
        <w:spacing w:line="360" w:lineRule="auto"/>
        <w:ind w:firstLine="420" w:firstLineChars="200"/>
        <w:rPr>
          <w:rFonts w:hint="eastAsia" w:ascii="宋体" w:hAnsi="宋体" w:cs="Arial"/>
        </w:rPr>
      </w:pPr>
      <w:r>
        <w:rPr>
          <w:rFonts w:hint="eastAsia" w:ascii="宋体" w:hAnsi="宋体" w:cs="Arial"/>
        </w:rPr>
        <w:t>（</w:t>
      </w:r>
      <w:r>
        <w:rPr>
          <w:rFonts w:ascii="宋体" w:hAnsi="宋体" w:cs="Arial"/>
        </w:rPr>
        <w:t>1</w:t>
      </w:r>
      <w:r>
        <w:rPr>
          <w:rFonts w:hint="eastAsia" w:ascii="宋体" w:hAnsi="宋体" w:cs="Arial"/>
        </w:rPr>
        <w:t>）总价</w:t>
      </w:r>
      <w:r>
        <w:rPr>
          <w:rFonts w:hint="eastAsia" w:ascii="宋体" w:hAnsi="宋体"/>
          <w:szCs w:val="21"/>
        </w:rPr>
        <w:t>子目</w:t>
      </w:r>
      <w:r>
        <w:rPr>
          <w:rFonts w:hint="eastAsia" w:ascii="宋体" w:hAnsi="宋体" w:cs="Arial"/>
        </w:rPr>
        <w:t>的计量和支付应以总价为基础，对承包人实际完成的工程量进行计量，是进行工程目标管理和控制进度款支付的依据。总价</w:t>
      </w:r>
      <w:r>
        <w:rPr>
          <w:rFonts w:hint="eastAsia" w:ascii="宋体" w:hAnsi="宋体"/>
          <w:szCs w:val="21"/>
        </w:rPr>
        <w:t>子目</w:t>
      </w:r>
      <w:r>
        <w:rPr>
          <w:rFonts w:hint="eastAsia" w:ascii="宋体" w:hAnsi="宋体" w:cs="Arial"/>
        </w:rPr>
        <w:t>的价格调整方法</w:t>
      </w:r>
      <w:r>
        <w:rPr>
          <w:rFonts w:hint="eastAsia" w:ascii="宋体" w:hAnsi="宋体"/>
          <w:szCs w:val="21"/>
        </w:rPr>
        <w:t>见合同条款专用部分</w:t>
      </w:r>
      <w:r>
        <w:rPr>
          <w:rFonts w:hint="eastAsia" w:ascii="宋体" w:hAnsi="宋体" w:cs="Arial"/>
        </w:rPr>
        <w:t>。</w:t>
      </w:r>
    </w:p>
    <w:p w14:paraId="48584942">
      <w:pPr>
        <w:spacing w:line="360" w:lineRule="auto"/>
        <w:ind w:firstLine="420" w:firstLineChars="200"/>
        <w:rPr>
          <w:rFonts w:hint="eastAsia" w:ascii="宋体" w:hAnsi="宋体" w:cs="Arial"/>
        </w:rPr>
      </w:pPr>
      <w:r>
        <w:rPr>
          <w:rFonts w:hint="eastAsia" w:ascii="宋体" w:hAnsi="宋体" w:cs="Arial"/>
        </w:rPr>
        <w:t>（</w:t>
      </w:r>
      <w:r>
        <w:rPr>
          <w:rFonts w:ascii="宋体" w:hAnsi="宋体" w:cs="Arial"/>
        </w:rPr>
        <w:t>2</w:t>
      </w:r>
      <w:r>
        <w:rPr>
          <w:rFonts w:hint="eastAsia" w:ascii="宋体" w:hAnsi="宋体" w:cs="Arial"/>
        </w:rPr>
        <w:t>）承包人在合同条款专用部分第</w:t>
      </w:r>
      <w:r>
        <w:rPr>
          <w:rFonts w:ascii="宋体" w:hAnsi="宋体" w:cs="Arial"/>
        </w:rPr>
        <w:t>17.1.3</w:t>
      </w:r>
      <w:r>
        <w:rPr>
          <w:rFonts w:hint="eastAsia" w:ascii="宋体" w:hAnsi="宋体" w:cs="Arial"/>
        </w:rPr>
        <w:t>（</w:t>
      </w:r>
      <w:r>
        <w:rPr>
          <w:rFonts w:ascii="宋体" w:hAnsi="宋体" w:cs="Arial"/>
        </w:rPr>
        <w:t>1</w:t>
      </w:r>
      <w:r>
        <w:rPr>
          <w:rFonts w:hint="eastAsia" w:ascii="宋体" w:hAnsi="宋体" w:cs="Arial"/>
        </w:rPr>
        <w:t>）目约定的每月计量截止日期后，对已完成的分部分项工程和单价措施项目的</w:t>
      </w:r>
      <w:r>
        <w:rPr>
          <w:rFonts w:hint="eastAsia" w:ascii="宋体" w:hAnsi="宋体"/>
          <w:szCs w:val="21"/>
        </w:rPr>
        <w:t>子目</w:t>
      </w:r>
      <w:r>
        <w:rPr>
          <w:rFonts w:hint="eastAsia" w:ascii="宋体" w:hAnsi="宋体" w:cs="Arial"/>
        </w:rPr>
        <w:t>，按照合同条款第</w:t>
      </w:r>
      <w:r>
        <w:rPr>
          <w:rFonts w:ascii="宋体" w:hAnsi="宋体" w:cs="Arial"/>
        </w:rPr>
        <w:t>17.1.2</w:t>
      </w:r>
      <w:r>
        <w:rPr>
          <w:rFonts w:hint="eastAsia" w:ascii="宋体" w:hAnsi="宋体" w:cs="Arial"/>
        </w:rPr>
        <w:t>项约定的计量方法进行计量，对已完成的总价措施项目的相关</w:t>
      </w:r>
      <w:r>
        <w:rPr>
          <w:rFonts w:hint="eastAsia" w:ascii="宋体" w:hAnsi="宋体"/>
          <w:szCs w:val="21"/>
        </w:rPr>
        <w:t>子目，按其总价构成、费用性质和实际发生比例进行计量，向监理人提交进度付款申请单、已完成工程量报表和有关计量资料</w:t>
      </w:r>
      <w:r>
        <w:rPr>
          <w:rFonts w:hint="eastAsia" w:ascii="宋体" w:hAnsi="宋体" w:cs="Arial"/>
        </w:rPr>
        <w:t>。</w:t>
      </w:r>
    </w:p>
    <w:p w14:paraId="7DFF42D0">
      <w:pPr>
        <w:spacing w:line="360" w:lineRule="auto"/>
        <w:ind w:firstLine="420" w:firstLineChars="200"/>
        <w:rPr>
          <w:rFonts w:hint="eastAsia" w:ascii="宋体" w:hAnsi="宋体"/>
        </w:rPr>
      </w:pPr>
      <w:r>
        <w:rPr>
          <w:rFonts w:hint="eastAsia" w:ascii="宋体" w:hAnsi="宋体" w:cs="Arial"/>
        </w:rPr>
        <w:t>（</w:t>
      </w:r>
      <w:r>
        <w:rPr>
          <w:rFonts w:ascii="宋体" w:hAnsi="宋体" w:cs="Arial"/>
        </w:rPr>
        <w:t>3</w:t>
      </w:r>
      <w:r>
        <w:rPr>
          <w:rFonts w:hint="eastAsia" w:ascii="宋体" w:hAnsi="宋体" w:cs="Arial"/>
        </w:rPr>
        <w:t>）</w:t>
      </w:r>
      <w:r>
        <w:rPr>
          <w:rFonts w:hint="eastAsia" w:ascii="宋体" w:hAnsi="宋体"/>
        </w:rPr>
        <w:t>监理人对承包人提交的工程量报表进行复核，以确定实际完成的工程量。对数量有异议的，可要求承包人进行共同复核。承包人应协助监理人进行复核并按监理人要求提供补充计量资料。承包人未按监理人要求参加复核，监理人复核或修正的工程量视为承包人实际完成的工程量。</w:t>
      </w:r>
    </w:p>
    <w:p w14:paraId="44B31D99">
      <w:pPr>
        <w:spacing w:line="360" w:lineRule="auto"/>
        <w:ind w:firstLine="420" w:firstLineChars="200"/>
        <w:rPr>
          <w:rFonts w:hint="eastAsia" w:ascii="宋体" w:hAnsi="宋体"/>
        </w:rPr>
      </w:pPr>
      <w:r>
        <w:rPr>
          <w:rFonts w:hint="eastAsia" w:ascii="宋体" w:hAnsi="宋体"/>
        </w:rPr>
        <w:t>（</w:t>
      </w:r>
      <w:r>
        <w:rPr>
          <w:rFonts w:ascii="宋体" w:hAnsi="宋体"/>
        </w:rPr>
        <w:t>4</w:t>
      </w:r>
      <w:r>
        <w:rPr>
          <w:rFonts w:hint="eastAsia" w:ascii="宋体" w:hAnsi="宋体"/>
        </w:rPr>
        <w:t>）监理人应在收到承包人提交的工程量报表后的7天内进行复核。</w:t>
      </w:r>
    </w:p>
    <w:p w14:paraId="26835020">
      <w:pPr>
        <w:spacing w:line="360" w:lineRule="auto"/>
        <w:ind w:firstLine="420" w:firstLineChars="200"/>
        <w:rPr>
          <w:rFonts w:hint="eastAsia" w:ascii="宋体" w:hAnsi="宋体" w:cs="Arial"/>
        </w:rPr>
      </w:pPr>
      <w:r>
        <w:rPr>
          <w:rFonts w:hint="eastAsia" w:ascii="宋体" w:hAnsi="宋体" w:cs="Arial"/>
        </w:rPr>
        <w:t>（</w:t>
      </w:r>
      <w:r>
        <w:rPr>
          <w:rFonts w:ascii="宋体" w:hAnsi="宋体" w:cs="Arial"/>
        </w:rPr>
        <w:t>5</w:t>
      </w:r>
      <w:r>
        <w:rPr>
          <w:rFonts w:hint="eastAsia" w:ascii="宋体" w:hAnsi="宋体" w:cs="Arial"/>
        </w:rPr>
        <w:t>）除按照第</w:t>
      </w:r>
      <w:r>
        <w:rPr>
          <w:rFonts w:ascii="宋体" w:hAnsi="宋体" w:cs="Arial"/>
        </w:rPr>
        <w:t>15</w:t>
      </w:r>
      <w:r>
        <w:rPr>
          <w:rFonts w:hint="eastAsia" w:ascii="宋体" w:hAnsi="宋体" w:cs="Arial"/>
        </w:rPr>
        <w:t>条约定的变更外，在竣工结算时总价</w:t>
      </w:r>
      <w:r>
        <w:rPr>
          <w:rFonts w:hint="eastAsia" w:ascii="宋体" w:hAnsi="宋体"/>
          <w:szCs w:val="21"/>
        </w:rPr>
        <w:t>子目</w:t>
      </w:r>
      <w:r>
        <w:rPr>
          <w:rFonts w:hint="eastAsia" w:ascii="宋体" w:hAnsi="宋体" w:cs="Arial"/>
        </w:rPr>
        <w:t>的工程量不应当重新计量，签约合同价所基于的工程量即是用于竣工结算的最终工程量。</w:t>
      </w:r>
    </w:p>
    <w:p w14:paraId="16A5916D">
      <w:pPr>
        <w:keepNext/>
        <w:keepLines/>
        <w:spacing w:before="120" w:beforeLines="50" w:after="120" w:afterLines="50" w:line="360" w:lineRule="auto"/>
        <w:outlineLvl w:val="2"/>
        <w:rPr>
          <w:rFonts w:hint="eastAsia" w:ascii="宋体" w:hAnsi="宋体"/>
          <w:sz w:val="24"/>
          <w:szCs w:val="20"/>
        </w:rPr>
      </w:pPr>
      <w:bookmarkStart w:id="1767" w:name="_Toc117350527"/>
      <w:bookmarkStart w:id="1768" w:name="_Toc483668187"/>
      <w:bookmarkStart w:id="1769" w:name="_Toc338944813"/>
      <w:bookmarkStart w:id="1770" w:name="_Toc489279969"/>
      <w:bookmarkStart w:id="1771" w:name="_Toc490222603"/>
      <w:bookmarkStart w:id="1772" w:name="_Toc342296371"/>
      <w:bookmarkStart w:id="1773" w:name="_Toc480486840"/>
      <w:bookmarkStart w:id="1774" w:name="_Toc486580158"/>
      <w:bookmarkStart w:id="1775" w:name="_Toc480487012"/>
      <w:r>
        <w:rPr>
          <w:rFonts w:ascii="宋体" w:hAnsi="宋体"/>
          <w:sz w:val="24"/>
          <w:szCs w:val="20"/>
        </w:rPr>
        <w:t xml:space="preserve">17.2  </w:t>
      </w:r>
      <w:r>
        <w:rPr>
          <w:rFonts w:hint="eastAsia" w:ascii="宋体" w:hAnsi="宋体"/>
          <w:sz w:val="24"/>
          <w:szCs w:val="20"/>
        </w:rPr>
        <w:t>预付款</w:t>
      </w:r>
      <w:bookmarkEnd w:id="1767"/>
      <w:bookmarkEnd w:id="1768"/>
      <w:bookmarkEnd w:id="1769"/>
      <w:bookmarkEnd w:id="1770"/>
      <w:bookmarkEnd w:id="1771"/>
      <w:bookmarkEnd w:id="1772"/>
      <w:bookmarkEnd w:id="1773"/>
      <w:bookmarkEnd w:id="1774"/>
      <w:bookmarkEnd w:id="1775"/>
    </w:p>
    <w:p w14:paraId="68C8C61B">
      <w:pPr>
        <w:spacing w:line="360" w:lineRule="auto"/>
        <w:ind w:firstLine="420" w:firstLineChars="200"/>
        <w:rPr>
          <w:rFonts w:hint="eastAsia" w:ascii="宋体" w:hAnsi="宋体"/>
        </w:rPr>
      </w:pPr>
      <w:r>
        <w:rPr>
          <w:rFonts w:ascii="宋体" w:hAnsi="宋体"/>
        </w:rPr>
        <w:t xml:space="preserve">17.2.1  </w:t>
      </w:r>
      <w:r>
        <w:rPr>
          <w:rFonts w:hint="eastAsia" w:ascii="宋体" w:hAnsi="宋体"/>
        </w:rPr>
        <w:t>预付款</w:t>
      </w:r>
    </w:p>
    <w:p w14:paraId="7964ECE5">
      <w:pPr>
        <w:spacing w:line="360" w:lineRule="auto"/>
        <w:ind w:firstLine="420" w:firstLineChars="200"/>
        <w:rPr>
          <w:rFonts w:hint="eastAsia" w:ascii="宋体" w:hAnsi="宋体"/>
        </w:rPr>
      </w:pPr>
      <w:r>
        <w:rPr>
          <w:rFonts w:hint="eastAsia" w:ascii="宋体" w:hAnsi="宋体"/>
        </w:rPr>
        <w:t>预付款用于承包人为合同工程施工购置材料、工程设备、施工设备、修建临时设施以及组织施工队伍进场等。预付款必须专用于合同工程。预付款的额度和预付办法以及支付时间见合同条款专用部分。</w:t>
      </w:r>
    </w:p>
    <w:p w14:paraId="2FE10D65">
      <w:pPr>
        <w:spacing w:line="360" w:lineRule="auto"/>
        <w:ind w:firstLine="420" w:firstLineChars="200"/>
        <w:rPr>
          <w:rFonts w:hint="eastAsia" w:ascii="宋体" w:hAnsi="宋体"/>
        </w:rPr>
      </w:pPr>
      <w:r>
        <w:rPr>
          <w:rFonts w:hint="eastAsia" w:ascii="宋体" w:hAnsi="宋体"/>
          <w:szCs w:val="21"/>
        </w:rPr>
        <w:t>安全文明施工费用预付款额度及方式见合同条款专用部分</w:t>
      </w:r>
      <w:r>
        <w:rPr>
          <w:rFonts w:hint="eastAsia" w:ascii="宋体" w:hAnsi="宋体"/>
        </w:rPr>
        <w:t>。</w:t>
      </w:r>
    </w:p>
    <w:p w14:paraId="67CBAD70">
      <w:pPr>
        <w:spacing w:line="360" w:lineRule="auto"/>
        <w:ind w:firstLine="420" w:firstLineChars="200"/>
        <w:rPr>
          <w:rFonts w:hint="eastAsia" w:ascii="宋体" w:hAnsi="宋体"/>
        </w:rPr>
      </w:pPr>
      <w:r>
        <w:rPr>
          <w:rFonts w:hint="eastAsia" w:ascii="宋体" w:hAnsi="宋体"/>
          <w:szCs w:val="21"/>
        </w:rPr>
        <w:t>发包人逾期支付合同约定的预付款，除承担第</w:t>
      </w:r>
      <w:r>
        <w:rPr>
          <w:rFonts w:ascii="宋体" w:hAnsi="宋体"/>
          <w:szCs w:val="21"/>
        </w:rPr>
        <w:t>22.2</w:t>
      </w:r>
      <w:r>
        <w:rPr>
          <w:rFonts w:hint="eastAsia" w:ascii="宋体" w:hAnsi="宋体"/>
          <w:szCs w:val="21"/>
        </w:rPr>
        <w:t>款约定的违约责任外，还应向承包人支付按第</w:t>
      </w:r>
      <w:r>
        <w:rPr>
          <w:rFonts w:ascii="宋体" w:hAnsi="宋体"/>
          <w:szCs w:val="21"/>
        </w:rPr>
        <w:t>17.3.3(2)</w:t>
      </w:r>
      <w:r>
        <w:rPr>
          <w:rFonts w:hint="eastAsia" w:ascii="宋体" w:hAnsi="宋体"/>
          <w:szCs w:val="21"/>
        </w:rPr>
        <w:t>目约定的标准和方法计算的逾期付款违约金。</w:t>
      </w:r>
    </w:p>
    <w:p w14:paraId="0BC9820C">
      <w:pPr>
        <w:keepNext/>
        <w:keepLines/>
        <w:spacing w:before="120" w:beforeLines="50" w:after="120" w:afterLines="50" w:line="360" w:lineRule="auto"/>
        <w:outlineLvl w:val="2"/>
        <w:rPr>
          <w:rFonts w:hint="eastAsia" w:ascii="宋体" w:hAnsi="宋体"/>
        </w:rPr>
      </w:pPr>
      <w:bookmarkStart w:id="1776" w:name="_Toc342296372"/>
      <w:bookmarkStart w:id="1777" w:name="_Toc489279970"/>
      <w:bookmarkStart w:id="1778" w:name="_Toc486580159"/>
      <w:bookmarkStart w:id="1779" w:name="_Toc490222604"/>
      <w:bookmarkStart w:id="1780" w:name="_Toc483668188"/>
      <w:bookmarkStart w:id="1781" w:name="_Toc480487013"/>
      <w:bookmarkStart w:id="1782" w:name="_Toc117350528"/>
      <w:bookmarkStart w:id="1783" w:name="_Toc338944814"/>
      <w:bookmarkStart w:id="1784" w:name="_Toc480486841"/>
      <w:r>
        <w:rPr>
          <w:rFonts w:hint="eastAsia" w:ascii="宋体" w:hAnsi="宋体"/>
        </w:rPr>
        <w:t>17.2.2  预付款的扣回与还清</w:t>
      </w:r>
    </w:p>
    <w:p w14:paraId="4C8ED077">
      <w:pPr>
        <w:keepNext/>
        <w:keepLines/>
        <w:spacing w:before="120" w:beforeLines="50" w:after="120" w:afterLines="50" w:line="360" w:lineRule="auto"/>
        <w:outlineLvl w:val="2"/>
        <w:rPr>
          <w:rFonts w:hint="eastAsia" w:ascii="宋体" w:hAnsi="宋体"/>
        </w:rPr>
      </w:pPr>
      <w:r>
        <w:rPr>
          <w:rFonts w:hint="eastAsia" w:ascii="宋体" w:hAnsi="宋体"/>
        </w:rPr>
        <w:t>预付款在进度付款中按照合同约定扣回。在颁发工程接收证书前，由于不可抗力或其他原因解除合同时，预付款尚未扣清的，尚未扣清的预付款余额应作为承包人的到期应付款。预付款扣回办法见合同条款专用部分。</w:t>
      </w:r>
    </w:p>
    <w:p w14:paraId="1DE0315C">
      <w:pPr>
        <w:keepNext/>
        <w:keepLines/>
        <w:spacing w:before="120" w:beforeLines="50" w:after="120" w:afterLines="50" w:line="360" w:lineRule="auto"/>
        <w:outlineLvl w:val="2"/>
        <w:rPr>
          <w:rFonts w:hint="eastAsia" w:ascii="宋体" w:hAnsi="宋体"/>
          <w:sz w:val="24"/>
          <w:szCs w:val="20"/>
        </w:rPr>
      </w:pPr>
      <w:r>
        <w:rPr>
          <w:rFonts w:ascii="宋体" w:hAnsi="宋体"/>
          <w:sz w:val="24"/>
          <w:szCs w:val="20"/>
        </w:rPr>
        <w:t xml:space="preserve">17.3  </w:t>
      </w:r>
      <w:r>
        <w:rPr>
          <w:rFonts w:hint="eastAsia" w:ascii="宋体" w:hAnsi="宋体"/>
          <w:sz w:val="24"/>
          <w:szCs w:val="20"/>
        </w:rPr>
        <w:t>工程进度付款</w:t>
      </w:r>
      <w:bookmarkEnd w:id="1776"/>
      <w:bookmarkEnd w:id="1777"/>
      <w:bookmarkEnd w:id="1778"/>
      <w:bookmarkEnd w:id="1779"/>
      <w:bookmarkEnd w:id="1780"/>
      <w:bookmarkEnd w:id="1781"/>
      <w:bookmarkEnd w:id="1782"/>
      <w:bookmarkEnd w:id="1783"/>
      <w:bookmarkEnd w:id="1784"/>
    </w:p>
    <w:p w14:paraId="3CD25EE1">
      <w:pPr>
        <w:spacing w:line="360" w:lineRule="auto"/>
        <w:ind w:firstLine="420" w:firstLineChars="200"/>
        <w:rPr>
          <w:rFonts w:hint="eastAsia" w:ascii="宋体" w:hAnsi="宋体"/>
        </w:rPr>
      </w:pPr>
      <w:r>
        <w:rPr>
          <w:rFonts w:ascii="宋体" w:hAnsi="宋体"/>
        </w:rPr>
        <w:t xml:space="preserve">17.3.1  </w:t>
      </w:r>
      <w:r>
        <w:rPr>
          <w:rFonts w:hint="eastAsia" w:ascii="宋体" w:hAnsi="宋体"/>
        </w:rPr>
        <w:t>付款周期</w:t>
      </w:r>
    </w:p>
    <w:p w14:paraId="6D8EAA03">
      <w:pPr>
        <w:spacing w:line="360" w:lineRule="auto"/>
        <w:ind w:firstLine="420" w:firstLineChars="200"/>
        <w:rPr>
          <w:rFonts w:hint="eastAsia" w:ascii="宋体" w:hAnsi="宋体"/>
        </w:rPr>
      </w:pPr>
      <w:r>
        <w:rPr>
          <w:rFonts w:hint="eastAsia" w:ascii="宋体" w:hAnsi="宋体"/>
        </w:rPr>
        <w:t>付款周期同计量周期。</w:t>
      </w:r>
    </w:p>
    <w:p w14:paraId="151D31D9">
      <w:pPr>
        <w:spacing w:line="360" w:lineRule="auto"/>
        <w:ind w:firstLine="420" w:firstLineChars="200"/>
        <w:rPr>
          <w:rFonts w:hint="eastAsia" w:ascii="宋体" w:hAnsi="宋体"/>
        </w:rPr>
      </w:pPr>
      <w:r>
        <w:rPr>
          <w:rFonts w:hint="eastAsia" w:ascii="宋体" w:hAnsi="宋体"/>
        </w:rPr>
        <w:t>17.3.2  进度付款申请单</w:t>
      </w:r>
    </w:p>
    <w:p w14:paraId="1C0E15F2">
      <w:pPr>
        <w:spacing w:line="360" w:lineRule="auto"/>
        <w:ind w:firstLine="420" w:firstLineChars="200"/>
        <w:rPr>
          <w:rFonts w:hint="eastAsia" w:ascii="宋体" w:hAnsi="宋体"/>
        </w:rPr>
      </w:pPr>
      <w:r>
        <w:rPr>
          <w:rFonts w:hint="eastAsia" w:ascii="宋体" w:hAnsi="宋体"/>
        </w:rPr>
        <w:t>承包人应在每个付款周期末，按监理人批准的格式和合同约定的份数，向监理人提交进度付款申请单，并附相应的支持性证明文件。承包人提交进度付款申请单份数见合同条款专用部分。</w:t>
      </w:r>
    </w:p>
    <w:p w14:paraId="636C9CA9">
      <w:pPr>
        <w:spacing w:line="360" w:lineRule="auto"/>
        <w:ind w:firstLine="420" w:firstLineChars="200"/>
        <w:rPr>
          <w:rFonts w:hint="eastAsia" w:ascii="宋体" w:hAnsi="宋体"/>
        </w:rPr>
      </w:pPr>
      <w:r>
        <w:rPr>
          <w:rFonts w:hint="eastAsia" w:ascii="宋体" w:hAnsi="宋体"/>
        </w:rPr>
        <w:t>承包人报送监理人的进度付款申请单应包括下列内容：</w:t>
      </w:r>
    </w:p>
    <w:p w14:paraId="58C2DEA1">
      <w:pPr>
        <w:spacing w:line="360" w:lineRule="auto"/>
        <w:ind w:firstLine="420" w:firstLineChars="200"/>
        <w:rPr>
          <w:rFonts w:hint="eastAsia" w:ascii="宋体" w:hAnsi="宋体"/>
        </w:rPr>
      </w:pPr>
      <w:r>
        <w:rPr>
          <w:rFonts w:hint="eastAsia" w:ascii="宋体" w:hAnsi="宋体"/>
        </w:rPr>
        <w:t>（1）截至本次付款周期末已实施工程的价款及其中人工费占工程款比例；</w:t>
      </w:r>
    </w:p>
    <w:p w14:paraId="46E39B28">
      <w:pPr>
        <w:spacing w:line="360" w:lineRule="auto"/>
        <w:ind w:firstLine="420" w:firstLineChars="200"/>
        <w:rPr>
          <w:rFonts w:hint="eastAsia" w:ascii="宋体" w:hAnsi="宋体"/>
        </w:rPr>
      </w:pPr>
      <w:r>
        <w:rPr>
          <w:rFonts w:hint="eastAsia" w:ascii="宋体" w:hAnsi="宋体"/>
        </w:rPr>
        <w:t>（2）根据第15条应增加和扣减的变更金额；</w:t>
      </w:r>
    </w:p>
    <w:p w14:paraId="24C4311D">
      <w:pPr>
        <w:spacing w:line="360" w:lineRule="auto"/>
        <w:ind w:firstLine="420" w:firstLineChars="200"/>
        <w:rPr>
          <w:rFonts w:hint="eastAsia" w:ascii="宋体" w:hAnsi="宋体"/>
        </w:rPr>
      </w:pPr>
      <w:r>
        <w:rPr>
          <w:rFonts w:hint="eastAsia" w:ascii="宋体" w:hAnsi="宋体"/>
        </w:rPr>
        <w:t>（3）根据第23条应增加和扣减的索赔金额；</w:t>
      </w:r>
    </w:p>
    <w:p w14:paraId="159CE860">
      <w:pPr>
        <w:spacing w:line="360" w:lineRule="auto"/>
        <w:ind w:firstLine="420" w:firstLineChars="200"/>
        <w:rPr>
          <w:rFonts w:hint="eastAsia" w:ascii="宋体" w:hAnsi="宋体"/>
        </w:rPr>
      </w:pPr>
      <w:r>
        <w:rPr>
          <w:rFonts w:hint="eastAsia" w:ascii="宋体" w:hAnsi="宋体"/>
        </w:rPr>
        <w:t>（4）根据第17.2款约定应支付的预付款和扣减的返还预付款；</w:t>
      </w:r>
    </w:p>
    <w:p w14:paraId="3F8B5F40">
      <w:pPr>
        <w:spacing w:line="360" w:lineRule="auto"/>
        <w:ind w:firstLine="420" w:firstLineChars="200"/>
        <w:rPr>
          <w:rFonts w:hint="eastAsia" w:ascii="宋体" w:hAnsi="宋体"/>
        </w:rPr>
      </w:pPr>
      <w:r>
        <w:rPr>
          <w:rFonts w:hint="eastAsia" w:ascii="宋体" w:hAnsi="宋体"/>
        </w:rPr>
        <w:t>（5）根据第17.4.1项约定应扣减的质量保证金；</w:t>
      </w:r>
    </w:p>
    <w:p w14:paraId="60D1F2D0">
      <w:pPr>
        <w:spacing w:line="360" w:lineRule="auto"/>
        <w:ind w:firstLine="420" w:firstLineChars="200"/>
        <w:rPr>
          <w:rFonts w:hint="eastAsia" w:ascii="宋体" w:hAnsi="宋体"/>
        </w:rPr>
      </w:pPr>
      <w:r>
        <w:rPr>
          <w:rFonts w:hint="eastAsia" w:ascii="宋体" w:hAnsi="宋体"/>
        </w:rPr>
        <w:t>（6）根据合同应增加和（或）扣减的其他内容金额见合同条款专用部分。</w:t>
      </w:r>
    </w:p>
    <w:p w14:paraId="715D0A39">
      <w:pPr>
        <w:spacing w:line="360" w:lineRule="auto"/>
        <w:ind w:firstLine="420" w:firstLineChars="200"/>
        <w:rPr>
          <w:rFonts w:hint="eastAsia" w:ascii="宋体" w:hAnsi="宋体"/>
        </w:rPr>
      </w:pPr>
    </w:p>
    <w:p w14:paraId="195E25CB">
      <w:pPr>
        <w:spacing w:line="360" w:lineRule="auto"/>
        <w:ind w:firstLine="420" w:firstLineChars="200"/>
        <w:rPr>
          <w:rFonts w:hint="eastAsia" w:ascii="宋体" w:hAnsi="宋体"/>
        </w:rPr>
      </w:pPr>
      <w:r>
        <w:rPr>
          <w:rFonts w:hint="eastAsia" w:ascii="宋体" w:hAnsi="宋体"/>
        </w:rPr>
        <w:t>17.3.3  进度付款证书和支付时间</w:t>
      </w:r>
    </w:p>
    <w:p w14:paraId="4BDCA49A">
      <w:pPr>
        <w:spacing w:line="360" w:lineRule="auto"/>
        <w:ind w:firstLine="420" w:firstLineChars="200"/>
        <w:rPr>
          <w:rFonts w:hint="eastAsia" w:ascii="宋体" w:hAnsi="宋体"/>
        </w:rPr>
      </w:pPr>
      <w:r>
        <w:rPr>
          <w:rFonts w:hint="eastAsia" w:ascii="宋体" w:hAnsi="宋体"/>
        </w:rPr>
        <w:t>（1）监理人在收到承包人进度付款申请单以及相应的支持性证明文件后的14天内完成核查，提出发包人到期应支付给承包人的金额以及相应的支持性材料，经发包人审查同意后，由监理人向承包人出具经发包人签认的进度付款证书。监理人有权扣发承包人未能按照合同要求履行任何工作或义务的相应金额。</w:t>
      </w:r>
    </w:p>
    <w:p w14:paraId="6AA38933">
      <w:pPr>
        <w:spacing w:line="360" w:lineRule="auto"/>
        <w:ind w:firstLine="420" w:firstLineChars="200"/>
        <w:rPr>
          <w:rFonts w:hint="eastAsia" w:ascii="宋体" w:hAnsi="宋体"/>
        </w:rPr>
      </w:pPr>
      <w:r>
        <w:rPr>
          <w:rFonts w:hint="eastAsia" w:ascii="宋体" w:hAnsi="宋体"/>
        </w:rPr>
        <w:t>（2）发包人应在监理人收到进度付款申请单后的28天内，将进度应付款支付给承包人。</w:t>
      </w:r>
    </w:p>
    <w:p w14:paraId="1ED360E4">
      <w:pPr>
        <w:spacing w:line="360" w:lineRule="auto"/>
        <w:ind w:firstLine="420" w:firstLineChars="200"/>
        <w:rPr>
          <w:rFonts w:hint="eastAsia" w:ascii="宋体" w:hAnsi="宋体"/>
        </w:rPr>
      </w:pPr>
      <w:r>
        <w:rPr>
          <w:rFonts w:hint="eastAsia" w:ascii="宋体" w:hAnsi="宋体"/>
        </w:rPr>
        <w:t>（3）监理人出具进度付款证书，不应视为监理人已同意、批准或接受了承包人完成的该部分工作。</w:t>
      </w:r>
    </w:p>
    <w:p w14:paraId="2E38CBDE">
      <w:pPr>
        <w:spacing w:line="360" w:lineRule="auto"/>
        <w:ind w:firstLine="420" w:firstLineChars="200"/>
        <w:rPr>
          <w:rFonts w:hint="eastAsia" w:ascii="宋体" w:hAnsi="宋体"/>
        </w:rPr>
      </w:pPr>
      <w:r>
        <w:rPr>
          <w:rFonts w:hint="eastAsia" w:ascii="宋体" w:hAnsi="宋体"/>
        </w:rPr>
        <w:t>（4）进度付款涉及政府投资资金的，按照国库集中支付等国家相关规定和合同约定办理。进度付款涉及政府性资金的支付方法见合同条款专用部分。</w:t>
      </w:r>
    </w:p>
    <w:p w14:paraId="53F1D099">
      <w:pPr>
        <w:spacing w:line="360" w:lineRule="auto"/>
        <w:ind w:firstLine="420" w:firstLineChars="200"/>
        <w:rPr>
          <w:rFonts w:hint="eastAsia" w:ascii="宋体" w:hAnsi="宋体"/>
        </w:rPr>
      </w:pPr>
      <w:r>
        <w:rPr>
          <w:rFonts w:ascii="宋体" w:hAnsi="宋体"/>
        </w:rPr>
        <w:t xml:space="preserve">17.3.4  </w:t>
      </w:r>
      <w:r>
        <w:rPr>
          <w:rFonts w:hint="eastAsia" w:ascii="宋体" w:hAnsi="宋体"/>
        </w:rPr>
        <w:t>工程进度付款的修正</w:t>
      </w:r>
    </w:p>
    <w:p w14:paraId="7EDC6C53">
      <w:pPr>
        <w:spacing w:line="360" w:lineRule="auto"/>
        <w:ind w:firstLine="420" w:firstLineChars="200"/>
        <w:rPr>
          <w:rFonts w:hint="eastAsia" w:ascii="宋体" w:hAnsi="宋体"/>
        </w:rPr>
      </w:pPr>
      <w:r>
        <w:rPr>
          <w:rFonts w:hint="eastAsia" w:ascii="宋体" w:hAnsi="宋体"/>
        </w:rPr>
        <w:t>在对以往历次已签发的进度付款证书进行汇总和复核中发现错、漏或重复的，监理人有权予以修正，承包人也有权提出修正申请。经双方复核同意的修正，应在本次进度付款中支付或扣除。</w:t>
      </w:r>
    </w:p>
    <w:p w14:paraId="693497D2">
      <w:pPr>
        <w:spacing w:line="360" w:lineRule="auto"/>
        <w:ind w:firstLine="420" w:firstLineChars="200"/>
        <w:rPr>
          <w:rFonts w:hint="eastAsia" w:ascii="宋体" w:hAnsi="宋体"/>
          <w:szCs w:val="21"/>
        </w:rPr>
      </w:pPr>
      <w:r>
        <w:rPr>
          <w:rFonts w:ascii="宋体" w:hAnsi="宋体"/>
          <w:szCs w:val="21"/>
        </w:rPr>
        <w:t xml:space="preserve">17.3.5  </w:t>
      </w:r>
      <w:r>
        <w:rPr>
          <w:rFonts w:hint="eastAsia" w:ascii="宋体" w:hAnsi="宋体"/>
          <w:szCs w:val="21"/>
        </w:rPr>
        <w:t>临时付款证书</w:t>
      </w:r>
    </w:p>
    <w:p w14:paraId="21B1543E">
      <w:pPr>
        <w:spacing w:line="360" w:lineRule="auto"/>
        <w:ind w:firstLine="420" w:firstLineChars="200"/>
        <w:rPr>
          <w:rFonts w:hint="eastAsia" w:ascii="宋体" w:hAnsi="宋体"/>
          <w:szCs w:val="21"/>
        </w:rPr>
      </w:pPr>
      <w:r>
        <w:rPr>
          <w:rFonts w:hint="eastAsia" w:ascii="宋体" w:hAnsi="宋体"/>
          <w:szCs w:val="21"/>
        </w:rPr>
        <w:t>在合同约定的期限内，承包人和监理人无法对当期已完工程量和按合同约定应当支付的其他款项达成一致的，监理人应当在收到承包人报送的进度付款申请单等文件后</w:t>
      </w:r>
      <w:r>
        <w:rPr>
          <w:rFonts w:ascii="宋体" w:hAnsi="宋体"/>
          <w:szCs w:val="21"/>
        </w:rPr>
        <w:t>14</w:t>
      </w:r>
      <w:r>
        <w:rPr>
          <w:rFonts w:hint="eastAsia" w:ascii="宋体" w:hAnsi="宋体"/>
          <w:szCs w:val="21"/>
        </w:rPr>
        <w:t>天内，就与承包人达成一致意见的金额编制临时付款证书，报送发包人审查。临时付款证书中应当说明承包人有异议部分的金额及其原因，经发包人签字确认后，由监理人向承包人出具临时付款证书。发包人应当在监理人收到进度付款申请单后</w:t>
      </w:r>
      <w:r>
        <w:rPr>
          <w:rFonts w:ascii="宋体" w:hAnsi="宋体"/>
          <w:szCs w:val="21"/>
        </w:rPr>
        <w:t>28</w:t>
      </w:r>
      <w:r>
        <w:rPr>
          <w:rFonts w:hint="eastAsia" w:ascii="宋体" w:hAnsi="宋体"/>
          <w:szCs w:val="21"/>
        </w:rPr>
        <w:t>天内，将临时付款证书中确定的应付金额支付给承包人。发包人和监理人均不得以任何理由延期支付工程进度付款。</w:t>
      </w:r>
    </w:p>
    <w:p w14:paraId="2AF99927">
      <w:pPr>
        <w:spacing w:line="360" w:lineRule="auto"/>
        <w:ind w:firstLine="420" w:firstLineChars="200"/>
        <w:rPr>
          <w:rFonts w:hint="eastAsia" w:ascii="宋体" w:hAnsi="宋体"/>
          <w:szCs w:val="21"/>
        </w:rPr>
      </w:pPr>
      <w:r>
        <w:rPr>
          <w:rFonts w:hint="eastAsia" w:ascii="宋体" w:hAnsi="宋体"/>
          <w:szCs w:val="21"/>
        </w:rPr>
        <w:t>对临时付款证书中承包人有异议部分的金额，承包人应当按照监理人要求，提交进一步的支持性文件，经监理人进一步审核并认可的应付金额，应当按第</w:t>
      </w:r>
      <w:r>
        <w:rPr>
          <w:rFonts w:ascii="宋体" w:hAnsi="宋体"/>
          <w:szCs w:val="21"/>
        </w:rPr>
        <w:t>17.3.4</w:t>
      </w:r>
      <w:r>
        <w:rPr>
          <w:rFonts w:hint="eastAsia" w:ascii="宋体" w:hAnsi="宋体"/>
          <w:szCs w:val="21"/>
        </w:rPr>
        <w:t>项的约定纳入到下一期进度付款证书中。经过进一步努力，承包人仍有异议的，按合同条款第</w:t>
      </w:r>
      <w:r>
        <w:rPr>
          <w:rFonts w:ascii="宋体" w:hAnsi="宋体"/>
          <w:szCs w:val="21"/>
        </w:rPr>
        <w:t>24</w:t>
      </w:r>
      <w:r>
        <w:rPr>
          <w:rFonts w:hint="eastAsia" w:ascii="宋体" w:hAnsi="宋体"/>
          <w:szCs w:val="21"/>
        </w:rPr>
        <w:t>条的约定办理。</w:t>
      </w:r>
    </w:p>
    <w:p w14:paraId="447543B6">
      <w:pPr>
        <w:spacing w:line="360" w:lineRule="auto"/>
        <w:ind w:firstLine="420" w:firstLineChars="200"/>
        <w:rPr>
          <w:rFonts w:hint="eastAsia" w:ascii="宋体" w:hAnsi="宋体"/>
        </w:rPr>
      </w:pPr>
      <w:r>
        <w:rPr>
          <w:rFonts w:hint="eastAsia" w:ascii="宋体" w:hAnsi="宋体"/>
          <w:szCs w:val="21"/>
        </w:rPr>
        <w:t>有异议款项中经监理人进一步审核后认可的，或者经过合同条款第</w:t>
      </w:r>
      <w:r>
        <w:rPr>
          <w:rFonts w:ascii="宋体" w:hAnsi="宋体"/>
          <w:szCs w:val="21"/>
        </w:rPr>
        <w:t>24</w:t>
      </w:r>
      <w:r>
        <w:rPr>
          <w:rFonts w:hint="eastAsia" w:ascii="宋体" w:hAnsi="宋体"/>
          <w:szCs w:val="21"/>
        </w:rPr>
        <w:t>条约定的争议解决方式确定的应付金额，其应付之日为引发异议的进度付款证书的应付之日，承包人有权得到按第</w:t>
      </w:r>
      <w:r>
        <w:rPr>
          <w:rFonts w:ascii="宋体" w:hAnsi="宋体"/>
          <w:szCs w:val="21"/>
        </w:rPr>
        <w:t>17.3.3</w:t>
      </w:r>
      <w:r>
        <w:rPr>
          <w:rFonts w:hint="eastAsia" w:ascii="宋体" w:hAnsi="宋体"/>
          <w:szCs w:val="21"/>
        </w:rPr>
        <w:t>（</w:t>
      </w:r>
      <w:r>
        <w:rPr>
          <w:rFonts w:ascii="宋体" w:hAnsi="宋体"/>
          <w:szCs w:val="21"/>
        </w:rPr>
        <w:t>2</w:t>
      </w:r>
      <w:r>
        <w:rPr>
          <w:rFonts w:hint="eastAsia" w:ascii="宋体" w:hAnsi="宋体"/>
          <w:szCs w:val="21"/>
        </w:rPr>
        <w:t>）目约定计算的逾期付款违约金。</w:t>
      </w:r>
    </w:p>
    <w:p w14:paraId="61B36F16">
      <w:pPr>
        <w:spacing w:line="360" w:lineRule="auto"/>
        <w:ind w:firstLine="480" w:firstLineChars="200"/>
        <w:rPr>
          <w:rFonts w:hint="eastAsia" w:ascii="宋体" w:hAnsi="宋体"/>
          <w:sz w:val="24"/>
          <w:szCs w:val="20"/>
        </w:rPr>
      </w:pPr>
      <w:bookmarkStart w:id="1785" w:name="_Toc483668190"/>
      <w:bookmarkStart w:id="1786" w:name="_Toc480486844"/>
      <w:bookmarkStart w:id="1787" w:name="_Toc490222606"/>
      <w:bookmarkStart w:id="1788" w:name="_Toc489279972"/>
      <w:bookmarkStart w:id="1789" w:name="_Toc486580161"/>
      <w:bookmarkStart w:id="1790" w:name="_Toc342296374"/>
      <w:bookmarkStart w:id="1791" w:name="_Toc480487016"/>
      <w:bookmarkStart w:id="1792" w:name="_Toc338944816"/>
      <w:r>
        <w:rPr>
          <w:rFonts w:hint="eastAsia" w:ascii="宋体" w:hAnsi="宋体"/>
          <w:sz w:val="24"/>
          <w:szCs w:val="20"/>
        </w:rPr>
        <w:t>17.4  质量保证金</w:t>
      </w:r>
    </w:p>
    <w:p w14:paraId="3BB99441">
      <w:pPr>
        <w:spacing w:line="360" w:lineRule="auto"/>
        <w:ind w:firstLine="420" w:firstLineChars="200"/>
        <w:rPr>
          <w:rFonts w:hint="eastAsia" w:ascii="宋体" w:hAnsi="宋体"/>
          <w:szCs w:val="21"/>
        </w:rPr>
      </w:pPr>
      <w:r>
        <w:rPr>
          <w:rFonts w:hint="eastAsia" w:ascii="宋体" w:hAnsi="宋体"/>
          <w:szCs w:val="21"/>
        </w:rPr>
        <w:t>17.4.1  质量保证金处理</w:t>
      </w:r>
    </w:p>
    <w:p w14:paraId="597965B7">
      <w:pPr>
        <w:spacing w:line="360" w:lineRule="auto"/>
        <w:ind w:firstLine="420" w:firstLineChars="200"/>
        <w:rPr>
          <w:rFonts w:hint="eastAsia" w:ascii="宋体" w:hAnsi="宋体"/>
          <w:szCs w:val="21"/>
        </w:rPr>
      </w:pPr>
      <w:r>
        <w:rPr>
          <w:rFonts w:hint="eastAsia" w:ascii="宋体" w:hAnsi="宋体"/>
          <w:szCs w:val="21"/>
        </w:rPr>
        <w:t>（1）合同条款专用部分第4.2.1项约定不提交履约担保，采用扣留质量保证金的，质量保证金由监理人从第一个付款周期开始按进度付款证书确认的已实施工程的价款、根据合同条款第15条增加和扣减的变更金额、根据合同条款第23条增加和扣减的索赔金额以及根据合同应增加和扣减的其他金额（不包括预付款的支付、返还、此前已经按合同约定支付给承包人的进度款以及已经扣留的质量保证金）的总额的约定比例扣留，直至质量保证金累计扣留金额达到竣工结算合同总价的约定比例为止；</w:t>
      </w:r>
    </w:p>
    <w:p w14:paraId="21401119">
      <w:pPr>
        <w:spacing w:line="360" w:lineRule="auto"/>
        <w:ind w:firstLine="420" w:firstLineChars="200"/>
        <w:rPr>
          <w:rFonts w:hint="eastAsia" w:ascii="宋体" w:hAnsi="宋体"/>
          <w:szCs w:val="21"/>
        </w:rPr>
      </w:pPr>
      <w:r>
        <w:rPr>
          <w:rFonts w:hint="eastAsia" w:ascii="宋体" w:hAnsi="宋体"/>
          <w:szCs w:val="21"/>
        </w:rPr>
        <w:t>（2）合同条款专用部分第4.2.1项约定提交履约担保，采用扣留质量保证金的，在第17.5款竣工结算中，应当按照竣工结算合同总价约定的比例扣留质量保证金；采用质量保证金保函担保形式的，工程竣工前，不得扣留质量保证金。</w:t>
      </w:r>
    </w:p>
    <w:p w14:paraId="31DCA9F9">
      <w:pPr>
        <w:spacing w:line="360" w:lineRule="auto"/>
        <w:ind w:firstLine="420" w:firstLineChars="200"/>
        <w:rPr>
          <w:rFonts w:hint="eastAsia" w:ascii="宋体" w:hAnsi="宋体"/>
          <w:szCs w:val="21"/>
        </w:rPr>
      </w:pPr>
      <w:r>
        <w:rPr>
          <w:rFonts w:hint="eastAsia" w:ascii="宋体" w:hAnsi="宋体"/>
          <w:szCs w:val="21"/>
        </w:rPr>
        <w:t>（3）质量保证金的形式与约定比例见合同条款专用部分。</w:t>
      </w:r>
    </w:p>
    <w:p w14:paraId="797190A4">
      <w:pPr>
        <w:spacing w:line="360" w:lineRule="auto"/>
        <w:ind w:firstLine="420" w:firstLineChars="200"/>
        <w:rPr>
          <w:rFonts w:hint="eastAsia" w:ascii="宋体" w:hAnsi="宋体"/>
          <w:szCs w:val="21"/>
        </w:rPr>
      </w:pPr>
      <w:r>
        <w:rPr>
          <w:rFonts w:hint="eastAsia" w:ascii="宋体" w:hAnsi="宋体"/>
          <w:szCs w:val="21"/>
        </w:rPr>
        <w:t>17.4.2  在第1.1.4.5目约定的缺陷责任期满时，承包人向发包人申请到期应返还承包人剩余的质量保证金金额或退还保函担保，发包人应在14天内会同承包人按照合同约定的内容核实承包人是否完成缺陷责任。如无异议，发包人应当在核实后将剩余保证金返还承包人或将其保函退还承包人。</w:t>
      </w:r>
    </w:p>
    <w:p w14:paraId="14C6E5F5">
      <w:pPr>
        <w:spacing w:line="360" w:lineRule="auto"/>
        <w:ind w:firstLine="420" w:firstLineChars="200"/>
        <w:rPr>
          <w:rFonts w:hint="eastAsia" w:ascii="宋体" w:hAnsi="宋体"/>
          <w:szCs w:val="21"/>
        </w:rPr>
      </w:pPr>
      <w:r>
        <w:rPr>
          <w:rFonts w:hint="eastAsia" w:ascii="宋体" w:hAnsi="宋体"/>
          <w:szCs w:val="21"/>
        </w:rPr>
        <w:t>17.4.3  在第1.1.4.5目约定的缺陷责任期满时，承包人没有完成缺陷责任的，发包人有权扣留与未履行责任剩余工作所需金额相应的质量保证金余额或依据其保函担保约定追究责任，并有权根据第19.3款约定要求延长缺陷责任期，直至完成剩余工作为止。</w:t>
      </w:r>
    </w:p>
    <w:p w14:paraId="2D709D94">
      <w:pPr>
        <w:spacing w:line="360" w:lineRule="auto"/>
        <w:ind w:firstLine="420" w:firstLineChars="200"/>
        <w:rPr>
          <w:rFonts w:hint="eastAsia" w:ascii="宋体" w:hAnsi="宋体"/>
          <w:szCs w:val="21"/>
        </w:rPr>
      </w:pPr>
      <w:bookmarkStart w:id="1793" w:name="_Toc117350530"/>
      <w:r>
        <w:rPr>
          <w:rFonts w:hint="eastAsia" w:ascii="宋体" w:hAnsi="宋体"/>
          <w:szCs w:val="21"/>
        </w:rPr>
        <w:t>17.5  竣工结算</w:t>
      </w:r>
      <w:bookmarkEnd w:id="1785"/>
      <w:bookmarkEnd w:id="1786"/>
      <w:bookmarkEnd w:id="1787"/>
      <w:bookmarkEnd w:id="1788"/>
      <w:bookmarkEnd w:id="1789"/>
      <w:bookmarkEnd w:id="1790"/>
      <w:bookmarkEnd w:id="1791"/>
      <w:bookmarkEnd w:id="1792"/>
      <w:bookmarkEnd w:id="1793"/>
    </w:p>
    <w:p w14:paraId="545A0BBC">
      <w:pPr>
        <w:spacing w:line="360" w:lineRule="auto"/>
        <w:ind w:firstLine="420" w:firstLineChars="200"/>
        <w:rPr>
          <w:rFonts w:hint="eastAsia" w:ascii="宋体" w:hAnsi="宋体"/>
          <w:szCs w:val="21"/>
        </w:rPr>
      </w:pPr>
      <w:bookmarkStart w:id="1794" w:name="_Hlk114650119"/>
      <w:r>
        <w:rPr>
          <w:rFonts w:hint="eastAsia" w:ascii="宋体" w:hAnsi="宋体"/>
          <w:szCs w:val="21"/>
        </w:rPr>
        <w:t>17.5.1  过程结算</w:t>
      </w:r>
    </w:p>
    <w:p w14:paraId="1D810464">
      <w:pPr>
        <w:spacing w:line="360" w:lineRule="auto"/>
        <w:ind w:firstLine="420" w:firstLineChars="200"/>
        <w:rPr>
          <w:rFonts w:hint="eastAsia" w:ascii="宋体" w:hAnsi="宋体"/>
          <w:szCs w:val="21"/>
        </w:rPr>
      </w:pPr>
      <w:bookmarkStart w:id="1795" w:name="_Hlk111558437"/>
      <w:r>
        <w:rPr>
          <w:rFonts w:hint="eastAsia" w:ascii="宋体" w:hAnsi="宋体"/>
          <w:szCs w:val="21"/>
        </w:rPr>
        <w:t>本工程是否进行过程结算及相关要求</w:t>
      </w:r>
      <w:bookmarkEnd w:id="1795"/>
      <w:r>
        <w:rPr>
          <w:rFonts w:hint="eastAsia" w:ascii="宋体" w:hAnsi="宋体"/>
          <w:szCs w:val="21"/>
        </w:rPr>
        <w:t>见合同条款专用部分。</w:t>
      </w:r>
    </w:p>
    <w:bookmarkEnd w:id="1794"/>
    <w:p w14:paraId="799222AD">
      <w:pPr>
        <w:spacing w:line="360" w:lineRule="auto"/>
        <w:ind w:firstLine="420" w:firstLineChars="200"/>
        <w:rPr>
          <w:rFonts w:hint="eastAsia" w:ascii="宋体" w:hAnsi="宋体"/>
          <w:szCs w:val="21"/>
        </w:rPr>
      </w:pPr>
      <w:r>
        <w:rPr>
          <w:rFonts w:hint="eastAsia" w:ascii="宋体" w:hAnsi="宋体"/>
          <w:szCs w:val="21"/>
        </w:rPr>
        <w:t>17.5.2  竣工付款申请单</w:t>
      </w:r>
    </w:p>
    <w:p w14:paraId="76494972">
      <w:pPr>
        <w:spacing w:line="360" w:lineRule="auto"/>
        <w:ind w:firstLine="420" w:firstLineChars="200"/>
        <w:rPr>
          <w:rFonts w:hint="eastAsia" w:ascii="宋体" w:hAnsi="宋体"/>
          <w:szCs w:val="21"/>
        </w:rPr>
      </w:pPr>
      <w:r>
        <w:rPr>
          <w:rFonts w:hint="eastAsia" w:ascii="宋体" w:hAnsi="宋体"/>
          <w:szCs w:val="21"/>
        </w:rPr>
        <w:t>（1）工程接收证书颁发后，承包人应按合同约定的份数和期限向监理人提交竣工付款申请单，并提供相关证明材料。承包人提交竣工付款申请单份数和期限见合同条款专用部分。</w:t>
      </w:r>
    </w:p>
    <w:p w14:paraId="74938B54">
      <w:pPr>
        <w:spacing w:line="360" w:lineRule="auto"/>
        <w:ind w:firstLine="420" w:firstLineChars="200"/>
        <w:rPr>
          <w:rFonts w:hint="eastAsia" w:ascii="宋体" w:hAnsi="宋体"/>
          <w:szCs w:val="21"/>
        </w:rPr>
      </w:pPr>
      <w:r>
        <w:rPr>
          <w:rFonts w:hint="eastAsia" w:ascii="宋体" w:hAnsi="宋体"/>
          <w:szCs w:val="21"/>
        </w:rPr>
        <w:t>（2）竣工付款申请单应包括下列内容：竣工结算合同总价、发包人已支付承包人的工程价款、应扣留的质量保证金、应支付的竣工付款金额和应支付或扣减的其他内容金额。竣工付款申请单的其他内容见合同条款专用部分。</w:t>
      </w:r>
    </w:p>
    <w:p w14:paraId="5B550B87">
      <w:pPr>
        <w:spacing w:line="360" w:lineRule="auto"/>
        <w:ind w:firstLine="420" w:firstLineChars="200"/>
        <w:rPr>
          <w:rFonts w:hint="eastAsia" w:ascii="宋体" w:hAnsi="宋体"/>
          <w:szCs w:val="21"/>
        </w:rPr>
      </w:pPr>
      <w:r>
        <w:rPr>
          <w:rFonts w:hint="eastAsia" w:ascii="宋体" w:hAnsi="宋体"/>
          <w:szCs w:val="21"/>
        </w:rPr>
        <w:t>（3）监理人对竣工付款申请单有异议的，有权要求承包人进行修正和提供补充资料。经监理人和承包人协商后，由承包人向监理人提交修正后的竣工付款申请单。</w:t>
      </w:r>
    </w:p>
    <w:p w14:paraId="68A8172D">
      <w:pPr>
        <w:spacing w:line="360" w:lineRule="auto"/>
        <w:ind w:firstLine="420" w:firstLineChars="200"/>
        <w:rPr>
          <w:rFonts w:hint="eastAsia" w:ascii="宋体" w:hAnsi="宋体"/>
          <w:szCs w:val="21"/>
        </w:rPr>
      </w:pPr>
      <w:r>
        <w:rPr>
          <w:rFonts w:hint="eastAsia" w:ascii="宋体" w:hAnsi="宋体"/>
          <w:szCs w:val="21"/>
        </w:rPr>
        <w:t>（4）承包人未按本项约定的期限和内容提交竣工付款申请单或者未按第17.5.2（3)目约定提交修正后的竣工付款申请单，经监理人催促后14天内仍未提交或者没有明确答复的，监理人和发包人有权根据已有资料进行审查，审查确定的竣工结算合同总价和竣工付款金额视同是经承包人认可的工程竣工结算合同总价和竣工付款金额。</w:t>
      </w:r>
    </w:p>
    <w:p w14:paraId="138E1116">
      <w:pPr>
        <w:spacing w:line="360" w:lineRule="auto"/>
        <w:ind w:firstLine="420" w:firstLineChars="200"/>
        <w:rPr>
          <w:rFonts w:hint="eastAsia" w:ascii="宋体" w:hAnsi="宋体"/>
          <w:szCs w:val="21"/>
        </w:rPr>
      </w:pPr>
      <w:r>
        <w:rPr>
          <w:rFonts w:hint="eastAsia" w:ascii="宋体" w:hAnsi="宋体"/>
          <w:szCs w:val="21"/>
        </w:rPr>
        <w:t>17.5.3  竣工付款证书及支付时间</w:t>
      </w:r>
    </w:p>
    <w:p w14:paraId="4C323682">
      <w:pPr>
        <w:spacing w:line="360" w:lineRule="auto"/>
        <w:ind w:firstLine="420" w:firstLineChars="200"/>
        <w:rPr>
          <w:rFonts w:hint="eastAsia" w:ascii="宋体" w:hAnsi="宋体"/>
          <w:szCs w:val="21"/>
        </w:rPr>
      </w:pPr>
      <w:r>
        <w:rPr>
          <w:rFonts w:hint="eastAsia" w:ascii="宋体" w:hAnsi="宋体"/>
          <w:szCs w:val="21"/>
        </w:rPr>
        <w:t>（1）监理人在收到承包人提交的竣工付款申请单后的14天内完成审核，并提出发包人到期应支付给承包人的价款等审核意见，报送发包人审核。发包人应在收到后14天内审核完毕，由监理人向承包人出具经发包人签字确认的竣工付款证书。</w:t>
      </w:r>
    </w:p>
    <w:p w14:paraId="3D61F7F0">
      <w:pPr>
        <w:spacing w:line="360" w:lineRule="auto"/>
        <w:ind w:firstLine="420" w:firstLineChars="200"/>
        <w:rPr>
          <w:rFonts w:hint="eastAsia" w:ascii="宋体" w:hAnsi="宋体"/>
          <w:szCs w:val="21"/>
        </w:rPr>
      </w:pPr>
      <w:r>
        <w:rPr>
          <w:rFonts w:hint="eastAsia" w:ascii="宋体" w:hAnsi="宋体"/>
          <w:szCs w:val="21"/>
        </w:rPr>
        <w:t>（2）发包人应在监理人出具竣工付款证书后的14天内，将应支付款支付给承包人。</w:t>
      </w:r>
    </w:p>
    <w:p w14:paraId="72717C70">
      <w:pPr>
        <w:spacing w:line="360" w:lineRule="auto"/>
        <w:ind w:firstLine="420" w:firstLineChars="200"/>
        <w:rPr>
          <w:rFonts w:hint="eastAsia" w:ascii="宋体" w:hAnsi="宋体"/>
          <w:szCs w:val="21"/>
        </w:rPr>
      </w:pPr>
      <w:r>
        <w:rPr>
          <w:rFonts w:hint="eastAsia" w:ascii="宋体" w:hAnsi="宋体"/>
          <w:szCs w:val="21"/>
        </w:rPr>
        <w:t>（3）如竣工付款证书中显示进度款支付超出实际已完成工程价款的情况，承包人应在监理人出具竣工付款证书后30日内向发包人返还多收到的工程进度款。</w:t>
      </w:r>
    </w:p>
    <w:p w14:paraId="06BFD51E">
      <w:pPr>
        <w:spacing w:line="360" w:lineRule="auto"/>
        <w:ind w:firstLine="420" w:firstLineChars="200"/>
        <w:rPr>
          <w:rFonts w:hint="eastAsia" w:ascii="宋体" w:hAnsi="宋体"/>
          <w:szCs w:val="21"/>
        </w:rPr>
      </w:pPr>
      <w:r>
        <w:rPr>
          <w:rFonts w:hint="eastAsia" w:ascii="宋体" w:hAnsi="宋体"/>
          <w:szCs w:val="21"/>
        </w:rPr>
        <w:t>（4）承包人对发包人签认的竣工付款证书有异议的，发包人可出具竣工付款申请单中与承包人达成一致意见部分的临时付款证书。存在争议的部分，按第24条“争议的解决”的约定办理。</w:t>
      </w:r>
    </w:p>
    <w:p w14:paraId="085FA044">
      <w:pPr>
        <w:spacing w:line="360" w:lineRule="auto"/>
        <w:ind w:firstLine="420" w:firstLineChars="200"/>
        <w:rPr>
          <w:rFonts w:hint="eastAsia" w:ascii="宋体" w:hAnsi="宋体"/>
          <w:szCs w:val="21"/>
        </w:rPr>
      </w:pPr>
      <w:r>
        <w:rPr>
          <w:rFonts w:hint="eastAsia" w:ascii="宋体" w:hAnsi="宋体"/>
          <w:szCs w:val="21"/>
        </w:rPr>
        <w:t>（5）竣工付款涉及政府投资资金的，按第17.3.3（4）目的约定办理。</w:t>
      </w:r>
    </w:p>
    <w:p w14:paraId="5794054D">
      <w:pPr>
        <w:spacing w:line="360" w:lineRule="auto"/>
        <w:ind w:firstLine="420" w:firstLineChars="200"/>
        <w:rPr>
          <w:rFonts w:hint="eastAsia" w:ascii="宋体" w:hAnsi="宋体"/>
          <w:szCs w:val="21"/>
        </w:rPr>
      </w:pPr>
      <w:r>
        <w:rPr>
          <w:rFonts w:ascii="宋体" w:hAnsi="宋体"/>
        </w:rPr>
        <w:t xml:space="preserve">17.5.4  </w:t>
      </w:r>
      <w:r>
        <w:rPr>
          <w:rFonts w:hint="eastAsia" w:ascii="宋体" w:hAnsi="宋体"/>
          <w:szCs w:val="21"/>
        </w:rPr>
        <w:t>除第</w:t>
      </w:r>
      <w:r>
        <w:rPr>
          <w:rFonts w:ascii="宋体" w:hAnsi="宋体"/>
          <w:szCs w:val="21"/>
        </w:rPr>
        <w:t>17.5.5</w:t>
      </w:r>
      <w:r>
        <w:rPr>
          <w:rFonts w:hint="eastAsia" w:ascii="宋体" w:hAnsi="宋体"/>
          <w:szCs w:val="21"/>
        </w:rPr>
        <w:t>项约定的情况外，发包人和承包人应当在监理人颁发（出具）工程接收证书后</w:t>
      </w:r>
      <w:r>
        <w:rPr>
          <w:rFonts w:ascii="宋体" w:hAnsi="宋体"/>
          <w:szCs w:val="21"/>
        </w:rPr>
        <w:t>56</w:t>
      </w:r>
      <w:r>
        <w:rPr>
          <w:rFonts w:hint="eastAsia" w:ascii="宋体" w:hAnsi="宋体"/>
          <w:szCs w:val="21"/>
        </w:rPr>
        <w:t>天内办清竣工结算和竣工付款。</w:t>
      </w:r>
    </w:p>
    <w:p w14:paraId="649C4871">
      <w:pPr>
        <w:spacing w:line="360" w:lineRule="auto"/>
        <w:ind w:firstLine="420" w:firstLineChars="200"/>
        <w:rPr>
          <w:rFonts w:hint="eastAsia" w:ascii="宋体" w:hAnsi="宋体"/>
          <w:szCs w:val="21"/>
        </w:rPr>
      </w:pPr>
      <w:r>
        <w:rPr>
          <w:rFonts w:ascii="宋体" w:hAnsi="宋体"/>
        </w:rPr>
        <w:t xml:space="preserve">17.5.5  </w:t>
      </w:r>
      <w:r>
        <w:rPr>
          <w:rFonts w:hint="eastAsia" w:ascii="宋体" w:hAnsi="宋体"/>
          <w:szCs w:val="21"/>
        </w:rPr>
        <w:t>政府投资或者以政府投资为主的建设项目纳入审计项目计划的，发包人和承包人均负有配合、接受审计机关审计的义务，竣工结算应当依据审计结论，办清竣工结算和竣工付款的时间按照相关规定执行。</w:t>
      </w:r>
    </w:p>
    <w:p w14:paraId="5A93FF5A">
      <w:pPr>
        <w:keepNext/>
        <w:keepLines/>
        <w:spacing w:before="120" w:beforeLines="50" w:after="120" w:afterLines="50" w:line="360" w:lineRule="auto"/>
        <w:outlineLvl w:val="2"/>
        <w:rPr>
          <w:rFonts w:hint="eastAsia" w:ascii="宋体" w:hAnsi="宋体"/>
          <w:sz w:val="24"/>
          <w:szCs w:val="20"/>
        </w:rPr>
      </w:pPr>
      <w:bookmarkStart w:id="1796" w:name="_Toc342296375"/>
      <w:bookmarkStart w:id="1797" w:name="_Toc338944817"/>
      <w:bookmarkStart w:id="1798" w:name="_Toc117350531"/>
      <w:bookmarkStart w:id="1799" w:name="_Toc489279973"/>
      <w:bookmarkStart w:id="1800" w:name="_Toc483668191"/>
      <w:bookmarkStart w:id="1801" w:name="_Toc486580162"/>
      <w:bookmarkStart w:id="1802" w:name="_Toc490222607"/>
      <w:bookmarkStart w:id="1803" w:name="_Toc480487017"/>
      <w:bookmarkStart w:id="1804" w:name="_Toc480486845"/>
      <w:r>
        <w:rPr>
          <w:rFonts w:ascii="宋体" w:hAnsi="宋体"/>
          <w:sz w:val="24"/>
          <w:szCs w:val="20"/>
        </w:rPr>
        <w:t xml:space="preserve">17.6  </w:t>
      </w:r>
      <w:r>
        <w:rPr>
          <w:rFonts w:hint="eastAsia" w:ascii="宋体" w:hAnsi="宋体"/>
          <w:sz w:val="24"/>
          <w:szCs w:val="20"/>
        </w:rPr>
        <w:t>最终结清</w:t>
      </w:r>
      <w:bookmarkEnd w:id="1796"/>
      <w:bookmarkEnd w:id="1797"/>
      <w:bookmarkEnd w:id="1798"/>
      <w:bookmarkEnd w:id="1799"/>
      <w:bookmarkEnd w:id="1800"/>
      <w:bookmarkEnd w:id="1801"/>
      <w:bookmarkEnd w:id="1802"/>
      <w:bookmarkEnd w:id="1803"/>
      <w:bookmarkEnd w:id="1804"/>
    </w:p>
    <w:p w14:paraId="7AB7F389">
      <w:pPr>
        <w:spacing w:line="360" w:lineRule="auto"/>
        <w:ind w:firstLine="420" w:firstLineChars="200"/>
        <w:rPr>
          <w:rFonts w:hint="eastAsia" w:ascii="宋体" w:hAnsi="宋体"/>
        </w:rPr>
      </w:pPr>
      <w:r>
        <w:rPr>
          <w:rFonts w:ascii="宋体" w:hAnsi="宋体"/>
        </w:rPr>
        <w:t xml:space="preserve">17.6.1  </w:t>
      </w:r>
      <w:r>
        <w:rPr>
          <w:rFonts w:hint="eastAsia" w:ascii="宋体" w:hAnsi="宋体"/>
        </w:rPr>
        <w:t>最终结清申请单</w:t>
      </w:r>
    </w:p>
    <w:p w14:paraId="7E06D8C9">
      <w:pPr>
        <w:spacing w:line="360" w:lineRule="auto"/>
        <w:ind w:firstLine="420" w:firstLineChars="200"/>
        <w:rPr>
          <w:rFonts w:hint="eastAsia" w:ascii="宋体" w:hAnsi="宋体"/>
          <w:szCs w:val="21"/>
        </w:rPr>
      </w:pPr>
      <w:r>
        <w:rPr>
          <w:rFonts w:hint="eastAsia" w:ascii="宋体" w:hAnsi="宋体"/>
          <w:szCs w:val="21"/>
        </w:rPr>
        <w:t>（1）缺陷责任期终止证书签发后，承包人可按合同约定的份数和期限向监理人提交最终结清申请单，并提供相关证明材料。承包人提交最终结清申请单的份数和期限见合同条款专用部分。</w:t>
      </w:r>
    </w:p>
    <w:p w14:paraId="67B78756">
      <w:pPr>
        <w:spacing w:line="360" w:lineRule="auto"/>
        <w:ind w:firstLine="420" w:firstLineChars="200"/>
        <w:rPr>
          <w:rFonts w:hint="eastAsia" w:ascii="宋体" w:hAnsi="宋体"/>
          <w:szCs w:val="21"/>
        </w:rPr>
      </w:pPr>
      <w:r>
        <w:rPr>
          <w:rFonts w:hint="eastAsia" w:ascii="宋体" w:hAnsi="宋体"/>
          <w:szCs w:val="21"/>
        </w:rPr>
        <w:t>（2）发包人对最终结清申请单内容有异议的，有权要求承包人进行修正和提供补充资料，由承包人向监理人提交修正后的最终结清申请单。</w:t>
      </w:r>
    </w:p>
    <w:p w14:paraId="06CFD2E0">
      <w:pPr>
        <w:spacing w:line="360" w:lineRule="auto"/>
        <w:ind w:firstLine="420" w:firstLineChars="200"/>
        <w:rPr>
          <w:rFonts w:hint="eastAsia" w:ascii="宋体" w:hAnsi="宋体"/>
          <w:szCs w:val="21"/>
        </w:rPr>
      </w:pPr>
      <w:r>
        <w:rPr>
          <w:rFonts w:hint="eastAsia" w:ascii="宋体" w:hAnsi="宋体"/>
          <w:szCs w:val="21"/>
        </w:rPr>
        <w:t>17.6.2  最终结清证书和支付时间</w:t>
      </w:r>
    </w:p>
    <w:p w14:paraId="6DD98CAD">
      <w:pPr>
        <w:spacing w:line="360" w:lineRule="auto"/>
        <w:ind w:firstLine="420" w:firstLineChars="200"/>
        <w:rPr>
          <w:rFonts w:hint="eastAsia" w:ascii="宋体" w:hAnsi="宋体"/>
          <w:szCs w:val="21"/>
        </w:rPr>
      </w:pPr>
      <w:r>
        <w:rPr>
          <w:rFonts w:hint="eastAsia" w:ascii="宋体" w:hAnsi="宋体"/>
          <w:szCs w:val="21"/>
        </w:rPr>
        <w:t>（1）监理人收到承包人提交的最终结清申请单后的14天内，提出发包人应支付给承包人的价款等审核意见，并报送发包人审核。发包人应在收到后14天内审核完毕，由监理人向承包人出具经发包人签认的最终结清证书。</w:t>
      </w:r>
    </w:p>
    <w:p w14:paraId="4DF6B69E">
      <w:pPr>
        <w:spacing w:line="360" w:lineRule="auto"/>
        <w:ind w:firstLine="420" w:firstLineChars="200"/>
        <w:rPr>
          <w:rFonts w:hint="eastAsia" w:ascii="宋体" w:hAnsi="宋体"/>
          <w:szCs w:val="21"/>
        </w:rPr>
      </w:pPr>
      <w:r>
        <w:rPr>
          <w:rFonts w:hint="eastAsia" w:ascii="宋体" w:hAnsi="宋体"/>
          <w:szCs w:val="21"/>
        </w:rPr>
        <w:t>（2）发包人应在监理人出具最终结清证书后的14天内，将应支付款支付给承包人。</w:t>
      </w:r>
    </w:p>
    <w:p w14:paraId="0CC8A949">
      <w:pPr>
        <w:spacing w:line="360" w:lineRule="auto"/>
        <w:ind w:firstLine="420" w:firstLineChars="200"/>
        <w:rPr>
          <w:rFonts w:hint="eastAsia" w:ascii="宋体" w:hAnsi="宋体"/>
          <w:szCs w:val="21"/>
        </w:rPr>
      </w:pPr>
      <w:r>
        <w:rPr>
          <w:rFonts w:hint="eastAsia" w:ascii="宋体" w:hAnsi="宋体"/>
          <w:szCs w:val="21"/>
        </w:rPr>
        <w:t>（3）承包人对发包人签认的最终结清证书有异议的，按第24条“争议的解决”的约定办理。</w:t>
      </w:r>
    </w:p>
    <w:p w14:paraId="09131FDA">
      <w:pPr>
        <w:spacing w:line="360" w:lineRule="auto"/>
        <w:ind w:firstLine="420" w:firstLineChars="200"/>
        <w:rPr>
          <w:rFonts w:hint="eastAsia" w:ascii="宋体" w:hAnsi="宋体"/>
          <w:szCs w:val="21"/>
        </w:rPr>
      </w:pPr>
      <w:r>
        <w:rPr>
          <w:rFonts w:hint="eastAsia" w:ascii="宋体" w:hAnsi="宋体"/>
          <w:szCs w:val="21"/>
        </w:rPr>
        <w:t>（4）最终结清付款涉及政府投资资金的，按第17.3.3（4）目的约定办理。</w:t>
      </w:r>
    </w:p>
    <w:p w14:paraId="3DB9A8DD">
      <w:pPr>
        <w:keepNext/>
        <w:keepLines/>
        <w:spacing w:before="120" w:beforeLines="50" w:after="120" w:afterLines="50" w:line="360" w:lineRule="auto"/>
        <w:outlineLvl w:val="1"/>
        <w:rPr>
          <w:rFonts w:hint="eastAsia" w:ascii="宋体" w:hAnsi="宋体" w:cs="宋体"/>
          <w:sz w:val="28"/>
          <w:szCs w:val="20"/>
        </w:rPr>
      </w:pPr>
      <w:bookmarkStart w:id="1805" w:name="_Toc483668192"/>
      <w:bookmarkStart w:id="1806" w:name="_Toc117350532"/>
      <w:bookmarkStart w:id="1807" w:name="_Toc480486846"/>
      <w:bookmarkStart w:id="1808" w:name="_Toc486580163"/>
      <w:bookmarkStart w:id="1809" w:name="_Toc338944818"/>
      <w:bookmarkStart w:id="1810" w:name="_Toc342296376"/>
      <w:bookmarkStart w:id="1811" w:name="_Toc490222608"/>
      <w:bookmarkStart w:id="1812" w:name="_Toc480487018"/>
      <w:bookmarkStart w:id="1813" w:name="_Toc489279974"/>
      <w:r>
        <w:rPr>
          <w:rFonts w:ascii="宋体" w:hAnsi="宋体" w:cs="宋体"/>
          <w:sz w:val="28"/>
          <w:szCs w:val="20"/>
        </w:rPr>
        <w:t>18.</w:t>
      </w:r>
      <w:r>
        <w:rPr>
          <w:rFonts w:hint="eastAsia" w:ascii="宋体" w:hAnsi="宋体" w:cs="宋体"/>
          <w:sz w:val="28"/>
          <w:szCs w:val="20"/>
        </w:rPr>
        <w:t>竣工验收</w:t>
      </w:r>
      <w:bookmarkEnd w:id="1805"/>
      <w:bookmarkEnd w:id="1806"/>
      <w:bookmarkEnd w:id="1807"/>
      <w:bookmarkEnd w:id="1808"/>
      <w:bookmarkEnd w:id="1809"/>
      <w:bookmarkEnd w:id="1810"/>
      <w:bookmarkEnd w:id="1811"/>
      <w:bookmarkEnd w:id="1812"/>
      <w:bookmarkEnd w:id="1813"/>
    </w:p>
    <w:p w14:paraId="169008BE">
      <w:pPr>
        <w:keepNext/>
        <w:keepLines/>
        <w:spacing w:before="120" w:beforeLines="50" w:after="120" w:afterLines="50" w:line="360" w:lineRule="auto"/>
        <w:outlineLvl w:val="2"/>
        <w:rPr>
          <w:rFonts w:hint="eastAsia" w:ascii="宋体" w:hAnsi="宋体"/>
          <w:sz w:val="24"/>
          <w:szCs w:val="20"/>
        </w:rPr>
      </w:pPr>
      <w:bookmarkStart w:id="1814" w:name="_Toc489279975"/>
      <w:bookmarkStart w:id="1815" w:name="_Toc342296377"/>
      <w:bookmarkStart w:id="1816" w:name="_Toc338944819"/>
      <w:bookmarkStart w:id="1817" w:name="_Toc152042505"/>
      <w:bookmarkStart w:id="1818" w:name="_Toc480487019"/>
      <w:bookmarkStart w:id="1819" w:name="_Toc490222609"/>
      <w:bookmarkStart w:id="1820" w:name="_Toc483668193"/>
      <w:bookmarkStart w:id="1821" w:name="_Toc117350533"/>
      <w:bookmarkStart w:id="1822" w:name="_Toc486580164"/>
      <w:bookmarkStart w:id="1823" w:name="_Toc179632744"/>
      <w:bookmarkStart w:id="1824" w:name="_Toc152045726"/>
      <w:bookmarkStart w:id="1825" w:name="_Toc480486847"/>
      <w:bookmarkStart w:id="1826" w:name="_Toc144974697"/>
      <w:r>
        <w:rPr>
          <w:rFonts w:ascii="宋体" w:hAnsi="宋体"/>
          <w:sz w:val="24"/>
          <w:szCs w:val="20"/>
        </w:rPr>
        <w:t xml:space="preserve">18.1  </w:t>
      </w:r>
      <w:r>
        <w:rPr>
          <w:rFonts w:hint="eastAsia" w:ascii="宋体" w:hAnsi="宋体"/>
          <w:sz w:val="24"/>
          <w:szCs w:val="20"/>
        </w:rPr>
        <w:t>竣工验收的含义</w:t>
      </w:r>
      <w:bookmarkEnd w:id="1814"/>
      <w:bookmarkEnd w:id="1815"/>
      <w:bookmarkEnd w:id="1816"/>
      <w:bookmarkEnd w:id="1817"/>
      <w:bookmarkEnd w:id="1818"/>
      <w:bookmarkEnd w:id="1819"/>
      <w:bookmarkEnd w:id="1820"/>
      <w:bookmarkEnd w:id="1821"/>
      <w:bookmarkEnd w:id="1822"/>
      <w:bookmarkEnd w:id="1823"/>
      <w:bookmarkEnd w:id="1824"/>
      <w:bookmarkEnd w:id="1825"/>
      <w:bookmarkEnd w:id="1826"/>
    </w:p>
    <w:p w14:paraId="2EAC2E6D">
      <w:pPr>
        <w:spacing w:line="360" w:lineRule="auto"/>
        <w:ind w:firstLine="420" w:firstLineChars="200"/>
        <w:rPr>
          <w:rFonts w:hint="eastAsia" w:ascii="宋体" w:hAnsi="宋体"/>
          <w:szCs w:val="21"/>
        </w:rPr>
      </w:pPr>
      <w:r>
        <w:rPr>
          <w:rFonts w:ascii="宋体" w:hAnsi="宋体"/>
          <w:szCs w:val="21"/>
        </w:rPr>
        <w:t xml:space="preserve">18.1.1  </w:t>
      </w:r>
      <w:r>
        <w:rPr>
          <w:rFonts w:hint="eastAsia" w:ascii="宋体" w:hAnsi="宋体"/>
          <w:szCs w:val="21"/>
        </w:rPr>
        <w:t>竣工验收指承包人完成了全部合同工作后，发包人按合同要求进行的验收。</w:t>
      </w:r>
    </w:p>
    <w:p w14:paraId="1E7DD76D">
      <w:pPr>
        <w:spacing w:line="360" w:lineRule="auto"/>
        <w:ind w:firstLine="420" w:firstLineChars="200"/>
        <w:rPr>
          <w:rFonts w:hint="eastAsia" w:ascii="宋体" w:hAnsi="宋体"/>
          <w:szCs w:val="21"/>
        </w:rPr>
      </w:pPr>
      <w:r>
        <w:rPr>
          <w:rFonts w:ascii="宋体" w:hAnsi="宋体"/>
          <w:szCs w:val="21"/>
        </w:rPr>
        <w:t xml:space="preserve">18.1.2  </w:t>
      </w:r>
      <w:r>
        <w:rPr>
          <w:rFonts w:hint="eastAsia" w:ascii="宋体" w:hAnsi="宋体"/>
          <w:szCs w:val="21"/>
        </w:rPr>
        <w:t>国家验收是政府有关部门根据法律、规范、规程和政策要求，针对发包人全面组织实施的整个工程正式交付投运前的验收。</w:t>
      </w:r>
    </w:p>
    <w:p w14:paraId="5CBE438B">
      <w:pPr>
        <w:spacing w:line="360" w:lineRule="auto"/>
        <w:ind w:firstLine="420" w:firstLineChars="200"/>
        <w:rPr>
          <w:rFonts w:hint="eastAsia" w:ascii="宋体" w:hAnsi="宋体"/>
          <w:szCs w:val="21"/>
        </w:rPr>
      </w:pPr>
      <w:r>
        <w:rPr>
          <w:rFonts w:ascii="宋体" w:hAnsi="宋体"/>
          <w:szCs w:val="21"/>
        </w:rPr>
        <w:t xml:space="preserve">18.1.3  </w:t>
      </w:r>
      <w:r>
        <w:rPr>
          <w:rFonts w:hint="eastAsia" w:ascii="宋体" w:hAnsi="宋体"/>
          <w:szCs w:val="21"/>
        </w:rPr>
        <w:t>需要进行国家验收的，竣工验收是国家验收的一部分。竣工验收所采用的各项验收和评定标准应符合国家验收标准。发包人和承包人为竣工验收提供的各项竣工验收资料应符合国家验收的要求。</w:t>
      </w:r>
      <w:r>
        <w:rPr>
          <w:rFonts w:ascii="宋体" w:hAnsi="宋体"/>
          <w:szCs w:val="21"/>
        </w:rPr>
        <w:t xml:space="preserve"> </w:t>
      </w:r>
    </w:p>
    <w:p w14:paraId="0A320843">
      <w:pPr>
        <w:keepNext/>
        <w:keepLines/>
        <w:spacing w:before="120" w:beforeLines="50" w:after="120" w:afterLines="50" w:line="360" w:lineRule="auto"/>
        <w:outlineLvl w:val="2"/>
        <w:rPr>
          <w:rFonts w:hint="eastAsia" w:ascii="宋体" w:hAnsi="宋体"/>
          <w:sz w:val="24"/>
          <w:szCs w:val="20"/>
        </w:rPr>
      </w:pPr>
      <w:bookmarkStart w:id="1827" w:name="_Toc342296378"/>
      <w:bookmarkStart w:id="1828" w:name="_Toc483668194"/>
      <w:bookmarkStart w:id="1829" w:name="_Toc480486848"/>
      <w:bookmarkStart w:id="1830" w:name="_Toc117350534"/>
      <w:bookmarkStart w:id="1831" w:name="_Toc490222610"/>
      <w:bookmarkStart w:id="1832" w:name="_Toc480487020"/>
      <w:bookmarkStart w:id="1833" w:name="_Toc489279976"/>
      <w:bookmarkStart w:id="1834" w:name="_Toc486580165"/>
      <w:bookmarkStart w:id="1835" w:name="_Toc338944820"/>
      <w:r>
        <w:rPr>
          <w:rFonts w:ascii="宋体" w:hAnsi="宋体"/>
          <w:sz w:val="24"/>
          <w:szCs w:val="20"/>
        </w:rPr>
        <w:t xml:space="preserve">18.2  </w:t>
      </w:r>
      <w:r>
        <w:rPr>
          <w:rFonts w:hint="eastAsia" w:ascii="宋体" w:hAnsi="宋体"/>
          <w:sz w:val="24"/>
          <w:szCs w:val="20"/>
        </w:rPr>
        <w:t>竣工验收申请报告</w:t>
      </w:r>
      <w:bookmarkEnd w:id="1827"/>
      <w:bookmarkEnd w:id="1828"/>
      <w:bookmarkEnd w:id="1829"/>
      <w:bookmarkEnd w:id="1830"/>
      <w:bookmarkEnd w:id="1831"/>
      <w:bookmarkEnd w:id="1832"/>
      <w:bookmarkEnd w:id="1833"/>
      <w:bookmarkEnd w:id="1834"/>
      <w:bookmarkEnd w:id="1835"/>
    </w:p>
    <w:p w14:paraId="3C73A0DF">
      <w:pPr>
        <w:spacing w:line="360" w:lineRule="auto"/>
        <w:ind w:firstLine="420" w:firstLineChars="200"/>
        <w:rPr>
          <w:rFonts w:hint="eastAsia" w:ascii="宋体" w:hAnsi="宋体"/>
          <w:szCs w:val="21"/>
        </w:rPr>
      </w:pPr>
      <w:r>
        <w:rPr>
          <w:rFonts w:hint="eastAsia" w:ascii="宋体" w:hAnsi="宋体"/>
          <w:szCs w:val="21"/>
        </w:rPr>
        <w:t>当工程具备以下条件时，承包人即可向监理人报送竣工验收申请报告：</w:t>
      </w:r>
    </w:p>
    <w:p w14:paraId="3AEF5D22">
      <w:pPr>
        <w:spacing w:line="360" w:lineRule="auto"/>
        <w:ind w:firstLine="420" w:firstLineChars="200"/>
        <w:rPr>
          <w:rFonts w:hint="eastAsia" w:ascii="宋体" w:hAnsi="宋体"/>
          <w:szCs w:val="21"/>
        </w:rPr>
      </w:pPr>
      <w:r>
        <w:rPr>
          <w:rFonts w:hint="eastAsia" w:ascii="宋体" w:hAnsi="宋体"/>
          <w:szCs w:val="21"/>
        </w:rPr>
        <w:t>（</w:t>
      </w:r>
      <w:r>
        <w:rPr>
          <w:rFonts w:ascii="宋体" w:hAnsi="宋体"/>
          <w:szCs w:val="21"/>
        </w:rPr>
        <w:t>1</w:t>
      </w:r>
      <w:r>
        <w:rPr>
          <w:rFonts w:hint="eastAsia" w:ascii="宋体" w:hAnsi="宋体"/>
          <w:szCs w:val="21"/>
        </w:rPr>
        <w:t>）除监理人同意列入缺陷责任期内完成的尾工（甩项）工程和缺陷修补工作外，合同范围内的全部单位工程以及有关工作，包括合同要求的试验、试运行以及检验和验收均已完成，并符合合同要求。</w:t>
      </w:r>
    </w:p>
    <w:p w14:paraId="0BD4BE31">
      <w:pPr>
        <w:spacing w:line="360" w:lineRule="auto"/>
        <w:ind w:firstLine="420" w:firstLineChars="200"/>
        <w:rPr>
          <w:rFonts w:hint="eastAsia" w:ascii="宋体" w:hAnsi="宋体"/>
          <w:szCs w:val="21"/>
        </w:rPr>
      </w:pPr>
      <w:r>
        <w:rPr>
          <w:rFonts w:hint="eastAsia" w:ascii="宋体" w:hAnsi="宋体"/>
          <w:szCs w:val="21"/>
        </w:rPr>
        <w:t>（</w:t>
      </w:r>
      <w:r>
        <w:rPr>
          <w:rFonts w:ascii="宋体" w:hAnsi="宋体"/>
          <w:szCs w:val="21"/>
        </w:rPr>
        <w:t>2</w:t>
      </w:r>
      <w:r>
        <w:rPr>
          <w:rFonts w:hint="eastAsia" w:ascii="宋体" w:hAnsi="宋体"/>
          <w:szCs w:val="21"/>
        </w:rPr>
        <w:t>）承包人负责整理和提交的竣工验收资料应当符合工程所在地建设行政主管部门和（或）城市建设档案管理机构有关施工资料的要求，同时已按合同条款专用部分约定备齐了符合要求的竣工资料。竣工验收资料的内容和份数以及费用支付方式见合同条款专用部分。</w:t>
      </w:r>
    </w:p>
    <w:p w14:paraId="7B91134C">
      <w:pPr>
        <w:spacing w:line="360" w:lineRule="auto"/>
        <w:ind w:firstLine="420" w:firstLineChars="200"/>
        <w:rPr>
          <w:rFonts w:hint="eastAsia" w:ascii="宋体" w:hAnsi="宋体"/>
          <w:szCs w:val="21"/>
        </w:rPr>
      </w:pPr>
      <w:r>
        <w:rPr>
          <w:rFonts w:hint="eastAsia" w:ascii="宋体" w:hAnsi="宋体"/>
          <w:szCs w:val="21"/>
        </w:rPr>
        <w:t>（</w:t>
      </w:r>
      <w:r>
        <w:rPr>
          <w:rFonts w:ascii="宋体" w:hAnsi="宋体"/>
          <w:szCs w:val="21"/>
        </w:rPr>
        <w:t>3</w:t>
      </w:r>
      <w:r>
        <w:rPr>
          <w:rFonts w:hint="eastAsia" w:ascii="宋体" w:hAnsi="宋体"/>
          <w:szCs w:val="21"/>
        </w:rPr>
        <w:t>）已按监理人的要求编制了在缺陷责任期内需完成的尾工（甩项）工程，和缺陷修补工作清单等相应施工计划。</w:t>
      </w:r>
    </w:p>
    <w:p w14:paraId="079E3EFA">
      <w:pPr>
        <w:spacing w:line="360" w:lineRule="auto"/>
        <w:ind w:firstLine="420" w:firstLineChars="200"/>
        <w:rPr>
          <w:rFonts w:hint="eastAsia" w:ascii="宋体" w:hAnsi="宋体"/>
          <w:szCs w:val="21"/>
        </w:rPr>
      </w:pPr>
      <w:r>
        <w:rPr>
          <w:rFonts w:hint="eastAsia" w:ascii="宋体" w:hAnsi="宋体"/>
          <w:szCs w:val="21"/>
        </w:rPr>
        <w:t>（</w:t>
      </w:r>
      <w:r>
        <w:rPr>
          <w:rFonts w:ascii="宋体" w:hAnsi="宋体"/>
          <w:szCs w:val="21"/>
        </w:rPr>
        <w:t>4</w:t>
      </w:r>
      <w:r>
        <w:rPr>
          <w:rFonts w:hint="eastAsia" w:ascii="宋体" w:hAnsi="宋体"/>
          <w:szCs w:val="21"/>
        </w:rPr>
        <w:t>）监理人要求在竣工验收前应完成的其他工作。</w:t>
      </w:r>
    </w:p>
    <w:p w14:paraId="5CE2B3BE">
      <w:pPr>
        <w:spacing w:line="360" w:lineRule="auto"/>
        <w:ind w:firstLine="420" w:firstLineChars="200"/>
        <w:rPr>
          <w:rFonts w:hint="eastAsia" w:ascii="宋体" w:hAnsi="宋体"/>
          <w:szCs w:val="21"/>
        </w:rPr>
      </w:pPr>
      <w:r>
        <w:rPr>
          <w:rFonts w:hint="eastAsia" w:ascii="宋体" w:hAnsi="宋体"/>
          <w:szCs w:val="21"/>
        </w:rPr>
        <w:t>（</w:t>
      </w:r>
      <w:r>
        <w:rPr>
          <w:rFonts w:ascii="宋体" w:hAnsi="宋体"/>
          <w:szCs w:val="21"/>
        </w:rPr>
        <w:t>5</w:t>
      </w:r>
      <w:r>
        <w:rPr>
          <w:rFonts w:hint="eastAsia" w:ascii="宋体" w:hAnsi="宋体"/>
          <w:szCs w:val="21"/>
        </w:rPr>
        <w:t>）监理人要求提交的竣工验收资料清单。</w:t>
      </w:r>
    </w:p>
    <w:p w14:paraId="00165F56">
      <w:pPr>
        <w:keepNext/>
        <w:keepLines/>
        <w:spacing w:before="120" w:beforeLines="50" w:after="120" w:afterLines="50" w:line="360" w:lineRule="auto"/>
        <w:outlineLvl w:val="2"/>
        <w:rPr>
          <w:rFonts w:hint="eastAsia" w:ascii="宋体" w:hAnsi="宋体"/>
          <w:sz w:val="24"/>
          <w:szCs w:val="20"/>
        </w:rPr>
      </w:pPr>
      <w:bookmarkStart w:id="1836" w:name="_Toc489279977"/>
      <w:bookmarkStart w:id="1837" w:name="_Toc117350535"/>
      <w:bookmarkStart w:id="1838" w:name="_Toc483668195"/>
      <w:bookmarkStart w:id="1839" w:name="_Toc480486849"/>
      <w:bookmarkStart w:id="1840" w:name="_Toc490222611"/>
      <w:bookmarkStart w:id="1841" w:name="_Toc338944821"/>
      <w:bookmarkStart w:id="1842" w:name="_Toc480487021"/>
      <w:bookmarkStart w:id="1843" w:name="_Toc342296379"/>
      <w:bookmarkStart w:id="1844" w:name="_Toc486580166"/>
      <w:r>
        <w:rPr>
          <w:rFonts w:ascii="宋体" w:hAnsi="宋体"/>
          <w:sz w:val="24"/>
          <w:szCs w:val="20"/>
        </w:rPr>
        <w:t xml:space="preserve">18.3  </w:t>
      </w:r>
      <w:r>
        <w:rPr>
          <w:rFonts w:hint="eastAsia" w:ascii="宋体" w:hAnsi="宋体"/>
          <w:sz w:val="24"/>
          <w:szCs w:val="20"/>
        </w:rPr>
        <w:t>验收</w:t>
      </w:r>
      <w:bookmarkEnd w:id="1836"/>
      <w:bookmarkEnd w:id="1837"/>
      <w:bookmarkEnd w:id="1838"/>
      <w:bookmarkEnd w:id="1839"/>
      <w:bookmarkEnd w:id="1840"/>
      <w:bookmarkEnd w:id="1841"/>
      <w:bookmarkEnd w:id="1842"/>
      <w:bookmarkEnd w:id="1843"/>
      <w:bookmarkEnd w:id="1844"/>
    </w:p>
    <w:p w14:paraId="75541B83">
      <w:pPr>
        <w:spacing w:line="360" w:lineRule="auto"/>
        <w:ind w:firstLine="420" w:firstLineChars="200"/>
        <w:rPr>
          <w:rFonts w:hint="eastAsia" w:ascii="宋体" w:hAnsi="宋体"/>
          <w:szCs w:val="21"/>
        </w:rPr>
      </w:pPr>
      <w:r>
        <w:rPr>
          <w:rFonts w:hint="eastAsia" w:ascii="宋体" w:hAnsi="宋体"/>
          <w:szCs w:val="21"/>
        </w:rPr>
        <w:t>监理人收到承包人按第</w:t>
      </w:r>
      <w:r>
        <w:rPr>
          <w:rFonts w:ascii="宋体" w:hAnsi="宋体"/>
          <w:szCs w:val="21"/>
        </w:rPr>
        <w:t>18.2</w:t>
      </w:r>
      <w:r>
        <w:rPr>
          <w:rFonts w:hint="eastAsia" w:ascii="宋体" w:hAnsi="宋体"/>
          <w:szCs w:val="21"/>
        </w:rPr>
        <w:t>款约定提交的竣工验收申请报告后，应审查申请报告的各项内容，并按以下不同情况进行处理。</w:t>
      </w:r>
    </w:p>
    <w:p w14:paraId="36B0766A">
      <w:pPr>
        <w:spacing w:line="360" w:lineRule="auto"/>
        <w:ind w:firstLine="420" w:firstLineChars="200"/>
        <w:rPr>
          <w:rFonts w:hint="eastAsia" w:ascii="宋体" w:hAnsi="宋体"/>
          <w:szCs w:val="21"/>
        </w:rPr>
      </w:pPr>
      <w:r>
        <w:rPr>
          <w:rFonts w:ascii="宋体" w:hAnsi="宋体"/>
          <w:szCs w:val="21"/>
        </w:rPr>
        <w:t xml:space="preserve">18.3.1  </w:t>
      </w:r>
      <w:r>
        <w:rPr>
          <w:rFonts w:hint="eastAsia" w:ascii="宋体" w:hAnsi="宋体"/>
          <w:szCs w:val="21"/>
        </w:rPr>
        <w:t>监理人审查后认为尚不具备竣工验收条件的，应在收到竣工验收申请报告后的</w:t>
      </w:r>
      <w:r>
        <w:rPr>
          <w:rFonts w:ascii="宋体" w:hAnsi="宋体"/>
          <w:szCs w:val="21"/>
        </w:rPr>
        <w:t>28</w:t>
      </w:r>
      <w:r>
        <w:rPr>
          <w:rFonts w:hint="eastAsia" w:ascii="宋体" w:hAnsi="宋体"/>
          <w:szCs w:val="21"/>
        </w:rPr>
        <w:t>天内通知承包人，并指出在颁发接收证书前承包人需进行的工作内容。承包人完成监理人通知的全部工作内容后，应再次提交竣工验收申请报告，直至监理人同意为止。</w:t>
      </w:r>
    </w:p>
    <w:p w14:paraId="2ABB9182">
      <w:pPr>
        <w:spacing w:line="360" w:lineRule="auto"/>
        <w:ind w:firstLine="420" w:firstLineChars="200"/>
        <w:rPr>
          <w:rFonts w:hint="eastAsia" w:ascii="宋体" w:hAnsi="宋体"/>
          <w:szCs w:val="21"/>
        </w:rPr>
      </w:pPr>
      <w:r>
        <w:rPr>
          <w:rFonts w:ascii="宋体" w:hAnsi="宋体"/>
          <w:szCs w:val="21"/>
        </w:rPr>
        <w:t xml:space="preserve">18.3.2  </w:t>
      </w:r>
      <w:r>
        <w:rPr>
          <w:rFonts w:hint="eastAsia" w:ascii="宋体" w:hAnsi="宋体"/>
          <w:szCs w:val="21"/>
        </w:rPr>
        <w:t>监理人审查后认为已具备竣工验收条件的，应在收到竣工验收申请报告后的</w:t>
      </w:r>
      <w:r>
        <w:rPr>
          <w:rFonts w:ascii="宋体" w:hAnsi="宋体"/>
          <w:szCs w:val="21"/>
        </w:rPr>
        <w:t>28</w:t>
      </w:r>
      <w:r>
        <w:rPr>
          <w:rFonts w:hint="eastAsia" w:ascii="宋体" w:hAnsi="宋体"/>
          <w:szCs w:val="21"/>
        </w:rPr>
        <w:t>天内提请发包人进行工程验收。</w:t>
      </w:r>
    </w:p>
    <w:p w14:paraId="78C9E943">
      <w:pPr>
        <w:spacing w:line="360" w:lineRule="auto"/>
        <w:ind w:firstLine="420" w:firstLineChars="200"/>
        <w:rPr>
          <w:rFonts w:hint="eastAsia" w:ascii="宋体" w:hAnsi="宋体"/>
          <w:szCs w:val="21"/>
        </w:rPr>
      </w:pPr>
      <w:r>
        <w:rPr>
          <w:rFonts w:ascii="宋体" w:hAnsi="宋体"/>
          <w:szCs w:val="21"/>
        </w:rPr>
        <w:t xml:space="preserve">18.3.3  </w:t>
      </w:r>
      <w:r>
        <w:rPr>
          <w:rFonts w:hint="eastAsia" w:ascii="宋体" w:hAnsi="宋体"/>
          <w:szCs w:val="21"/>
        </w:rPr>
        <w:t>发包人经过验收后同意接受工程的，应在监理人收到竣工验收申请报告后的</w:t>
      </w:r>
      <w:r>
        <w:rPr>
          <w:rFonts w:ascii="宋体" w:hAnsi="宋体"/>
          <w:szCs w:val="21"/>
        </w:rPr>
        <w:t>56</w:t>
      </w:r>
      <w:r>
        <w:rPr>
          <w:rFonts w:hint="eastAsia" w:ascii="宋体" w:hAnsi="宋体"/>
          <w:szCs w:val="21"/>
        </w:rPr>
        <w:t>天内，由监理人向承包人出具经发包人签认的工程接收证书。发包人验收后同意接收工程，但提出整修和完善要求的，限期修好，并缓发工程接收证书。整修和完善工作完成后，监理人复查达到要求的，经发包人同意后，再向承包人出具工程接收证书。</w:t>
      </w:r>
    </w:p>
    <w:p w14:paraId="7506A2A7">
      <w:pPr>
        <w:spacing w:line="360" w:lineRule="auto"/>
        <w:ind w:firstLine="420" w:firstLineChars="200"/>
        <w:rPr>
          <w:rFonts w:hint="eastAsia" w:ascii="宋体" w:hAnsi="宋体"/>
          <w:szCs w:val="21"/>
        </w:rPr>
      </w:pPr>
      <w:r>
        <w:rPr>
          <w:rFonts w:ascii="宋体" w:hAnsi="宋体"/>
          <w:szCs w:val="21"/>
        </w:rPr>
        <w:t xml:space="preserve">18.3.4  </w:t>
      </w:r>
      <w:r>
        <w:rPr>
          <w:rFonts w:hint="eastAsia" w:ascii="宋体" w:hAnsi="宋体"/>
          <w:szCs w:val="21"/>
        </w:rPr>
        <w:t>发包人验收后不同意接收工程的，监理人应按照发包人的验收意见发出指示，要求承包人对不合格工程认真返工重作或进行补救处理，并承担由此产生的费用。承包人在完成不合格工程的返工重作或补救工作后，应重新提交竣工验收申请报告，按第</w:t>
      </w:r>
      <w:r>
        <w:rPr>
          <w:rFonts w:ascii="宋体" w:hAnsi="宋体"/>
          <w:szCs w:val="21"/>
        </w:rPr>
        <w:t>18.3.1</w:t>
      </w:r>
      <w:r>
        <w:rPr>
          <w:rFonts w:hint="eastAsia" w:ascii="宋体" w:hAnsi="宋体"/>
          <w:szCs w:val="21"/>
        </w:rPr>
        <w:t>项、第</w:t>
      </w:r>
      <w:r>
        <w:rPr>
          <w:rFonts w:ascii="宋体" w:hAnsi="宋体"/>
          <w:szCs w:val="21"/>
        </w:rPr>
        <w:t>18.3.2</w:t>
      </w:r>
      <w:r>
        <w:rPr>
          <w:rFonts w:hint="eastAsia" w:ascii="宋体" w:hAnsi="宋体"/>
          <w:szCs w:val="21"/>
        </w:rPr>
        <w:t>项和第</w:t>
      </w:r>
      <w:r>
        <w:rPr>
          <w:rFonts w:ascii="宋体" w:hAnsi="宋体"/>
          <w:szCs w:val="21"/>
        </w:rPr>
        <w:t>18.3.3</w:t>
      </w:r>
      <w:r>
        <w:rPr>
          <w:rFonts w:hint="eastAsia" w:ascii="宋体" w:hAnsi="宋体"/>
          <w:szCs w:val="21"/>
        </w:rPr>
        <w:t>项的约定进行。</w:t>
      </w:r>
    </w:p>
    <w:p w14:paraId="1A9ACF7D">
      <w:pPr>
        <w:spacing w:line="360" w:lineRule="auto"/>
        <w:ind w:firstLine="420" w:firstLineChars="200"/>
        <w:rPr>
          <w:rFonts w:hint="eastAsia" w:ascii="宋体" w:hAnsi="宋体"/>
          <w:szCs w:val="21"/>
        </w:rPr>
      </w:pPr>
      <w:r>
        <w:rPr>
          <w:rFonts w:ascii="宋体" w:hAnsi="宋体"/>
          <w:szCs w:val="21"/>
        </w:rPr>
        <w:t xml:space="preserve">18.3.5  </w:t>
      </w:r>
      <w:r>
        <w:rPr>
          <w:rFonts w:hint="eastAsia" w:ascii="宋体" w:hAnsi="宋体"/>
          <w:szCs w:val="21"/>
        </w:rPr>
        <w:t>经验收合格的工程</w:t>
      </w:r>
      <w:r>
        <w:rPr>
          <w:rFonts w:ascii="宋体" w:hAnsi="宋体"/>
          <w:szCs w:val="21"/>
        </w:rPr>
        <w:t xml:space="preserve">, </w:t>
      </w:r>
      <w:r>
        <w:rPr>
          <w:rFonts w:hint="eastAsia" w:ascii="宋体" w:hAnsi="宋体"/>
          <w:szCs w:val="21"/>
        </w:rPr>
        <w:t>实际竣工日期为承包人按照第</w:t>
      </w:r>
      <w:r>
        <w:rPr>
          <w:rFonts w:ascii="宋体" w:hAnsi="宋体"/>
          <w:szCs w:val="21"/>
        </w:rPr>
        <w:t>18.2</w:t>
      </w:r>
      <w:r>
        <w:rPr>
          <w:rFonts w:hint="eastAsia" w:ascii="宋体" w:hAnsi="宋体"/>
          <w:szCs w:val="21"/>
        </w:rPr>
        <w:t>款提交竣工验收申请报告或按照本款重新提交竣工验收申请报告的日期（以两者中时间在后者为准）。</w:t>
      </w:r>
    </w:p>
    <w:p w14:paraId="4016BAC3">
      <w:pPr>
        <w:spacing w:line="360" w:lineRule="auto"/>
        <w:ind w:firstLine="480" w:firstLineChars="200"/>
        <w:rPr>
          <w:rFonts w:hint="eastAsia" w:ascii="宋体" w:hAnsi="宋体"/>
          <w:sz w:val="24"/>
          <w:szCs w:val="20"/>
        </w:rPr>
      </w:pPr>
      <w:bookmarkStart w:id="1845" w:name="_Toc117350537"/>
      <w:bookmarkStart w:id="1846" w:name="_Toc480486851"/>
      <w:bookmarkStart w:id="1847" w:name="_Toc486580168"/>
      <w:bookmarkStart w:id="1848" w:name="_Toc490222613"/>
      <w:bookmarkStart w:id="1849" w:name="_Toc342296381"/>
      <w:bookmarkStart w:id="1850" w:name="_Toc480487023"/>
      <w:bookmarkStart w:id="1851" w:name="_Toc483668197"/>
      <w:bookmarkStart w:id="1852" w:name="_Toc338944823"/>
      <w:bookmarkStart w:id="1853" w:name="_Toc489279979"/>
      <w:r>
        <w:rPr>
          <w:rFonts w:hint="eastAsia" w:ascii="宋体" w:hAnsi="宋体"/>
          <w:sz w:val="24"/>
          <w:szCs w:val="20"/>
        </w:rPr>
        <w:t>18.4  单位工程验收</w:t>
      </w:r>
    </w:p>
    <w:p w14:paraId="4307A833">
      <w:pPr>
        <w:spacing w:line="360" w:lineRule="auto"/>
        <w:ind w:firstLine="480" w:firstLineChars="200"/>
        <w:rPr>
          <w:rFonts w:hint="eastAsia" w:ascii="宋体" w:hAnsi="宋体"/>
          <w:sz w:val="24"/>
          <w:szCs w:val="20"/>
        </w:rPr>
      </w:pPr>
      <w:r>
        <w:rPr>
          <w:rFonts w:hint="eastAsia" w:ascii="宋体" w:hAnsi="宋体"/>
          <w:sz w:val="24"/>
          <w:szCs w:val="20"/>
        </w:rPr>
        <w:t>18.4.1  发包人根据合同进度计划安排，在全部工程竣工前需要使用已经竣工的单位工程时，或承包人提出经发包人同意时，可进行单位工程验收。验收的程序可参照第18.2款与第18.3款的约定进行。验收合格后，由监理人向承包人出具经发包人签认的单位工程验收证书。已签发单位工程接收证书的单位工程由发包人负责照管。单位工程的验收成果和结论作为全部工程竣工验收申请报告的附件。</w:t>
      </w:r>
    </w:p>
    <w:p w14:paraId="17CC92CF">
      <w:pPr>
        <w:spacing w:line="360" w:lineRule="auto"/>
        <w:ind w:firstLine="480" w:firstLineChars="200"/>
        <w:rPr>
          <w:rFonts w:hint="eastAsia" w:ascii="宋体" w:hAnsi="宋体"/>
          <w:sz w:val="24"/>
          <w:szCs w:val="20"/>
        </w:rPr>
      </w:pPr>
      <w:r>
        <w:rPr>
          <w:rFonts w:hint="eastAsia" w:ascii="宋体" w:hAnsi="宋体"/>
          <w:sz w:val="24"/>
          <w:szCs w:val="20"/>
        </w:rPr>
        <w:t>18.4.2  发包人在全部工程竣工前，使用已接收的单位工程导致承包人费用增加的，发包人应承担由此增加的费用和（或）工期延误。</w:t>
      </w:r>
    </w:p>
    <w:p w14:paraId="1E28C05B">
      <w:pPr>
        <w:spacing w:line="360" w:lineRule="auto"/>
        <w:ind w:firstLine="480" w:firstLineChars="200"/>
        <w:rPr>
          <w:rFonts w:hint="eastAsia" w:ascii="宋体" w:hAnsi="宋体"/>
          <w:sz w:val="24"/>
          <w:szCs w:val="20"/>
        </w:rPr>
      </w:pPr>
      <w:r>
        <w:rPr>
          <w:rFonts w:ascii="宋体" w:hAnsi="宋体"/>
          <w:sz w:val="24"/>
          <w:szCs w:val="20"/>
        </w:rPr>
        <w:t xml:space="preserve">18.5  </w:t>
      </w:r>
      <w:r>
        <w:rPr>
          <w:rFonts w:hint="eastAsia" w:ascii="宋体" w:hAnsi="宋体"/>
          <w:sz w:val="24"/>
          <w:szCs w:val="20"/>
        </w:rPr>
        <w:t>施工期运行</w:t>
      </w:r>
      <w:bookmarkEnd w:id="1845"/>
      <w:bookmarkEnd w:id="1846"/>
      <w:bookmarkEnd w:id="1847"/>
      <w:bookmarkEnd w:id="1848"/>
      <w:bookmarkEnd w:id="1849"/>
      <w:bookmarkEnd w:id="1850"/>
      <w:bookmarkEnd w:id="1851"/>
      <w:bookmarkEnd w:id="1852"/>
      <w:bookmarkEnd w:id="1853"/>
    </w:p>
    <w:p w14:paraId="1C681C88">
      <w:pPr>
        <w:spacing w:line="360" w:lineRule="auto"/>
        <w:ind w:firstLine="420" w:firstLineChars="200"/>
        <w:rPr>
          <w:rFonts w:hint="eastAsia" w:ascii="宋体" w:hAnsi="宋体"/>
        </w:rPr>
      </w:pPr>
      <w:r>
        <w:rPr>
          <w:rFonts w:ascii="宋体" w:hAnsi="宋体"/>
        </w:rPr>
        <w:t xml:space="preserve">18.5.1  </w:t>
      </w:r>
      <w:r>
        <w:rPr>
          <w:rFonts w:hint="eastAsia" w:ascii="宋体" w:hAnsi="宋体"/>
        </w:rPr>
        <w:t>施工期运行是指合同工程尚未全部竣工，其中某项或某几项单位工程或工程设备安装已竣工，根据合同条款专用部分约定，需要投入施工期运行的，经发包人按第</w:t>
      </w:r>
      <w:r>
        <w:rPr>
          <w:rFonts w:ascii="宋体" w:hAnsi="宋体"/>
        </w:rPr>
        <w:t>18.4</w:t>
      </w:r>
      <w:r>
        <w:rPr>
          <w:rFonts w:hint="eastAsia" w:ascii="宋体" w:hAnsi="宋体"/>
        </w:rPr>
        <w:t>款的约定验收合格，证明能确保安全后，才能在施工期投入运行。</w:t>
      </w:r>
    </w:p>
    <w:p w14:paraId="611B4D18">
      <w:pPr>
        <w:spacing w:line="360" w:lineRule="auto"/>
        <w:ind w:firstLine="420" w:firstLineChars="200"/>
        <w:rPr>
          <w:rFonts w:hint="eastAsia" w:ascii="宋体" w:hAnsi="宋体"/>
        </w:rPr>
      </w:pPr>
      <w:r>
        <w:rPr>
          <w:rFonts w:ascii="宋体" w:hAnsi="宋体"/>
        </w:rPr>
        <w:t xml:space="preserve">18.5.2  </w:t>
      </w:r>
      <w:r>
        <w:rPr>
          <w:rFonts w:hint="eastAsia" w:ascii="宋体" w:hAnsi="宋体"/>
        </w:rPr>
        <w:t>在施工期运行中发现工程或工程设备损坏或存在缺陷的，由承包人按第</w:t>
      </w:r>
      <w:r>
        <w:rPr>
          <w:rFonts w:ascii="宋体" w:hAnsi="宋体"/>
        </w:rPr>
        <w:t>19.2</w:t>
      </w:r>
      <w:r>
        <w:rPr>
          <w:rFonts w:hint="eastAsia" w:ascii="宋体" w:hAnsi="宋体"/>
        </w:rPr>
        <w:t>款约定进行修复。</w:t>
      </w:r>
    </w:p>
    <w:p w14:paraId="6F697AB1">
      <w:pPr>
        <w:keepNext/>
        <w:keepLines/>
        <w:spacing w:before="120" w:beforeLines="50" w:after="120" w:afterLines="50" w:line="360" w:lineRule="auto"/>
        <w:outlineLvl w:val="2"/>
        <w:rPr>
          <w:rFonts w:hint="eastAsia" w:ascii="宋体" w:hAnsi="宋体"/>
          <w:sz w:val="24"/>
          <w:szCs w:val="20"/>
        </w:rPr>
      </w:pPr>
      <w:bookmarkStart w:id="1854" w:name="_Toc483668198"/>
      <w:bookmarkStart w:id="1855" w:name="_Toc486580169"/>
      <w:bookmarkStart w:id="1856" w:name="_Toc342296382"/>
      <w:bookmarkStart w:id="1857" w:name="_Toc480487024"/>
      <w:bookmarkStart w:id="1858" w:name="_Toc338944824"/>
      <w:bookmarkStart w:id="1859" w:name="_Toc117350538"/>
      <w:bookmarkStart w:id="1860" w:name="_Toc480486852"/>
      <w:bookmarkStart w:id="1861" w:name="_Toc489279980"/>
      <w:bookmarkStart w:id="1862" w:name="_Toc490222614"/>
      <w:r>
        <w:rPr>
          <w:rFonts w:ascii="宋体" w:hAnsi="宋体"/>
          <w:sz w:val="24"/>
          <w:szCs w:val="20"/>
        </w:rPr>
        <w:t xml:space="preserve">18.6  </w:t>
      </w:r>
      <w:r>
        <w:rPr>
          <w:rFonts w:hint="eastAsia" w:ascii="宋体" w:hAnsi="宋体"/>
          <w:sz w:val="24"/>
          <w:szCs w:val="20"/>
        </w:rPr>
        <w:t>试运行</w:t>
      </w:r>
      <w:bookmarkEnd w:id="1854"/>
      <w:bookmarkEnd w:id="1855"/>
      <w:bookmarkEnd w:id="1856"/>
      <w:bookmarkEnd w:id="1857"/>
      <w:bookmarkEnd w:id="1858"/>
      <w:bookmarkEnd w:id="1859"/>
      <w:bookmarkEnd w:id="1860"/>
      <w:bookmarkEnd w:id="1861"/>
      <w:bookmarkEnd w:id="1862"/>
    </w:p>
    <w:p w14:paraId="3C94C47F">
      <w:pPr>
        <w:spacing w:line="360" w:lineRule="auto"/>
        <w:ind w:firstLine="420" w:firstLineChars="200"/>
        <w:rPr>
          <w:rFonts w:hint="eastAsia" w:ascii="宋体" w:hAnsi="宋体"/>
          <w:szCs w:val="21"/>
        </w:rPr>
      </w:pPr>
      <w:r>
        <w:rPr>
          <w:rFonts w:ascii="宋体" w:hAnsi="宋体"/>
          <w:szCs w:val="21"/>
        </w:rPr>
        <w:t xml:space="preserve">18.6.1  </w:t>
      </w:r>
      <w:r>
        <w:rPr>
          <w:rFonts w:hint="eastAsia" w:ascii="宋体" w:hAnsi="宋体"/>
          <w:szCs w:val="21"/>
        </w:rPr>
        <w:t>工程及工程设备试运行的组织与费用承担</w:t>
      </w:r>
    </w:p>
    <w:p w14:paraId="32432111">
      <w:pPr>
        <w:spacing w:line="360" w:lineRule="auto"/>
        <w:ind w:firstLine="420" w:firstLineChars="200"/>
        <w:rPr>
          <w:rFonts w:hint="eastAsia" w:ascii="宋体" w:hAnsi="宋体"/>
          <w:szCs w:val="21"/>
        </w:rPr>
      </w:pPr>
      <w:r>
        <w:rPr>
          <w:rFonts w:hint="eastAsia" w:ascii="宋体" w:hAnsi="宋体"/>
          <w:szCs w:val="21"/>
        </w:rPr>
        <w:t>（</w:t>
      </w:r>
      <w:r>
        <w:rPr>
          <w:rFonts w:ascii="宋体" w:hAnsi="宋体"/>
          <w:szCs w:val="21"/>
        </w:rPr>
        <w:t>1</w:t>
      </w:r>
      <w:r>
        <w:rPr>
          <w:rFonts w:hint="eastAsia" w:ascii="宋体" w:hAnsi="宋体"/>
          <w:szCs w:val="21"/>
        </w:rPr>
        <w:t>）工程设备安装具备单机无负荷试运行条件，由承包人组织试运行，费用由承包人承担。</w:t>
      </w:r>
    </w:p>
    <w:p w14:paraId="5458565A">
      <w:pPr>
        <w:spacing w:line="360" w:lineRule="auto"/>
        <w:ind w:firstLine="420" w:firstLineChars="200"/>
        <w:rPr>
          <w:rFonts w:hint="eastAsia" w:ascii="宋体" w:hAnsi="宋体"/>
          <w:szCs w:val="21"/>
        </w:rPr>
      </w:pPr>
      <w:r>
        <w:rPr>
          <w:rFonts w:hint="eastAsia" w:ascii="宋体" w:hAnsi="宋体"/>
          <w:szCs w:val="21"/>
        </w:rPr>
        <w:t>（</w:t>
      </w:r>
      <w:r>
        <w:rPr>
          <w:rFonts w:ascii="宋体" w:hAnsi="宋体"/>
          <w:szCs w:val="21"/>
        </w:rPr>
        <w:t>2</w:t>
      </w:r>
      <w:r>
        <w:rPr>
          <w:rFonts w:hint="eastAsia" w:ascii="宋体" w:hAnsi="宋体"/>
          <w:szCs w:val="21"/>
        </w:rPr>
        <w:t>）工程设备安装具备无负荷联动试运行条件，由发包人组织试运行，费用由发包人承担。</w:t>
      </w:r>
    </w:p>
    <w:p w14:paraId="5BF597FB">
      <w:pPr>
        <w:spacing w:line="360" w:lineRule="auto"/>
        <w:ind w:firstLine="420" w:firstLineChars="200"/>
        <w:rPr>
          <w:rFonts w:hint="eastAsia" w:ascii="宋体" w:hAnsi="宋体"/>
          <w:szCs w:val="21"/>
        </w:rPr>
      </w:pPr>
      <w:r>
        <w:rPr>
          <w:rFonts w:hint="eastAsia" w:ascii="宋体" w:hAnsi="宋体"/>
          <w:szCs w:val="21"/>
        </w:rPr>
        <w:t>（</w:t>
      </w:r>
      <w:r>
        <w:rPr>
          <w:rFonts w:ascii="宋体" w:hAnsi="宋体"/>
          <w:szCs w:val="21"/>
        </w:rPr>
        <w:t>3</w:t>
      </w:r>
      <w:r>
        <w:rPr>
          <w:rFonts w:hint="eastAsia" w:ascii="宋体" w:hAnsi="宋体"/>
          <w:szCs w:val="21"/>
        </w:rPr>
        <w:t>）投料试运行应在工程竣工验收后由发包人负责，如发包人要求在工程竣工验收前进行或需要承包人配合时，应征得承包人同意，另行签订补充协议。</w:t>
      </w:r>
    </w:p>
    <w:p w14:paraId="77D4577D">
      <w:pPr>
        <w:spacing w:line="360" w:lineRule="auto"/>
        <w:ind w:firstLine="420" w:firstLineChars="200"/>
        <w:rPr>
          <w:rFonts w:hint="eastAsia" w:ascii="宋体" w:hAnsi="宋体"/>
          <w:szCs w:val="21"/>
        </w:rPr>
      </w:pPr>
      <w:r>
        <w:rPr>
          <w:rFonts w:ascii="宋体" w:hAnsi="宋体"/>
          <w:szCs w:val="21"/>
        </w:rPr>
        <w:t xml:space="preserve">18.6.2  </w:t>
      </w:r>
      <w:r>
        <w:rPr>
          <w:rFonts w:hint="eastAsia" w:ascii="宋体" w:hAnsi="宋体"/>
          <w:szCs w:val="21"/>
        </w:rPr>
        <w:t>由于承包人的原因导致试运行失败的，承包人应采取措施保证试运行合格，并承担相应费用。由于发包人的原因导致试运行失败的，承包人应当采取措施保证试运行合格，发包人应承担由此产生的费用。</w:t>
      </w:r>
    </w:p>
    <w:p w14:paraId="282D586A">
      <w:pPr>
        <w:keepNext/>
        <w:keepLines/>
        <w:spacing w:before="120" w:beforeLines="50" w:after="120" w:afterLines="50" w:line="360" w:lineRule="auto"/>
        <w:outlineLvl w:val="2"/>
        <w:rPr>
          <w:rFonts w:hint="eastAsia" w:ascii="宋体" w:hAnsi="宋体"/>
          <w:sz w:val="24"/>
          <w:szCs w:val="20"/>
        </w:rPr>
      </w:pPr>
      <w:bookmarkStart w:id="1863" w:name="_Toc117350539"/>
      <w:bookmarkStart w:id="1864" w:name="_Toc486580170"/>
      <w:bookmarkStart w:id="1865" w:name="_Toc490222615"/>
      <w:bookmarkStart w:id="1866" w:name="_Toc480487025"/>
      <w:bookmarkStart w:id="1867" w:name="_Toc480486853"/>
      <w:bookmarkStart w:id="1868" w:name="_Toc338944825"/>
      <w:bookmarkStart w:id="1869" w:name="_Toc489279981"/>
      <w:bookmarkStart w:id="1870" w:name="_Toc483668199"/>
      <w:bookmarkStart w:id="1871" w:name="_Toc342296383"/>
      <w:r>
        <w:rPr>
          <w:rFonts w:ascii="宋体" w:hAnsi="宋体"/>
          <w:sz w:val="24"/>
          <w:szCs w:val="20"/>
        </w:rPr>
        <w:t xml:space="preserve">18.7  </w:t>
      </w:r>
      <w:r>
        <w:rPr>
          <w:rFonts w:hint="eastAsia" w:ascii="宋体" w:hAnsi="宋体"/>
          <w:sz w:val="24"/>
          <w:szCs w:val="20"/>
        </w:rPr>
        <w:t>竣工清场</w:t>
      </w:r>
      <w:bookmarkEnd w:id="1863"/>
      <w:bookmarkEnd w:id="1864"/>
      <w:bookmarkEnd w:id="1865"/>
      <w:bookmarkEnd w:id="1866"/>
      <w:bookmarkEnd w:id="1867"/>
      <w:bookmarkEnd w:id="1868"/>
      <w:bookmarkEnd w:id="1869"/>
      <w:bookmarkEnd w:id="1870"/>
      <w:bookmarkEnd w:id="1871"/>
    </w:p>
    <w:p w14:paraId="6EA593AD">
      <w:pPr>
        <w:spacing w:line="360" w:lineRule="auto"/>
        <w:ind w:firstLine="420" w:firstLineChars="200"/>
        <w:rPr>
          <w:rFonts w:hint="eastAsia" w:ascii="宋体" w:hAnsi="宋体"/>
          <w:szCs w:val="21"/>
        </w:rPr>
      </w:pPr>
      <w:r>
        <w:rPr>
          <w:rFonts w:ascii="宋体" w:hAnsi="宋体"/>
          <w:szCs w:val="21"/>
        </w:rPr>
        <w:t xml:space="preserve">18.7.1  </w:t>
      </w:r>
      <w:r>
        <w:rPr>
          <w:rFonts w:hint="eastAsia" w:ascii="宋体" w:hAnsi="宋体"/>
          <w:szCs w:val="21"/>
        </w:rPr>
        <w:t>监理人颁发（出具）工程接收证书后，承包人负责按照以下要求对施工场地进行清理，直至监理人检验合格为止。竣工清场费用由承包人承担。</w:t>
      </w:r>
    </w:p>
    <w:p w14:paraId="611F4463">
      <w:pPr>
        <w:spacing w:line="360" w:lineRule="auto"/>
        <w:ind w:firstLine="420" w:firstLineChars="200"/>
        <w:rPr>
          <w:rFonts w:hint="eastAsia" w:ascii="宋体" w:hAnsi="宋体"/>
          <w:szCs w:val="21"/>
        </w:rPr>
      </w:pPr>
      <w:r>
        <w:rPr>
          <w:rFonts w:hint="eastAsia" w:ascii="宋体" w:hAnsi="宋体"/>
          <w:szCs w:val="21"/>
        </w:rPr>
        <w:t>（</w:t>
      </w:r>
      <w:r>
        <w:rPr>
          <w:rFonts w:ascii="宋体" w:hAnsi="宋体"/>
          <w:szCs w:val="21"/>
        </w:rPr>
        <w:t>1</w:t>
      </w:r>
      <w:r>
        <w:rPr>
          <w:rFonts w:hint="eastAsia" w:ascii="宋体" w:hAnsi="宋体"/>
          <w:szCs w:val="21"/>
        </w:rPr>
        <w:t>）施工场地内残留的垃圾已全部清除出场；</w:t>
      </w:r>
    </w:p>
    <w:p w14:paraId="078F8394">
      <w:pPr>
        <w:spacing w:line="360" w:lineRule="auto"/>
        <w:ind w:firstLine="420" w:firstLineChars="200"/>
        <w:rPr>
          <w:rFonts w:hint="eastAsia" w:ascii="宋体" w:hAnsi="宋体"/>
          <w:szCs w:val="21"/>
        </w:rPr>
      </w:pPr>
      <w:r>
        <w:rPr>
          <w:rFonts w:hint="eastAsia" w:ascii="宋体" w:hAnsi="宋体"/>
          <w:szCs w:val="21"/>
        </w:rPr>
        <w:t>（</w:t>
      </w:r>
      <w:r>
        <w:rPr>
          <w:rFonts w:ascii="宋体" w:hAnsi="宋体"/>
          <w:szCs w:val="21"/>
        </w:rPr>
        <w:t>2</w:t>
      </w:r>
      <w:r>
        <w:rPr>
          <w:rFonts w:hint="eastAsia" w:ascii="宋体" w:hAnsi="宋体"/>
          <w:szCs w:val="21"/>
        </w:rPr>
        <w:t>）临时工程已拆除，场地已按合同要求进行清理、平整或复原；</w:t>
      </w:r>
    </w:p>
    <w:p w14:paraId="27B770AD">
      <w:pPr>
        <w:spacing w:line="360" w:lineRule="auto"/>
        <w:ind w:firstLine="420" w:firstLineChars="200"/>
        <w:rPr>
          <w:rFonts w:hint="eastAsia" w:ascii="宋体" w:hAnsi="宋体"/>
          <w:szCs w:val="21"/>
        </w:rPr>
      </w:pPr>
      <w:r>
        <w:rPr>
          <w:rFonts w:hint="eastAsia" w:ascii="宋体" w:hAnsi="宋体"/>
          <w:szCs w:val="21"/>
        </w:rPr>
        <w:t>（</w:t>
      </w:r>
      <w:r>
        <w:rPr>
          <w:rFonts w:ascii="宋体" w:hAnsi="宋体"/>
          <w:szCs w:val="21"/>
        </w:rPr>
        <w:t>3</w:t>
      </w:r>
      <w:r>
        <w:rPr>
          <w:rFonts w:hint="eastAsia" w:ascii="宋体" w:hAnsi="宋体"/>
          <w:szCs w:val="21"/>
        </w:rPr>
        <w:t>）按合同约定应撤离的承包人设备和剩余的材料，包括废弃的施工设备和材料，已按计划撤离施工场地；</w:t>
      </w:r>
    </w:p>
    <w:p w14:paraId="436A6142">
      <w:pPr>
        <w:spacing w:line="360" w:lineRule="auto"/>
        <w:ind w:firstLine="420" w:firstLineChars="200"/>
        <w:rPr>
          <w:rFonts w:hint="eastAsia" w:ascii="宋体" w:hAnsi="宋体"/>
          <w:szCs w:val="21"/>
        </w:rPr>
      </w:pPr>
      <w:r>
        <w:rPr>
          <w:rFonts w:hint="eastAsia" w:ascii="宋体" w:hAnsi="宋体"/>
          <w:szCs w:val="21"/>
        </w:rPr>
        <w:t>（</w:t>
      </w:r>
      <w:r>
        <w:rPr>
          <w:rFonts w:ascii="宋体" w:hAnsi="宋体"/>
          <w:szCs w:val="21"/>
        </w:rPr>
        <w:t>4</w:t>
      </w:r>
      <w:r>
        <w:rPr>
          <w:rFonts w:hint="eastAsia" w:ascii="宋体" w:hAnsi="宋体"/>
          <w:szCs w:val="21"/>
        </w:rPr>
        <w:t>）工程建筑物周边及其附近道路、河道的施工堆积物，已按监理人指示全部清理；</w:t>
      </w:r>
    </w:p>
    <w:p w14:paraId="6321F498">
      <w:pPr>
        <w:spacing w:line="360" w:lineRule="auto"/>
        <w:ind w:firstLine="420" w:firstLineChars="200"/>
        <w:rPr>
          <w:rFonts w:hint="eastAsia" w:ascii="宋体" w:hAnsi="宋体"/>
          <w:szCs w:val="21"/>
        </w:rPr>
      </w:pPr>
      <w:r>
        <w:rPr>
          <w:rFonts w:hint="eastAsia" w:ascii="宋体" w:hAnsi="宋体"/>
          <w:szCs w:val="21"/>
        </w:rPr>
        <w:t>（</w:t>
      </w:r>
      <w:r>
        <w:rPr>
          <w:rFonts w:ascii="宋体" w:hAnsi="宋体"/>
          <w:szCs w:val="21"/>
        </w:rPr>
        <w:t>5</w:t>
      </w:r>
      <w:r>
        <w:rPr>
          <w:rFonts w:hint="eastAsia" w:ascii="宋体" w:hAnsi="宋体"/>
          <w:szCs w:val="21"/>
        </w:rPr>
        <w:t>）监理人指示的其他场地清理工作已全部完成。</w:t>
      </w:r>
    </w:p>
    <w:p w14:paraId="28B16055">
      <w:pPr>
        <w:spacing w:line="360" w:lineRule="auto"/>
        <w:ind w:firstLine="420" w:firstLineChars="200"/>
        <w:rPr>
          <w:rFonts w:hint="eastAsia" w:ascii="宋体" w:hAnsi="宋体"/>
          <w:szCs w:val="21"/>
        </w:rPr>
      </w:pPr>
      <w:r>
        <w:rPr>
          <w:rFonts w:ascii="宋体" w:hAnsi="宋体"/>
          <w:szCs w:val="21"/>
        </w:rPr>
        <w:t xml:space="preserve">18.7.2  </w:t>
      </w:r>
      <w:r>
        <w:rPr>
          <w:rFonts w:hint="eastAsia" w:ascii="宋体" w:hAnsi="宋体"/>
          <w:szCs w:val="21"/>
        </w:rPr>
        <w:t>承包人未按监理人的要求恢复临时占地，或者场地清理未达到合同约定的，发包人有权委托其他人恢复或清理，所发生的金额从拟支付给承包人的款项中扣除。</w:t>
      </w:r>
    </w:p>
    <w:p w14:paraId="37C9730C">
      <w:pPr>
        <w:keepNext/>
        <w:keepLines/>
        <w:spacing w:before="120" w:beforeLines="50" w:after="120" w:afterLines="50" w:line="360" w:lineRule="auto"/>
        <w:outlineLvl w:val="2"/>
        <w:rPr>
          <w:rFonts w:hint="eastAsia" w:ascii="宋体" w:hAnsi="宋体"/>
          <w:sz w:val="24"/>
          <w:szCs w:val="20"/>
        </w:rPr>
      </w:pPr>
      <w:bookmarkStart w:id="1872" w:name="_Toc342296384"/>
      <w:bookmarkStart w:id="1873" w:name="_Toc490222616"/>
      <w:bookmarkStart w:id="1874" w:name="_Toc117350540"/>
      <w:bookmarkStart w:id="1875" w:name="_Toc483668200"/>
      <w:bookmarkStart w:id="1876" w:name="_Toc338944826"/>
      <w:bookmarkStart w:id="1877" w:name="_Toc486580171"/>
      <w:bookmarkStart w:id="1878" w:name="_Toc480487026"/>
      <w:bookmarkStart w:id="1879" w:name="_Toc480486854"/>
      <w:bookmarkStart w:id="1880" w:name="_Toc489279982"/>
      <w:r>
        <w:rPr>
          <w:rFonts w:ascii="宋体" w:hAnsi="宋体"/>
          <w:sz w:val="24"/>
          <w:szCs w:val="20"/>
        </w:rPr>
        <w:t xml:space="preserve">18.8  </w:t>
      </w:r>
      <w:r>
        <w:rPr>
          <w:rFonts w:hint="eastAsia" w:ascii="宋体" w:hAnsi="宋体"/>
          <w:sz w:val="24"/>
          <w:szCs w:val="20"/>
        </w:rPr>
        <w:t>施工队伍的撤离</w:t>
      </w:r>
      <w:bookmarkEnd w:id="1872"/>
      <w:bookmarkEnd w:id="1873"/>
      <w:bookmarkEnd w:id="1874"/>
      <w:bookmarkEnd w:id="1875"/>
      <w:bookmarkEnd w:id="1876"/>
      <w:bookmarkEnd w:id="1877"/>
      <w:bookmarkEnd w:id="1878"/>
      <w:bookmarkEnd w:id="1879"/>
      <w:bookmarkEnd w:id="1880"/>
    </w:p>
    <w:p w14:paraId="464F68DA">
      <w:pPr>
        <w:spacing w:line="360" w:lineRule="auto"/>
        <w:ind w:firstLine="420" w:firstLineChars="200"/>
        <w:rPr>
          <w:rFonts w:hint="eastAsia" w:ascii="宋体" w:hAnsi="宋体"/>
          <w:szCs w:val="21"/>
        </w:rPr>
      </w:pPr>
      <w:r>
        <w:rPr>
          <w:rFonts w:ascii="宋体" w:hAnsi="宋体"/>
          <w:szCs w:val="21"/>
        </w:rPr>
        <w:t xml:space="preserve">18.8.1  </w:t>
      </w:r>
      <w:r>
        <w:rPr>
          <w:rFonts w:hint="eastAsia" w:ascii="宋体" w:hAnsi="宋体"/>
          <w:szCs w:val="21"/>
        </w:rPr>
        <w:t>工程接收证书颁发后的</w:t>
      </w:r>
      <w:r>
        <w:rPr>
          <w:rFonts w:ascii="宋体" w:hAnsi="宋体"/>
          <w:szCs w:val="21"/>
        </w:rPr>
        <w:t>56</w:t>
      </w:r>
      <w:r>
        <w:rPr>
          <w:rFonts w:hint="eastAsia" w:ascii="宋体" w:hAnsi="宋体"/>
          <w:szCs w:val="21"/>
        </w:rPr>
        <w:t>天内，除了经监理人同意需在缺陷责任期内继续工作和使用的人员、施工设备和临时工程外，其余的人员、施工设备和临时工程均应撤离施工场地或拆除。</w:t>
      </w:r>
    </w:p>
    <w:p w14:paraId="6F7656B3">
      <w:pPr>
        <w:spacing w:line="360" w:lineRule="auto"/>
        <w:ind w:firstLine="420" w:firstLineChars="200"/>
        <w:rPr>
          <w:rFonts w:hint="eastAsia" w:ascii="宋体" w:hAnsi="宋体"/>
          <w:szCs w:val="21"/>
        </w:rPr>
      </w:pPr>
      <w:r>
        <w:rPr>
          <w:rFonts w:ascii="宋体" w:hAnsi="宋体"/>
          <w:szCs w:val="21"/>
        </w:rPr>
        <w:t xml:space="preserve">18.8.2  </w:t>
      </w:r>
      <w:r>
        <w:rPr>
          <w:rFonts w:hint="eastAsia" w:ascii="宋体" w:hAnsi="宋体"/>
          <w:szCs w:val="21"/>
        </w:rPr>
        <w:t>承包人撤离施工场地（现场）时，监理人和承包人应当办理永久工程和施工场地移交手续，移交手续以书面方式出具，并分别经过发包人、监理人和承包人的签认。</w:t>
      </w:r>
    </w:p>
    <w:p w14:paraId="29E8F343">
      <w:pPr>
        <w:spacing w:line="360" w:lineRule="auto"/>
        <w:ind w:firstLine="420" w:firstLineChars="200"/>
        <w:rPr>
          <w:rFonts w:hint="eastAsia" w:ascii="宋体" w:hAnsi="宋体"/>
          <w:szCs w:val="21"/>
        </w:rPr>
      </w:pPr>
      <w:r>
        <w:rPr>
          <w:rFonts w:ascii="宋体" w:hAnsi="宋体"/>
          <w:szCs w:val="21"/>
        </w:rPr>
        <w:t xml:space="preserve">18.8.3  </w:t>
      </w:r>
      <w:r>
        <w:rPr>
          <w:rFonts w:hint="eastAsia" w:ascii="宋体" w:hAnsi="宋体"/>
          <w:szCs w:val="21"/>
        </w:rPr>
        <w:t>缺陷责任期满时，承包人的人员和施工设备应在合同约定期限内全部撤离施工场地。撤离施工场地的期限要求见合同条款专用部分。</w:t>
      </w:r>
    </w:p>
    <w:p w14:paraId="68C909E9">
      <w:pPr>
        <w:keepNext/>
        <w:keepLines/>
        <w:spacing w:before="120" w:beforeLines="50" w:after="120" w:afterLines="50" w:line="360" w:lineRule="auto"/>
        <w:outlineLvl w:val="2"/>
        <w:rPr>
          <w:rFonts w:hint="eastAsia" w:ascii="宋体" w:hAnsi="宋体"/>
          <w:sz w:val="24"/>
          <w:szCs w:val="20"/>
        </w:rPr>
      </w:pPr>
      <w:bookmarkStart w:id="1881" w:name="_Toc476479383"/>
      <w:bookmarkStart w:id="1882" w:name="_Toc483668201"/>
      <w:bookmarkStart w:id="1883" w:name="_Toc117350541"/>
      <w:bookmarkStart w:id="1884" w:name="_Toc490222617"/>
      <w:bookmarkStart w:id="1885" w:name="_Toc486580172"/>
      <w:bookmarkStart w:id="1886" w:name="_Toc241459736"/>
      <w:bookmarkStart w:id="1887" w:name="_Toc342296495"/>
      <w:bookmarkStart w:id="1888" w:name="_Toc489279983"/>
      <w:bookmarkStart w:id="1889" w:name="_Toc480486855"/>
      <w:bookmarkStart w:id="1890" w:name="_Toc480487027"/>
      <w:r>
        <w:rPr>
          <w:rFonts w:ascii="宋体" w:hAnsi="宋体"/>
          <w:sz w:val="24"/>
          <w:szCs w:val="20"/>
        </w:rPr>
        <w:t xml:space="preserve">18.9  </w:t>
      </w:r>
      <w:r>
        <w:rPr>
          <w:rFonts w:hint="eastAsia" w:ascii="宋体" w:hAnsi="宋体"/>
          <w:sz w:val="24"/>
          <w:szCs w:val="20"/>
        </w:rPr>
        <w:t>中间验收</w:t>
      </w:r>
      <w:bookmarkEnd w:id="1881"/>
      <w:bookmarkEnd w:id="1882"/>
      <w:bookmarkEnd w:id="1883"/>
      <w:bookmarkEnd w:id="1884"/>
      <w:bookmarkEnd w:id="1885"/>
      <w:bookmarkEnd w:id="1886"/>
      <w:bookmarkEnd w:id="1887"/>
      <w:bookmarkEnd w:id="1888"/>
      <w:bookmarkEnd w:id="1889"/>
      <w:bookmarkEnd w:id="1890"/>
    </w:p>
    <w:p w14:paraId="038E0ECF">
      <w:pPr>
        <w:spacing w:line="360" w:lineRule="auto"/>
        <w:ind w:firstLine="420" w:firstLineChars="200"/>
        <w:rPr>
          <w:rFonts w:hint="eastAsia" w:ascii="宋体" w:hAnsi="宋体"/>
          <w:szCs w:val="21"/>
        </w:rPr>
      </w:pPr>
      <w:r>
        <w:rPr>
          <w:rFonts w:ascii="宋体" w:hAnsi="宋体"/>
          <w:szCs w:val="21"/>
        </w:rPr>
        <w:t xml:space="preserve">18.9.1  </w:t>
      </w:r>
      <w:r>
        <w:rPr>
          <w:rFonts w:hint="eastAsia" w:ascii="宋体" w:hAnsi="宋体"/>
          <w:szCs w:val="21"/>
        </w:rPr>
        <w:t>本工程需要按照合同约定进行中间验收。进行中间验收的部位见合同条款专用部分。</w:t>
      </w:r>
    </w:p>
    <w:p w14:paraId="7BDAC289">
      <w:pPr>
        <w:spacing w:line="360" w:lineRule="auto"/>
        <w:ind w:firstLine="420" w:firstLineChars="200"/>
        <w:rPr>
          <w:rFonts w:hint="eastAsia" w:ascii="宋体" w:hAnsi="宋体"/>
          <w:szCs w:val="21"/>
        </w:rPr>
      </w:pPr>
      <w:r>
        <w:rPr>
          <w:rFonts w:ascii="宋体" w:hAnsi="宋体"/>
          <w:szCs w:val="21"/>
        </w:rPr>
        <w:t xml:space="preserve">18.9.2  </w:t>
      </w:r>
      <w:r>
        <w:rPr>
          <w:rFonts w:hint="eastAsia" w:ascii="宋体" w:hAnsi="宋体"/>
          <w:szCs w:val="21"/>
        </w:rPr>
        <w:t>当工程进度达到第</w:t>
      </w:r>
      <w:r>
        <w:rPr>
          <w:rFonts w:ascii="宋体" w:hAnsi="宋体"/>
          <w:szCs w:val="21"/>
        </w:rPr>
        <w:t>18.9.1</w:t>
      </w:r>
      <w:r>
        <w:rPr>
          <w:rFonts w:hint="eastAsia" w:ascii="宋体" w:hAnsi="宋体"/>
          <w:szCs w:val="21"/>
        </w:rPr>
        <w:t>项约定的中间验收部位时，承包人应当进行自检，并在中间验收前</w:t>
      </w:r>
      <w:r>
        <w:rPr>
          <w:rFonts w:ascii="宋体" w:hAnsi="宋体"/>
          <w:szCs w:val="21"/>
        </w:rPr>
        <w:t>48</w:t>
      </w:r>
      <w:r>
        <w:rPr>
          <w:rFonts w:hint="eastAsia" w:ascii="宋体" w:hAnsi="宋体"/>
          <w:szCs w:val="21"/>
        </w:rPr>
        <w:t>小时以书面形式通知监理人验收。书面通知应包括中间验收的内容、验收时间和地点。承包人应当准备验收记录。只有监理人验收合格并在验收记录上签字后，承包人方可继续施工。验收不合格的，承包人在合同约定的期限内修改后重新验收。重新验收的期限见合同条款专用部分。</w:t>
      </w:r>
    </w:p>
    <w:p w14:paraId="1265E979">
      <w:pPr>
        <w:spacing w:line="360" w:lineRule="auto"/>
        <w:ind w:firstLine="420" w:firstLineChars="200"/>
        <w:rPr>
          <w:rFonts w:hint="eastAsia" w:ascii="宋体" w:hAnsi="宋体"/>
          <w:szCs w:val="21"/>
        </w:rPr>
      </w:pPr>
      <w:r>
        <w:rPr>
          <w:rFonts w:ascii="宋体" w:hAnsi="宋体"/>
          <w:szCs w:val="21"/>
        </w:rPr>
        <w:t xml:space="preserve">18.9.3  </w:t>
      </w:r>
      <w:r>
        <w:rPr>
          <w:rFonts w:hint="eastAsia" w:ascii="宋体" w:hAnsi="宋体"/>
          <w:szCs w:val="21"/>
        </w:rPr>
        <w:t>监理人不能按时进行验收的，应在验收前至少24小时以书面形式向承包人提出延期要求，但延期不能超过48小时。</w:t>
      </w:r>
    </w:p>
    <w:p w14:paraId="6ABA896B">
      <w:pPr>
        <w:spacing w:line="360" w:lineRule="auto"/>
        <w:ind w:firstLine="420" w:firstLineChars="200"/>
        <w:rPr>
          <w:rFonts w:hint="eastAsia" w:ascii="宋体" w:hAnsi="宋体"/>
          <w:szCs w:val="21"/>
        </w:rPr>
      </w:pPr>
      <w:r>
        <w:rPr>
          <w:rFonts w:hint="eastAsia" w:ascii="宋体" w:hAnsi="宋体"/>
          <w:szCs w:val="21"/>
        </w:rPr>
        <w:t>经监理人验收后工程质量符合约定的验收标准，但验收</w:t>
      </w:r>
      <w:r>
        <w:rPr>
          <w:rFonts w:ascii="宋体" w:hAnsi="宋体"/>
          <w:szCs w:val="21"/>
        </w:rPr>
        <w:t>24</w:t>
      </w:r>
      <w:r>
        <w:rPr>
          <w:rFonts w:hint="eastAsia" w:ascii="宋体" w:hAnsi="宋体"/>
          <w:szCs w:val="21"/>
        </w:rPr>
        <w:t>小时后监理人仍不在验收记录上签字的，视为监理人已经认可验收记录，承包人可继续施工。</w:t>
      </w:r>
    </w:p>
    <w:p w14:paraId="1136AC22">
      <w:pPr>
        <w:keepNext/>
        <w:keepLines/>
        <w:spacing w:before="120" w:beforeLines="50" w:after="120" w:afterLines="50" w:line="360" w:lineRule="auto"/>
        <w:outlineLvl w:val="1"/>
        <w:rPr>
          <w:rFonts w:hint="eastAsia" w:ascii="宋体" w:hAnsi="宋体" w:cs="宋体"/>
          <w:sz w:val="28"/>
          <w:szCs w:val="20"/>
        </w:rPr>
      </w:pPr>
      <w:bookmarkStart w:id="1891" w:name="_Toc480486856"/>
      <w:bookmarkStart w:id="1892" w:name="_Toc338944827"/>
      <w:bookmarkStart w:id="1893" w:name="_Toc489279984"/>
      <w:bookmarkStart w:id="1894" w:name="_Toc490222618"/>
      <w:bookmarkStart w:id="1895" w:name="_Toc117350542"/>
      <w:bookmarkStart w:id="1896" w:name="_Toc486580173"/>
      <w:bookmarkStart w:id="1897" w:name="_Toc483668202"/>
      <w:bookmarkStart w:id="1898" w:name="_Toc480487028"/>
      <w:bookmarkStart w:id="1899" w:name="_Toc342296385"/>
      <w:r>
        <w:rPr>
          <w:rFonts w:ascii="宋体" w:hAnsi="宋体" w:cs="宋体"/>
          <w:sz w:val="28"/>
          <w:szCs w:val="20"/>
        </w:rPr>
        <w:t>19.</w:t>
      </w:r>
      <w:r>
        <w:rPr>
          <w:rFonts w:hint="eastAsia" w:ascii="宋体" w:hAnsi="宋体" w:cs="宋体"/>
          <w:sz w:val="28"/>
          <w:szCs w:val="20"/>
        </w:rPr>
        <w:t>缺陷责任与保修责任</w:t>
      </w:r>
      <w:bookmarkEnd w:id="1891"/>
      <w:bookmarkEnd w:id="1892"/>
      <w:bookmarkEnd w:id="1893"/>
      <w:bookmarkEnd w:id="1894"/>
      <w:bookmarkEnd w:id="1895"/>
      <w:bookmarkEnd w:id="1896"/>
      <w:bookmarkEnd w:id="1897"/>
      <w:bookmarkEnd w:id="1898"/>
      <w:bookmarkEnd w:id="1899"/>
    </w:p>
    <w:p w14:paraId="79765B28">
      <w:pPr>
        <w:keepNext/>
        <w:keepLines/>
        <w:spacing w:before="120" w:beforeLines="50" w:after="120" w:afterLines="50" w:line="360" w:lineRule="auto"/>
        <w:outlineLvl w:val="2"/>
        <w:rPr>
          <w:rFonts w:hint="eastAsia" w:ascii="宋体" w:hAnsi="宋体"/>
          <w:sz w:val="24"/>
          <w:szCs w:val="20"/>
        </w:rPr>
      </w:pPr>
      <w:bookmarkStart w:id="1900" w:name="_Toc480487029"/>
      <w:bookmarkStart w:id="1901" w:name="_Toc490222619"/>
      <w:bookmarkStart w:id="1902" w:name="_Toc338944828"/>
      <w:bookmarkStart w:id="1903" w:name="_Toc152042514"/>
      <w:bookmarkStart w:id="1904" w:name="_Toc483668203"/>
      <w:bookmarkStart w:id="1905" w:name="_Toc179632753"/>
      <w:bookmarkStart w:id="1906" w:name="_Toc342296386"/>
      <w:bookmarkStart w:id="1907" w:name="_Toc117350543"/>
      <w:bookmarkStart w:id="1908" w:name="_Toc144974706"/>
      <w:bookmarkStart w:id="1909" w:name="_Toc480486857"/>
      <w:bookmarkStart w:id="1910" w:name="_Toc152045735"/>
      <w:bookmarkStart w:id="1911" w:name="_Toc489279985"/>
      <w:bookmarkStart w:id="1912" w:name="_Toc486580174"/>
      <w:r>
        <w:rPr>
          <w:rFonts w:ascii="宋体" w:hAnsi="宋体"/>
          <w:sz w:val="24"/>
          <w:szCs w:val="20"/>
        </w:rPr>
        <w:t xml:space="preserve">19.1  </w:t>
      </w:r>
      <w:r>
        <w:rPr>
          <w:rFonts w:hint="eastAsia" w:ascii="宋体" w:hAnsi="宋体"/>
          <w:sz w:val="24"/>
          <w:szCs w:val="20"/>
        </w:rPr>
        <w:t>缺陷责任期的起算时间</w:t>
      </w:r>
      <w:bookmarkEnd w:id="1900"/>
      <w:bookmarkEnd w:id="1901"/>
      <w:bookmarkEnd w:id="1902"/>
      <w:bookmarkEnd w:id="1903"/>
      <w:bookmarkEnd w:id="1904"/>
      <w:bookmarkEnd w:id="1905"/>
      <w:bookmarkEnd w:id="1906"/>
      <w:bookmarkEnd w:id="1907"/>
      <w:bookmarkEnd w:id="1908"/>
      <w:bookmarkEnd w:id="1909"/>
      <w:bookmarkEnd w:id="1910"/>
      <w:bookmarkEnd w:id="1911"/>
      <w:bookmarkEnd w:id="1912"/>
    </w:p>
    <w:p w14:paraId="4C940052">
      <w:pPr>
        <w:spacing w:line="360" w:lineRule="auto"/>
        <w:ind w:firstLine="420" w:firstLineChars="200"/>
        <w:rPr>
          <w:rFonts w:hint="eastAsia" w:ascii="宋体" w:hAnsi="宋体"/>
          <w:szCs w:val="21"/>
        </w:rPr>
      </w:pPr>
      <w:r>
        <w:rPr>
          <w:rFonts w:hint="eastAsia" w:ascii="宋体" w:hAnsi="宋体"/>
          <w:szCs w:val="21"/>
        </w:rPr>
        <w:t>缺陷责任期自实际竣工日期起计算。在全部工程竣工验收前，已经发包人提前验收的单位工程，其缺陷责任期的起算日期相应提前。</w:t>
      </w:r>
    </w:p>
    <w:p w14:paraId="64DD2E1E">
      <w:pPr>
        <w:keepNext/>
        <w:keepLines/>
        <w:spacing w:before="120" w:beforeLines="50" w:after="120" w:afterLines="50" w:line="360" w:lineRule="auto"/>
        <w:outlineLvl w:val="2"/>
        <w:rPr>
          <w:rFonts w:hint="eastAsia" w:ascii="宋体" w:hAnsi="宋体"/>
          <w:sz w:val="24"/>
          <w:szCs w:val="20"/>
        </w:rPr>
      </w:pPr>
      <w:bookmarkStart w:id="1913" w:name="_Toc486580175"/>
      <w:bookmarkStart w:id="1914" w:name="_Toc179632754"/>
      <w:bookmarkStart w:id="1915" w:name="_Toc483668204"/>
      <w:bookmarkStart w:id="1916" w:name="_Toc490222620"/>
      <w:bookmarkStart w:id="1917" w:name="_Toc152045736"/>
      <w:bookmarkStart w:id="1918" w:name="_Toc480487030"/>
      <w:bookmarkStart w:id="1919" w:name="_Toc342296387"/>
      <w:bookmarkStart w:id="1920" w:name="_Toc338944829"/>
      <w:bookmarkStart w:id="1921" w:name="_Toc117350544"/>
      <w:bookmarkStart w:id="1922" w:name="_Toc480486858"/>
      <w:bookmarkStart w:id="1923" w:name="_Toc144974707"/>
      <w:bookmarkStart w:id="1924" w:name="_Toc489279986"/>
      <w:bookmarkStart w:id="1925" w:name="_Toc152042515"/>
      <w:r>
        <w:rPr>
          <w:rFonts w:ascii="宋体" w:hAnsi="宋体"/>
          <w:sz w:val="24"/>
          <w:szCs w:val="20"/>
        </w:rPr>
        <w:t xml:space="preserve">19.2  </w:t>
      </w:r>
      <w:r>
        <w:rPr>
          <w:rFonts w:hint="eastAsia" w:ascii="宋体" w:hAnsi="宋体"/>
          <w:sz w:val="24"/>
          <w:szCs w:val="20"/>
        </w:rPr>
        <w:t>缺陷责任</w:t>
      </w:r>
      <w:bookmarkEnd w:id="1913"/>
      <w:bookmarkEnd w:id="1914"/>
      <w:bookmarkEnd w:id="1915"/>
      <w:bookmarkEnd w:id="1916"/>
      <w:bookmarkEnd w:id="1917"/>
      <w:bookmarkEnd w:id="1918"/>
      <w:bookmarkEnd w:id="1919"/>
      <w:bookmarkEnd w:id="1920"/>
      <w:bookmarkEnd w:id="1921"/>
      <w:bookmarkEnd w:id="1922"/>
      <w:bookmarkEnd w:id="1923"/>
      <w:bookmarkEnd w:id="1924"/>
      <w:bookmarkEnd w:id="1925"/>
    </w:p>
    <w:p w14:paraId="143F170F">
      <w:pPr>
        <w:spacing w:line="360" w:lineRule="auto"/>
        <w:ind w:firstLine="420" w:firstLineChars="200"/>
        <w:rPr>
          <w:rFonts w:hint="eastAsia" w:ascii="宋体" w:hAnsi="宋体"/>
          <w:szCs w:val="21"/>
        </w:rPr>
      </w:pPr>
      <w:r>
        <w:rPr>
          <w:rFonts w:ascii="宋体" w:hAnsi="宋体"/>
          <w:szCs w:val="21"/>
        </w:rPr>
        <w:t xml:space="preserve">19.2.1  </w:t>
      </w:r>
      <w:r>
        <w:rPr>
          <w:rFonts w:hint="eastAsia" w:ascii="宋体" w:hAnsi="宋体"/>
          <w:szCs w:val="21"/>
        </w:rPr>
        <w:t>承包人应在缺陷责任期内对已交付使用的工程承担缺陷责任。</w:t>
      </w:r>
    </w:p>
    <w:p w14:paraId="53644BFA">
      <w:pPr>
        <w:spacing w:line="360" w:lineRule="auto"/>
        <w:ind w:firstLine="420" w:firstLineChars="200"/>
        <w:rPr>
          <w:rFonts w:hint="eastAsia" w:ascii="宋体" w:hAnsi="宋体"/>
          <w:szCs w:val="21"/>
        </w:rPr>
      </w:pPr>
      <w:r>
        <w:rPr>
          <w:rFonts w:ascii="宋体" w:hAnsi="宋体"/>
          <w:szCs w:val="21"/>
        </w:rPr>
        <w:t xml:space="preserve">19.2.2  </w:t>
      </w:r>
      <w:r>
        <w:rPr>
          <w:rFonts w:hint="eastAsia" w:ascii="宋体" w:hAnsi="宋体"/>
          <w:szCs w:val="21"/>
        </w:rPr>
        <w:t>缺陷责任期内，发包人对已接收使用的工程负责日常维护工作。发包人在使用过程中，发现已接收的工程存在新的缺陷或已修复的缺陷部位或部件又遭损坏的，承包人应负责修复，直至检验合格为止。</w:t>
      </w:r>
    </w:p>
    <w:p w14:paraId="49C39222">
      <w:pPr>
        <w:spacing w:line="360" w:lineRule="auto"/>
        <w:ind w:firstLine="420" w:firstLineChars="200"/>
        <w:rPr>
          <w:rFonts w:hint="eastAsia" w:ascii="宋体" w:hAnsi="宋体"/>
          <w:szCs w:val="21"/>
        </w:rPr>
      </w:pPr>
      <w:r>
        <w:rPr>
          <w:rFonts w:ascii="宋体" w:hAnsi="宋体"/>
          <w:szCs w:val="21"/>
        </w:rPr>
        <w:t xml:space="preserve">19.2.3  </w:t>
      </w:r>
      <w:r>
        <w:rPr>
          <w:rFonts w:hint="eastAsia" w:ascii="宋体" w:hAnsi="宋体"/>
          <w:szCs w:val="21"/>
        </w:rPr>
        <w:t>监理人和承包人应共同查清缺陷和（或）损坏的原因。经查明属承包人原因造成的，应由承包人承担修复和查验的费用。经查验属发包人原因造成的，发包人应承担修复和查验的费用。</w:t>
      </w:r>
    </w:p>
    <w:p w14:paraId="6EC9F3CC">
      <w:pPr>
        <w:spacing w:line="360" w:lineRule="auto"/>
        <w:ind w:firstLine="420" w:firstLineChars="200"/>
        <w:rPr>
          <w:rFonts w:hint="eastAsia" w:ascii="宋体" w:hAnsi="宋体"/>
          <w:szCs w:val="21"/>
        </w:rPr>
      </w:pPr>
      <w:r>
        <w:rPr>
          <w:rFonts w:ascii="宋体" w:hAnsi="宋体"/>
          <w:szCs w:val="21"/>
        </w:rPr>
        <w:t xml:space="preserve">19.2.4  </w:t>
      </w:r>
      <w:r>
        <w:rPr>
          <w:rFonts w:hint="eastAsia" w:ascii="宋体" w:hAnsi="宋体"/>
          <w:szCs w:val="21"/>
        </w:rPr>
        <w:t>承包人不能在合理时间内修复缺陷的，发包人可自行修复或委托其他人修复，所需费用和利润的承担，按第</w:t>
      </w:r>
      <w:r>
        <w:rPr>
          <w:rFonts w:ascii="宋体" w:hAnsi="宋体"/>
          <w:szCs w:val="21"/>
        </w:rPr>
        <w:t>19.2.3</w:t>
      </w:r>
      <w:r>
        <w:rPr>
          <w:rFonts w:hint="eastAsia" w:ascii="宋体" w:hAnsi="宋体"/>
          <w:szCs w:val="21"/>
        </w:rPr>
        <w:t>项约定办理。</w:t>
      </w:r>
    </w:p>
    <w:p w14:paraId="549AC3F5">
      <w:pPr>
        <w:keepNext/>
        <w:keepLines/>
        <w:spacing w:before="120" w:beforeLines="50" w:after="120" w:afterLines="50" w:line="360" w:lineRule="auto"/>
        <w:outlineLvl w:val="2"/>
        <w:rPr>
          <w:rFonts w:hint="eastAsia" w:ascii="宋体" w:hAnsi="宋体"/>
          <w:sz w:val="24"/>
          <w:szCs w:val="20"/>
        </w:rPr>
      </w:pPr>
      <w:bookmarkStart w:id="1926" w:name="_Toc152042516"/>
      <w:bookmarkStart w:id="1927" w:name="_Toc490222621"/>
      <w:bookmarkStart w:id="1928" w:name="_Toc489279987"/>
      <w:bookmarkStart w:id="1929" w:name="_Toc480486859"/>
      <w:bookmarkStart w:id="1930" w:name="_Toc480487031"/>
      <w:bookmarkStart w:id="1931" w:name="_Toc179632755"/>
      <w:bookmarkStart w:id="1932" w:name="_Toc144974708"/>
      <w:bookmarkStart w:id="1933" w:name="_Toc117350545"/>
      <w:bookmarkStart w:id="1934" w:name="_Toc338944830"/>
      <w:bookmarkStart w:id="1935" w:name="_Toc342296388"/>
      <w:bookmarkStart w:id="1936" w:name="_Toc152045737"/>
      <w:bookmarkStart w:id="1937" w:name="_Toc483668205"/>
      <w:bookmarkStart w:id="1938" w:name="_Toc486580176"/>
      <w:r>
        <w:rPr>
          <w:rFonts w:ascii="宋体" w:hAnsi="宋体"/>
          <w:sz w:val="24"/>
          <w:szCs w:val="20"/>
        </w:rPr>
        <w:t xml:space="preserve">19.3  </w:t>
      </w:r>
      <w:r>
        <w:rPr>
          <w:rFonts w:hint="eastAsia" w:ascii="宋体" w:hAnsi="宋体"/>
          <w:sz w:val="24"/>
          <w:szCs w:val="20"/>
        </w:rPr>
        <w:t>缺陷责任期的延长</w:t>
      </w:r>
      <w:bookmarkEnd w:id="1926"/>
      <w:bookmarkEnd w:id="1927"/>
      <w:bookmarkEnd w:id="1928"/>
      <w:bookmarkEnd w:id="1929"/>
      <w:bookmarkEnd w:id="1930"/>
      <w:bookmarkEnd w:id="1931"/>
      <w:bookmarkEnd w:id="1932"/>
      <w:bookmarkEnd w:id="1933"/>
      <w:bookmarkEnd w:id="1934"/>
      <w:bookmarkEnd w:id="1935"/>
      <w:bookmarkEnd w:id="1936"/>
      <w:bookmarkEnd w:id="1937"/>
      <w:bookmarkEnd w:id="1938"/>
    </w:p>
    <w:p w14:paraId="505C68BE">
      <w:pPr>
        <w:spacing w:line="360" w:lineRule="auto"/>
        <w:ind w:firstLine="420" w:firstLineChars="200"/>
        <w:rPr>
          <w:rFonts w:hint="eastAsia" w:ascii="宋体" w:hAnsi="宋体"/>
          <w:szCs w:val="21"/>
        </w:rPr>
      </w:pPr>
      <w:r>
        <w:rPr>
          <w:rFonts w:hint="eastAsia" w:ascii="宋体" w:hAnsi="宋体"/>
          <w:szCs w:val="21"/>
        </w:rPr>
        <w:t>由于承包人原因造成某项缺陷或损坏，使某项工程或工程设备不能按原定目标使用，需要再次检查、检验和修复的，发包人有权要求承包人相应延长缺陷责任期，但缺陷责任期最长不超过</w:t>
      </w:r>
      <w:r>
        <w:rPr>
          <w:rFonts w:ascii="宋体" w:hAnsi="宋体"/>
          <w:szCs w:val="21"/>
        </w:rPr>
        <w:t>2</w:t>
      </w:r>
      <w:r>
        <w:rPr>
          <w:rFonts w:hint="eastAsia" w:ascii="宋体" w:hAnsi="宋体"/>
          <w:szCs w:val="21"/>
        </w:rPr>
        <w:t>年。</w:t>
      </w:r>
    </w:p>
    <w:p w14:paraId="042B1998">
      <w:pPr>
        <w:keepNext/>
        <w:keepLines/>
        <w:spacing w:before="120" w:beforeLines="50" w:after="120" w:afterLines="50" w:line="360" w:lineRule="auto"/>
        <w:outlineLvl w:val="2"/>
        <w:rPr>
          <w:rFonts w:hint="eastAsia" w:ascii="宋体" w:hAnsi="宋体"/>
          <w:sz w:val="24"/>
          <w:szCs w:val="20"/>
        </w:rPr>
      </w:pPr>
      <w:bookmarkStart w:id="1939" w:name="_Toc342296389"/>
      <w:bookmarkStart w:id="1940" w:name="_Toc490222622"/>
      <w:bookmarkStart w:id="1941" w:name="_Toc152045738"/>
      <w:bookmarkStart w:id="1942" w:name="_Toc152042517"/>
      <w:bookmarkStart w:id="1943" w:name="_Toc338944831"/>
      <w:bookmarkStart w:id="1944" w:name="_Toc117350546"/>
      <w:bookmarkStart w:id="1945" w:name="_Toc486580177"/>
      <w:bookmarkStart w:id="1946" w:name="_Toc489279988"/>
      <w:bookmarkStart w:id="1947" w:name="_Toc483668206"/>
      <w:bookmarkStart w:id="1948" w:name="_Toc144974709"/>
      <w:bookmarkStart w:id="1949" w:name="_Toc480486860"/>
      <w:bookmarkStart w:id="1950" w:name="_Toc179632756"/>
      <w:bookmarkStart w:id="1951" w:name="_Toc480487032"/>
      <w:r>
        <w:rPr>
          <w:rFonts w:ascii="宋体" w:hAnsi="宋体"/>
          <w:sz w:val="24"/>
          <w:szCs w:val="20"/>
        </w:rPr>
        <w:t xml:space="preserve">19.4  </w:t>
      </w:r>
      <w:r>
        <w:rPr>
          <w:rFonts w:hint="eastAsia" w:ascii="宋体" w:hAnsi="宋体"/>
          <w:sz w:val="24"/>
          <w:szCs w:val="20"/>
        </w:rPr>
        <w:t>进一步试验和试运行</w:t>
      </w:r>
      <w:bookmarkEnd w:id="1939"/>
      <w:bookmarkEnd w:id="1940"/>
      <w:bookmarkEnd w:id="1941"/>
      <w:bookmarkEnd w:id="1942"/>
      <w:bookmarkEnd w:id="1943"/>
      <w:bookmarkEnd w:id="1944"/>
      <w:bookmarkEnd w:id="1945"/>
      <w:bookmarkEnd w:id="1946"/>
      <w:bookmarkEnd w:id="1947"/>
      <w:bookmarkEnd w:id="1948"/>
      <w:bookmarkEnd w:id="1949"/>
      <w:bookmarkEnd w:id="1950"/>
      <w:bookmarkEnd w:id="1951"/>
    </w:p>
    <w:p w14:paraId="04818429">
      <w:pPr>
        <w:spacing w:line="360" w:lineRule="auto"/>
        <w:ind w:firstLine="420" w:firstLineChars="200"/>
        <w:rPr>
          <w:rFonts w:hint="eastAsia" w:ascii="宋体" w:hAnsi="宋体"/>
          <w:szCs w:val="21"/>
        </w:rPr>
      </w:pPr>
      <w:r>
        <w:rPr>
          <w:rFonts w:hint="eastAsia" w:ascii="宋体" w:hAnsi="宋体"/>
          <w:szCs w:val="21"/>
        </w:rPr>
        <w:t>任何一项缺陷或损坏修复后，经检查证明其影响了工程或工程设备的使用性能，承包人应重新进行合同约定的试验和试运行，试验和试运行的全部费用应由责任方承担。</w:t>
      </w:r>
    </w:p>
    <w:p w14:paraId="77B7C540">
      <w:pPr>
        <w:keepNext/>
        <w:keepLines/>
        <w:spacing w:before="120" w:beforeLines="50" w:after="120" w:afterLines="50" w:line="360" w:lineRule="auto"/>
        <w:outlineLvl w:val="2"/>
        <w:rPr>
          <w:rFonts w:hint="eastAsia" w:ascii="宋体" w:hAnsi="宋体"/>
          <w:sz w:val="24"/>
          <w:szCs w:val="20"/>
        </w:rPr>
      </w:pPr>
      <w:bookmarkStart w:id="1952" w:name="_Toc486580178"/>
      <w:bookmarkStart w:id="1953" w:name="_Toc152045739"/>
      <w:bookmarkStart w:id="1954" w:name="_Toc490222623"/>
      <w:bookmarkStart w:id="1955" w:name="_Toc480487033"/>
      <w:bookmarkStart w:id="1956" w:name="_Toc117350547"/>
      <w:bookmarkStart w:id="1957" w:name="_Toc480486861"/>
      <w:bookmarkStart w:id="1958" w:name="_Toc489279989"/>
      <w:bookmarkStart w:id="1959" w:name="_Toc338944832"/>
      <w:bookmarkStart w:id="1960" w:name="_Toc483668207"/>
      <w:bookmarkStart w:id="1961" w:name="_Toc144974710"/>
      <w:bookmarkStart w:id="1962" w:name="_Toc179632757"/>
      <w:bookmarkStart w:id="1963" w:name="_Toc342296390"/>
      <w:bookmarkStart w:id="1964" w:name="_Toc152042518"/>
      <w:r>
        <w:rPr>
          <w:rFonts w:ascii="宋体" w:hAnsi="宋体"/>
          <w:sz w:val="24"/>
          <w:szCs w:val="20"/>
        </w:rPr>
        <w:t xml:space="preserve">19.5  </w:t>
      </w:r>
      <w:r>
        <w:rPr>
          <w:rFonts w:hint="eastAsia" w:ascii="宋体" w:hAnsi="宋体"/>
          <w:sz w:val="24"/>
          <w:szCs w:val="20"/>
        </w:rPr>
        <w:t>承包人的进入权</w:t>
      </w:r>
      <w:bookmarkEnd w:id="1952"/>
      <w:bookmarkEnd w:id="1953"/>
      <w:bookmarkEnd w:id="1954"/>
      <w:bookmarkEnd w:id="1955"/>
      <w:bookmarkEnd w:id="1956"/>
      <w:bookmarkEnd w:id="1957"/>
      <w:bookmarkEnd w:id="1958"/>
      <w:bookmarkEnd w:id="1959"/>
      <w:bookmarkEnd w:id="1960"/>
      <w:bookmarkEnd w:id="1961"/>
      <w:bookmarkEnd w:id="1962"/>
      <w:bookmarkEnd w:id="1963"/>
      <w:bookmarkEnd w:id="1964"/>
    </w:p>
    <w:p w14:paraId="60171678">
      <w:pPr>
        <w:spacing w:line="360" w:lineRule="auto"/>
        <w:ind w:firstLine="420" w:firstLineChars="200"/>
        <w:rPr>
          <w:rFonts w:hint="eastAsia" w:ascii="宋体" w:hAnsi="宋体"/>
          <w:szCs w:val="21"/>
        </w:rPr>
      </w:pPr>
      <w:r>
        <w:rPr>
          <w:rFonts w:hint="eastAsia" w:ascii="宋体" w:hAnsi="宋体"/>
          <w:szCs w:val="21"/>
        </w:rPr>
        <w:t>缺陷责任期内承包人为缺陷修复工作需要，有权进入工程现场，但应遵守发包人的保安和保密规定。</w:t>
      </w:r>
    </w:p>
    <w:p w14:paraId="70C5DAEC">
      <w:pPr>
        <w:keepNext/>
        <w:keepLines/>
        <w:spacing w:before="120" w:beforeLines="50" w:after="120" w:afterLines="50" w:line="360" w:lineRule="auto"/>
        <w:outlineLvl w:val="2"/>
        <w:rPr>
          <w:rFonts w:hint="eastAsia" w:ascii="宋体" w:hAnsi="宋体"/>
          <w:sz w:val="24"/>
          <w:szCs w:val="20"/>
        </w:rPr>
      </w:pPr>
      <w:bookmarkStart w:id="1965" w:name="_Toc480486862"/>
      <w:bookmarkStart w:id="1966" w:name="_Toc152045740"/>
      <w:bookmarkStart w:id="1967" w:name="_Toc483668208"/>
      <w:bookmarkStart w:id="1968" w:name="_Toc144974711"/>
      <w:bookmarkStart w:id="1969" w:name="_Toc152042519"/>
      <w:bookmarkStart w:id="1970" w:name="_Toc486580179"/>
      <w:bookmarkStart w:id="1971" w:name="_Toc179632758"/>
      <w:bookmarkStart w:id="1972" w:name="_Toc489279990"/>
      <w:bookmarkStart w:id="1973" w:name="_Toc338944833"/>
      <w:bookmarkStart w:id="1974" w:name="_Toc480487034"/>
      <w:bookmarkStart w:id="1975" w:name="_Toc490222624"/>
      <w:bookmarkStart w:id="1976" w:name="_Toc117350548"/>
      <w:bookmarkStart w:id="1977" w:name="_Toc342296391"/>
      <w:r>
        <w:rPr>
          <w:rFonts w:ascii="宋体" w:hAnsi="宋体"/>
          <w:sz w:val="24"/>
          <w:szCs w:val="20"/>
        </w:rPr>
        <w:t xml:space="preserve">19.6  </w:t>
      </w:r>
      <w:r>
        <w:rPr>
          <w:rFonts w:hint="eastAsia" w:ascii="宋体" w:hAnsi="宋体"/>
          <w:sz w:val="24"/>
          <w:szCs w:val="20"/>
        </w:rPr>
        <w:t>缺陷责任期终止证书</w:t>
      </w:r>
      <w:bookmarkEnd w:id="1965"/>
      <w:bookmarkEnd w:id="1966"/>
      <w:bookmarkEnd w:id="1967"/>
      <w:bookmarkEnd w:id="1968"/>
      <w:bookmarkEnd w:id="1969"/>
      <w:bookmarkEnd w:id="1970"/>
      <w:bookmarkEnd w:id="1971"/>
      <w:bookmarkEnd w:id="1972"/>
      <w:bookmarkEnd w:id="1973"/>
      <w:bookmarkEnd w:id="1974"/>
      <w:bookmarkEnd w:id="1975"/>
      <w:bookmarkEnd w:id="1976"/>
      <w:bookmarkEnd w:id="1977"/>
    </w:p>
    <w:p w14:paraId="716C8E10">
      <w:pPr>
        <w:spacing w:line="360" w:lineRule="auto"/>
        <w:ind w:firstLine="420" w:firstLineChars="200"/>
        <w:rPr>
          <w:rFonts w:hint="eastAsia" w:ascii="宋体" w:hAnsi="宋体"/>
          <w:szCs w:val="21"/>
        </w:rPr>
      </w:pPr>
      <w:r>
        <w:rPr>
          <w:rFonts w:hint="eastAsia" w:ascii="宋体" w:hAnsi="宋体"/>
          <w:szCs w:val="21"/>
        </w:rPr>
        <w:t>在第</w:t>
      </w:r>
      <w:r>
        <w:rPr>
          <w:rFonts w:ascii="宋体" w:hAnsi="宋体"/>
          <w:szCs w:val="21"/>
        </w:rPr>
        <w:t>1.1.4.5</w:t>
      </w:r>
      <w:r>
        <w:rPr>
          <w:rFonts w:hint="eastAsia" w:ascii="宋体" w:hAnsi="宋体"/>
          <w:szCs w:val="21"/>
        </w:rPr>
        <w:t>目约定的缺陷责任期，包括根据第</w:t>
      </w:r>
      <w:r>
        <w:rPr>
          <w:rFonts w:ascii="宋体" w:hAnsi="宋体"/>
          <w:szCs w:val="21"/>
        </w:rPr>
        <w:t>19.3</w:t>
      </w:r>
      <w:r>
        <w:rPr>
          <w:rFonts w:hint="eastAsia" w:ascii="宋体" w:hAnsi="宋体"/>
          <w:szCs w:val="21"/>
        </w:rPr>
        <w:t>款延长的期限终止后</w:t>
      </w:r>
      <w:r>
        <w:rPr>
          <w:rFonts w:ascii="宋体" w:hAnsi="宋体"/>
          <w:szCs w:val="21"/>
        </w:rPr>
        <w:t>14</w:t>
      </w:r>
      <w:r>
        <w:rPr>
          <w:rFonts w:hint="eastAsia" w:ascii="宋体" w:hAnsi="宋体"/>
          <w:szCs w:val="21"/>
        </w:rPr>
        <w:t>天内，由监理人向承包人出具经发包人签认的缺陷责任期终止证书，并退还剩余的质量保证金或退还保函。</w:t>
      </w:r>
    </w:p>
    <w:p w14:paraId="6C92DF3D">
      <w:pPr>
        <w:keepNext/>
        <w:keepLines/>
        <w:spacing w:before="120" w:beforeLines="50" w:after="120" w:afterLines="50" w:line="360" w:lineRule="auto"/>
        <w:outlineLvl w:val="2"/>
        <w:rPr>
          <w:rFonts w:hint="eastAsia" w:ascii="宋体" w:hAnsi="宋体"/>
          <w:sz w:val="24"/>
          <w:szCs w:val="20"/>
        </w:rPr>
      </w:pPr>
      <w:bookmarkStart w:id="1978" w:name="_Toc338944834"/>
      <w:bookmarkStart w:id="1979" w:name="_Toc483668209"/>
      <w:bookmarkStart w:id="1980" w:name="_Toc117350549"/>
      <w:bookmarkStart w:id="1981" w:name="_Toc486580180"/>
      <w:bookmarkStart w:id="1982" w:name="_Toc342296392"/>
      <w:bookmarkStart w:id="1983" w:name="_Toc480487035"/>
      <w:bookmarkStart w:id="1984" w:name="_Toc480486863"/>
      <w:bookmarkStart w:id="1985" w:name="_Toc490222625"/>
      <w:bookmarkStart w:id="1986" w:name="_Toc489279991"/>
      <w:r>
        <w:rPr>
          <w:rFonts w:ascii="宋体" w:hAnsi="宋体"/>
          <w:sz w:val="24"/>
          <w:szCs w:val="20"/>
        </w:rPr>
        <w:t xml:space="preserve">19.7  </w:t>
      </w:r>
      <w:r>
        <w:rPr>
          <w:rFonts w:hint="eastAsia" w:ascii="宋体" w:hAnsi="宋体"/>
          <w:sz w:val="24"/>
          <w:szCs w:val="20"/>
        </w:rPr>
        <w:t>保修责任</w:t>
      </w:r>
      <w:bookmarkEnd w:id="1978"/>
      <w:bookmarkEnd w:id="1979"/>
      <w:bookmarkEnd w:id="1980"/>
      <w:bookmarkEnd w:id="1981"/>
      <w:bookmarkEnd w:id="1982"/>
      <w:bookmarkEnd w:id="1983"/>
      <w:bookmarkEnd w:id="1984"/>
      <w:bookmarkEnd w:id="1985"/>
      <w:bookmarkEnd w:id="1986"/>
    </w:p>
    <w:p w14:paraId="598B28DC">
      <w:pPr>
        <w:spacing w:line="360" w:lineRule="auto"/>
        <w:ind w:firstLine="420" w:firstLineChars="200"/>
        <w:rPr>
          <w:rFonts w:hint="eastAsia" w:ascii="宋体" w:hAnsi="宋体"/>
          <w:szCs w:val="21"/>
        </w:rPr>
      </w:pPr>
      <w:r>
        <w:rPr>
          <w:rFonts w:ascii="宋体" w:hAnsi="宋体"/>
          <w:szCs w:val="21"/>
        </w:rPr>
        <w:t xml:space="preserve">19.7.1  </w:t>
      </w:r>
      <w:r>
        <w:rPr>
          <w:rFonts w:hint="eastAsia" w:ascii="宋体" w:hAnsi="宋体"/>
          <w:szCs w:val="21"/>
        </w:rPr>
        <w:t>合同当事人根据有关法律法规规定明确工程质量保修范围、期限和责任。保修期自实际竣工日期起计算。在全部工程竣工验收前，已经发包人提前验收的单位工程，其保修期的起算日期相应提前。工程质量保修范围、期限和责任见合同条款专用部分。</w:t>
      </w:r>
    </w:p>
    <w:p w14:paraId="4AAB69F2">
      <w:pPr>
        <w:spacing w:line="360" w:lineRule="auto"/>
        <w:ind w:firstLine="420" w:firstLineChars="200"/>
        <w:rPr>
          <w:rFonts w:hint="eastAsia" w:ascii="宋体" w:hAnsi="宋体"/>
          <w:szCs w:val="21"/>
        </w:rPr>
      </w:pPr>
      <w:r>
        <w:rPr>
          <w:rFonts w:ascii="宋体" w:hAnsi="宋体"/>
          <w:szCs w:val="21"/>
        </w:rPr>
        <w:t xml:space="preserve">19.7.2  </w:t>
      </w:r>
      <w:r>
        <w:rPr>
          <w:rFonts w:hint="eastAsia" w:ascii="宋体" w:hAnsi="宋体"/>
          <w:szCs w:val="21"/>
        </w:rPr>
        <w:t>质量保修书是竣工验收申请报告的组成内容。承包人应当按照有关法律法规规定和合同所附的格式出具质量保修书，质量保修书的主要内容应当与本款上述约定内容一致。承包人在递交合同条款第</w:t>
      </w:r>
      <w:r>
        <w:rPr>
          <w:rFonts w:ascii="宋体" w:hAnsi="宋体"/>
          <w:szCs w:val="21"/>
        </w:rPr>
        <w:t>18.2</w:t>
      </w:r>
      <w:r>
        <w:rPr>
          <w:rFonts w:hint="eastAsia" w:ascii="宋体" w:hAnsi="宋体"/>
          <w:szCs w:val="21"/>
        </w:rPr>
        <w:t>款约定的竣工验收报告的同时，将质量保修书一并报送监理人。</w:t>
      </w:r>
    </w:p>
    <w:p w14:paraId="2D0C4394">
      <w:pPr>
        <w:keepNext/>
        <w:keepLines/>
        <w:spacing w:before="120" w:beforeLines="50" w:after="120" w:afterLines="50" w:line="360" w:lineRule="auto"/>
        <w:outlineLvl w:val="1"/>
        <w:rPr>
          <w:rFonts w:hint="eastAsia" w:ascii="宋体" w:hAnsi="宋体" w:cs="宋体"/>
          <w:sz w:val="28"/>
          <w:szCs w:val="20"/>
        </w:rPr>
      </w:pPr>
      <w:bookmarkStart w:id="1987" w:name="_Toc117350550"/>
      <w:bookmarkStart w:id="1988" w:name="_Toc490222626"/>
      <w:bookmarkStart w:id="1989" w:name="_Toc486580181"/>
      <w:bookmarkStart w:id="1990" w:name="_Toc342296393"/>
      <w:bookmarkStart w:id="1991" w:name="_Toc480487036"/>
      <w:bookmarkStart w:id="1992" w:name="_Toc480486864"/>
      <w:bookmarkStart w:id="1993" w:name="_Toc338944835"/>
      <w:bookmarkStart w:id="1994" w:name="_Toc483668210"/>
      <w:bookmarkStart w:id="1995" w:name="_Toc489279992"/>
      <w:r>
        <w:rPr>
          <w:rFonts w:ascii="宋体" w:hAnsi="宋体" w:cs="宋体"/>
          <w:sz w:val="28"/>
          <w:szCs w:val="20"/>
        </w:rPr>
        <w:t>20.</w:t>
      </w:r>
      <w:r>
        <w:rPr>
          <w:rFonts w:hint="eastAsia" w:ascii="宋体" w:hAnsi="宋体" w:cs="宋体"/>
          <w:sz w:val="28"/>
          <w:szCs w:val="20"/>
        </w:rPr>
        <w:t>保险</w:t>
      </w:r>
      <w:bookmarkEnd w:id="1987"/>
      <w:bookmarkEnd w:id="1988"/>
      <w:bookmarkEnd w:id="1989"/>
      <w:bookmarkEnd w:id="1990"/>
      <w:bookmarkEnd w:id="1991"/>
      <w:bookmarkEnd w:id="1992"/>
      <w:bookmarkEnd w:id="1993"/>
      <w:bookmarkEnd w:id="1994"/>
      <w:bookmarkEnd w:id="1995"/>
    </w:p>
    <w:p w14:paraId="4A89565D">
      <w:pPr>
        <w:keepNext/>
        <w:keepLines/>
        <w:spacing w:before="120" w:beforeLines="50" w:after="120" w:afterLines="50" w:line="360" w:lineRule="auto"/>
        <w:outlineLvl w:val="2"/>
        <w:rPr>
          <w:rFonts w:hint="eastAsia" w:ascii="宋体" w:hAnsi="宋体"/>
          <w:sz w:val="24"/>
          <w:szCs w:val="20"/>
        </w:rPr>
      </w:pPr>
      <w:bookmarkStart w:id="1996" w:name="_Toc486580182"/>
      <w:bookmarkStart w:id="1997" w:name="_Toc338944836"/>
      <w:bookmarkStart w:id="1998" w:name="_Toc480487037"/>
      <w:bookmarkStart w:id="1999" w:name="_Toc483668211"/>
      <w:bookmarkStart w:id="2000" w:name="_Toc117350551"/>
      <w:bookmarkStart w:id="2001" w:name="_Toc490222627"/>
      <w:bookmarkStart w:id="2002" w:name="_Toc342296394"/>
      <w:bookmarkStart w:id="2003" w:name="_Toc480486865"/>
      <w:bookmarkStart w:id="2004" w:name="_Toc489279993"/>
      <w:r>
        <w:rPr>
          <w:rFonts w:ascii="宋体" w:hAnsi="宋体"/>
          <w:sz w:val="24"/>
          <w:szCs w:val="20"/>
        </w:rPr>
        <w:t xml:space="preserve">20.1  </w:t>
      </w:r>
      <w:r>
        <w:rPr>
          <w:rFonts w:hint="eastAsia" w:ascii="宋体" w:hAnsi="宋体"/>
          <w:sz w:val="24"/>
          <w:szCs w:val="20"/>
        </w:rPr>
        <w:t>工程保险</w:t>
      </w:r>
      <w:bookmarkEnd w:id="1996"/>
      <w:bookmarkEnd w:id="1997"/>
      <w:bookmarkEnd w:id="1998"/>
      <w:bookmarkEnd w:id="1999"/>
      <w:bookmarkEnd w:id="2000"/>
      <w:bookmarkEnd w:id="2001"/>
      <w:bookmarkEnd w:id="2002"/>
      <w:bookmarkEnd w:id="2003"/>
      <w:bookmarkEnd w:id="2004"/>
    </w:p>
    <w:p w14:paraId="11C30036">
      <w:pPr>
        <w:spacing w:line="360" w:lineRule="auto"/>
        <w:ind w:firstLine="420" w:firstLineChars="200"/>
        <w:rPr>
          <w:rFonts w:hint="eastAsia" w:ascii="宋体" w:hAnsi="宋体"/>
          <w:szCs w:val="21"/>
        </w:rPr>
      </w:pPr>
      <w:r>
        <w:rPr>
          <w:rFonts w:hint="eastAsia" w:ascii="宋体" w:hAnsi="宋体"/>
          <w:szCs w:val="21"/>
        </w:rPr>
        <w:t>承包人应以发包人和承包人的共同名义向双方同意的保险人投保建筑工程一切险、安装工程一切险。其具体的投保内容、保险金额、保险费率、保险期限等有关内容见合同条款专用部分。</w:t>
      </w:r>
    </w:p>
    <w:p w14:paraId="00EBC39B">
      <w:pPr>
        <w:keepNext/>
        <w:keepLines/>
        <w:spacing w:before="120" w:beforeLines="50" w:after="120" w:afterLines="50" w:line="360" w:lineRule="auto"/>
        <w:outlineLvl w:val="2"/>
        <w:rPr>
          <w:rFonts w:hint="eastAsia" w:ascii="宋体" w:hAnsi="宋体"/>
          <w:sz w:val="24"/>
          <w:szCs w:val="20"/>
        </w:rPr>
      </w:pPr>
      <w:bookmarkStart w:id="2005" w:name="_Toc486580183"/>
      <w:bookmarkStart w:id="2006" w:name="_Toc490222628"/>
      <w:bookmarkStart w:id="2007" w:name="_Toc489279994"/>
      <w:bookmarkStart w:id="2008" w:name="_Toc117350552"/>
      <w:bookmarkStart w:id="2009" w:name="_Toc480487038"/>
      <w:bookmarkStart w:id="2010" w:name="_Toc480486866"/>
      <w:bookmarkStart w:id="2011" w:name="_Toc342296395"/>
      <w:bookmarkStart w:id="2012" w:name="_Toc338944837"/>
      <w:bookmarkStart w:id="2013" w:name="_Toc483668212"/>
      <w:r>
        <w:rPr>
          <w:rFonts w:ascii="宋体" w:hAnsi="宋体"/>
          <w:sz w:val="24"/>
          <w:szCs w:val="20"/>
        </w:rPr>
        <w:t xml:space="preserve">20.2  </w:t>
      </w:r>
      <w:r>
        <w:rPr>
          <w:rFonts w:hint="eastAsia" w:ascii="宋体" w:hAnsi="宋体"/>
          <w:sz w:val="24"/>
          <w:szCs w:val="20"/>
        </w:rPr>
        <w:t>人员工伤事故的保险</w:t>
      </w:r>
      <w:bookmarkEnd w:id="2005"/>
      <w:bookmarkEnd w:id="2006"/>
      <w:bookmarkEnd w:id="2007"/>
      <w:bookmarkEnd w:id="2008"/>
      <w:bookmarkEnd w:id="2009"/>
      <w:bookmarkEnd w:id="2010"/>
      <w:bookmarkEnd w:id="2011"/>
      <w:bookmarkEnd w:id="2012"/>
      <w:bookmarkEnd w:id="2013"/>
    </w:p>
    <w:p w14:paraId="6FBBB652">
      <w:pPr>
        <w:spacing w:line="360" w:lineRule="auto"/>
        <w:ind w:firstLine="420" w:firstLineChars="200"/>
        <w:rPr>
          <w:rFonts w:hint="eastAsia" w:ascii="宋体" w:hAnsi="宋体"/>
          <w:szCs w:val="21"/>
        </w:rPr>
      </w:pPr>
      <w:r>
        <w:rPr>
          <w:rFonts w:ascii="宋体" w:hAnsi="宋体"/>
          <w:szCs w:val="21"/>
        </w:rPr>
        <w:t xml:space="preserve">20.2.1  </w:t>
      </w:r>
      <w:r>
        <w:rPr>
          <w:rFonts w:hint="eastAsia" w:ascii="宋体" w:hAnsi="宋体"/>
          <w:szCs w:val="21"/>
        </w:rPr>
        <w:t>承包人员工伤事故的保险</w:t>
      </w:r>
    </w:p>
    <w:p w14:paraId="0F4E5DA8">
      <w:pPr>
        <w:spacing w:line="360" w:lineRule="auto"/>
        <w:ind w:firstLine="420" w:firstLineChars="200"/>
        <w:rPr>
          <w:rFonts w:hint="eastAsia" w:ascii="宋体" w:hAnsi="宋体"/>
          <w:szCs w:val="21"/>
        </w:rPr>
      </w:pPr>
      <w:r>
        <w:rPr>
          <w:rFonts w:hint="eastAsia" w:ascii="宋体" w:hAnsi="宋体"/>
          <w:szCs w:val="21"/>
        </w:rPr>
        <w:t>（</w:t>
      </w:r>
      <w:r>
        <w:rPr>
          <w:rFonts w:ascii="宋体" w:hAnsi="宋体"/>
          <w:szCs w:val="21"/>
        </w:rPr>
        <w:t>1</w:t>
      </w:r>
      <w:r>
        <w:rPr>
          <w:rFonts w:hint="eastAsia" w:ascii="宋体" w:hAnsi="宋体"/>
          <w:szCs w:val="21"/>
        </w:rPr>
        <w:t>）承包人应依照有关法律法规规定参加工伤保险，为其履行合同所雇佣的全部人员（包括专业分包人、劳务分包人使用的人员），在合同工程开工前应当一次性缴纳工伤保险费。承包人在工程分包计费时，不得再向分包人另行计提、划拨工伤保险费。</w:t>
      </w:r>
    </w:p>
    <w:p w14:paraId="4C6BAA68">
      <w:pPr>
        <w:spacing w:line="360" w:lineRule="auto"/>
        <w:ind w:firstLine="420" w:firstLineChars="200"/>
        <w:rPr>
          <w:rFonts w:hint="eastAsia" w:ascii="宋体" w:hAnsi="宋体"/>
          <w:szCs w:val="21"/>
        </w:rPr>
      </w:pPr>
      <w:r>
        <w:rPr>
          <w:rFonts w:hint="eastAsia" w:ascii="宋体" w:hAnsi="宋体"/>
          <w:szCs w:val="21"/>
        </w:rPr>
        <w:t>（</w:t>
      </w:r>
      <w:r>
        <w:rPr>
          <w:rFonts w:ascii="宋体" w:hAnsi="宋体"/>
          <w:szCs w:val="21"/>
        </w:rPr>
        <w:t>2</w:t>
      </w:r>
      <w:r>
        <w:rPr>
          <w:rFonts w:hint="eastAsia" w:ascii="宋体" w:hAnsi="宋体"/>
          <w:szCs w:val="21"/>
        </w:rPr>
        <w:t>）承包人工伤事故保险期限自合同工程开工之日起至合同终止之日止。</w:t>
      </w:r>
    </w:p>
    <w:p w14:paraId="59753058">
      <w:pPr>
        <w:spacing w:line="360" w:lineRule="auto"/>
        <w:ind w:firstLine="420" w:firstLineChars="200"/>
        <w:rPr>
          <w:rFonts w:hint="eastAsia" w:ascii="宋体" w:hAnsi="宋体"/>
          <w:szCs w:val="21"/>
        </w:rPr>
      </w:pPr>
      <w:r>
        <w:rPr>
          <w:rFonts w:ascii="宋体" w:hAnsi="宋体"/>
          <w:szCs w:val="21"/>
        </w:rPr>
        <w:t xml:space="preserve">20.2.2  </w:t>
      </w:r>
      <w:r>
        <w:rPr>
          <w:rFonts w:hint="eastAsia" w:ascii="宋体" w:hAnsi="宋体"/>
          <w:szCs w:val="21"/>
        </w:rPr>
        <w:t>发包人员工伤事故的保险</w:t>
      </w:r>
    </w:p>
    <w:p w14:paraId="7FCC94A1">
      <w:pPr>
        <w:spacing w:line="360" w:lineRule="auto"/>
        <w:ind w:firstLine="420" w:firstLineChars="200"/>
        <w:rPr>
          <w:rFonts w:hint="eastAsia" w:ascii="宋体" w:hAnsi="宋体"/>
          <w:szCs w:val="21"/>
        </w:rPr>
      </w:pPr>
      <w:r>
        <w:rPr>
          <w:rFonts w:hint="eastAsia" w:ascii="宋体" w:hAnsi="宋体"/>
          <w:szCs w:val="21"/>
        </w:rPr>
        <w:t>发包人应依照有关法律法规规定参加工伤保险，为其现场机构雇佣的全部人员，缴纳工伤保险费，并要求其监理人也进行此项保险。</w:t>
      </w:r>
    </w:p>
    <w:p w14:paraId="666EDD92">
      <w:pPr>
        <w:keepNext/>
        <w:keepLines/>
        <w:spacing w:before="120" w:beforeLines="50" w:after="120" w:afterLines="50" w:line="360" w:lineRule="auto"/>
        <w:outlineLvl w:val="2"/>
        <w:rPr>
          <w:rFonts w:hint="eastAsia" w:ascii="宋体" w:hAnsi="宋体"/>
          <w:sz w:val="24"/>
          <w:szCs w:val="20"/>
        </w:rPr>
      </w:pPr>
      <w:bookmarkStart w:id="2014" w:name="_Toc117350553"/>
      <w:bookmarkStart w:id="2015" w:name="_Toc342296396"/>
      <w:bookmarkStart w:id="2016" w:name="_Toc490222629"/>
      <w:bookmarkStart w:id="2017" w:name="_Toc152045745"/>
      <w:bookmarkStart w:id="2018" w:name="_Toc483668213"/>
      <w:bookmarkStart w:id="2019" w:name="_Toc179632763"/>
      <w:bookmarkStart w:id="2020" w:name="_Toc486580184"/>
      <w:bookmarkStart w:id="2021" w:name="_Toc152042524"/>
      <w:bookmarkStart w:id="2022" w:name="_Toc480486867"/>
      <w:bookmarkStart w:id="2023" w:name="_Toc144974716"/>
      <w:bookmarkStart w:id="2024" w:name="_Toc489279995"/>
      <w:bookmarkStart w:id="2025" w:name="_Toc338944838"/>
      <w:bookmarkStart w:id="2026" w:name="_Toc480487039"/>
      <w:r>
        <w:rPr>
          <w:rFonts w:ascii="宋体" w:hAnsi="宋体"/>
          <w:sz w:val="24"/>
          <w:szCs w:val="20"/>
        </w:rPr>
        <w:t xml:space="preserve">20.3  </w:t>
      </w:r>
      <w:r>
        <w:rPr>
          <w:rFonts w:hint="eastAsia" w:ascii="宋体" w:hAnsi="宋体"/>
          <w:sz w:val="24"/>
          <w:szCs w:val="20"/>
        </w:rPr>
        <w:t>人身意外伤害险</w:t>
      </w:r>
      <w:bookmarkEnd w:id="2014"/>
      <w:bookmarkEnd w:id="2015"/>
      <w:bookmarkEnd w:id="2016"/>
      <w:bookmarkEnd w:id="2017"/>
      <w:bookmarkEnd w:id="2018"/>
      <w:bookmarkEnd w:id="2019"/>
      <w:bookmarkEnd w:id="2020"/>
      <w:bookmarkEnd w:id="2021"/>
      <w:bookmarkEnd w:id="2022"/>
      <w:bookmarkEnd w:id="2023"/>
      <w:bookmarkEnd w:id="2024"/>
      <w:bookmarkEnd w:id="2025"/>
      <w:bookmarkEnd w:id="2026"/>
    </w:p>
    <w:p w14:paraId="46371842">
      <w:pPr>
        <w:spacing w:line="360" w:lineRule="auto"/>
        <w:ind w:firstLine="420" w:firstLineChars="200"/>
        <w:rPr>
          <w:rFonts w:hint="eastAsia" w:ascii="宋体" w:hAnsi="宋体"/>
          <w:szCs w:val="21"/>
        </w:rPr>
      </w:pPr>
      <w:r>
        <w:rPr>
          <w:rFonts w:ascii="宋体" w:hAnsi="宋体"/>
          <w:szCs w:val="21"/>
        </w:rPr>
        <w:t xml:space="preserve">20.3.1  </w:t>
      </w:r>
      <w:r>
        <w:rPr>
          <w:rFonts w:hint="eastAsia" w:ascii="宋体" w:hAnsi="宋体"/>
          <w:szCs w:val="21"/>
        </w:rPr>
        <w:t>发包人应在整个施工期间为其现场机构雇用的全部人员，投保人身意外伤害险，缴纳保险费，并要求其监理人也进行此项保险。</w:t>
      </w:r>
    </w:p>
    <w:p w14:paraId="4AAA7D3C">
      <w:pPr>
        <w:spacing w:line="360" w:lineRule="auto"/>
        <w:ind w:firstLine="420" w:firstLineChars="200"/>
        <w:rPr>
          <w:rFonts w:hint="eastAsia" w:ascii="宋体" w:hAnsi="宋体"/>
          <w:szCs w:val="21"/>
        </w:rPr>
      </w:pPr>
      <w:r>
        <w:rPr>
          <w:rFonts w:ascii="宋体" w:hAnsi="宋体"/>
          <w:szCs w:val="21"/>
        </w:rPr>
        <w:t xml:space="preserve">20.3.2  </w:t>
      </w:r>
      <w:r>
        <w:rPr>
          <w:rFonts w:hint="eastAsia" w:ascii="宋体" w:hAnsi="宋体"/>
          <w:szCs w:val="21"/>
        </w:rPr>
        <w:t>承包人应在整个施工期间为其现场机构雇用的全部人员，投保人身意外伤害险，缴纳保险费，并要求其分包人也进行此项保险。</w:t>
      </w:r>
    </w:p>
    <w:p w14:paraId="099337CC">
      <w:pPr>
        <w:keepNext/>
        <w:keepLines/>
        <w:spacing w:before="120" w:beforeLines="50" w:after="120" w:afterLines="50" w:line="360" w:lineRule="auto"/>
        <w:outlineLvl w:val="2"/>
        <w:rPr>
          <w:rFonts w:hint="eastAsia" w:ascii="宋体" w:hAnsi="宋体"/>
          <w:sz w:val="24"/>
          <w:szCs w:val="20"/>
        </w:rPr>
      </w:pPr>
      <w:bookmarkStart w:id="2027" w:name="_Toc483668214"/>
      <w:bookmarkStart w:id="2028" w:name="_Toc486580185"/>
      <w:bookmarkStart w:id="2029" w:name="_Toc117350554"/>
      <w:bookmarkStart w:id="2030" w:name="_Toc490222630"/>
      <w:bookmarkStart w:id="2031" w:name="_Toc480486868"/>
      <w:bookmarkStart w:id="2032" w:name="_Toc480487040"/>
      <w:bookmarkStart w:id="2033" w:name="_Toc489279996"/>
      <w:bookmarkStart w:id="2034" w:name="_Toc338944839"/>
      <w:bookmarkStart w:id="2035" w:name="_Toc342296397"/>
      <w:r>
        <w:rPr>
          <w:rFonts w:ascii="宋体" w:hAnsi="宋体"/>
          <w:sz w:val="24"/>
          <w:szCs w:val="20"/>
        </w:rPr>
        <w:t xml:space="preserve">20.4  </w:t>
      </w:r>
      <w:r>
        <w:rPr>
          <w:rFonts w:hint="eastAsia" w:ascii="宋体" w:hAnsi="宋体"/>
          <w:sz w:val="24"/>
          <w:szCs w:val="20"/>
        </w:rPr>
        <w:t>第三者责任险</w:t>
      </w:r>
      <w:bookmarkEnd w:id="2027"/>
      <w:bookmarkEnd w:id="2028"/>
      <w:bookmarkEnd w:id="2029"/>
      <w:bookmarkEnd w:id="2030"/>
      <w:bookmarkEnd w:id="2031"/>
      <w:bookmarkEnd w:id="2032"/>
      <w:bookmarkEnd w:id="2033"/>
      <w:bookmarkEnd w:id="2034"/>
      <w:bookmarkEnd w:id="2035"/>
    </w:p>
    <w:p w14:paraId="6FD04E25">
      <w:pPr>
        <w:spacing w:line="360" w:lineRule="auto"/>
        <w:ind w:firstLine="420" w:firstLineChars="200"/>
        <w:rPr>
          <w:rFonts w:hint="eastAsia" w:ascii="宋体" w:hAnsi="宋体"/>
          <w:szCs w:val="21"/>
        </w:rPr>
      </w:pPr>
      <w:r>
        <w:rPr>
          <w:rFonts w:ascii="宋体" w:hAnsi="宋体"/>
          <w:szCs w:val="21"/>
        </w:rPr>
        <w:t xml:space="preserve">20.4.1  </w:t>
      </w:r>
      <w:r>
        <w:rPr>
          <w:rFonts w:hint="eastAsia" w:ascii="宋体" w:hAnsi="宋体"/>
          <w:szCs w:val="21"/>
        </w:rPr>
        <w:t>第三者责任系指在保险期内，对因工程意外事故造成的、依法应由被保险人负责的工地上及毗邻地区的第三者人身伤亡、疾病或财产损失（本工程除外），以及被保险人因此而支付的诉讼费用和事先经保险人书面同意支付的其他费用等赔偿责任。</w:t>
      </w:r>
    </w:p>
    <w:p w14:paraId="2552D4C2">
      <w:pPr>
        <w:spacing w:line="360" w:lineRule="auto"/>
        <w:ind w:firstLine="420" w:firstLineChars="200"/>
        <w:rPr>
          <w:rFonts w:hint="eastAsia" w:ascii="宋体" w:hAnsi="宋体"/>
          <w:szCs w:val="21"/>
        </w:rPr>
      </w:pPr>
      <w:r>
        <w:rPr>
          <w:rFonts w:ascii="宋体" w:hAnsi="宋体"/>
          <w:szCs w:val="21"/>
        </w:rPr>
        <w:t xml:space="preserve">20.4.2  </w:t>
      </w:r>
      <w:r>
        <w:rPr>
          <w:rFonts w:hint="eastAsia" w:ascii="宋体" w:hAnsi="宋体"/>
          <w:szCs w:val="21"/>
        </w:rPr>
        <w:t>在缺陷责任期终止证书颁发前，承包人应以承包人和发包人的共同名义，投保第</w:t>
      </w:r>
      <w:r>
        <w:rPr>
          <w:rFonts w:ascii="宋体" w:hAnsi="宋体"/>
          <w:szCs w:val="21"/>
        </w:rPr>
        <w:t>20.4.1</w:t>
      </w:r>
      <w:r>
        <w:rPr>
          <w:rFonts w:hint="eastAsia" w:ascii="宋体" w:hAnsi="宋体"/>
          <w:szCs w:val="21"/>
        </w:rPr>
        <w:t>项约定的第三者责任险，其保险费率、保险金额、保险费承担人等有关内容见合同条款专用部分。</w:t>
      </w:r>
    </w:p>
    <w:p w14:paraId="75B8DEEE">
      <w:pPr>
        <w:keepNext/>
        <w:keepLines/>
        <w:spacing w:before="120" w:beforeLines="50" w:after="120" w:afterLines="50" w:line="360" w:lineRule="auto"/>
        <w:outlineLvl w:val="2"/>
        <w:rPr>
          <w:rFonts w:hint="eastAsia" w:ascii="宋体" w:hAnsi="宋体"/>
          <w:sz w:val="24"/>
          <w:szCs w:val="20"/>
        </w:rPr>
      </w:pPr>
      <w:bookmarkStart w:id="2036" w:name="_Toc490222631"/>
      <w:bookmarkStart w:id="2037" w:name="_Toc489279997"/>
      <w:bookmarkStart w:id="2038" w:name="_Toc342296398"/>
      <w:bookmarkStart w:id="2039" w:name="_Toc338944840"/>
      <w:bookmarkStart w:id="2040" w:name="_Toc483668215"/>
      <w:bookmarkStart w:id="2041" w:name="_Toc117350555"/>
      <w:bookmarkStart w:id="2042" w:name="_Toc480486869"/>
      <w:bookmarkStart w:id="2043" w:name="_Toc486580186"/>
      <w:bookmarkStart w:id="2044" w:name="_Toc480487041"/>
      <w:r>
        <w:rPr>
          <w:rFonts w:ascii="宋体" w:hAnsi="宋体"/>
          <w:sz w:val="24"/>
          <w:szCs w:val="20"/>
        </w:rPr>
        <w:t xml:space="preserve">20.5  </w:t>
      </w:r>
      <w:r>
        <w:rPr>
          <w:rFonts w:hint="eastAsia" w:ascii="宋体" w:hAnsi="宋体"/>
          <w:sz w:val="24"/>
          <w:szCs w:val="20"/>
        </w:rPr>
        <w:t>其他保险</w:t>
      </w:r>
      <w:bookmarkEnd w:id="2036"/>
      <w:bookmarkEnd w:id="2037"/>
      <w:bookmarkEnd w:id="2038"/>
      <w:bookmarkEnd w:id="2039"/>
      <w:bookmarkEnd w:id="2040"/>
      <w:bookmarkEnd w:id="2041"/>
      <w:bookmarkEnd w:id="2042"/>
      <w:bookmarkEnd w:id="2043"/>
      <w:bookmarkEnd w:id="2044"/>
    </w:p>
    <w:p w14:paraId="504D431A">
      <w:pPr>
        <w:spacing w:line="360" w:lineRule="auto"/>
        <w:ind w:firstLine="420" w:firstLineChars="200"/>
        <w:rPr>
          <w:rFonts w:hint="eastAsia" w:ascii="宋体" w:hAnsi="宋体"/>
          <w:szCs w:val="21"/>
        </w:rPr>
      </w:pPr>
      <w:r>
        <w:rPr>
          <w:rFonts w:hint="eastAsia" w:ascii="宋体" w:hAnsi="宋体"/>
          <w:szCs w:val="21"/>
        </w:rPr>
        <w:t>承包人应为其施工设备、进场的材料和工程设备等办理保险。办理保险的险种见合同条款专用部分。</w:t>
      </w:r>
    </w:p>
    <w:p w14:paraId="3F1412FD">
      <w:pPr>
        <w:keepNext/>
        <w:keepLines/>
        <w:spacing w:before="120" w:beforeLines="50" w:after="120" w:afterLines="50" w:line="360" w:lineRule="auto"/>
        <w:outlineLvl w:val="2"/>
        <w:rPr>
          <w:rFonts w:hint="eastAsia" w:ascii="宋体" w:hAnsi="宋体"/>
          <w:sz w:val="24"/>
          <w:szCs w:val="20"/>
        </w:rPr>
      </w:pPr>
      <w:bookmarkStart w:id="2045" w:name="_Toc117350556"/>
      <w:bookmarkStart w:id="2046" w:name="_Toc480486870"/>
      <w:bookmarkStart w:id="2047" w:name="_Toc480487042"/>
      <w:bookmarkStart w:id="2048" w:name="_Toc490222632"/>
      <w:bookmarkStart w:id="2049" w:name="_Toc342296399"/>
      <w:bookmarkStart w:id="2050" w:name="_Toc486580187"/>
      <w:bookmarkStart w:id="2051" w:name="_Toc483668216"/>
      <w:bookmarkStart w:id="2052" w:name="_Toc338944841"/>
      <w:bookmarkStart w:id="2053" w:name="_Toc489279998"/>
      <w:r>
        <w:rPr>
          <w:rFonts w:ascii="宋体" w:hAnsi="宋体"/>
          <w:sz w:val="24"/>
          <w:szCs w:val="20"/>
        </w:rPr>
        <w:t xml:space="preserve">20.6  </w:t>
      </w:r>
      <w:r>
        <w:rPr>
          <w:rFonts w:hint="eastAsia" w:ascii="宋体" w:hAnsi="宋体"/>
          <w:sz w:val="24"/>
          <w:szCs w:val="20"/>
        </w:rPr>
        <w:t>对各项保险的一般要求</w:t>
      </w:r>
      <w:bookmarkEnd w:id="2045"/>
      <w:bookmarkEnd w:id="2046"/>
      <w:bookmarkEnd w:id="2047"/>
      <w:bookmarkEnd w:id="2048"/>
      <w:bookmarkEnd w:id="2049"/>
      <w:bookmarkEnd w:id="2050"/>
      <w:bookmarkEnd w:id="2051"/>
      <w:bookmarkEnd w:id="2052"/>
      <w:bookmarkEnd w:id="2053"/>
    </w:p>
    <w:p w14:paraId="002945E3">
      <w:pPr>
        <w:spacing w:line="360" w:lineRule="auto"/>
        <w:ind w:firstLine="420" w:firstLineChars="200"/>
        <w:rPr>
          <w:rFonts w:hint="eastAsia" w:ascii="宋体" w:hAnsi="宋体"/>
          <w:szCs w:val="21"/>
        </w:rPr>
      </w:pPr>
      <w:r>
        <w:rPr>
          <w:rFonts w:ascii="宋体" w:hAnsi="宋体"/>
          <w:szCs w:val="21"/>
        </w:rPr>
        <w:t xml:space="preserve">20.6.1  </w:t>
      </w:r>
      <w:r>
        <w:rPr>
          <w:rFonts w:hint="eastAsia" w:ascii="宋体" w:hAnsi="宋体"/>
          <w:szCs w:val="21"/>
        </w:rPr>
        <w:t>保险凭证</w:t>
      </w:r>
    </w:p>
    <w:p w14:paraId="4A6ABE00">
      <w:pPr>
        <w:spacing w:line="360" w:lineRule="auto"/>
        <w:ind w:firstLine="420" w:firstLineChars="200"/>
        <w:rPr>
          <w:rFonts w:hint="eastAsia" w:ascii="宋体" w:hAnsi="宋体"/>
          <w:szCs w:val="21"/>
        </w:rPr>
      </w:pPr>
      <w:r>
        <w:rPr>
          <w:rFonts w:hint="eastAsia" w:ascii="宋体" w:hAnsi="宋体"/>
          <w:szCs w:val="21"/>
        </w:rPr>
        <w:t>承包人应在合同约定的期限内向发包人提交各项保险生效的证据和保险单副本，保险单必须与合同约定的条件保持一致。各项保险生效的证据和保险单副本的期限见合同条款专用部分。</w:t>
      </w:r>
    </w:p>
    <w:p w14:paraId="7C07EA1A">
      <w:pPr>
        <w:spacing w:line="360" w:lineRule="auto"/>
        <w:ind w:firstLine="420" w:firstLineChars="200"/>
        <w:rPr>
          <w:rFonts w:hint="eastAsia" w:ascii="宋体" w:hAnsi="宋体"/>
          <w:szCs w:val="21"/>
        </w:rPr>
      </w:pPr>
      <w:r>
        <w:rPr>
          <w:rFonts w:ascii="宋体" w:hAnsi="宋体"/>
          <w:szCs w:val="21"/>
        </w:rPr>
        <w:t xml:space="preserve">20.6.2  </w:t>
      </w:r>
      <w:r>
        <w:rPr>
          <w:rFonts w:hint="eastAsia" w:ascii="宋体" w:hAnsi="宋体"/>
          <w:szCs w:val="21"/>
        </w:rPr>
        <w:t>保险合同条款的变动</w:t>
      </w:r>
    </w:p>
    <w:p w14:paraId="56ACE972">
      <w:pPr>
        <w:spacing w:line="360" w:lineRule="auto"/>
        <w:ind w:firstLine="420" w:firstLineChars="200"/>
        <w:rPr>
          <w:rFonts w:hint="eastAsia" w:ascii="宋体" w:hAnsi="宋体"/>
          <w:szCs w:val="21"/>
        </w:rPr>
      </w:pPr>
      <w:r>
        <w:rPr>
          <w:rFonts w:hint="eastAsia" w:ascii="宋体" w:hAnsi="宋体"/>
          <w:szCs w:val="21"/>
        </w:rPr>
        <w:t>承包人需要变动保险合同条款时，应事先征得发包人同意，并通知监理人。保险人作出变动的，承包人应在收到保险人通知后立即通知发包人和监理人。</w:t>
      </w:r>
    </w:p>
    <w:p w14:paraId="428499F3">
      <w:pPr>
        <w:spacing w:line="360" w:lineRule="auto"/>
        <w:ind w:firstLine="420" w:firstLineChars="200"/>
        <w:rPr>
          <w:rFonts w:hint="eastAsia" w:ascii="宋体" w:hAnsi="宋体"/>
          <w:szCs w:val="21"/>
        </w:rPr>
      </w:pPr>
      <w:r>
        <w:rPr>
          <w:rFonts w:ascii="宋体" w:hAnsi="宋体"/>
          <w:szCs w:val="21"/>
        </w:rPr>
        <w:t xml:space="preserve">20.6.3  </w:t>
      </w:r>
      <w:r>
        <w:rPr>
          <w:rFonts w:hint="eastAsia" w:ascii="宋体" w:hAnsi="宋体"/>
          <w:szCs w:val="21"/>
        </w:rPr>
        <w:t>持续保险</w:t>
      </w:r>
    </w:p>
    <w:p w14:paraId="7412C974">
      <w:pPr>
        <w:spacing w:line="360" w:lineRule="auto"/>
        <w:ind w:firstLine="420" w:firstLineChars="200"/>
        <w:rPr>
          <w:rFonts w:hint="eastAsia" w:ascii="宋体" w:hAnsi="宋体"/>
          <w:szCs w:val="21"/>
        </w:rPr>
      </w:pPr>
      <w:r>
        <w:rPr>
          <w:rFonts w:hint="eastAsia" w:ascii="宋体" w:hAnsi="宋体"/>
          <w:szCs w:val="21"/>
        </w:rPr>
        <w:t>承包人应与保险人保持联系，使保险人能够随时了解工程实施中的变动，并确保按保险合同条款要求持续保险。</w:t>
      </w:r>
    </w:p>
    <w:p w14:paraId="0FC7609A">
      <w:pPr>
        <w:spacing w:line="360" w:lineRule="auto"/>
        <w:ind w:firstLine="420" w:firstLineChars="200"/>
        <w:rPr>
          <w:rFonts w:hint="eastAsia" w:ascii="宋体" w:hAnsi="宋体"/>
          <w:szCs w:val="21"/>
        </w:rPr>
      </w:pPr>
      <w:r>
        <w:rPr>
          <w:rFonts w:ascii="宋体" w:hAnsi="宋体"/>
          <w:szCs w:val="21"/>
        </w:rPr>
        <w:t xml:space="preserve">20.6.4  </w:t>
      </w:r>
      <w:r>
        <w:rPr>
          <w:rFonts w:hint="eastAsia" w:ascii="宋体" w:hAnsi="宋体"/>
          <w:szCs w:val="21"/>
        </w:rPr>
        <w:t>保险金不足的补偿</w:t>
      </w:r>
    </w:p>
    <w:p w14:paraId="6ED1B85A">
      <w:pPr>
        <w:spacing w:line="360" w:lineRule="auto"/>
        <w:ind w:firstLine="420" w:firstLineChars="200"/>
        <w:rPr>
          <w:rFonts w:hint="eastAsia" w:ascii="宋体" w:hAnsi="宋体"/>
          <w:szCs w:val="21"/>
        </w:rPr>
      </w:pPr>
      <w:r>
        <w:rPr>
          <w:rFonts w:hint="eastAsia" w:ascii="宋体" w:hAnsi="宋体"/>
          <w:szCs w:val="21"/>
        </w:rPr>
        <w:t>保险金不足以补偿损失的，应由承包人和（或）发包人按合同约定负责补偿。保险金不足的补偿原则见合同条款专用部分。</w:t>
      </w:r>
    </w:p>
    <w:p w14:paraId="7E9A4EAD">
      <w:pPr>
        <w:spacing w:line="360" w:lineRule="auto"/>
        <w:ind w:firstLine="420" w:firstLineChars="200"/>
        <w:rPr>
          <w:rFonts w:hint="eastAsia" w:ascii="宋体" w:hAnsi="宋体"/>
          <w:szCs w:val="21"/>
        </w:rPr>
      </w:pPr>
      <w:r>
        <w:rPr>
          <w:rFonts w:ascii="宋体" w:hAnsi="宋体"/>
          <w:szCs w:val="21"/>
        </w:rPr>
        <w:t xml:space="preserve">20.6.5  </w:t>
      </w:r>
      <w:r>
        <w:rPr>
          <w:rFonts w:hint="eastAsia" w:ascii="宋体" w:hAnsi="宋体"/>
          <w:szCs w:val="21"/>
        </w:rPr>
        <w:t>未按约定投保的补救</w:t>
      </w:r>
    </w:p>
    <w:p w14:paraId="00C937F7">
      <w:pPr>
        <w:spacing w:line="360" w:lineRule="auto"/>
        <w:ind w:firstLine="420" w:firstLineChars="200"/>
        <w:rPr>
          <w:rFonts w:hint="eastAsia" w:ascii="宋体" w:hAnsi="宋体"/>
          <w:szCs w:val="21"/>
        </w:rPr>
      </w:pPr>
      <w:r>
        <w:rPr>
          <w:rFonts w:hint="eastAsia" w:ascii="宋体" w:hAnsi="宋体"/>
          <w:szCs w:val="21"/>
        </w:rPr>
        <w:t>（</w:t>
      </w:r>
      <w:r>
        <w:rPr>
          <w:rFonts w:ascii="宋体" w:hAnsi="宋体"/>
          <w:szCs w:val="21"/>
        </w:rPr>
        <w:t>1</w:t>
      </w:r>
      <w:r>
        <w:rPr>
          <w:rFonts w:hint="eastAsia" w:ascii="宋体" w:hAnsi="宋体"/>
          <w:szCs w:val="21"/>
        </w:rPr>
        <w:t>）由于负有投保义务的一方当事人未按合同约定办理保险，或未能使保险持续有效的，另一方当事人可代为办理，所需费用由对方当事人承担。</w:t>
      </w:r>
    </w:p>
    <w:p w14:paraId="4274AE9C">
      <w:pPr>
        <w:spacing w:line="360" w:lineRule="auto"/>
        <w:ind w:firstLine="420" w:firstLineChars="200"/>
        <w:rPr>
          <w:rFonts w:hint="eastAsia" w:ascii="宋体" w:hAnsi="宋体"/>
          <w:szCs w:val="21"/>
        </w:rPr>
      </w:pPr>
      <w:r>
        <w:rPr>
          <w:rFonts w:hint="eastAsia" w:ascii="宋体" w:hAnsi="宋体"/>
          <w:szCs w:val="21"/>
        </w:rPr>
        <w:t>（</w:t>
      </w:r>
      <w:r>
        <w:rPr>
          <w:rFonts w:ascii="宋体" w:hAnsi="宋体"/>
          <w:szCs w:val="21"/>
        </w:rPr>
        <w:t>2</w:t>
      </w:r>
      <w:r>
        <w:rPr>
          <w:rFonts w:hint="eastAsia" w:ascii="宋体" w:hAnsi="宋体"/>
          <w:szCs w:val="21"/>
        </w:rPr>
        <w:t>）由于负有投保义务的一方当事人未按合同约定办理某项保险，导致受益人未能得到保险人的赔偿，原应从该项保险得到的保险金应由负有投保义务的一方当事人支付。</w:t>
      </w:r>
    </w:p>
    <w:p w14:paraId="115B7323">
      <w:pPr>
        <w:spacing w:line="360" w:lineRule="auto"/>
        <w:ind w:firstLine="420" w:firstLineChars="200"/>
        <w:rPr>
          <w:rFonts w:hint="eastAsia" w:ascii="宋体" w:hAnsi="宋体"/>
          <w:szCs w:val="21"/>
        </w:rPr>
      </w:pPr>
      <w:r>
        <w:rPr>
          <w:rFonts w:ascii="宋体" w:hAnsi="宋体"/>
          <w:szCs w:val="21"/>
        </w:rPr>
        <w:t xml:space="preserve">20.6.6  </w:t>
      </w:r>
      <w:r>
        <w:rPr>
          <w:rFonts w:hint="eastAsia" w:ascii="宋体" w:hAnsi="宋体"/>
          <w:szCs w:val="21"/>
        </w:rPr>
        <w:t>报告义务</w:t>
      </w:r>
    </w:p>
    <w:p w14:paraId="7C5CCA32">
      <w:pPr>
        <w:spacing w:line="360" w:lineRule="auto"/>
        <w:ind w:firstLine="420" w:firstLineChars="200"/>
        <w:rPr>
          <w:rFonts w:hint="eastAsia" w:ascii="宋体" w:hAnsi="宋体"/>
          <w:szCs w:val="21"/>
        </w:rPr>
      </w:pPr>
      <w:r>
        <w:rPr>
          <w:rFonts w:hint="eastAsia" w:ascii="宋体" w:hAnsi="宋体"/>
          <w:szCs w:val="21"/>
        </w:rPr>
        <w:t>当保险事故发生时，投保人应按照保险单规定的条件和期限及时向保险人报告。</w:t>
      </w:r>
    </w:p>
    <w:p w14:paraId="0EC5E11E">
      <w:pPr>
        <w:keepNext/>
        <w:keepLines/>
        <w:spacing w:before="120" w:beforeLines="50" w:after="120" w:afterLines="50" w:line="360" w:lineRule="auto"/>
        <w:outlineLvl w:val="1"/>
        <w:rPr>
          <w:rFonts w:hint="eastAsia" w:ascii="宋体" w:hAnsi="宋体" w:cs="宋体"/>
          <w:sz w:val="28"/>
          <w:szCs w:val="20"/>
        </w:rPr>
      </w:pPr>
      <w:bookmarkStart w:id="2054" w:name="_Toc338944842"/>
      <w:bookmarkStart w:id="2055" w:name="_Toc480487043"/>
      <w:bookmarkStart w:id="2056" w:name="_Toc483668217"/>
      <w:bookmarkStart w:id="2057" w:name="_Toc489279999"/>
      <w:bookmarkStart w:id="2058" w:name="_Toc342296400"/>
      <w:bookmarkStart w:id="2059" w:name="_Toc490222633"/>
      <w:bookmarkStart w:id="2060" w:name="_Toc117350557"/>
      <w:bookmarkStart w:id="2061" w:name="_Toc486580188"/>
      <w:bookmarkStart w:id="2062" w:name="_Toc480486871"/>
      <w:r>
        <w:rPr>
          <w:rFonts w:ascii="宋体" w:hAnsi="宋体" w:cs="宋体"/>
          <w:sz w:val="28"/>
          <w:szCs w:val="20"/>
        </w:rPr>
        <w:t>21.</w:t>
      </w:r>
      <w:r>
        <w:rPr>
          <w:rFonts w:hint="eastAsia" w:ascii="宋体" w:hAnsi="宋体" w:cs="宋体"/>
          <w:sz w:val="28"/>
          <w:szCs w:val="20"/>
        </w:rPr>
        <w:t>不可抗力</w:t>
      </w:r>
      <w:bookmarkEnd w:id="2054"/>
      <w:bookmarkEnd w:id="2055"/>
      <w:bookmarkEnd w:id="2056"/>
      <w:bookmarkEnd w:id="2057"/>
      <w:bookmarkEnd w:id="2058"/>
      <w:bookmarkEnd w:id="2059"/>
      <w:bookmarkEnd w:id="2060"/>
      <w:bookmarkEnd w:id="2061"/>
      <w:bookmarkEnd w:id="2062"/>
    </w:p>
    <w:p w14:paraId="585A069A">
      <w:pPr>
        <w:keepNext/>
        <w:keepLines/>
        <w:spacing w:before="120" w:beforeLines="50" w:after="120" w:afterLines="50" w:line="360" w:lineRule="auto"/>
        <w:outlineLvl w:val="2"/>
        <w:rPr>
          <w:rFonts w:hint="eastAsia" w:ascii="宋体" w:hAnsi="宋体"/>
          <w:sz w:val="24"/>
          <w:szCs w:val="20"/>
        </w:rPr>
      </w:pPr>
      <w:bookmarkStart w:id="2063" w:name="_Toc480486872"/>
      <w:bookmarkStart w:id="2064" w:name="_Toc338944843"/>
      <w:bookmarkStart w:id="2065" w:name="_Toc342296401"/>
      <w:bookmarkStart w:id="2066" w:name="_Toc117350558"/>
      <w:bookmarkStart w:id="2067" w:name="_Toc489280000"/>
      <w:bookmarkStart w:id="2068" w:name="_Toc490222634"/>
      <w:bookmarkStart w:id="2069" w:name="_Toc483668218"/>
      <w:bookmarkStart w:id="2070" w:name="_Toc480487044"/>
      <w:bookmarkStart w:id="2071" w:name="_Toc486580189"/>
      <w:r>
        <w:rPr>
          <w:rFonts w:ascii="宋体" w:hAnsi="宋体"/>
          <w:sz w:val="24"/>
          <w:szCs w:val="20"/>
        </w:rPr>
        <w:t xml:space="preserve">21.1  </w:t>
      </w:r>
      <w:r>
        <w:rPr>
          <w:rFonts w:hint="eastAsia" w:ascii="宋体" w:hAnsi="宋体"/>
          <w:sz w:val="24"/>
          <w:szCs w:val="20"/>
        </w:rPr>
        <w:t>不可抗力的确认</w:t>
      </w:r>
      <w:bookmarkEnd w:id="2063"/>
      <w:bookmarkEnd w:id="2064"/>
      <w:bookmarkEnd w:id="2065"/>
      <w:bookmarkEnd w:id="2066"/>
      <w:bookmarkEnd w:id="2067"/>
      <w:bookmarkEnd w:id="2068"/>
      <w:bookmarkEnd w:id="2069"/>
      <w:bookmarkEnd w:id="2070"/>
      <w:bookmarkEnd w:id="2071"/>
    </w:p>
    <w:p w14:paraId="10BC1F76">
      <w:pPr>
        <w:spacing w:line="360" w:lineRule="auto"/>
        <w:ind w:firstLine="420" w:firstLineChars="200"/>
        <w:rPr>
          <w:rFonts w:hint="eastAsia" w:ascii="宋体" w:hAnsi="宋体"/>
          <w:szCs w:val="21"/>
        </w:rPr>
      </w:pPr>
      <w:r>
        <w:rPr>
          <w:rFonts w:ascii="宋体" w:hAnsi="宋体"/>
          <w:szCs w:val="21"/>
        </w:rPr>
        <w:t xml:space="preserve">21.1.1  </w:t>
      </w:r>
      <w:r>
        <w:rPr>
          <w:rFonts w:hint="eastAsia" w:ascii="宋体" w:hAnsi="宋体"/>
          <w:szCs w:val="21"/>
        </w:rPr>
        <w:t>不可抗力是指承包人和发包人在订立合同时不可预见，在工程施工过程中不可避免发生并不能克服的自然灾害和社会性突发事件，如地震、海啸、瘟疫、水灾、骚乱、暴动、战争和合同约定的其他情形。其他情形见合同条款专用部分。</w:t>
      </w:r>
    </w:p>
    <w:p w14:paraId="1C0F995B">
      <w:pPr>
        <w:spacing w:line="360" w:lineRule="auto"/>
        <w:ind w:firstLine="420" w:firstLineChars="200"/>
        <w:rPr>
          <w:rFonts w:hint="eastAsia" w:ascii="宋体" w:hAnsi="宋体"/>
          <w:szCs w:val="21"/>
        </w:rPr>
      </w:pPr>
      <w:r>
        <w:rPr>
          <w:rFonts w:ascii="宋体" w:hAnsi="宋体"/>
          <w:szCs w:val="21"/>
        </w:rPr>
        <w:t xml:space="preserve">21.1.2  </w:t>
      </w:r>
      <w:r>
        <w:rPr>
          <w:rFonts w:hint="eastAsia" w:ascii="宋体" w:hAnsi="宋体"/>
          <w:szCs w:val="21"/>
        </w:rPr>
        <w:t>不可抗力发生后，发包人和承包人应及时认真统计所造成的损失，收集不可抗力造成损失的证据。合同双方对是否属于不可抗力或其损失的意见不一致的，由监理人按第</w:t>
      </w:r>
      <w:r>
        <w:rPr>
          <w:rFonts w:ascii="宋体" w:hAnsi="宋体"/>
          <w:szCs w:val="21"/>
        </w:rPr>
        <w:t>3.5</w:t>
      </w:r>
      <w:r>
        <w:rPr>
          <w:rFonts w:hint="eastAsia" w:ascii="宋体" w:hAnsi="宋体"/>
          <w:szCs w:val="21"/>
        </w:rPr>
        <w:t>款商定或确定。发生争议时，按第</w:t>
      </w:r>
      <w:r>
        <w:rPr>
          <w:rFonts w:ascii="宋体" w:hAnsi="宋体"/>
          <w:szCs w:val="21"/>
        </w:rPr>
        <w:t>24</w:t>
      </w:r>
      <w:r>
        <w:rPr>
          <w:rFonts w:hint="eastAsia" w:ascii="宋体" w:hAnsi="宋体"/>
          <w:szCs w:val="21"/>
        </w:rPr>
        <w:t>条的约定办理。</w:t>
      </w:r>
    </w:p>
    <w:p w14:paraId="1D7B0756">
      <w:pPr>
        <w:keepNext/>
        <w:keepLines/>
        <w:spacing w:before="120" w:beforeLines="50" w:after="120" w:afterLines="50" w:line="360" w:lineRule="auto"/>
        <w:outlineLvl w:val="2"/>
        <w:rPr>
          <w:rFonts w:hint="eastAsia" w:ascii="宋体" w:hAnsi="宋体"/>
          <w:sz w:val="24"/>
          <w:szCs w:val="20"/>
        </w:rPr>
      </w:pPr>
      <w:bookmarkStart w:id="2072" w:name="_Toc342296402"/>
      <w:bookmarkStart w:id="2073" w:name="_Toc152042530"/>
      <w:bookmarkStart w:id="2074" w:name="_Toc489280001"/>
      <w:bookmarkStart w:id="2075" w:name="_Toc152045751"/>
      <w:bookmarkStart w:id="2076" w:name="_Toc483668219"/>
      <w:bookmarkStart w:id="2077" w:name="_Toc480487045"/>
      <w:bookmarkStart w:id="2078" w:name="_Toc480486873"/>
      <w:bookmarkStart w:id="2079" w:name="_Toc117350559"/>
      <w:bookmarkStart w:id="2080" w:name="_Toc490222635"/>
      <w:bookmarkStart w:id="2081" w:name="_Toc486580190"/>
      <w:bookmarkStart w:id="2082" w:name="_Toc338944844"/>
      <w:bookmarkStart w:id="2083" w:name="_Toc144974722"/>
      <w:bookmarkStart w:id="2084" w:name="_Toc179632769"/>
      <w:r>
        <w:rPr>
          <w:rFonts w:ascii="宋体" w:hAnsi="宋体"/>
          <w:sz w:val="24"/>
          <w:szCs w:val="20"/>
        </w:rPr>
        <w:t xml:space="preserve">21.2  </w:t>
      </w:r>
      <w:r>
        <w:rPr>
          <w:rFonts w:hint="eastAsia" w:ascii="宋体" w:hAnsi="宋体"/>
          <w:sz w:val="24"/>
          <w:szCs w:val="20"/>
        </w:rPr>
        <w:t>不可抗力的通知</w:t>
      </w:r>
      <w:bookmarkEnd w:id="2072"/>
      <w:bookmarkEnd w:id="2073"/>
      <w:bookmarkEnd w:id="2074"/>
      <w:bookmarkEnd w:id="2075"/>
      <w:bookmarkEnd w:id="2076"/>
      <w:bookmarkEnd w:id="2077"/>
      <w:bookmarkEnd w:id="2078"/>
      <w:bookmarkEnd w:id="2079"/>
      <w:bookmarkEnd w:id="2080"/>
      <w:bookmarkEnd w:id="2081"/>
      <w:bookmarkEnd w:id="2082"/>
      <w:bookmarkEnd w:id="2083"/>
      <w:bookmarkEnd w:id="2084"/>
    </w:p>
    <w:p w14:paraId="13D52877">
      <w:pPr>
        <w:spacing w:line="360" w:lineRule="auto"/>
        <w:ind w:firstLine="420" w:firstLineChars="200"/>
        <w:rPr>
          <w:rFonts w:hint="eastAsia" w:ascii="宋体" w:hAnsi="宋体"/>
          <w:szCs w:val="21"/>
        </w:rPr>
      </w:pPr>
      <w:r>
        <w:rPr>
          <w:rFonts w:ascii="宋体" w:hAnsi="宋体"/>
          <w:szCs w:val="21"/>
        </w:rPr>
        <w:t xml:space="preserve">21.2.1  </w:t>
      </w:r>
      <w:r>
        <w:rPr>
          <w:rFonts w:hint="eastAsia" w:ascii="宋体" w:hAnsi="宋体"/>
          <w:szCs w:val="21"/>
        </w:rPr>
        <w:t>合同一方当事人遇到不可抗力事件，使其履行合同义务受到阻碍时，应立即通知合同另一方当事人和监理人，书面说明不可抗力和受阻碍的详细情况，并提供必要的证明。</w:t>
      </w:r>
    </w:p>
    <w:p w14:paraId="737E15E0">
      <w:pPr>
        <w:spacing w:line="360" w:lineRule="auto"/>
        <w:ind w:firstLine="420" w:firstLineChars="200"/>
        <w:rPr>
          <w:rFonts w:hint="eastAsia" w:ascii="宋体" w:hAnsi="宋体"/>
          <w:szCs w:val="21"/>
        </w:rPr>
      </w:pPr>
      <w:r>
        <w:rPr>
          <w:rFonts w:ascii="宋体" w:hAnsi="宋体"/>
          <w:szCs w:val="21"/>
        </w:rPr>
        <w:t xml:space="preserve">21.2.2  </w:t>
      </w:r>
      <w:r>
        <w:rPr>
          <w:rFonts w:hint="eastAsia" w:ascii="宋体" w:hAnsi="宋体"/>
          <w:szCs w:val="21"/>
        </w:rPr>
        <w:t>如不可抗力持续发生，合同一方当事人应及时向合同另一方当事人和监理人提交中间报告，说明不可抗力和履行合同受阻的情况，并于不可抗力事件结束后</w:t>
      </w:r>
      <w:r>
        <w:rPr>
          <w:rFonts w:ascii="宋体" w:hAnsi="宋体"/>
          <w:szCs w:val="21"/>
        </w:rPr>
        <w:t>28</w:t>
      </w:r>
      <w:r>
        <w:rPr>
          <w:rFonts w:hint="eastAsia" w:ascii="宋体" w:hAnsi="宋体"/>
          <w:szCs w:val="21"/>
        </w:rPr>
        <w:t>天内提交最终报告及有关资料。</w:t>
      </w:r>
    </w:p>
    <w:p w14:paraId="471A1881">
      <w:pPr>
        <w:keepNext/>
        <w:keepLines/>
        <w:spacing w:before="120" w:beforeLines="50" w:after="120" w:afterLines="50" w:line="360" w:lineRule="auto"/>
        <w:outlineLvl w:val="2"/>
        <w:rPr>
          <w:rFonts w:hint="eastAsia" w:ascii="宋体" w:hAnsi="宋体"/>
          <w:sz w:val="24"/>
          <w:szCs w:val="20"/>
        </w:rPr>
      </w:pPr>
      <w:bookmarkStart w:id="2085" w:name="_Toc117350560"/>
      <w:bookmarkStart w:id="2086" w:name="_Toc338944845"/>
      <w:bookmarkStart w:id="2087" w:name="_Toc480487046"/>
      <w:bookmarkStart w:id="2088" w:name="_Toc342296403"/>
      <w:bookmarkStart w:id="2089" w:name="_Toc486580191"/>
      <w:bookmarkStart w:id="2090" w:name="_Toc490222636"/>
      <w:bookmarkStart w:id="2091" w:name="_Toc480486874"/>
      <w:bookmarkStart w:id="2092" w:name="_Toc483668220"/>
      <w:bookmarkStart w:id="2093" w:name="_Toc489280002"/>
      <w:r>
        <w:rPr>
          <w:rFonts w:ascii="宋体" w:hAnsi="宋体"/>
          <w:sz w:val="24"/>
          <w:szCs w:val="20"/>
        </w:rPr>
        <w:t xml:space="preserve">21.3  </w:t>
      </w:r>
      <w:r>
        <w:rPr>
          <w:rFonts w:hint="eastAsia" w:ascii="宋体" w:hAnsi="宋体"/>
          <w:sz w:val="24"/>
          <w:szCs w:val="20"/>
        </w:rPr>
        <w:t>不可抗力后果及其处理</w:t>
      </w:r>
      <w:bookmarkEnd w:id="2085"/>
      <w:bookmarkEnd w:id="2086"/>
      <w:bookmarkEnd w:id="2087"/>
      <w:bookmarkEnd w:id="2088"/>
      <w:bookmarkEnd w:id="2089"/>
      <w:bookmarkEnd w:id="2090"/>
      <w:bookmarkEnd w:id="2091"/>
      <w:bookmarkEnd w:id="2092"/>
      <w:bookmarkEnd w:id="2093"/>
    </w:p>
    <w:p w14:paraId="4F2AD684">
      <w:pPr>
        <w:spacing w:line="360" w:lineRule="auto"/>
        <w:ind w:firstLine="420" w:firstLineChars="200"/>
        <w:rPr>
          <w:rFonts w:hint="eastAsia" w:ascii="宋体" w:hAnsi="宋体"/>
          <w:szCs w:val="21"/>
        </w:rPr>
      </w:pPr>
      <w:r>
        <w:rPr>
          <w:rFonts w:ascii="宋体" w:hAnsi="宋体"/>
          <w:szCs w:val="21"/>
        </w:rPr>
        <w:t xml:space="preserve">21.3.1  </w:t>
      </w:r>
      <w:r>
        <w:rPr>
          <w:rFonts w:hint="eastAsia" w:ascii="宋体" w:hAnsi="宋体"/>
          <w:szCs w:val="21"/>
        </w:rPr>
        <w:t>不可抗力造成损害的责任</w:t>
      </w:r>
    </w:p>
    <w:p w14:paraId="397474FF">
      <w:pPr>
        <w:spacing w:line="360" w:lineRule="auto"/>
        <w:ind w:firstLine="420" w:firstLineChars="200"/>
        <w:rPr>
          <w:rFonts w:hint="eastAsia" w:ascii="宋体" w:hAnsi="宋体"/>
          <w:szCs w:val="21"/>
        </w:rPr>
      </w:pPr>
      <w:r>
        <w:rPr>
          <w:rFonts w:hint="eastAsia" w:ascii="宋体" w:hAnsi="宋体"/>
          <w:szCs w:val="21"/>
        </w:rPr>
        <w:t>不可抗力导致的人员伤亡、财产损失、费用增加和（或）工期延误等后果，由合同双方按以下原则承担：</w:t>
      </w:r>
      <w:r>
        <w:rPr>
          <w:rFonts w:ascii="宋体" w:hAnsi="宋体"/>
          <w:szCs w:val="21"/>
        </w:rPr>
        <w:t xml:space="preserve"> </w:t>
      </w:r>
    </w:p>
    <w:p w14:paraId="43B93BD2">
      <w:pPr>
        <w:spacing w:line="360" w:lineRule="auto"/>
        <w:ind w:firstLine="420" w:firstLineChars="200"/>
        <w:rPr>
          <w:rFonts w:hint="eastAsia" w:ascii="宋体" w:hAnsi="宋体"/>
          <w:szCs w:val="21"/>
        </w:rPr>
      </w:pPr>
      <w:r>
        <w:rPr>
          <w:rFonts w:hint="eastAsia" w:ascii="宋体" w:hAnsi="宋体"/>
          <w:szCs w:val="21"/>
        </w:rPr>
        <w:t>（</w:t>
      </w:r>
      <w:r>
        <w:rPr>
          <w:rFonts w:ascii="宋体" w:hAnsi="宋体"/>
          <w:szCs w:val="21"/>
        </w:rPr>
        <w:t>1</w:t>
      </w:r>
      <w:r>
        <w:rPr>
          <w:rFonts w:hint="eastAsia" w:ascii="宋体" w:hAnsi="宋体"/>
          <w:szCs w:val="21"/>
        </w:rPr>
        <w:t>）永久工程，包括已运至施工场地的材料和工程设备的损害，以及因工程损害造成的第三者人员伤亡和财产损失由发包人承担；</w:t>
      </w:r>
    </w:p>
    <w:p w14:paraId="3438B152">
      <w:pPr>
        <w:spacing w:line="360" w:lineRule="auto"/>
        <w:ind w:firstLine="420" w:firstLineChars="200"/>
        <w:rPr>
          <w:rFonts w:hint="eastAsia" w:ascii="宋体" w:hAnsi="宋体"/>
          <w:szCs w:val="21"/>
        </w:rPr>
      </w:pPr>
      <w:r>
        <w:rPr>
          <w:rFonts w:hint="eastAsia" w:ascii="宋体" w:hAnsi="宋体"/>
          <w:szCs w:val="21"/>
        </w:rPr>
        <w:t>（</w:t>
      </w:r>
      <w:r>
        <w:rPr>
          <w:rFonts w:ascii="宋体" w:hAnsi="宋体"/>
          <w:szCs w:val="21"/>
        </w:rPr>
        <w:t>2</w:t>
      </w:r>
      <w:r>
        <w:rPr>
          <w:rFonts w:hint="eastAsia" w:ascii="宋体" w:hAnsi="宋体"/>
          <w:szCs w:val="21"/>
        </w:rPr>
        <w:t>）承包人设备的损坏由承包人承担；</w:t>
      </w:r>
    </w:p>
    <w:p w14:paraId="7DF75BF2">
      <w:pPr>
        <w:spacing w:line="360" w:lineRule="auto"/>
        <w:ind w:firstLine="420" w:firstLineChars="200"/>
        <w:rPr>
          <w:rFonts w:hint="eastAsia" w:ascii="宋体" w:hAnsi="宋体"/>
          <w:szCs w:val="21"/>
        </w:rPr>
      </w:pPr>
      <w:r>
        <w:rPr>
          <w:rFonts w:hint="eastAsia" w:ascii="宋体" w:hAnsi="宋体"/>
          <w:szCs w:val="21"/>
        </w:rPr>
        <w:t>（</w:t>
      </w:r>
      <w:r>
        <w:rPr>
          <w:rFonts w:ascii="宋体" w:hAnsi="宋体"/>
          <w:szCs w:val="21"/>
        </w:rPr>
        <w:t>3</w:t>
      </w:r>
      <w:r>
        <w:rPr>
          <w:rFonts w:hint="eastAsia" w:ascii="宋体" w:hAnsi="宋体"/>
          <w:szCs w:val="21"/>
        </w:rPr>
        <w:t>）发包人和承包人各自承担其人员伤亡和其他财产损失及其相关费用；</w:t>
      </w:r>
    </w:p>
    <w:p w14:paraId="158F45DB">
      <w:pPr>
        <w:spacing w:line="360" w:lineRule="auto"/>
        <w:ind w:firstLine="420" w:firstLineChars="200"/>
        <w:rPr>
          <w:rFonts w:hint="eastAsia" w:ascii="宋体" w:hAnsi="宋体"/>
          <w:szCs w:val="21"/>
        </w:rPr>
      </w:pPr>
      <w:r>
        <w:rPr>
          <w:rFonts w:hint="eastAsia" w:ascii="宋体" w:hAnsi="宋体"/>
          <w:szCs w:val="21"/>
        </w:rPr>
        <w:t>（</w:t>
      </w:r>
      <w:r>
        <w:rPr>
          <w:rFonts w:ascii="宋体" w:hAnsi="宋体"/>
          <w:szCs w:val="21"/>
        </w:rPr>
        <w:t>4</w:t>
      </w:r>
      <w:r>
        <w:rPr>
          <w:rFonts w:hint="eastAsia" w:ascii="宋体" w:hAnsi="宋体"/>
          <w:szCs w:val="21"/>
        </w:rPr>
        <w:t>）承包人的停工损失由承包人承担，但停工期间应监理人要求照管工程和清理、修复工程的金额由发包人承担；</w:t>
      </w:r>
    </w:p>
    <w:p w14:paraId="3477AE9D">
      <w:pPr>
        <w:spacing w:line="360" w:lineRule="auto"/>
        <w:ind w:firstLine="420" w:firstLineChars="200"/>
        <w:rPr>
          <w:rFonts w:hint="eastAsia" w:ascii="宋体" w:hAnsi="宋体"/>
          <w:szCs w:val="21"/>
        </w:rPr>
      </w:pPr>
      <w:r>
        <w:rPr>
          <w:rFonts w:hint="eastAsia" w:ascii="宋体" w:hAnsi="宋体"/>
          <w:szCs w:val="21"/>
        </w:rPr>
        <w:t>（</w:t>
      </w:r>
      <w:r>
        <w:rPr>
          <w:rFonts w:ascii="宋体" w:hAnsi="宋体"/>
          <w:szCs w:val="21"/>
        </w:rPr>
        <w:t>5</w:t>
      </w:r>
      <w:r>
        <w:rPr>
          <w:rFonts w:hint="eastAsia" w:ascii="宋体" w:hAnsi="宋体"/>
          <w:szCs w:val="21"/>
        </w:rPr>
        <w:t>）不能按期竣工的，应合理延长工期，承包人不需支付逾期竣工违约金。发包人要求赶工的，承包人应采取赶工措施，赶工费用由发包人承担。</w:t>
      </w:r>
    </w:p>
    <w:p w14:paraId="6E727E85">
      <w:pPr>
        <w:spacing w:line="360" w:lineRule="auto"/>
        <w:ind w:firstLine="420" w:firstLineChars="200"/>
        <w:rPr>
          <w:rFonts w:hint="eastAsia" w:ascii="宋体" w:hAnsi="宋体"/>
          <w:szCs w:val="21"/>
        </w:rPr>
      </w:pPr>
      <w:r>
        <w:rPr>
          <w:rFonts w:ascii="宋体" w:hAnsi="宋体"/>
          <w:szCs w:val="21"/>
        </w:rPr>
        <w:t xml:space="preserve">21.3.2  </w:t>
      </w:r>
      <w:r>
        <w:rPr>
          <w:rFonts w:hint="eastAsia" w:ascii="宋体" w:hAnsi="宋体"/>
          <w:szCs w:val="21"/>
        </w:rPr>
        <w:t>延迟履行期间发生的不可抗力</w:t>
      </w:r>
    </w:p>
    <w:p w14:paraId="396CAB14">
      <w:pPr>
        <w:spacing w:line="360" w:lineRule="auto"/>
        <w:ind w:firstLine="420" w:firstLineChars="200"/>
        <w:rPr>
          <w:rFonts w:hint="eastAsia" w:ascii="宋体" w:hAnsi="宋体"/>
          <w:szCs w:val="21"/>
        </w:rPr>
      </w:pPr>
      <w:r>
        <w:rPr>
          <w:rFonts w:hint="eastAsia" w:ascii="宋体" w:hAnsi="宋体"/>
          <w:szCs w:val="21"/>
        </w:rPr>
        <w:t>合同一方当事人延迟履行，在延迟履行期间发生不可抗力的，不免除其责任。</w:t>
      </w:r>
    </w:p>
    <w:p w14:paraId="18EBF45C">
      <w:pPr>
        <w:spacing w:line="360" w:lineRule="auto"/>
        <w:ind w:firstLine="420" w:firstLineChars="200"/>
        <w:rPr>
          <w:rFonts w:hint="eastAsia" w:ascii="宋体" w:hAnsi="宋体"/>
          <w:szCs w:val="21"/>
        </w:rPr>
      </w:pPr>
      <w:r>
        <w:rPr>
          <w:rFonts w:ascii="宋体" w:hAnsi="宋体"/>
          <w:szCs w:val="21"/>
        </w:rPr>
        <w:t xml:space="preserve">21.3.3  </w:t>
      </w:r>
      <w:r>
        <w:rPr>
          <w:rFonts w:hint="eastAsia" w:ascii="宋体" w:hAnsi="宋体"/>
          <w:szCs w:val="21"/>
        </w:rPr>
        <w:t>避免和减少不可抗力损失</w:t>
      </w:r>
    </w:p>
    <w:p w14:paraId="2F0A3BF3">
      <w:pPr>
        <w:spacing w:line="360" w:lineRule="auto"/>
        <w:ind w:firstLine="420" w:firstLineChars="200"/>
        <w:rPr>
          <w:rFonts w:hint="eastAsia" w:ascii="宋体" w:hAnsi="宋体"/>
          <w:szCs w:val="21"/>
        </w:rPr>
      </w:pPr>
      <w:r>
        <w:rPr>
          <w:rFonts w:hint="eastAsia" w:ascii="宋体" w:hAnsi="宋体"/>
          <w:szCs w:val="21"/>
        </w:rPr>
        <w:t>不可抗力发生后，发包人和承包人均应采取措施尽量避免和减少损失的扩大，任何一方没有采取有效措施导致损失扩大的，应对扩大的损失承担责任。</w:t>
      </w:r>
    </w:p>
    <w:p w14:paraId="36AA9A8A">
      <w:pPr>
        <w:spacing w:line="360" w:lineRule="auto"/>
        <w:ind w:firstLine="420" w:firstLineChars="200"/>
        <w:rPr>
          <w:rFonts w:hint="eastAsia" w:ascii="宋体" w:hAnsi="宋体"/>
          <w:szCs w:val="21"/>
        </w:rPr>
      </w:pPr>
      <w:r>
        <w:rPr>
          <w:rFonts w:ascii="宋体" w:hAnsi="宋体"/>
          <w:szCs w:val="21"/>
        </w:rPr>
        <w:t xml:space="preserve">21.3.4  </w:t>
      </w:r>
      <w:r>
        <w:rPr>
          <w:rFonts w:hint="eastAsia" w:ascii="宋体" w:hAnsi="宋体"/>
          <w:szCs w:val="21"/>
        </w:rPr>
        <w:t>因不可抗力解除合同</w:t>
      </w:r>
    </w:p>
    <w:p w14:paraId="49F781FD">
      <w:pPr>
        <w:spacing w:line="360" w:lineRule="auto"/>
        <w:ind w:firstLine="420" w:firstLineChars="200"/>
        <w:rPr>
          <w:rFonts w:hint="eastAsia" w:ascii="宋体" w:hAnsi="宋体"/>
          <w:szCs w:val="21"/>
        </w:rPr>
      </w:pPr>
      <w:r>
        <w:rPr>
          <w:rFonts w:hint="eastAsia" w:ascii="宋体" w:hAnsi="宋体"/>
          <w:szCs w:val="21"/>
        </w:rPr>
        <w:t>合同一方当事人因不可抗力不能履行合同的，应当及时通知对方解除合同。合同解除后，承包人应按照第22.2.5项约定撤离施工场地。已经订货的材料、设备由订货方负责退货或解除订货合同，不能退还的货款和因退货、解除订货合同发生的费用，及因未及时退货造成的损失由责任方承担。合同解除后的付款，参照第22.2.4项约定，由监理人按第3.5款商定或确定。</w:t>
      </w:r>
    </w:p>
    <w:p w14:paraId="3742A94B">
      <w:pPr>
        <w:keepNext/>
        <w:keepLines/>
        <w:spacing w:before="120" w:beforeLines="50" w:after="120" w:afterLines="50" w:line="360" w:lineRule="auto"/>
        <w:outlineLvl w:val="1"/>
        <w:rPr>
          <w:rFonts w:hint="eastAsia" w:ascii="宋体" w:hAnsi="宋体" w:cs="宋体"/>
          <w:sz w:val="28"/>
          <w:szCs w:val="20"/>
        </w:rPr>
      </w:pPr>
      <w:bookmarkStart w:id="2094" w:name="_Toc338944846"/>
      <w:bookmarkStart w:id="2095" w:name="_Toc152042532"/>
      <w:bookmarkStart w:id="2096" w:name="_Toc179632771"/>
      <w:bookmarkStart w:id="2097" w:name="_Toc490222637"/>
      <w:bookmarkStart w:id="2098" w:name="_Toc144974724"/>
      <w:bookmarkStart w:id="2099" w:name="_Toc152045753"/>
      <w:bookmarkStart w:id="2100" w:name="_Toc483668221"/>
      <w:bookmarkStart w:id="2101" w:name="_Toc480487047"/>
      <w:bookmarkStart w:id="2102" w:name="_Toc117350561"/>
      <w:bookmarkStart w:id="2103" w:name="_Toc489280003"/>
      <w:bookmarkStart w:id="2104" w:name="_Toc486580192"/>
      <w:bookmarkStart w:id="2105" w:name="_Toc342296404"/>
      <w:bookmarkStart w:id="2106" w:name="_Toc480486875"/>
      <w:r>
        <w:rPr>
          <w:rFonts w:ascii="宋体" w:hAnsi="宋体" w:cs="宋体"/>
          <w:sz w:val="28"/>
          <w:szCs w:val="20"/>
        </w:rPr>
        <w:t>22.</w:t>
      </w:r>
      <w:r>
        <w:rPr>
          <w:rFonts w:hint="eastAsia" w:ascii="宋体" w:hAnsi="宋体" w:cs="宋体"/>
          <w:sz w:val="28"/>
          <w:szCs w:val="20"/>
        </w:rPr>
        <w:t>违约</w:t>
      </w:r>
      <w:bookmarkEnd w:id="2094"/>
      <w:bookmarkEnd w:id="2095"/>
      <w:bookmarkEnd w:id="2096"/>
      <w:bookmarkEnd w:id="2097"/>
      <w:bookmarkEnd w:id="2098"/>
      <w:bookmarkEnd w:id="2099"/>
      <w:bookmarkEnd w:id="2100"/>
      <w:bookmarkEnd w:id="2101"/>
      <w:bookmarkEnd w:id="2102"/>
      <w:bookmarkEnd w:id="2103"/>
      <w:bookmarkEnd w:id="2104"/>
      <w:bookmarkEnd w:id="2105"/>
      <w:bookmarkEnd w:id="2106"/>
    </w:p>
    <w:p w14:paraId="136568AF">
      <w:pPr>
        <w:keepNext/>
        <w:keepLines/>
        <w:spacing w:before="120" w:beforeLines="50" w:after="120" w:afterLines="50" w:line="360" w:lineRule="auto"/>
        <w:outlineLvl w:val="2"/>
        <w:rPr>
          <w:rFonts w:hint="eastAsia" w:ascii="宋体" w:hAnsi="宋体"/>
          <w:sz w:val="24"/>
          <w:szCs w:val="20"/>
        </w:rPr>
      </w:pPr>
      <w:bookmarkStart w:id="2107" w:name="_Toc489280004"/>
      <w:bookmarkStart w:id="2108" w:name="_Toc480487048"/>
      <w:bookmarkStart w:id="2109" w:name="_Toc179632772"/>
      <w:bookmarkStart w:id="2110" w:name="_Toc480486876"/>
      <w:bookmarkStart w:id="2111" w:name="_Toc486580193"/>
      <w:bookmarkStart w:id="2112" w:name="_Toc152045754"/>
      <w:bookmarkStart w:id="2113" w:name="_Toc144974725"/>
      <w:bookmarkStart w:id="2114" w:name="_Toc342296405"/>
      <w:bookmarkStart w:id="2115" w:name="_Toc483668222"/>
      <w:bookmarkStart w:id="2116" w:name="_Toc117350562"/>
      <w:bookmarkStart w:id="2117" w:name="_Toc490222638"/>
      <w:bookmarkStart w:id="2118" w:name="_Toc338944847"/>
      <w:bookmarkStart w:id="2119" w:name="_Toc152042533"/>
      <w:r>
        <w:rPr>
          <w:rFonts w:ascii="宋体" w:hAnsi="宋体"/>
          <w:sz w:val="24"/>
          <w:szCs w:val="20"/>
        </w:rPr>
        <w:t xml:space="preserve">22.1  </w:t>
      </w:r>
      <w:r>
        <w:rPr>
          <w:rFonts w:hint="eastAsia" w:ascii="宋体" w:hAnsi="宋体"/>
          <w:sz w:val="24"/>
          <w:szCs w:val="20"/>
        </w:rPr>
        <w:t>承包人违约</w:t>
      </w:r>
      <w:bookmarkEnd w:id="2107"/>
      <w:bookmarkEnd w:id="2108"/>
      <w:bookmarkEnd w:id="2109"/>
      <w:bookmarkEnd w:id="2110"/>
      <w:bookmarkEnd w:id="2111"/>
      <w:bookmarkEnd w:id="2112"/>
      <w:bookmarkEnd w:id="2113"/>
      <w:bookmarkEnd w:id="2114"/>
      <w:bookmarkEnd w:id="2115"/>
      <w:bookmarkEnd w:id="2116"/>
      <w:bookmarkEnd w:id="2117"/>
      <w:bookmarkEnd w:id="2118"/>
      <w:bookmarkEnd w:id="2119"/>
    </w:p>
    <w:p w14:paraId="346DAB29">
      <w:pPr>
        <w:spacing w:line="360" w:lineRule="auto"/>
        <w:ind w:firstLine="420" w:firstLineChars="200"/>
        <w:rPr>
          <w:rFonts w:hint="eastAsia" w:ascii="宋体" w:hAnsi="宋体"/>
          <w:szCs w:val="21"/>
        </w:rPr>
      </w:pPr>
      <w:r>
        <w:rPr>
          <w:rFonts w:ascii="宋体" w:hAnsi="宋体"/>
          <w:szCs w:val="21"/>
        </w:rPr>
        <w:t xml:space="preserve">22.1.1  </w:t>
      </w:r>
      <w:r>
        <w:rPr>
          <w:rFonts w:hint="eastAsia" w:ascii="宋体" w:hAnsi="宋体"/>
          <w:szCs w:val="21"/>
        </w:rPr>
        <w:t>承包人违约的情形</w:t>
      </w:r>
    </w:p>
    <w:p w14:paraId="6E4C1677">
      <w:pPr>
        <w:spacing w:line="360" w:lineRule="auto"/>
        <w:ind w:firstLine="420" w:firstLineChars="200"/>
        <w:rPr>
          <w:rFonts w:hint="eastAsia" w:ascii="宋体" w:hAnsi="宋体"/>
          <w:szCs w:val="21"/>
        </w:rPr>
      </w:pPr>
      <w:r>
        <w:rPr>
          <w:rFonts w:hint="eastAsia" w:ascii="宋体" w:hAnsi="宋体"/>
          <w:szCs w:val="21"/>
        </w:rPr>
        <w:t>在履行合同过程中发生的下列情况属承包人违约：</w:t>
      </w:r>
    </w:p>
    <w:p w14:paraId="7806B383">
      <w:pPr>
        <w:spacing w:line="360" w:lineRule="auto"/>
        <w:ind w:firstLine="420" w:firstLineChars="200"/>
        <w:rPr>
          <w:rFonts w:hint="eastAsia" w:ascii="宋体" w:hAnsi="宋体"/>
          <w:szCs w:val="21"/>
        </w:rPr>
      </w:pPr>
      <w:r>
        <w:rPr>
          <w:rFonts w:hint="eastAsia" w:ascii="宋体" w:hAnsi="宋体"/>
          <w:szCs w:val="21"/>
        </w:rPr>
        <w:t>（</w:t>
      </w:r>
      <w:r>
        <w:rPr>
          <w:rFonts w:ascii="宋体" w:hAnsi="宋体"/>
          <w:szCs w:val="21"/>
        </w:rPr>
        <w:t>1</w:t>
      </w:r>
      <w:r>
        <w:rPr>
          <w:rFonts w:hint="eastAsia" w:ascii="宋体" w:hAnsi="宋体"/>
          <w:szCs w:val="21"/>
        </w:rPr>
        <w:t>）承包人违反第</w:t>
      </w:r>
      <w:r>
        <w:rPr>
          <w:rFonts w:ascii="宋体" w:hAnsi="宋体"/>
          <w:szCs w:val="21"/>
        </w:rPr>
        <w:t>1.8</w:t>
      </w:r>
      <w:r>
        <w:rPr>
          <w:rFonts w:hint="eastAsia" w:ascii="宋体" w:hAnsi="宋体"/>
          <w:szCs w:val="21"/>
        </w:rPr>
        <w:t>款或第</w:t>
      </w:r>
      <w:r>
        <w:rPr>
          <w:rFonts w:ascii="宋体" w:hAnsi="宋体"/>
          <w:szCs w:val="21"/>
        </w:rPr>
        <w:t>4.3</w:t>
      </w:r>
      <w:r>
        <w:rPr>
          <w:rFonts w:hint="eastAsia" w:ascii="宋体" w:hAnsi="宋体"/>
          <w:szCs w:val="21"/>
        </w:rPr>
        <w:t>款的约定，私自将合同的全部或部分权利转让给其他人，或私自将合同的全部或部分义务转移给其他人；</w:t>
      </w:r>
    </w:p>
    <w:p w14:paraId="3421922A">
      <w:pPr>
        <w:spacing w:line="360" w:lineRule="auto"/>
        <w:ind w:firstLine="420" w:firstLineChars="200"/>
        <w:rPr>
          <w:rFonts w:hint="eastAsia" w:ascii="宋体" w:hAnsi="宋体"/>
          <w:szCs w:val="21"/>
        </w:rPr>
      </w:pPr>
      <w:r>
        <w:rPr>
          <w:rFonts w:hint="eastAsia" w:ascii="宋体" w:hAnsi="宋体"/>
          <w:szCs w:val="21"/>
        </w:rPr>
        <w:t>（</w:t>
      </w:r>
      <w:r>
        <w:rPr>
          <w:rFonts w:ascii="宋体" w:hAnsi="宋体"/>
          <w:szCs w:val="21"/>
        </w:rPr>
        <w:t>2</w:t>
      </w:r>
      <w:r>
        <w:rPr>
          <w:rFonts w:hint="eastAsia" w:ascii="宋体" w:hAnsi="宋体"/>
          <w:szCs w:val="21"/>
        </w:rPr>
        <w:t>）承包人违反第</w:t>
      </w:r>
      <w:r>
        <w:rPr>
          <w:rFonts w:ascii="宋体" w:hAnsi="宋体"/>
          <w:szCs w:val="21"/>
        </w:rPr>
        <w:t>5.3</w:t>
      </w:r>
      <w:r>
        <w:rPr>
          <w:rFonts w:hint="eastAsia" w:ascii="宋体" w:hAnsi="宋体"/>
          <w:szCs w:val="21"/>
        </w:rPr>
        <w:t>款或第</w:t>
      </w:r>
      <w:r>
        <w:rPr>
          <w:rFonts w:ascii="宋体" w:hAnsi="宋体"/>
          <w:szCs w:val="21"/>
        </w:rPr>
        <w:t>6.4</w:t>
      </w:r>
      <w:r>
        <w:rPr>
          <w:rFonts w:hint="eastAsia" w:ascii="宋体" w:hAnsi="宋体"/>
          <w:szCs w:val="21"/>
        </w:rPr>
        <w:t>款的约定，未经监理人批准，私自将已按合同约定进入施工场地的施工设备、临时设施或材料撤离施工场地；</w:t>
      </w:r>
    </w:p>
    <w:p w14:paraId="06F12C8E">
      <w:pPr>
        <w:spacing w:line="360" w:lineRule="auto"/>
        <w:ind w:firstLine="420" w:firstLineChars="200"/>
        <w:rPr>
          <w:rFonts w:hint="eastAsia" w:ascii="宋体" w:hAnsi="宋体"/>
          <w:szCs w:val="21"/>
        </w:rPr>
      </w:pPr>
      <w:r>
        <w:rPr>
          <w:rFonts w:hint="eastAsia" w:ascii="宋体" w:hAnsi="宋体"/>
          <w:szCs w:val="21"/>
        </w:rPr>
        <w:t>（</w:t>
      </w:r>
      <w:r>
        <w:rPr>
          <w:rFonts w:ascii="宋体" w:hAnsi="宋体"/>
          <w:szCs w:val="21"/>
        </w:rPr>
        <w:t>3</w:t>
      </w:r>
      <w:r>
        <w:rPr>
          <w:rFonts w:hint="eastAsia" w:ascii="宋体" w:hAnsi="宋体"/>
          <w:szCs w:val="21"/>
        </w:rPr>
        <w:t>）承包人违反第</w:t>
      </w:r>
      <w:r>
        <w:rPr>
          <w:rFonts w:ascii="宋体" w:hAnsi="宋体"/>
          <w:szCs w:val="21"/>
        </w:rPr>
        <w:t>5.4</w:t>
      </w:r>
      <w:r>
        <w:rPr>
          <w:rFonts w:hint="eastAsia" w:ascii="宋体" w:hAnsi="宋体"/>
          <w:szCs w:val="21"/>
        </w:rPr>
        <w:t>款的约定使用了不合格材料或工程设备，工程质量达不到标准要求，又拒绝清除不合格工程；</w:t>
      </w:r>
    </w:p>
    <w:p w14:paraId="6D46E826">
      <w:pPr>
        <w:spacing w:line="360" w:lineRule="auto"/>
        <w:ind w:firstLine="420" w:firstLineChars="200"/>
        <w:rPr>
          <w:rFonts w:hint="eastAsia" w:ascii="宋体" w:hAnsi="宋体"/>
          <w:szCs w:val="21"/>
        </w:rPr>
      </w:pPr>
      <w:r>
        <w:rPr>
          <w:rFonts w:hint="eastAsia" w:ascii="宋体" w:hAnsi="宋体"/>
          <w:szCs w:val="21"/>
        </w:rPr>
        <w:t>（</w:t>
      </w:r>
      <w:r>
        <w:rPr>
          <w:rFonts w:ascii="宋体" w:hAnsi="宋体"/>
          <w:szCs w:val="21"/>
        </w:rPr>
        <w:t>4</w:t>
      </w:r>
      <w:r>
        <w:rPr>
          <w:rFonts w:hint="eastAsia" w:ascii="宋体" w:hAnsi="宋体"/>
          <w:szCs w:val="21"/>
        </w:rPr>
        <w:t>）承包人未能按合同进度计划及时完成合同约定的工作，已造成或预期造成工期延误；</w:t>
      </w:r>
    </w:p>
    <w:p w14:paraId="5444EC38">
      <w:pPr>
        <w:spacing w:line="360" w:lineRule="auto"/>
        <w:ind w:firstLine="420" w:firstLineChars="200"/>
        <w:rPr>
          <w:rFonts w:hint="eastAsia" w:ascii="宋体" w:hAnsi="宋体"/>
          <w:szCs w:val="21"/>
        </w:rPr>
      </w:pPr>
      <w:r>
        <w:rPr>
          <w:rFonts w:hint="eastAsia" w:ascii="宋体" w:hAnsi="宋体"/>
          <w:szCs w:val="21"/>
        </w:rPr>
        <w:t>（</w:t>
      </w:r>
      <w:r>
        <w:rPr>
          <w:rFonts w:ascii="宋体" w:hAnsi="宋体"/>
          <w:szCs w:val="21"/>
        </w:rPr>
        <w:t>5</w:t>
      </w:r>
      <w:r>
        <w:rPr>
          <w:rFonts w:hint="eastAsia" w:ascii="宋体" w:hAnsi="宋体"/>
          <w:szCs w:val="21"/>
        </w:rPr>
        <w:t>）承包人在缺陷责任期内，未能对工程接收证书所列的缺陷清单的内容或缺陷责任期内发生的缺陷进行修复，而又拒绝按监理人指示再进行修补；</w:t>
      </w:r>
    </w:p>
    <w:p w14:paraId="73270844">
      <w:pPr>
        <w:spacing w:line="360" w:lineRule="auto"/>
        <w:ind w:firstLine="420" w:firstLineChars="200"/>
        <w:rPr>
          <w:rFonts w:hint="eastAsia" w:ascii="宋体" w:hAnsi="宋体"/>
          <w:szCs w:val="21"/>
        </w:rPr>
      </w:pPr>
      <w:r>
        <w:rPr>
          <w:rFonts w:hint="eastAsia" w:ascii="宋体" w:hAnsi="宋体"/>
          <w:szCs w:val="21"/>
        </w:rPr>
        <w:t>（</w:t>
      </w:r>
      <w:r>
        <w:rPr>
          <w:rFonts w:ascii="宋体" w:hAnsi="宋体"/>
          <w:szCs w:val="21"/>
        </w:rPr>
        <w:t>6</w:t>
      </w:r>
      <w:r>
        <w:rPr>
          <w:rFonts w:hint="eastAsia" w:ascii="宋体" w:hAnsi="宋体"/>
          <w:szCs w:val="21"/>
        </w:rPr>
        <w:t>）承包人无法继续履行或明确表示不履行或实质上已停止履行合同；</w:t>
      </w:r>
    </w:p>
    <w:p w14:paraId="3B75166F">
      <w:pPr>
        <w:spacing w:line="360" w:lineRule="auto"/>
        <w:ind w:firstLine="420" w:firstLineChars="200"/>
        <w:rPr>
          <w:rFonts w:hint="eastAsia" w:ascii="宋体" w:hAnsi="宋体"/>
          <w:szCs w:val="21"/>
        </w:rPr>
      </w:pPr>
      <w:r>
        <w:rPr>
          <w:rFonts w:hint="eastAsia" w:ascii="宋体" w:hAnsi="宋体"/>
          <w:szCs w:val="21"/>
        </w:rPr>
        <w:t>（</w:t>
      </w:r>
      <w:r>
        <w:rPr>
          <w:rFonts w:ascii="宋体" w:hAnsi="宋体"/>
          <w:szCs w:val="21"/>
        </w:rPr>
        <w:t>7</w:t>
      </w:r>
      <w:r>
        <w:rPr>
          <w:rFonts w:hint="eastAsia" w:ascii="宋体" w:hAnsi="宋体"/>
          <w:szCs w:val="21"/>
        </w:rPr>
        <w:t>）承包人不按合同约定履行义务的其他情况。</w:t>
      </w:r>
    </w:p>
    <w:p w14:paraId="15EA7260">
      <w:pPr>
        <w:spacing w:line="360" w:lineRule="auto"/>
        <w:ind w:firstLine="420" w:firstLineChars="200"/>
        <w:rPr>
          <w:rFonts w:hint="eastAsia" w:ascii="宋体" w:hAnsi="宋体"/>
          <w:szCs w:val="21"/>
        </w:rPr>
      </w:pPr>
      <w:r>
        <w:rPr>
          <w:rFonts w:ascii="宋体" w:hAnsi="宋体"/>
          <w:szCs w:val="21"/>
        </w:rPr>
        <w:t xml:space="preserve">22.1.2  </w:t>
      </w:r>
      <w:r>
        <w:rPr>
          <w:rFonts w:hint="eastAsia" w:ascii="宋体" w:hAnsi="宋体"/>
          <w:szCs w:val="21"/>
        </w:rPr>
        <w:t>对承包人违约的处理</w:t>
      </w:r>
    </w:p>
    <w:p w14:paraId="5E327C61">
      <w:pPr>
        <w:spacing w:line="360" w:lineRule="auto"/>
        <w:ind w:firstLine="420" w:firstLineChars="200"/>
        <w:rPr>
          <w:rFonts w:hint="eastAsia" w:ascii="宋体" w:hAnsi="宋体"/>
          <w:szCs w:val="21"/>
        </w:rPr>
      </w:pPr>
      <w:r>
        <w:rPr>
          <w:rFonts w:hint="eastAsia" w:ascii="宋体" w:hAnsi="宋体"/>
          <w:szCs w:val="21"/>
        </w:rPr>
        <w:t>（</w:t>
      </w:r>
      <w:r>
        <w:rPr>
          <w:rFonts w:ascii="宋体" w:hAnsi="宋体"/>
          <w:szCs w:val="21"/>
        </w:rPr>
        <w:t>1</w:t>
      </w:r>
      <w:r>
        <w:rPr>
          <w:rFonts w:hint="eastAsia" w:ascii="宋体" w:hAnsi="宋体"/>
          <w:szCs w:val="21"/>
        </w:rPr>
        <w:t>）承包人发生第</w:t>
      </w:r>
      <w:r>
        <w:rPr>
          <w:rFonts w:ascii="宋体" w:hAnsi="宋体"/>
          <w:szCs w:val="21"/>
        </w:rPr>
        <w:t>22.1.1</w:t>
      </w:r>
      <w:r>
        <w:rPr>
          <w:rFonts w:hint="eastAsia" w:ascii="宋体" w:hAnsi="宋体"/>
          <w:szCs w:val="21"/>
        </w:rPr>
        <w:t>（</w:t>
      </w:r>
      <w:r>
        <w:rPr>
          <w:rFonts w:ascii="宋体" w:hAnsi="宋体"/>
          <w:szCs w:val="21"/>
        </w:rPr>
        <w:t>6</w:t>
      </w:r>
      <w:r>
        <w:rPr>
          <w:rFonts w:hint="eastAsia" w:ascii="宋体" w:hAnsi="宋体"/>
          <w:szCs w:val="21"/>
        </w:rPr>
        <w:t>）目约定的违约情况时，发包人可通知承包人立即解除合同，并按有关法律处理。</w:t>
      </w:r>
    </w:p>
    <w:p w14:paraId="51DA7538">
      <w:pPr>
        <w:spacing w:line="360" w:lineRule="auto"/>
        <w:ind w:firstLine="420" w:firstLineChars="200"/>
        <w:rPr>
          <w:rFonts w:hint="eastAsia" w:ascii="宋体" w:hAnsi="宋体"/>
          <w:szCs w:val="21"/>
        </w:rPr>
      </w:pPr>
      <w:r>
        <w:rPr>
          <w:rFonts w:hint="eastAsia" w:ascii="宋体" w:hAnsi="宋体"/>
          <w:szCs w:val="21"/>
        </w:rPr>
        <w:t>（</w:t>
      </w:r>
      <w:r>
        <w:rPr>
          <w:rFonts w:ascii="宋体" w:hAnsi="宋体"/>
          <w:szCs w:val="21"/>
        </w:rPr>
        <w:t>2</w:t>
      </w:r>
      <w:r>
        <w:rPr>
          <w:rFonts w:hint="eastAsia" w:ascii="宋体" w:hAnsi="宋体"/>
          <w:szCs w:val="21"/>
        </w:rPr>
        <w:t>）承包人发生除第</w:t>
      </w:r>
      <w:r>
        <w:rPr>
          <w:rFonts w:ascii="宋体" w:hAnsi="宋体"/>
          <w:szCs w:val="21"/>
        </w:rPr>
        <w:t>22.1.1</w:t>
      </w:r>
      <w:r>
        <w:rPr>
          <w:rFonts w:hint="eastAsia" w:ascii="宋体" w:hAnsi="宋体"/>
          <w:szCs w:val="21"/>
        </w:rPr>
        <w:t>（</w:t>
      </w:r>
      <w:r>
        <w:rPr>
          <w:rFonts w:ascii="宋体" w:hAnsi="宋体"/>
          <w:szCs w:val="21"/>
        </w:rPr>
        <w:t>6</w:t>
      </w:r>
      <w:r>
        <w:rPr>
          <w:rFonts w:hint="eastAsia" w:ascii="宋体" w:hAnsi="宋体"/>
          <w:szCs w:val="21"/>
        </w:rPr>
        <w:t>）目约定以外的其他违约情况时，监理人可向承包人发出整改通知，要求其在指定的期限内改正。承包人应承担其违约所引起的费用增加和（或）工期延误。</w:t>
      </w:r>
    </w:p>
    <w:p w14:paraId="44CFD955">
      <w:pPr>
        <w:spacing w:line="360" w:lineRule="auto"/>
        <w:ind w:firstLine="420" w:firstLineChars="200"/>
        <w:rPr>
          <w:rFonts w:hint="eastAsia" w:ascii="宋体" w:hAnsi="宋体"/>
          <w:szCs w:val="21"/>
        </w:rPr>
      </w:pPr>
      <w:r>
        <w:rPr>
          <w:rFonts w:hint="eastAsia" w:ascii="宋体" w:hAnsi="宋体"/>
          <w:szCs w:val="21"/>
        </w:rPr>
        <w:t>（</w:t>
      </w:r>
      <w:r>
        <w:rPr>
          <w:rFonts w:ascii="宋体" w:hAnsi="宋体"/>
          <w:szCs w:val="21"/>
        </w:rPr>
        <w:t>3</w:t>
      </w:r>
      <w:r>
        <w:rPr>
          <w:rFonts w:hint="eastAsia" w:ascii="宋体" w:hAnsi="宋体"/>
          <w:szCs w:val="21"/>
        </w:rPr>
        <w:t>）经检查证明承包人已采取了有效措施纠正违约行为，具备复工条件的，可由监理人签发复工通知复工。</w:t>
      </w:r>
    </w:p>
    <w:p w14:paraId="74D1729C">
      <w:pPr>
        <w:spacing w:line="360" w:lineRule="auto"/>
        <w:ind w:firstLine="420" w:firstLineChars="200"/>
        <w:rPr>
          <w:rFonts w:hint="eastAsia" w:ascii="宋体" w:hAnsi="宋体"/>
          <w:szCs w:val="21"/>
        </w:rPr>
      </w:pPr>
      <w:r>
        <w:rPr>
          <w:rFonts w:ascii="宋体" w:hAnsi="宋体"/>
          <w:szCs w:val="21"/>
        </w:rPr>
        <w:t xml:space="preserve">22.1.3  </w:t>
      </w:r>
      <w:r>
        <w:rPr>
          <w:rFonts w:hint="eastAsia" w:ascii="宋体" w:hAnsi="宋体"/>
          <w:szCs w:val="21"/>
        </w:rPr>
        <w:t>承包人违约解除合同</w:t>
      </w:r>
    </w:p>
    <w:p w14:paraId="2226B79F">
      <w:pPr>
        <w:spacing w:line="360" w:lineRule="auto"/>
        <w:ind w:firstLine="420" w:firstLineChars="200"/>
        <w:rPr>
          <w:rFonts w:hint="eastAsia" w:ascii="宋体" w:hAnsi="宋体"/>
          <w:szCs w:val="21"/>
        </w:rPr>
      </w:pPr>
      <w:r>
        <w:rPr>
          <w:rFonts w:hint="eastAsia" w:ascii="宋体" w:hAnsi="宋体"/>
          <w:szCs w:val="21"/>
        </w:rPr>
        <w:t>监理人发出整改通知</w:t>
      </w:r>
      <w:r>
        <w:rPr>
          <w:rFonts w:ascii="宋体" w:hAnsi="宋体"/>
          <w:szCs w:val="21"/>
        </w:rPr>
        <w:t>28</w:t>
      </w:r>
      <w:r>
        <w:rPr>
          <w:rFonts w:hint="eastAsia" w:ascii="宋体" w:hAnsi="宋体"/>
          <w:szCs w:val="21"/>
        </w:rPr>
        <w:t>天后，承包人仍不纠正违约行为的，发包人可向承包人发出解除合同通知。合同解除后，发包人可派员进驻施工场地，另行组织人员或委托其他承包人施工。发包人因继续完成该工程的需要，有权扣留使用承包人在现场的材料、设备和临时设施。但发包人的这一行动不免除承包人应承担的违约责任，也不影响发包人根据合同约定享有的索赔权利。</w:t>
      </w:r>
    </w:p>
    <w:p w14:paraId="425F066F">
      <w:pPr>
        <w:spacing w:line="360" w:lineRule="auto"/>
        <w:ind w:firstLine="420" w:firstLineChars="200"/>
        <w:rPr>
          <w:rFonts w:hint="eastAsia" w:ascii="宋体" w:hAnsi="宋体"/>
          <w:szCs w:val="21"/>
        </w:rPr>
      </w:pPr>
      <w:r>
        <w:rPr>
          <w:rFonts w:ascii="宋体" w:hAnsi="宋体"/>
          <w:szCs w:val="21"/>
        </w:rPr>
        <w:t xml:space="preserve">22.1.4  </w:t>
      </w:r>
      <w:r>
        <w:rPr>
          <w:rFonts w:hint="eastAsia" w:ascii="宋体" w:hAnsi="宋体"/>
          <w:szCs w:val="21"/>
        </w:rPr>
        <w:t>合同解除后的估价、付款和结清</w:t>
      </w:r>
    </w:p>
    <w:p w14:paraId="5286A897">
      <w:pPr>
        <w:spacing w:line="360" w:lineRule="auto"/>
        <w:ind w:firstLine="420" w:firstLineChars="200"/>
        <w:rPr>
          <w:rFonts w:hint="eastAsia" w:ascii="宋体" w:hAnsi="宋体"/>
          <w:szCs w:val="21"/>
        </w:rPr>
      </w:pPr>
      <w:r>
        <w:rPr>
          <w:rFonts w:hint="eastAsia" w:ascii="宋体" w:hAnsi="宋体"/>
          <w:szCs w:val="21"/>
        </w:rPr>
        <w:t>（</w:t>
      </w:r>
      <w:r>
        <w:rPr>
          <w:rFonts w:ascii="宋体" w:hAnsi="宋体"/>
          <w:szCs w:val="21"/>
        </w:rPr>
        <w:t>1</w:t>
      </w:r>
      <w:r>
        <w:rPr>
          <w:rFonts w:hint="eastAsia" w:ascii="宋体" w:hAnsi="宋体"/>
          <w:szCs w:val="21"/>
        </w:rPr>
        <w:t>）合同解除后，监理人按第</w:t>
      </w:r>
      <w:r>
        <w:rPr>
          <w:rFonts w:ascii="宋体" w:hAnsi="宋体"/>
          <w:szCs w:val="21"/>
        </w:rPr>
        <w:t>3.5</w:t>
      </w:r>
      <w:r>
        <w:rPr>
          <w:rFonts w:hint="eastAsia" w:ascii="宋体" w:hAnsi="宋体"/>
          <w:szCs w:val="21"/>
        </w:rPr>
        <w:t>款商定或确定承包人实际完成工作的价值，以及承包人已提供的材料、施工设备、工程设备和临时工程等的价值。</w:t>
      </w:r>
      <w:r>
        <w:rPr>
          <w:rFonts w:ascii="宋体" w:hAnsi="宋体"/>
          <w:szCs w:val="21"/>
        </w:rPr>
        <w:t xml:space="preserve"> </w:t>
      </w:r>
    </w:p>
    <w:p w14:paraId="12FE81A6">
      <w:pPr>
        <w:spacing w:line="360" w:lineRule="auto"/>
        <w:ind w:firstLine="420" w:firstLineChars="200"/>
        <w:rPr>
          <w:rFonts w:hint="eastAsia" w:ascii="宋体" w:hAnsi="宋体"/>
          <w:szCs w:val="21"/>
        </w:rPr>
      </w:pPr>
      <w:r>
        <w:rPr>
          <w:rFonts w:hint="eastAsia" w:ascii="宋体" w:hAnsi="宋体"/>
          <w:szCs w:val="21"/>
        </w:rPr>
        <w:t>（</w:t>
      </w:r>
      <w:r>
        <w:rPr>
          <w:rFonts w:ascii="宋体" w:hAnsi="宋体"/>
          <w:szCs w:val="21"/>
        </w:rPr>
        <w:t>2</w:t>
      </w:r>
      <w:r>
        <w:rPr>
          <w:rFonts w:hint="eastAsia" w:ascii="宋体" w:hAnsi="宋体"/>
          <w:szCs w:val="21"/>
        </w:rPr>
        <w:t>）合同解除后，发包人应暂停对承包人的一切付款，查清各项付款和已扣款金额，包括承包人应支付的违约金。</w:t>
      </w:r>
      <w:r>
        <w:rPr>
          <w:rFonts w:ascii="宋体" w:hAnsi="宋体"/>
          <w:szCs w:val="21"/>
        </w:rPr>
        <w:t xml:space="preserve"> </w:t>
      </w:r>
    </w:p>
    <w:p w14:paraId="48C07A25">
      <w:pPr>
        <w:spacing w:line="360" w:lineRule="auto"/>
        <w:ind w:firstLine="420" w:firstLineChars="200"/>
        <w:rPr>
          <w:rFonts w:hint="eastAsia" w:ascii="宋体" w:hAnsi="宋体"/>
          <w:szCs w:val="21"/>
        </w:rPr>
      </w:pPr>
      <w:r>
        <w:rPr>
          <w:rFonts w:hint="eastAsia" w:ascii="宋体" w:hAnsi="宋体"/>
          <w:szCs w:val="21"/>
        </w:rPr>
        <w:t>（</w:t>
      </w:r>
      <w:r>
        <w:rPr>
          <w:rFonts w:ascii="宋体" w:hAnsi="宋体"/>
          <w:szCs w:val="21"/>
        </w:rPr>
        <w:t>3</w:t>
      </w:r>
      <w:r>
        <w:rPr>
          <w:rFonts w:hint="eastAsia" w:ascii="宋体" w:hAnsi="宋体"/>
          <w:szCs w:val="21"/>
        </w:rPr>
        <w:t>）合同解除后，发包人应按第</w:t>
      </w:r>
      <w:r>
        <w:rPr>
          <w:rFonts w:ascii="宋体" w:hAnsi="宋体"/>
          <w:szCs w:val="21"/>
        </w:rPr>
        <w:t>23.4</w:t>
      </w:r>
      <w:r>
        <w:rPr>
          <w:rFonts w:hint="eastAsia" w:ascii="宋体" w:hAnsi="宋体"/>
          <w:szCs w:val="21"/>
        </w:rPr>
        <w:t>款的约定向承包人索赔由于解除合同给发包人造成的损失。</w:t>
      </w:r>
    </w:p>
    <w:p w14:paraId="1B1ACA2A">
      <w:pPr>
        <w:spacing w:line="360" w:lineRule="auto"/>
        <w:ind w:firstLine="420" w:firstLineChars="200"/>
        <w:rPr>
          <w:rFonts w:hint="eastAsia" w:ascii="宋体" w:hAnsi="宋体"/>
          <w:szCs w:val="21"/>
        </w:rPr>
      </w:pPr>
      <w:r>
        <w:rPr>
          <w:rFonts w:hint="eastAsia" w:ascii="宋体" w:hAnsi="宋体"/>
          <w:szCs w:val="21"/>
        </w:rPr>
        <w:t>（</w:t>
      </w:r>
      <w:r>
        <w:rPr>
          <w:rFonts w:ascii="宋体" w:hAnsi="宋体"/>
          <w:szCs w:val="21"/>
        </w:rPr>
        <w:t>4</w:t>
      </w:r>
      <w:r>
        <w:rPr>
          <w:rFonts w:hint="eastAsia" w:ascii="宋体" w:hAnsi="宋体"/>
          <w:szCs w:val="21"/>
        </w:rPr>
        <w:t>）合同双方确认上述往来款项后，出具最终结清付款证书，结清全部合同款项。</w:t>
      </w:r>
    </w:p>
    <w:p w14:paraId="6DCA763C">
      <w:pPr>
        <w:spacing w:line="360" w:lineRule="auto"/>
        <w:ind w:firstLine="420" w:firstLineChars="200"/>
        <w:rPr>
          <w:rFonts w:hint="eastAsia" w:ascii="宋体" w:hAnsi="宋体"/>
          <w:szCs w:val="21"/>
        </w:rPr>
      </w:pPr>
      <w:r>
        <w:rPr>
          <w:rFonts w:hint="eastAsia" w:ascii="宋体" w:hAnsi="宋体"/>
          <w:szCs w:val="21"/>
        </w:rPr>
        <w:t>（</w:t>
      </w:r>
      <w:r>
        <w:rPr>
          <w:rFonts w:ascii="宋体" w:hAnsi="宋体"/>
          <w:szCs w:val="21"/>
        </w:rPr>
        <w:t>5</w:t>
      </w:r>
      <w:r>
        <w:rPr>
          <w:rFonts w:hint="eastAsia" w:ascii="宋体" w:hAnsi="宋体"/>
          <w:szCs w:val="21"/>
        </w:rPr>
        <w:t>）发包人和承包人未能就解除合同后的结清达成一致而形成争议的，按第</w:t>
      </w:r>
      <w:r>
        <w:rPr>
          <w:rFonts w:ascii="宋体" w:hAnsi="宋体"/>
          <w:szCs w:val="21"/>
        </w:rPr>
        <w:t>24</w:t>
      </w:r>
      <w:r>
        <w:rPr>
          <w:rFonts w:hint="eastAsia" w:ascii="宋体" w:hAnsi="宋体"/>
          <w:szCs w:val="21"/>
        </w:rPr>
        <w:t>条的约定办理。</w:t>
      </w:r>
    </w:p>
    <w:p w14:paraId="0B26D8DB">
      <w:pPr>
        <w:spacing w:line="360" w:lineRule="auto"/>
        <w:ind w:firstLine="420" w:firstLineChars="200"/>
        <w:rPr>
          <w:rFonts w:hint="eastAsia" w:ascii="宋体" w:hAnsi="宋体"/>
          <w:szCs w:val="21"/>
        </w:rPr>
      </w:pPr>
      <w:r>
        <w:rPr>
          <w:rFonts w:ascii="宋体" w:hAnsi="宋体"/>
          <w:szCs w:val="21"/>
        </w:rPr>
        <w:t xml:space="preserve">22.1.5  </w:t>
      </w:r>
      <w:r>
        <w:rPr>
          <w:rFonts w:hint="eastAsia" w:ascii="宋体" w:hAnsi="宋体"/>
          <w:szCs w:val="21"/>
        </w:rPr>
        <w:t>协议利益的转让</w:t>
      </w:r>
    </w:p>
    <w:p w14:paraId="6C5A032D">
      <w:pPr>
        <w:spacing w:line="360" w:lineRule="auto"/>
        <w:ind w:firstLine="420" w:firstLineChars="200"/>
        <w:rPr>
          <w:rFonts w:hint="eastAsia" w:ascii="宋体" w:hAnsi="宋体"/>
          <w:szCs w:val="21"/>
        </w:rPr>
      </w:pPr>
      <w:r>
        <w:rPr>
          <w:rFonts w:hint="eastAsia" w:ascii="宋体" w:hAnsi="宋体"/>
          <w:szCs w:val="21"/>
        </w:rPr>
        <w:t>因承包人违约解除合同的，发包人有权要求承包人将其为实施合同而签订的材料和设备的订货协议或任何服务协议利益转让给发包人，并在解除合同后的</w:t>
      </w:r>
      <w:r>
        <w:rPr>
          <w:rFonts w:ascii="宋体" w:hAnsi="宋体"/>
          <w:szCs w:val="21"/>
        </w:rPr>
        <w:t>14</w:t>
      </w:r>
      <w:r>
        <w:rPr>
          <w:rFonts w:hint="eastAsia" w:ascii="宋体" w:hAnsi="宋体"/>
          <w:szCs w:val="21"/>
        </w:rPr>
        <w:t>天内，依法办理转让手续。</w:t>
      </w:r>
      <w:r>
        <w:rPr>
          <w:rFonts w:ascii="宋体" w:hAnsi="宋体"/>
          <w:szCs w:val="21"/>
        </w:rPr>
        <w:t xml:space="preserve"> </w:t>
      </w:r>
    </w:p>
    <w:p w14:paraId="5438C956">
      <w:pPr>
        <w:spacing w:line="360" w:lineRule="auto"/>
        <w:ind w:firstLine="420" w:firstLineChars="200"/>
        <w:rPr>
          <w:rFonts w:hint="eastAsia" w:ascii="宋体" w:hAnsi="宋体"/>
          <w:szCs w:val="21"/>
        </w:rPr>
      </w:pPr>
      <w:r>
        <w:rPr>
          <w:rFonts w:ascii="宋体" w:hAnsi="宋体"/>
          <w:szCs w:val="21"/>
        </w:rPr>
        <w:t xml:space="preserve">22.1.6  </w:t>
      </w:r>
      <w:r>
        <w:rPr>
          <w:rFonts w:hint="eastAsia" w:ascii="宋体" w:hAnsi="宋体"/>
          <w:szCs w:val="21"/>
        </w:rPr>
        <w:t>紧急情况下无能力或不愿进行抢救</w:t>
      </w:r>
    </w:p>
    <w:p w14:paraId="2190C8FA">
      <w:pPr>
        <w:spacing w:line="360" w:lineRule="auto"/>
        <w:ind w:firstLine="420" w:firstLineChars="200"/>
        <w:rPr>
          <w:rFonts w:hint="eastAsia" w:ascii="宋体" w:hAnsi="宋体"/>
          <w:szCs w:val="21"/>
        </w:rPr>
      </w:pPr>
      <w:r>
        <w:rPr>
          <w:rFonts w:hint="eastAsia" w:ascii="宋体" w:hAnsi="宋体"/>
          <w:szCs w:val="21"/>
        </w:rPr>
        <w:t>在工程实施期间或缺陷责任期内发生危及工程安全的事件，监理人通知承包人进行抢救，承包人声明无能力或不愿立即执行的，发包人有权雇佣其他人员进行抢救。此类抢救按合同约定属于承包人义务的，由此发生的金额和（或）工期延误由承包人承担。</w:t>
      </w:r>
    </w:p>
    <w:p w14:paraId="4A7AE567">
      <w:pPr>
        <w:keepNext/>
        <w:keepLines/>
        <w:spacing w:before="120" w:beforeLines="50" w:after="120" w:afterLines="50" w:line="360" w:lineRule="auto"/>
        <w:outlineLvl w:val="2"/>
        <w:rPr>
          <w:rFonts w:hint="eastAsia" w:ascii="宋体" w:hAnsi="宋体"/>
          <w:sz w:val="24"/>
          <w:szCs w:val="20"/>
        </w:rPr>
      </w:pPr>
      <w:bookmarkStart w:id="2120" w:name="_Toc489280005"/>
      <w:bookmarkStart w:id="2121" w:name="_Toc179632773"/>
      <w:bookmarkStart w:id="2122" w:name="_Toc152045755"/>
      <w:bookmarkStart w:id="2123" w:name="_Toc338944848"/>
      <w:bookmarkStart w:id="2124" w:name="_Toc480486877"/>
      <w:bookmarkStart w:id="2125" w:name="_Toc480487049"/>
      <w:bookmarkStart w:id="2126" w:name="_Toc486580194"/>
      <w:bookmarkStart w:id="2127" w:name="_Toc117350563"/>
      <w:bookmarkStart w:id="2128" w:name="_Toc144974726"/>
      <w:bookmarkStart w:id="2129" w:name="_Toc483668223"/>
      <w:bookmarkStart w:id="2130" w:name="_Toc490222639"/>
      <w:bookmarkStart w:id="2131" w:name="_Toc342296406"/>
      <w:bookmarkStart w:id="2132" w:name="_Toc152042534"/>
      <w:r>
        <w:rPr>
          <w:rFonts w:ascii="宋体" w:hAnsi="宋体"/>
          <w:sz w:val="24"/>
          <w:szCs w:val="20"/>
        </w:rPr>
        <w:t xml:space="preserve">22.2  </w:t>
      </w:r>
      <w:r>
        <w:rPr>
          <w:rFonts w:hint="eastAsia" w:ascii="宋体" w:hAnsi="宋体"/>
          <w:sz w:val="24"/>
          <w:szCs w:val="20"/>
        </w:rPr>
        <w:t>发包人违约</w:t>
      </w:r>
      <w:bookmarkEnd w:id="2120"/>
      <w:bookmarkEnd w:id="2121"/>
      <w:bookmarkEnd w:id="2122"/>
      <w:bookmarkEnd w:id="2123"/>
      <w:bookmarkEnd w:id="2124"/>
      <w:bookmarkEnd w:id="2125"/>
      <w:bookmarkEnd w:id="2126"/>
      <w:bookmarkEnd w:id="2127"/>
      <w:bookmarkEnd w:id="2128"/>
      <w:bookmarkEnd w:id="2129"/>
      <w:bookmarkEnd w:id="2130"/>
      <w:bookmarkEnd w:id="2131"/>
      <w:bookmarkEnd w:id="2132"/>
    </w:p>
    <w:p w14:paraId="67BF7E4D">
      <w:pPr>
        <w:spacing w:line="360" w:lineRule="auto"/>
        <w:ind w:firstLine="420" w:firstLineChars="200"/>
        <w:rPr>
          <w:rFonts w:hint="eastAsia" w:ascii="宋体" w:hAnsi="宋体"/>
          <w:szCs w:val="21"/>
        </w:rPr>
      </w:pPr>
      <w:r>
        <w:rPr>
          <w:rFonts w:ascii="宋体" w:hAnsi="宋体"/>
          <w:szCs w:val="21"/>
        </w:rPr>
        <w:t xml:space="preserve">22.2.1  </w:t>
      </w:r>
      <w:r>
        <w:rPr>
          <w:rFonts w:hint="eastAsia" w:ascii="宋体" w:hAnsi="宋体"/>
          <w:szCs w:val="21"/>
        </w:rPr>
        <w:t>发包人违约的情形</w:t>
      </w:r>
    </w:p>
    <w:p w14:paraId="385D40AA">
      <w:pPr>
        <w:spacing w:line="360" w:lineRule="auto"/>
        <w:ind w:firstLine="420" w:firstLineChars="200"/>
        <w:rPr>
          <w:rFonts w:hint="eastAsia" w:ascii="宋体" w:hAnsi="宋体"/>
          <w:szCs w:val="21"/>
        </w:rPr>
      </w:pPr>
      <w:r>
        <w:rPr>
          <w:rFonts w:hint="eastAsia" w:ascii="宋体" w:hAnsi="宋体"/>
          <w:szCs w:val="21"/>
        </w:rPr>
        <w:t>在履行合同过程中发生的下列情形，属发包人违约：</w:t>
      </w:r>
    </w:p>
    <w:p w14:paraId="6C869ACA">
      <w:pPr>
        <w:spacing w:line="360" w:lineRule="auto"/>
        <w:ind w:firstLine="420" w:firstLineChars="200"/>
        <w:rPr>
          <w:rFonts w:hint="eastAsia" w:ascii="宋体" w:hAnsi="宋体"/>
          <w:szCs w:val="21"/>
        </w:rPr>
      </w:pPr>
      <w:r>
        <w:rPr>
          <w:rFonts w:hint="eastAsia" w:ascii="宋体" w:hAnsi="宋体"/>
          <w:szCs w:val="21"/>
        </w:rPr>
        <w:t>（</w:t>
      </w:r>
      <w:r>
        <w:rPr>
          <w:rFonts w:ascii="宋体" w:hAnsi="宋体"/>
          <w:szCs w:val="21"/>
        </w:rPr>
        <w:t>1</w:t>
      </w:r>
      <w:r>
        <w:rPr>
          <w:rFonts w:hint="eastAsia" w:ascii="宋体" w:hAnsi="宋体"/>
          <w:szCs w:val="21"/>
        </w:rPr>
        <w:t>）发包人未能按合同约定支付预付款或合同价款，或拖延、拒绝批准付款申请和支付凭证，导致付款延误的；</w:t>
      </w:r>
    </w:p>
    <w:p w14:paraId="02ED19D8">
      <w:pPr>
        <w:spacing w:line="360" w:lineRule="auto"/>
        <w:ind w:firstLine="420" w:firstLineChars="200"/>
        <w:rPr>
          <w:rFonts w:hint="eastAsia" w:ascii="宋体" w:hAnsi="宋体"/>
          <w:szCs w:val="21"/>
        </w:rPr>
      </w:pPr>
      <w:r>
        <w:rPr>
          <w:rFonts w:hint="eastAsia" w:ascii="宋体" w:hAnsi="宋体"/>
          <w:szCs w:val="21"/>
        </w:rPr>
        <w:t>（</w:t>
      </w:r>
      <w:r>
        <w:rPr>
          <w:rFonts w:ascii="宋体" w:hAnsi="宋体"/>
          <w:szCs w:val="21"/>
        </w:rPr>
        <w:t>2</w:t>
      </w:r>
      <w:r>
        <w:rPr>
          <w:rFonts w:hint="eastAsia" w:ascii="宋体" w:hAnsi="宋体"/>
          <w:szCs w:val="21"/>
        </w:rPr>
        <w:t>）发包人原因造成停工的；</w:t>
      </w:r>
    </w:p>
    <w:p w14:paraId="5D051AA8">
      <w:pPr>
        <w:spacing w:line="360" w:lineRule="auto"/>
        <w:ind w:firstLine="420" w:firstLineChars="200"/>
        <w:rPr>
          <w:rFonts w:hint="eastAsia" w:ascii="宋体" w:hAnsi="宋体"/>
          <w:szCs w:val="21"/>
        </w:rPr>
      </w:pPr>
      <w:r>
        <w:rPr>
          <w:rFonts w:hint="eastAsia" w:ascii="宋体" w:hAnsi="宋体"/>
          <w:szCs w:val="21"/>
        </w:rPr>
        <w:t>（</w:t>
      </w:r>
      <w:r>
        <w:rPr>
          <w:rFonts w:ascii="宋体" w:hAnsi="宋体"/>
          <w:szCs w:val="21"/>
        </w:rPr>
        <w:t>3</w:t>
      </w:r>
      <w:r>
        <w:rPr>
          <w:rFonts w:hint="eastAsia" w:ascii="宋体" w:hAnsi="宋体"/>
          <w:szCs w:val="21"/>
        </w:rPr>
        <w:t>）监理人无正当理由没有在约定期限内发出复工指示，导致承包人无法复工的；</w:t>
      </w:r>
    </w:p>
    <w:p w14:paraId="27DC78CD">
      <w:pPr>
        <w:spacing w:line="360" w:lineRule="auto"/>
        <w:ind w:firstLine="420" w:firstLineChars="200"/>
        <w:rPr>
          <w:rFonts w:hint="eastAsia" w:ascii="宋体" w:hAnsi="宋体"/>
          <w:szCs w:val="21"/>
        </w:rPr>
      </w:pPr>
      <w:r>
        <w:rPr>
          <w:rFonts w:hint="eastAsia" w:ascii="宋体" w:hAnsi="宋体"/>
          <w:szCs w:val="21"/>
        </w:rPr>
        <w:t>（</w:t>
      </w:r>
      <w:r>
        <w:rPr>
          <w:rFonts w:ascii="宋体" w:hAnsi="宋体"/>
          <w:szCs w:val="21"/>
        </w:rPr>
        <w:t>4</w:t>
      </w:r>
      <w:r>
        <w:rPr>
          <w:rFonts w:hint="eastAsia" w:ascii="宋体" w:hAnsi="宋体"/>
          <w:szCs w:val="21"/>
        </w:rPr>
        <w:t>）发包人无法继续履行或明确表示不履行或实质上已停止履行合同的；</w:t>
      </w:r>
    </w:p>
    <w:p w14:paraId="50130BD1">
      <w:pPr>
        <w:spacing w:line="360" w:lineRule="auto"/>
        <w:ind w:firstLine="420" w:firstLineChars="200"/>
        <w:rPr>
          <w:rFonts w:hint="eastAsia" w:ascii="宋体" w:hAnsi="宋体"/>
          <w:szCs w:val="21"/>
        </w:rPr>
      </w:pPr>
      <w:r>
        <w:rPr>
          <w:rFonts w:hint="eastAsia" w:ascii="宋体" w:hAnsi="宋体"/>
          <w:szCs w:val="21"/>
        </w:rPr>
        <w:t>（</w:t>
      </w:r>
      <w:r>
        <w:rPr>
          <w:rFonts w:ascii="宋体" w:hAnsi="宋体"/>
          <w:szCs w:val="21"/>
        </w:rPr>
        <w:t>5</w:t>
      </w:r>
      <w:r>
        <w:rPr>
          <w:rFonts w:hint="eastAsia" w:ascii="宋体" w:hAnsi="宋体"/>
          <w:szCs w:val="21"/>
        </w:rPr>
        <w:t>）发包人不履行合同约定其他义务的。</w:t>
      </w:r>
    </w:p>
    <w:p w14:paraId="05B92560">
      <w:pPr>
        <w:spacing w:line="360" w:lineRule="auto"/>
        <w:ind w:firstLine="420" w:firstLineChars="200"/>
        <w:rPr>
          <w:rFonts w:hint="eastAsia" w:ascii="宋体" w:hAnsi="宋体"/>
          <w:szCs w:val="21"/>
        </w:rPr>
      </w:pPr>
      <w:r>
        <w:rPr>
          <w:rFonts w:ascii="宋体" w:hAnsi="宋体"/>
          <w:szCs w:val="21"/>
        </w:rPr>
        <w:t xml:space="preserve">22.2.2  </w:t>
      </w:r>
      <w:r>
        <w:rPr>
          <w:rFonts w:hint="eastAsia" w:ascii="宋体" w:hAnsi="宋体"/>
          <w:szCs w:val="21"/>
        </w:rPr>
        <w:t>承包人有权暂停施工</w:t>
      </w:r>
    </w:p>
    <w:p w14:paraId="2ADB7C30">
      <w:pPr>
        <w:spacing w:line="360" w:lineRule="auto"/>
        <w:ind w:firstLine="420" w:firstLineChars="200"/>
        <w:rPr>
          <w:rFonts w:hint="eastAsia" w:ascii="宋体" w:hAnsi="宋体"/>
          <w:szCs w:val="21"/>
        </w:rPr>
      </w:pPr>
      <w:r>
        <w:rPr>
          <w:rFonts w:hint="eastAsia" w:ascii="宋体" w:hAnsi="宋体"/>
          <w:szCs w:val="21"/>
        </w:rPr>
        <w:t>发包人发生除第22.2.1（4）目以外的违约情况时，承包人可向发包人发出通知，要求发包人采取有效措施纠正违约行为。发包人收到承包人通知后的28天内仍不履行合同义务，承包人有权暂停施工，并通知监理人，发包人应承担由此增加的费用和（或）工期延误。</w:t>
      </w:r>
    </w:p>
    <w:p w14:paraId="41380CA3">
      <w:pPr>
        <w:spacing w:line="360" w:lineRule="auto"/>
        <w:ind w:firstLine="420" w:firstLineChars="200"/>
        <w:rPr>
          <w:rFonts w:hint="eastAsia" w:ascii="宋体" w:hAnsi="宋体"/>
          <w:szCs w:val="21"/>
        </w:rPr>
      </w:pPr>
      <w:r>
        <w:rPr>
          <w:rFonts w:ascii="宋体" w:hAnsi="宋体"/>
          <w:szCs w:val="21"/>
        </w:rPr>
        <w:t xml:space="preserve">22.2.3  </w:t>
      </w:r>
      <w:r>
        <w:rPr>
          <w:rFonts w:hint="eastAsia" w:ascii="宋体" w:hAnsi="宋体"/>
          <w:szCs w:val="21"/>
        </w:rPr>
        <w:t>发包人违约解除合同</w:t>
      </w:r>
      <w:r>
        <w:rPr>
          <w:rFonts w:ascii="宋体" w:hAnsi="宋体"/>
          <w:szCs w:val="21"/>
        </w:rPr>
        <w:t xml:space="preserve"> </w:t>
      </w:r>
    </w:p>
    <w:p w14:paraId="1E49A2D5">
      <w:pPr>
        <w:spacing w:line="360" w:lineRule="auto"/>
        <w:ind w:firstLine="420" w:firstLineChars="200"/>
        <w:rPr>
          <w:rFonts w:hint="eastAsia" w:ascii="宋体" w:hAnsi="宋体"/>
          <w:szCs w:val="21"/>
        </w:rPr>
      </w:pPr>
      <w:r>
        <w:rPr>
          <w:rFonts w:hint="eastAsia" w:ascii="宋体" w:hAnsi="宋体"/>
          <w:szCs w:val="21"/>
        </w:rPr>
        <w:t>（</w:t>
      </w:r>
      <w:r>
        <w:rPr>
          <w:rFonts w:ascii="宋体" w:hAnsi="宋体"/>
          <w:szCs w:val="21"/>
        </w:rPr>
        <w:t>1</w:t>
      </w:r>
      <w:r>
        <w:rPr>
          <w:rFonts w:hint="eastAsia" w:ascii="宋体" w:hAnsi="宋体"/>
          <w:szCs w:val="21"/>
        </w:rPr>
        <w:t>）发生第</w:t>
      </w:r>
      <w:r>
        <w:rPr>
          <w:rFonts w:ascii="宋体" w:hAnsi="宋体"/>
          <w:szCs w:val="21"/>
        </w:rPr>
        <w:t>22.2.1</w:t>
      </w:r>
      <w:r>
        <w:rPr>
          <w:rFonts w:hint="eastAsia" w:ascii="宋体" w:hAnsi="宋体"/>
          <w:szCs w:val="21"/>
        </w:rPr>
        <w:t>（</w:t>
      </w:r>
      <w:r>
        <w:rPr>
          <w:rFonts w:ascii="宋体" w:hAnsi="宋体"/>
          <w:szCs w:val="21"/>
        </w:rPr>
        <w:t>4</w:t>
      </w:r>
      <w:r>
        <w:rPr>
          <w:rFonts w:hint="eastAsia" w:ascii="宋体" w:hAnsi="宋体"/>
          <w:szCs w:val="21"/>
        </w:rPr>
        <w:t>）目的违约情况时，承包人可书面通知发包人解除合同。</w:t>
      </w:r>
      <w:r>
        <w:rPr>
          <w:rFonts w:ascii="宋体" w:hAnsi="宋体"/>
          <w:szCs w:val="21"/>
        </w:rPr>
        <w:t xml:space="preserve">   </w:t>
      </w:r>
    </w:p>
    <w:p w14:paraId="09F88226">
      <w:pPr>
        <w:spacing w:line="360" w:lineRule="auto"/>
        <w:ind w:firstLine="420" w:firstLineChars="200"/>
        <w:rPr>
          <w:rFonts w:hint="eastAsia" w:ascii="宋体" w:hAnsi="宋体"/>
          <w:szCs w:val="21"/>
        </w:rPr>
      </w:pPr>
      <w:r>
        <w:rPr>
          <w:rFonts w:hint="eastAsia" w:ascii="宋体" w:hAnsi="宋体"/>
          <w:szCs w:val="21"/>
        </w:rPr>
        <w:t>（</w:t>
      </w:r>
      <w:r>
        <w:rPr>
          <w:rFonts w:ascii="宋体" w:hAnsi="宋体"/>
          <w:szCs w:val="21"/>
        </w:rPr>
        <w:t>2</w:t>
      </w:r>
      <w:r>
        <w:rPr>
          <w:rFonts w:hint="eastAsia" w:ascii="宋体" w:hAnsi="宋体"/>
          <w:szCs w:val="21"/>
        </w:rPr>
        <w:t>）承包人按第</w:t>
      </w:r>
      <w:r>
        <w:rPr>
          <w:rFonts w:ascii="宋体" w:hAnsi="宋体"/>
          <w:szCs w:val="21"/>
        </w:rPr>
        <w:t>22.2.2</w:t>
      </w:r>
      <w:r>
        <w:rPr>
          <w:rFonts w:hint="eastAsia" w:ascii="宋体" w:hAnsi="宋体"/>
          <w:szCs w:val="21"/>
        </w:rPr>
        <w:t>项暂停施工</w:t>
      </w:r>
      <w:r>
        <w:rPr>
          <w:rFonts w:ascii="宋体" w:hAnsi="宋体"/>
          <w:szCs w:val="21"/>
        </w:rPr>
        <w:t>28</w:t>
      </w:r>
      <w:r>
        <w:rPr>
          <w:rFonts w:hint="eastAsia" w:ascii="宋体" w:hAnsi="宋体"/>
          <w:szCs w:val="21"/>
        </w:rPr>
        <w:t>天后，发包人仍不纠正违约行为的，承包人可向发包人发出解除合同通知。但承包人的这一行动不免除发包人承担的违约责任，也不影响承包人根据合同约定享有的索赔权利。</w:t>
      </w:r>
    </w:p>
    <w:p w14:paraId="1DA5AB32">
      <w:pPr>
        <w:spacing w:line="360" w:lineRule="auto"/>
        <w:ind w:firstLine="420" w:firstLineChars="200"/>
        <w:rPr>
          <w:rFonts w:hint="eastAsia" w:ascii="宋体" w:hAnsi="宋体"/>
          <w:szCs w:val="21"/>
        </w:rPr>
      </w:pPr>
      <w:r>
        <w:rPr>
          <w:rFonts w:ascii="宋体" w:hAnsi="宋体"/>
          <w:szCs w:val="21"/>
        </w:rPr>
        <w:t xml:space="preserve">22.2.4  </w:t>
      </w:r>
      <w:r>
        <w:rPr>
          <w:rFonts w:hint="eastAsia" w:ascii="宋体" w:hAnsi="宋体"/>
          <w:szCs w:val="21"/>
        </w:rPr>
        <w:t>解除合同后的付款</w:t>
      </w:r>
    </w:p>
    <w:p w14:paraId="77A56A43">
      <w:pPr>
        <w:spacing w:line="360" w:lineRule="auto"/>
        <w:ind w:firstLine="420" w:firstLineChars="200"/>
        <w:rPr>
          <w:rFonts w:hint="eastAsia" w:ascii="宋体" w:hAnsi="宋体"/>
          <w:szCs w:val="21"/>
        </w:rPr>
      </w:pPr>
      <w:r>
        <w:rPr>
          <w:rFonts w:hint="eastAsia" w:ascii="宋体" w:hAnsi="宋体"/>
          <w:szCs w:val="21"/>
        </w:rPr>
        <w:t>因发包人违约解除合同的，发包人应在解除合同后</w:t>
      </w:r>
      <w:r>
        <w:rPr>
          <w:rFonts w:ascii="宋体" w:hAnsi="宋体"/>
          <w:szCs w:val="21"/>
        </w:rPr>
        <w:t>28</w:t>
      </w:r>
      <w:r>
        <w:rPr>
          <w:rFonts w:hint="eastAsia" w:ascii="宋体" w:hAnsi="宋体"/>
          <w:szCs w:val="21"/>
        </w:rPr>
        <w:t>天内向承包人支付下列金额，承包人应在此期限内及时向发包人提交要求支付下列金额的有关资料和凭证：</w:t>
      </w:r>
    </w:p>
    <w:p w14:paraId="1FEA8906">
      <w:pPr>
        <w:spacing w:line="360" w:lineRule="auto"/>
        <w:ind w:firstLine="420" w:firstLineChars="200"/>
        <w:rPr>
          <w:rFonts w:hint="eastAsia" w:ascii="宋体" w:hAnsi="宋体"/>
          <w:szCs w:val="21"/>
        </w:rPr>
      </w:pPr>
      <w:r>
        <w:rPr>
          <w:rFonts w:hint="eastAsia" w:ascii="宋体" w:hAnsi="宋体"/>
          <w:szCs w:val="21"/>
        </w:rPr>
        <w:t>（</w:t>
      </w:r>
      <w:r>
        <w:rPr>
          <w:rFonts w:ascii="宋体" w:hAnsi="宋体"/>
          <w:szCs w:val="21"/>
        </w:rPr>
        <w:t>1</w:t>
      </w:r>
      <w:r>
        <w:rPr>
          <w:rFonts w:hint="eastAsia" w:ascii="宋体" w:hAnsi="宋体"/>
          <w:szCs w:val="21"/>
        </w:rPr>
        <w:t>）合同解除日以前所完成工作的价款；</w:t>
      </w:r>
    </w:p>
    <w:p w14:paraId="03976840">
      <w:pPr>
        <w:spacing w:line="360" w:lineRule="auto"/>
        <w:ind w:firstLine="420" w:firstLineChars="200"/>
        <w:rPr>
          <w:rFonts w:hint="eastAsia" w:ascii="宋体" w:hAnsi="宋体"/>
          <w:szCs w:val="21"/>
        </w:rPr>
      </w:pPr>
      <w:r>
        <w:rPr>
          <w:rFonts w:hint="eastAsia" w:ascii="宋体" w:hAnsi="宋体"/>
          <w:szCs w:val="21"/>
        </w:rPr>
        <w:t>（</w:t>
      </w:r>
      <w:r>
        <w:rPr>
          <w:rFonts w:ascii="宋体" w:hAnsi="宋体"/>
          <w:szCs w:val="21"/>
        </w:rPr>
        <w:t>2</w:t>
      </w:r>
      <w:r>
        <w:rPr>
          <w:rFonts w:hint="eastAsia" w:ascii="宋体" w:hAnsi="宋体"/>
          <w:szCs w:val="21"/>
        </w:rPr>
        <w:t>）承包人为该工程施工订购并已付款的材料、工程设备和其他物品的金额。发包人付还后，该材料、工程设备和其他物品归发包人所有；</w:t>
      </w:r>
    </w:p>
    <w:p w14:paraId="62871426">
      <w:pPr>
        <w:spacing w:line="360" w:lineRule="auto"/>
        <w:ind w:firstLine="420" w:firstLineChars="200"/>
        <w:rPr>
          <w:rFonts w:hint="eastAsia" w:ascii="宋体" w:hAnsi="宋体"/>
          <w:szCs w:val="21"/>
        </w:rPr>
      </w:pPr>
      <w:r>
        <w:rPr>
          <w:rFonts w:hint="eastAsia" w:ascii="宋体" w:hAnsi="宋体"/>
          <w:szCs w:val="21"/>
        </w:rPr>
        <w:t>（</w:t>
      </w:r>
      <w:r>
        <w:rPr>
          <w:rFonts w:ascii="宋体" w:hAnsi="宋体"/>
          <w:szCs w:val="21"/>
        </w:rPr>
        <w:t>3</w:t>
      </w:r>
      <w:r>
        <w:rPr>
          <w:rFonts w:hint="eastAsia" w:ascii="宋体" w:hAnsi="宋体"/>
          <w:szCs w:val="21"/>
        </w:rPr>
        <w:t>）承包人为完成工程所发生的，而发包人未支付的金额；</w:t>
      </w:r>
    </w:p>
    <w:p w14:paraId="731CD8C8">
      <w:pPr>
        <w:spacing w:line="360" w:lineRule="auto"/>
        <w:ind w:firstLine="420" w:firstLineChars="200"/>
        <w:rPr>
          <w:rFonts w:hint="eastAsia" w:ascii="宋体" w:hAnsi="宋体"/>
          <w:szCs w:val="21"/>
        </w:rPr>
      </w:pPr>
      <w:r>
        <w:rPr>
          <w:rFonts w:hint="eastAsia" w:ascii="宋体" w:hAnsi="宋体"/>
          <w:szCs w:val="21"/>
        </w:rPr>
        <w:t>（</w:t>
      </w:r>
      <w:r>
        <w:rPr>
          <w:rFonts w:ascii="宋体" w:hAnsi="宋体"/>
          <w:szCs w:val="21"/>
        </w:rPr>
        <w:t>4</w:t>
      </w:r>
      <w:r>
        <w:rPr>
          <w:rFonts w:hint="eastAsia" w:ascii="宋体" w:hAnsi="宋体"/>
          <w:szCs w:val="21"/>
        </w:rPr>
        <w:t>）承包人撤离施工场地以及遣散承包人人员的金额；</w:t>
      </w:r>
    </w:p>
    <w:p w14:paraId="34B56ED6">
      <w:pPr>
        <w:spacing w:line="360" w:lineRule="auto"/>
        <w:ind w:firstLine="420" w:firstLineChars="200"/>
        <w:rPr>
          <w:rFonts w:hint="eastAsia" w:ascii="宋体" w:hAnsi="宋体"/>
          <w:szCs w:val="21"/>
        </w:rPr>
      </w:pPr>
      <w:r>
        <w:rPr>
          <w:rFonts w:hint="eastAsia" w:ascii="宋体" w:hAnsi="宋体"/>
          <w:szCs w:val="21"/>
        </w:rPr>
        <w:t>（</w:t>
      </w:r>
      <w:r>
        <w:rPr>
          <w:rFonts w:ascii="宋体" w:hAnsi="宋体"/>
          <w:szCs w:val="21"/>
        </w:rPr>
        <w:t>5</w:t>
      </w:r>
      <w:r>
        <w:rPr>
          <w:rFonts w:hint="eastAsia" w:ascii="宋体" w:hAnsi="宋体"/>
          <w:szCs w:val="21"/>
        </w:rPr>
        <w:t>）由于解除合同应赔偿的承包人损失；</w:t>
      </w:r>
    </w:p>
    <w:p w14:paraId="2F69DD16">
      <w:pPr>
        <w:spacing w:line="360" w:lineRule="auto"/>
        <w:ind w:firstLine="420" w:firstLineChars="200"/>
        <w:rPr>
          <w:rFonts w:hint="eastAsia" w:ascii="宋体" w:hAnsi="宋体"/>
          <w:szCs w:val="21"/>
        </w:rPr>
      </w:pPr>
      <w:r>
        <w:rPr>
          <w:rFonts w:hint="eastAsia" w:ascii="宋体" w:hAnsi="宋体"/>
          <w:szCs w:val="21"/>
        </w:rPr>
        <w:t>（</w:t>
      </w:r>
      <w:r>
        <w:rPr>
          <w:rFonts w:ascii="宋体" w:hAnsi="宋体"/>
          <w:szCs w:val="21"/>
        </w:rPr>
        <w:t>6</w:t>
      </w:r>
      <w:r>
        <w:rPr>
          <w:rFonts w:hint="eastAsia" w:ascii="宋体" w:hAnsi="宋体"/>
          <w:szCs w:val="21"/>
        </w:rPr>
        <w:t>）按合同约定在合同解除日前应支付给承包人的其他金额。</w:t>
      </w:r>
    </w:p>
    <w:p w14:paraId="0B536A90">
      <w:pPr>
        <w:spacing w:line="360" w:lineRule="auto"/>
        <w:ind w:firstLine="420" w:firstLineChars="200"/>
        <w:rPr>
          <w:rFonts w:hint="eastAsia" w:ascii="宋体" w:hAnsi="宋体"/>
          <w:szCs w:val="21"/>
        </w:rPr>
      </w:pPr>
      <w:r>
        <w:rPr>
          <w:rFonts w:hint="eastAsia" w:ascii="宋体" w:hAnsi="宋体"/>
          <w:szCs w:val="21"/>
        </w:rPr>
        <w:t>发包人应按本项约定支付上述金额并退还质量保证金或退还质量保证金保函和履约担保，但有权要求承包人支付应偿还给发包人的各项金额。</w:t>
      </w:r>
    </w:p>
    <w:p w14:paraId="1A2BDA6D">
      <w:pPr>
        <w:spacing w:line="360" w:lineRule="auto"/>
        <w:ind w:firstLine="420" w:firstLineChars="200"/>
        <w:rPr>
          <w:rFonts w:hint="eastAsia" w:ascii="宋体" w:hAnsi="宋体"/>
          <w:szCs w:val="21"/>
        </w:rPr>
      </w:pPr>
      <w:r>
        <w:rPr>
          <w:rFonts w:ascii="宋体" w:hAnsi="宋体"/>
          <w:szCs w:val="21"/>
        </w:rPr>
        <w:t xml:space="preserve">22.2.5  </w:t>
      </w:r>
      <w:r>
        <w:rPr>
          <w:rFonts w:hint="eastAsia" w:ascii="宋体" w:hAnsi="宋体"/>
          <w:szCs w:val="21"/>
        </w:rPr>
        <w:t>解除合同后的承包人撤离</w:t>
      </w:r>
    </w:p>
    <w:p w14:paraId="1F673F59">
      <w:pPr>
        <w:spacing w:line="360" w:lineRule="auto"/>
        <w:ind w:firstLine="420" w:firstLineChars="200"/>
        <w:rPr>
          <w:rFonts w:hint="eastAsia" w:ascii="宋体" w:hAnsi="宋体"/>
          <w:szCs w:val="21"/>
        </w:rPr>
      </w:pPr>
      <w:r>
        <w:rPr>
          <w:rFonts w:hint="eastAsia" w:ascii="宋体" w:hAnsi="宋体"/>
          <w:szCs w:val="21"/>
        </w:rPr>
        <w:t>因发包人违约而解除合同后，承包人应妥善做好已竣工工程和已购材料、设备的保护和移交工作，按发包人要求将承包人设备和人员撤出施工场地。承包人撤出施工场地应遵守第</w:t>
      </w:r>
      <w:r>
        <w:rPr>
          <w:rFonts w:ascii="宋体" w:hAnsi="宋体"/>
          <w:szCs w:val="21"/>
        </w:rPr>
        <w:t>18.7.1</w:t>
      </w:r>
      <w:r>
        <w:rPr>
          <w:rFonts w:hint="eastAsia" w:ascii="宋体" w:hAnsi="宋体"/>
          <w:szCs w:val="21"/>
        </w:rPr>
        <w:t>项的约定，发包人应为承包人撤出提供必要条件。</w:t>
      </w:r>
    </w:p>
    <w:p w14:paraId="56F5F234">
      <w:pPr>
        <w:keepNext/>
        <w:keepLines/>
        <w:spacing w:before="120" w:beforeLines="50" w:after="120" w:afterLines="50" w:line="360" w:lineRule="auto"/>
        <w:outlineLvl w:val="2"/>
        <w:rPr>
          <w:rFonts w:hint="eastAsia" w:ascii="宋体" w:hAnsi="宋体"/>
          <w:sz w:val="24"/>
          <w:szCs w:val="20"/>
        </w:rPr>
      </w:pPr>
      <w:bookmarkStart w:id="2133" w:name="_Toc117350564"/>
      <w:bookmarkStart w:id="2134" w:name="_Toc489280006"/>
      <w:bookmarkStart w:id="2135" w:name="_Toc342296407"/>
      <w:bookmarkStart w:id="2136" w:name="_Toc483668224"/>
      <w:bookmarkStart w:id="2137" w:name="_Toc486580195"/>
      <w:bookmarkStart w:id="2138" w:name="_Toc490222640"/>
      <w:bookmarkStart w:id="2139" w:name="_Toc152045756"/>
      <w:bookmarkStart w:id="2140" w:name="_Toc152042535"/>
      <w:bookmarkStart w:id="2141" w:name="_Toc338944849"/>
      <w:bookmarkStart w:id="2142" w:name="_Toc480486878"/>
      <w:bookmarkStart w:id="2143" w:name="_Toc179632774"/>
      <w:bookmarkStart w:id="2144" w:name="_Toc480487050"/>
      <w:r>
        <w:rPr>
          <w:rFonts w:ascii="宋体" w:hAnsi="宋体"/>
          <w:sz w:val="24"/>
          <w:szCs w:val="20"/>
        </w:rPr>
        <w:t xml:space="preserve">22.3  </w:t>
      </w:r>
      <w:r>
        <w:rPr>
          <w:rFonts w:hint="eastAsia" w:ascii="宋体" w:hAnsi="宋体"/>
          <w:sz w:val="24"/>
          <w:szCs w:val="20"/>
        </w:rPr>
        <w:t>第三人造成的违约</w:t>
      </w:r>
      <w:bookmarkEnd w:id="2133"/>
      <w:bookmarkEnd w:id="2134"/>
      <w:bookmarkEnd w:id="2135"/>
      <w:bookmarkEnd w:id="2136"/>
      <w:bookmarkEnd w:id="2137"/>
      <w:bookmarkEnd w:id="2138"/>
      <w:bookmarkEnd w:id="2139"/>
      <w:bookmarkEnd w:id="2140"/>
      <w:bookmarkEnd w:id="2141"/>
      <w:bookmarkEnd w:id="2142"/>
      <w:bookmarkEnd w:id="2143"/>
      <w:bookmarkEnd w:id="2144"/>
    </w:p>
    <w:p w14:paraId="34598990">
      <w:pPr>
        <w:spacing w:line="360" w:lineRule="auto"/>
        <w:ind w:firstLine="420" w:firstLineChars="200"/>
        <w:rPr>
          <w:rFonts w:hint="eastAsia" w:ascii="宋体" w:hAnsi="宋体"/>
          <w:szCs w:val="21"/>
        </w:rPr>
      </w:pPr>
      <w:r>
        <w:rPr>
          <w:rFonts w:hint="eastAsia" w:ascii="宋体" w:hAnsi="宋体"/>
          <w:szCs w:val="21"/>
        </w:rPr>
        <w:t>在履行合同过程中，一方当事人因第三人的原因造成违约的，应当向对方当事人承担违约责任。一方当事人和第三人之间的纠纷，依照法律规定或者按照约定解决。</w:t>
      </w:r>
    </w:p>
    <w:p w14:paraId="69FF1687">
      <w:pPr>
        <w:keepNext/>
        <w:keepLines/>
        <w:spacing w:before="120" w:beforeLines="50" w:after="120" w:afterLines="50" w:line="360" w:lineRule="auto"/>
        <w:outlineLvl w:val="1"/>
        <w:rPr>
          <w:rFonts w:hint="eastAsia" w:ascii="宋体" w:hAnsi="宋体" w:cs="宋体"/>
          <w:sz w:val="28"/>
          <w:szCs w:val="20"/>
        </w:rPr>
      </w:pPr>
      <w:bookmarkStart w:id="2145" w:name="_Toc152042536"/>
      <w:bookmarkStart w:id="2146" w:name="_Toc144974727"/>
      <w:bookmarkStart w:id="2147" w:name="_Toc480486879"/>
      <w:bookmarkStart w:id="2148" w:name="_Toc489280007"/>
      <w:bookmarkStart w:id="2149" w:name="_Toc480487051"/>
      <w:bookmarkStart w:id="2150" w:name="_Toc179632775"/>
      <w:bookmarkStart w:id="2151" w:name="_Toc342296408"/>
      <w:bookmarkStart w:id="2152" w:name="_Toc152045757"/>
      <w:bookmarkStart w:id="2153" w:name="_Toc483668225"/>
      <w:bookmarkStart w:id="2154" w:name="_Toc338944850"/>
      <w:bookmarkStart w:id="2155" w:name="_Toc486580196"/>
      <w:bookmarkStart w:id="2156" w:name="_Toc490222641"/>
      <w:bookmarkStart w:id="2157" w:name="_Toc117350565"/>
      <w:r>
        <w:rPr>
          <w:rFonts w:ascii="宋体" w:hAnsi="宋体" w:cs="宋体"/>
          <w:sz w:val="28"/>
          <w:szCs w:val="20"/>
        </w:rPr>
        <w:t>23.</w:t>
      </w:r>
      <w:r>
        <w:rPr>
          <w:rFonts w:hint="eastAsia" w:ascii="宋体" w:hAnsi="宋体" w:cs="宋体"/>
          <w:sz w:val="28"/>
          <w:szCs w:val="20"/>
        </w:rPr>
        <w:t>索赔</w:t>
      </w:r>
      <w:bookmarkEnd w:id="2145"/>
      <w:bookmarkEnd w:id="2146"/>
      <w:bookmarkEnd w:id="2147"/>
      <w:bookmarkEnd w:id="2148"/>
      <w:bookmarkEnd w:id="2149"/>
      <w:bookmarkEnd w:id="2150"/>
      <w:bookmarkEnd w:id="2151"/>
      <w:bookmarkEnd w:id="2152"/>
      <w:bookmarkEnd w:id="2153"/>
      <w:bookmarkEnd w:id="2154"/>
      <w:bookmarkEnd w:id="2155"/>
      <w:bookmarkEnd w:id="2156"/>
      <w:bookmarkEnd w:id="2157"/>
    </w:p>
    <w:p w14:paraId="7A10223D">
      <w:pPr>
        <w:keepNext/>
        <w:keepLines/>
        <w:spacing w:before="120" w:beforeLines="50" w:after="120" w:afterLines="50" w:line="360" w:lineRule="auto"/>
        <w:outlineLvl w:val="2"/>
        <w:rPr>
          <w:rFonts w:hint="eastAsia" w:ascii="宋体" w:hAnsi="宋体"/>
          <w:sz w:val="24"/>
          <w:szCs w:val="20"/>
        </w:rPr>
      </w:pPr>
      <w:bookmarkStart w:id="2158" w:name="_Toc179632776"/>
      <w:bookmarkStart w:id="2159" w:name="_Toc152045758"/>
      <w:bookmarkStart w:id="2160" w:name="_Toc489280008"/>
      <w:bookmarkStart w:id="2161" w:name="_Toc144974728"/>
      <w:bookmarkStart w:id="2162" w:name="_Toc486580197"/>
      <w:bookmarkStart w:id="2163" w:name="_Toc117350566"/>
      <w:bookmarkStart w:id="2164" w:name="_Toc490222642"/>
      <w:bookmarkStart w:id="2165" w:name="_Toc480487052"/>
      <w:bookmarkStart w:id="2166" w:name="_Toc338944851"/>
      <w:bookmarkStart w:id="2167" w:name="_Toc342296409"/>
      <w:bookmarkStart w:id="2168" w:name="_Toc483668226"/>
      <w:bookmarkStart w:id="2169" w:name="_Toc480486880"/>
      <w:bookmarkStart w:id="2170" w:name="_Toc152042537"/>
      <w:r>
        <w:rPr>
          <w:rFonts w:ascii="宋体" w:hAnsi="宋体"/>
          <w:sz w:val="24"/>
          <w:szCs w:val="20"/>
        </w:rPr>
        <w:t xml:space="preserve">23.1  </w:t>
      </w:r>
      <w:r>
        <w:rPr>
          <w:rFonts w:hint="eastAsia" w:ascii="宋体" w:hAnsi="宋体"/>
          <w:sz w:val="24"/>
          <w:szCs w:val="20"/>
        </w:rPr>
        <w:t>承包人索赔的提出</w:t>
      </w:r>
      <w:bookmarkEnd w:id="2158"/>
      <w:bookmarkEnd w:id="2159"/>
      <w:bookmarkEnd w:id="2160"/>
      <w:bookmarkEnd w:id="2161"/>
      <w:bookmarkEnd w:id="2162"/>
      <w:bookmarkEnd w:id="2163"/>
      <w:bookmarkEnd w:id="2164"/>
      <w:bookmarkEnd w:id="2165"/>
      <w:bookmarkEnd w:id="2166"/>
      <w:bookmarkEnd w:id="2167"/>
      <w:bookmarkEnd w:id="2168"/>
      <w:bookmarkEnd w:id="2169"/>
      <w:bookmarkEnd w:id="2170"/>
    </w:p>
    <w:p w14:paraId="57FE7F43">
      <w:pPr>
        <w:spacing w:line="360" w:lineRule="auto"/>
        <w:ind w:firstLine="420" w:firstLineChars="200"/>
        <w:rPr>
          <w:rFonts w:hint="eastAsia" w:ascii="宋体" w:hAnsi="宋体"/>
          <w:szCs w:val="21"/>
        </w:rPr>
      </w:pPr>
      <w:r>
        <w:rPr>
          <w:rFonts w:hint="eastAsia" w:ascii="宋体" w:hAnsi="宋体"/>
          <w:szCs w:val="21"/>
        </w:rPr>
        <w:t>根据合同约定，承包人认为有权得到追加付款和（或）延长工期的，应按以下程序向发包人提出索赔：</w:t>
      </w:r>
    </w:p>
    <w:p w14:paraId="596505FB">
      <w:pPr>
        <w:spacing w:line="360" w:lineRule="auto"/>
        <w:ind w:firstLine="420" w:firstLineChars="200"/>
        <w:rPr>
          <w:rFonts w:hint="eastAsia" w:ascii="宋体" w:hAnsi="宋体"/>
          <w:szCs w:val="21"/>
        </w:rPr>
      </w:pPr>
      <w:r>
        <w:rPr>
          <w:rFonts w:hint="eastAsia" w:ascii="宋体" w:hAnsi="宋体"/>
          <w:szCs w:val="21"/>
        </w:rPr>
        <w:t>（</w:t>
      </w:r>
      <w:r>
        <w:rPr>
          <w:rFonts w:ascii="宋体" w:hAnsi="宋体"/>
          <w:szCs w:val="21"/>
        </w:rPr>
        <w:t>1</w:t>
      </w:r>
      <w:r>
        <w:rPr>
          <w:rFonts w:hint="eastAsia" w:ascii="宋体" w:hAnsi="宋体"/>
          <w:szCs w:val="21"/>
        </w:rPr>
        <w:t>）承包人应在知道或应当知道索赔事件发生后</w:t>
      </w:r>
      <w:r>
        <w:rPr>
          <w:rFonts w:ascii="宋体" w:hAnsi="宋体"/>
          <w:szCs w:val="21"/>
        </w:rPr>
        <w:t>28</w:t>
      </w:r>
      <w:r>
        <w:rPr>
          <w:rFonts w:hint="eastAsia" w:ascii="宋体" w:hAnsi="宋体"/>
          <w:szCs w:val="21"/>
        </w:rPr>
        <w:t>天内，向监理人递交索赔意向通知书，并说明发生索赔事件的事由。承包人未在前述</w:t>
      </w:r>
      <w:r>
        <w:rPr>
          <w:rFonts w:ascii="宋体" w:hAnsi="宋体"/>
          <w:szCs w:val="21"/>
        </w:rPr>
        <w:t>28</w:t>
      </w:r>
      <w:r>
        <w:rPr>
          <w:rFonts w:hint="eastAsia" w:ascii="宋体" w:hAnsi="宋体"/>
          <w:szCs w:val="21"/>
        </w:rPr>
        <w:t>天内发出索赔意向通知书的，丧失要求追加付款和（或）延长工期的权利；</w:t>
      </w:r>
    </w:p>
    <w:p w14:paraId="13A34374">
      <w:pPr>
        <w:spacing w:line="360" w:lineRule="auto"/>
        <w:ind w:firstLine="420" w:firstLineChars="200"/>
        <w:rPr>
          <w:rFonts w:hint="eastAsia" w:ascii="宋体" w:hAnsi="宋体"/>
          <w:szCs w:val="21"/>
        </w:rPr>
      </w:pPr>
      <w:r>
        <w:rPr>
          <w:rFonts w:hint="eastAsia" w:ascii="宋体" w:hAnsi="宋体"/>
          <w:szCs w:val="21"/>
        </w:rPr>
        <w:t>（</w:t>
      </w:r>
      <w:r>
        <w:rPr>
          <w:rFonts w:ascii="宋体" w:hAnsi="宋体"/>
          <w:szCs w:val="21"/>
        </w:rPr>
        <w:t>2</w:t>
      </w:r>
      <w:r>
        <w:rPr>
          <w:rFonts w:hint="eastAsia" w:ascii="宋体" w:hAnsi="宋体"/>
          <w:szCs w:val="21"/>
        </w:rPr>
        <w:t>）承包人应在发出索赔意向通知书后</w:t>
      </w:r>
      <w:r>
        <w:rPr>
          <w:rFonts w:ascii="宋体" w:hAnsi="宋体"/>
          <w:szCs w:val="21"/>
        </w:rPr>
        <w:t>28</w:t>
      </w:r>
      <w:r>
        <w:rPr>
          <w:rFonts w:hint="eastAsia" w:ascii="宋体" w:hAnsi="宋体"/>
          <w:szCs w:val="21"/>
        </w:rPr>
        <w:t>天内，向监理人正式递交索赔通知书。索赔通知书应详细说明索赔理由以及要求追加的付款金额和（或）延长的工期，并附必要的记录和证明材料；</w:t>
      </w:r>
    </w:p>
    <w:p w14:paraId="795F87BD">
      <w:pPr>
        <w:spacing w:line="360" w:lineRule="auto"/>
        <w:ind w:firstLine="420" w:firstLineChars="200"/>
        <w:rPr>
          <w:rFonts w:hint="eastAsia" w:ascii="宋体" w:hAnsi="宋体"/>
          <w:szCs w:val="21"/>
        </w:rPr>
      </w:pPr>
      <w:r>
        <w:rPr>
          <w:rFonts w:hint="eastAsia" w:ascii="宋体" w:hAnsi="宋体"/>
          <w:szCs w:val="21"/>
        </w:rPr>
        <w:t>（</w:t>
      </w:r>
      <w:r>
        <w:rPr>
          <w:rFonts w:ascii="宋体" w:hAnsi="宋体"/>
          <w:szCs w:val="21"/>
        </w:rPr>
        <w:t>3</w:t>
      </w:r>
      <w:r>
        <w:rPr>
          <w:rFonts w:hint="eastAsia" w:ascii="宋体" w:hAnsi="宋体"/>
          <w:szCs w:val="21"/>
        </w:rPr>
        <w:t>）索赔事件具有连续影响的，承包人应按合理时间间隔继续递交延续索赔通知，说明连续影响的实际情况和记录，列出累计的追加付款金额和（或）工期延长天数；</w:t>
      </w:r>
    </w:p>
    <w:p w14:paraId="60E74C41">
      <w:pPr>
        <w:spacing w:line="360" w:lineRule="auto"/>
        <w:ind w:firstLine="420" w:firstLineChars="200"/>
        <w:rPr>
          <w:rFonts w:hint="eastAsia" w:ascii="宋体" w:hAnsi="宋体"/>
          <w:szCs w:val="21"/>
        </w:rPr>
      </w:pPr>
      <w:r>
        <w:rPr>
          <w:rFonts w:hint="eastAsia" w:ascii="宋体" w:hAnsi="宋体"/>
          <w:szCs w:val="21"/>
        </w:rPr>
        <w:t>（</w:t>
      </w:r>
      <w:r>
        <w:rPr>
          <w:rFonts w:ascii="宋体" w:hAnsi="宋体"/>
          <w:szCs w:val="21"/>
        </w:rPr>
        <w:t>4</w:t>
      </w:r>
      <w:r>
        <w:rPr>
          <w:rFonts w:hint="eastAsia" w:ascii="宋体" w:hAnsi="宋体"/>
          <w:szCs w:val="21"/>
        </w:rPr>
        <w:t>）在索赔事件影响结束后的</w:t>
      </w:r>
      <w:r>
        <w:rPr>
          <w:rFonts w:ascii="宋体" w:hAnsi="宋体"/>
          <w:szCs w:val="21"/>
        </w:rPr>
        <w:t>28</w:t>
      </w:r>
      <w:r>
        <w:rPr>
          <w:rFonts w:hint="eastAsia" w:ascii="宋体" w:hAnsi="宋体"/>
          <w:szCs w:val="21"/>
        </w:rPr>
        <w:t>天内，承包人应向监理人递交最终索赔通知书，说明最终要求索赔的追加付款金额和延长的工期，并附必要的记录和证明材料。</w:t>
      </w:r>
    </w:p>
    <w:p w14:paraId="2465375A">
      <w:pPr>
        <w:keepNext/>
        <w:keepLines/>
        <w:spacing w:before="120" w:beforeLines="50" w:after="120" w:afterLines="50" w:line="360" w:lineRule="auto"/>
        <w:outlineLvl w:val="2"/>
        <w:rPr>
          <w:rFonts w:hint="eastAsia" w:ascii="宋体" w:hAnsi="宋体"/>
          <w:sz w:val="24"/>
          <w:szCs w:val="20"/>
        </w:rPr>
      </w:pPr>
      <w:bookmarkStart w:id="2171" w:name="_Toc152042538"/>
      <w:bookmarkStart w:id="2172" w:name="_Toc117350567"/>
      <w:bookmarkStart w:id="2173" w:name="_Toc489280009"/>
      <w:bookmarkStart w:id="2174" w:name="_Toc483668227"/>
      <w:bookmarkStart w:id="2175" w:name="_Toc486580198"/>
      <w:bookmarkStart w:id="2176" w:name="_Toc338944852"/>
      <w:bookmarkStart w:id="2177" w:name="_Toc144974729"/>
      <w:bookmarkStart w:id="2178" w:name="_Toc490222643"/>
      <w:bookmarkStart w:id="2179" w:name="_Toc179632777"/>
      <w:bookmarkStart w:id="2180" w:name="_Toc152045759"/>
      <w:bookmarkStart w:id="2181" w:name="_Toc480487053"/>
      <w:bookmarkStart w:id="2182" w:name="_Toc480486881"/>
      <w:bookmarkStart w:id="2183" w:name="_Toc342296410"/>
      <w:r>
        <w:rPr>
          <w:rFonts w:ascii="宋体" w:hAnsi="宋体"/>
          <w:sz w:val="24"/>
          <w:szCs w:val="20"/>
        </w:rPr>
        <w:t xml:space="preserve">23.2  </w:t>
      </w:r>
      <w:r>
        <w:rPr>
          <w:rFonts w:hint="eastAsia" w:ascii="宋体" w:hAnsi="宋体"/>
          <w:sz w:val="24"/>
          <w:szCs w:val="20"/>
        </w:rPr>
        <w:t>承包人索赔处理程序</w:t>
      </w:r>
      <w:bookmarkEnd w:id="2171"/>
      <w:bookmarkEnd w:id="2172"/>
      <w:bookmarkEnd w:id="2173"/>
      <w:bookmarkEnd w:id="2174"/>
      <w:bookmarkEnd w:id="2175"/>
      <w:bookmarkEnd w:id="2176"/>
      <w:bookmarkEnd w:id="2177"/>
      <w:bookmarkEnd w:id="2178"/>
      <w:bookmarkEnd w:id="2179"/>
      <w:bookmarkEnd w:id="2180"/>
      <w:bookmarkEnd w:id="2181"/>
      <w:bookmarkEnd w:id="2182"/>
      <w:bookmarkEnd w:id="2183"/>
    </w:p>
    <w:p w14:paraId="5A093416">
      <w:pPr>
        <w:spacing w:line="360" w:lineRule="auto"/>
        <w:ind w:firstLine="420" w:firstLineChars="200"/>
        <w:rPr>
          <w:rFonts w:hint="eastAsia" w:ascii="宋体" w:hAnsi="宋体"/>
          <w:szCs w:val="21"/>
        </w:rPr>
      </w:pPr>
      <w:r>
        <w:rPr>
          <w:rFonts w:hint="eastAsia" w:ascii="宋体" w:hAnsi="宋体"/>
          <w:szCs w:val="21"/>
        </w:rPr>
        <w:t>（</w:t>
      </w:r>
      <w:r>
        <w:rPr>
          <w:rFonts w:ascii="宋体" w:hAnsi="宋体"/>
          <w:szCs w:val="21"/>
        </w:rPr>
        <w:t>1</w:t>
      </w:r>
      <w:r>
        <w:rPr>
          <w:rFonts w:hint="eastAsia" w:ascii="宋体" w:hAnsi="宋体"/>
          <w:szCs w:val="21"/>
        </w:rPr>
        <w:t>）监理人收到承包人提交的索赔通知书后，应及时审查索赔通知书的内容、查验承包人的记录和证明材料，必要时监理人可要求承包人提交全部原始记录副本。</w:t>
      </w:r>
    </w:p>
    <w:p w14:paraId="2E201945">
      <w:pPr>
        <w:spacing w:line="360" w:lineRule="auto"/>
        <w:ind w:firstLine="420" w:firstLineChars="200"/>
        <w:rPr>
          <w:rFonts w:hint="eastAsia" w:ascii="宋体" w:hAnsi="宋体"/>
          <w:szCs w:val="21"/>
        </w:rPr>
      </w:pPr>
      <w:r>
        <w:rPr>
          <w:rFonts w:hint="eastAsia" w:ascii="宋体" w:hAnsi="宋体"/>
          <w:szCs w:val="21"/>
        </w:rPr>
        <w:t>（</w:t>
      </w:r>
      <w:r>
        <w:rPr>
          <w:rFonts w:ascii="宋体" w:hAnsi="宋体"/>
          <w:szCs w:val="21"/>
        </w:rPr>
        <w:t>2</w:t>
      </w:r>
      <w:r>
        <w:rPr>
          <w:rFonts w:hint="eastAsia" w:ascii="宋体" w:hAnsi="宋体"/>
          <w:szCs w:val="21"/>
        </w:rPr>
        <w:t>）监理人应按第</w:t>
      </w:r>
      <w:r>
        <w:rPr>
          <w:rFonts w:ascii="宋体" w:hAnsi="宋体"/>
          <w:szCs w:val="21"/>
        </w:rPr>
        <w:t>3.5</w:t>
      </w:r>
      <w:r>
        <w:rPr>
          <w:rFonts w:hint="eastAsia" w:ascii="宋体" w:hAnsi="宋体"/>
          <w:szCs w:val="21"/>
        </w:rPr>
        <w:t>款商定或确定追加的付款和（或）延长的工期，并在收到上述索赔通知书或有关索赔的进一步证明材料后的</w:t>
      </w:r>
      <w:r>
        <w:rPr>
          <w:rFonts w:ascii="宋体" w:hAnsi="宋体"/>
          <w:szCs w:val="21"/>
        </w:rPr>
        <w:t>42</w:t>
      </w:r>
      <w:r>
        <w:rPr>
          <w:rFonts w:hint="eastAsia" w:ascii="宋体" w:hAnsi="宋体"/>
          <w:szCs w:val="21"/>
        </w:rPr>
        <w:t>天内，将索赔处理结果答复承包人。</w:t>
      </w:r>
    </w:p>
    <w:p w14:paraId="20762769">
      <w:pPr>
        <w:spacing w:line="360" w:lineRule="auto"/>
        <w:ind w:firstLine="420" w:firstLineChars="200"/>
        <w:rPr>
          <w:rFonts w:hint="eastAsia" w:ascii="宋体" w:hAnsi="宋体"/>
          <w:szCs w:val="21"/>
        </w:rPr>
      </w:pPr>
      <w:r>
        <w:rPr>
          <w:rFonts w:hint="eastAsia" w:ascii="宋体" w:hAnsi="宋体"/>
          <w:szCs w:val="21"/>
        </w:rPr>
        <w:t>（</w:t>
      </w:r>
      <w:r>
        <w:rPr>
          <w:rFonts w:ascii="宋体" w:hAnsi="宋体"/>
          <w:szCs w:val="21"/>
        </w:rPr>
        <w:t>3</w:t>
      </w:r>
      <w:r>
        <w:rPr>
          <w:rFonts w:hint="eastAsia" w:ascii="宋体" w:hAnsi="宋体"/>
          <w:szCs w:val="21"/>
        </w:rPr>
        <w:t>）承包人接受索赔处理结果的，发包人应在作出索赔处理结果答复后</w:t>
      </w:r>
      <w:r>
        <w:rPr>
          <w:rFonts w:ascii="宋体" w:hAnsi="宋体"/>
          <w:szCs w:val="21"/>
        </w:rPr>
        <w:t>28</w:t>
      </w:r>
      <w:r>
        <w:rPr>
          <w:rFonts w:hint="eastAsia" w:ascii="宋体" w:hAnsi="宋体"/>
          <w:szCs w:val="21"/>
        </w:rPr>
        <w:t>天内完成赔付。承包人不接受索赔处理结果的，按第</w:t>
      </w:r>
      <w:r>
        <w:rPr>
          <w:rFonts w:ascii="宋体" w:hAnsi="宋体"/>
          <w:szCs w:val="21"/>
        </w:rPr>
        <w:t>24</w:t>
      </w:r>
      <w:r>
        <w:rPr>
          <w:rFonts w:hint="eastAsia" w:ascii="宋体" w:hAnsi="宋体"/>
          <w:szCs w:val="21"/>
        </w:rPr>
        <w:t>条的约定办理。</w:t>
      </w:r>
    </w:p>
    <w:p w14:paraId="6FD2BB96">
      <w:pPr>
        <w:keepNext/>
        <w:keepLines/>
        <w:spacing w:before="120" w:beforeLines="50" w:after="120" w:afterLines="50" w:line="360" w:lineRule="auto"/>
        <w:outlineLvl w:val="2"/>
        <w:rPr>
          <w:rFonts w:hint="eastAsia" w:ascii="宋体" w:hAnsi="宋体"/>
          <w:sz w:val="24"/>
          <w:szCs w:val="20"/>
        </w:rPr>
      </w:pPr>
      <w:bookmarkStart w:id="2184" w:name="_Toc117350568"/>
      <w:bookmarkStart w:id="2185" w:name="_Toc152045760"/>
      <w:bookmarkStart w:id="2186" w:name="_Toc483668228"/>
      <w:bookmarkStart w:id="2187" w:name="_Toc152042539"/>
      <w:bookmarkStart w:id="2188" w:name="_Toc179632778"/>
      <w:bookmarkStart w:id="2189" w:name="_Toc144974730"/>
      <w:bookmarkStart w:id="2190" w:name="_Toc342296411"/>
      <w:bookmarkStart w:id="2191" w:name="_Toc480486882"/>
      <w:bookmarkStart w:id="2192" w:name="_Toc486580199"/>
      <w:bookmarkStart w:id="2193" w:name="_Toc480487054"/>
      <w:bookmarkStart w:id="2194" w:name="_Toc489280010"/>
      <w:bookmarkStart w:id="2195" w:name="_Toc490222644"/>
      <w:bookmarkStart w:id="2196" w:name="_Toc338944853"/>
      <w:r>
        <w:rPr>
          <w:rFonts w:ascii="宋体" w:hAnsi="宋体"/>
          <w:sz w:val="24"/>
          <w:szCs w:val="20"/>
        </w:rPr>
        <w:t xml:space="preserve">23.3  </w:t>
      </w:r>
      <w:r>
        <w:rPr>
          <w:rFonts w:hint="eastAsia" w:ascii="宋体" w:hAnsi="宋体"/>
          <w:sz w:val="24"/>
          <w:szCs w:val="20"/>
        </w:rPr>
        <w:t>承包人提出索赔的期限</w:t>
      </w:r>
      <w:bookmarkEnd w:id="2184"/>
      <w:bookmarkEnd w:id="2185"/>
      <w:bookmarkEnd w:id="2186"/>
      <w:bookmarkEnd w:id="2187"/>
      <w:bookmarkEnd w:id="2188"/>
      <w:bookmarkEnd w:id="2189"/>
      <w:bookmarkEnd w:id="2190"/>
      <w:bookmarkEnd w:id="2191"/>
      <w:bookmarkEnd w:id="2192"/>
      <w:bookmarkEnd w:id="2193"/>
      <w:bookmarkEnd w:id="2194"/>
      <w:bookmarkEnd w:id="2195"/>
      <w:bookmarkEnd w:id="2196"/>
    </w:p>
    <w:p w14:paraId="02735E89">
      <w:pPr>
        <w:spacing w:line="360" w:lineRule="auto"/>
        <w:ind w:firstLine="420" w:firstLineChars="200"/>
        <w:rPr>
          <w:rFonts w:hint="eastAsia" w:ascii="宋体" w:hAnsi="宋体"/>
          <w:szCs w:val="21"/>
        </w:rPr>
      </w:pPr>
      <w:r>
        <w:rPr>
          <w:rFonts w:ascii="宋体" w:hAnsi="宋体"/>
          <w:szCs w:val="21"/>
        </w:rPr>
        <w:t xml:space="preserve">23.3.1  </w:t>
      </w:r>
      <w:r>
        <w:rPr>
          <w:rFonts w:hint="eastAsia" w:ascii="宋体" w:hAnsi="宋体"/>
          <w:szCs w:val="21"/>
        </w:rPr>
        <w:t>承包人按第</w:t>
      </w:r>
      <w:r>
        <w:rPr>
          <w:rFonts w:ascii="宋体" w:hAnsi="宋体"/>
          <w:szCs w:val="21"/>
        </w:rPr>
        <w:t>17.5</w:t>
      </w:r>
      <w:r>
        <w:rPr>
          <w:rFonts w:hint="eastAsia" w:ascii="宋体" w:hAnsi="宋体"/>
          <w:szCs w:val="21"/>
        </w:rPr>
        <w:t>款的约定接受了竣工付款证书后，应被认为已无权再提出在合同工程接收证书颁发前所发生的任何索赔。</w:t>
      </w:r>
    </w:p>
    <w:p w14:paraId="1EFE56C2">
      <w:pPr>
        <w:spacing w:line="360" w:lineRule="auto"/>
        <w:ind w:firstLine="420" w:firstLineChars="200"/>
        <w:rPr>
          <w:rFonts w:hint="eastAsia" w:ascii="宋体" w:hAnsi="宋体"/>
          <w:szCs w:val="21"/>
        </w:rPr>
      </w:pPr>
      <w:r>
        <w:rPr>
          <w:rFonts w:ascii="宋体" w:hAnsi="宋体"/>
          <w:szCs w:val="21"/>
        </w:rPr>
        <w:t xml:space="preserve">23.3.2  </w:t>
      </w:r>
      <w:r>
        <w:rPr>
          <w:rFonts w:hint="eastAsia" w:ascii="宋体" w:hAnsi="宋体"/>
          <w:szCs w:val="21"/>
        </w:rPr>
        <w:t>承包人按第</w:t>
      </w:r>
      <w:r>
        <w:rPr>
          <w:rFonts w:ascii="宋体" w:hAnsi="宋体"/>
          <w:szCs w:val="21"/>
        </w:rPr>
        <w:t>17.6</w:t>
      </w:r>
      <w:r>
        <w:rPr>
          <w:rFonts w:hint="eastAsia" w:ascii="宋体" w:hAnsi="宋体"/>
          <w:szCs w:val="21"/>
        </w:rPr>
        <w:t>款的约定提交的最终结清申请单中，只限于提出工程接收证书颁发后发生的索赔。提出索赔的期限自接受最终结清证书时终止。</w:t>
      </w:r>
      <w:r>
        <w:rPr>
          <w:rFonts w:ascii="宋体" w:hAnsi="宋体"/>
          <w:szCs w:val="21"/>
        </w:rPr>
        <w:t xml:space="preserve"> </w:t>
      </w:r>
    </w:p>
    <w:p w14:paraId="1E5311AB">
      <w:pPr>
        <w:keepNext/>
        <w:keepLines/>
        <w:spacing w:before="120" w:beforeLines="50" w:after="120" w:afterLines="50" w:line="360" w:lineRule="auto"/>
        <w:outlineLvl w:val="2"/>
        <w:rPr>
          <w:rFonts w:hint="eastAsia" w:ascii="宋体" w:hAnsi="宋体"/>
          <w:sz w:val="24"/>
          <w:szCs w:val="20"/>
        </w:rPr>
      </w:pPr>
      <w:bookmarkStart w:id="2197" w:name="_Toc480486883"/>
      <w:bookmarkStart w:id="2198" w:name="_Toc342296412"/>
      <w:bookmarkStart w:id="2199" w:name="_Toc486580200"/>
      <w:bookmarkStart w:id="2200" w:name="_Toc338944854"/>
      <w:bookmarkStart w:id="2201" w:name="_Toc490222645"/>
      <w:bookmarkStart w:id="2202" w:name="_Toc179632779"/>
      <w:bookmarkStart w:id="2203" w:name="_Toc152042540"/>
      <w:bookmarkStart w:id="2204" w:name="_Toc144974731"/>
      <w:bookmarkStart w:id="2205" w:name="_Toc489280011"/>
      <w:bookmarkStart w:id="2206" w:name="_Toc152045761"/>
      <w:bookmarkStart w:id="2207" w:name="_Toc483668229"/>
      <w:bookmarkStart w:id="2208" w:name="_Toc117350569"/>
      <w:bookmarkStart w:id="2209" w:name="_Toc480487055"/>
      <w:r>
        <w:rPr>
          <w:rFonts w:ascii="宋体" w:hAnsi="宋体"/>
          <w:sz w:val="24"/>
          <w:szCs w:val="20"/>
        </w:rPr>
        <w:t xml:space="preserve">23.4  </w:t>
      </w:r>
      <w:r>
        <w:rPr>
          <w:rFonts w:hint="eastAsia" w:ascii="宋体" w:hAnsi="宋体"/>
          <w:sz w:val="24"/>
          <w:szCs w:val="20"/>
        </w:rPr>
        <w:t>发包人的索赔</w:t>
      </w:r>
      <w:bookmarkEnd w:id="2197"/>
      <w:bookmarkEnd w:id="2198"/>
      <w:bookmarkEnd w:id="2199"/>
      <w:bookmarkEnd w:id="2200"/>
      <w:bookmarkEnd w:id="2201"/>
      <w:bookmarkEnd w:id="2202"/>
      <w:bookmarkEnd w:id="2203"/>
      <w:bookmarkEnd w:id="2204"/>
      <w:bookmarkEnd w:id="2205"/>
      <w:bookmarkEnd w:id="2206"/>
      <w:bookmarkEnd w:id="2207"/>
      <w:bookmarkEnd w:id="2208"/>
      <w:bookmarkEnd w:id="2209"/>
    </w:p>
    <w:p w14:paraId="73D998A5">
      <w:pPr>
        <w:spacing w:line="360" w:lineRule="auto"/>
        <w:ind w:firstLine="420" w:firstLineChars="200"/>
        <w:rPr>
          <w:rFonts w:hint="eastAsia" w:ascii="宋体" w:hAnsi="宋体"/>
          <w:szCs w:val="21"/>
        </w:rPr>
      </w:pPr>
      <w:r>
        <w:rPr>
          <w:rFonts w:ascii="宋体" w:hAnsi="宋体"/>
          <w:szCs w:val="21"/>
        </w:rPr>
        <w:t xml:space="preserve">23.4.1  </w:t>
      </w:r>
      <w:r>
        <w:rPr>
          <w:rFonts w:hint="eastAsia" w:ascii="宋体" w:hAnsi="宋体"/>
          <w:szCs w:val="21"/>
        </w:rPr>
        <w:t>发生索赔事件后，监理人应及时书面通知承包人，详细说明发包人有权得到的索赔金额和（或）延长缺陷责任期的细节和依据。发包人提出索赔的期限和要求与第</w:t>
      </w:r>
      <w:r>
        <w:rPr>
          <w:rFonts w:ascii="宋体" w:hAnsi="宋体"/>
          <w:szCs w:val="21"/>
        </w:rPr>
        <w:t>23.3</w:t>
      </w:r>
      <w:r>
        <w:rPr>
          <w:rFonts w:hint="eastAsia" w:ascii="宋体" w:hAnsi="宋体"/>
          <w:szCs w:val="21"/>
        </w:rPr>
        <w:t>款的约定相同，延长缺陷责任期的通知应在缺陷责任期届满前发出。</w:t>
      </w:r>
    </w:p>
    <w:p w14:paraId="7DC1F5BD">
      <w:pPr>
        <w:spacing w:line="360" w:lineRule="auto"/>
        <w:ind w:firstLine="420" w:firstLineChars="200"/>
        <w:rPr>
          <w:rFonts w:hint="eastAsia" w:ascii="宋体" w:hAnsi="宋体"/>
          <w:szCs w:val="21"/>
        </w:rPr>
      </w:pPr>
      <w:r>
        <w:rPr>
          <w:rFonts w:ascii="宋体" w:hAnsi="宋体"/>
          <w:szCs w:val="21"/>
        </w:rPr>
        <w:t xml:space="preserve">23.4.2  </w:t>
      </w:r>
      <w:r>
        <w:rPr>
          <w:rFonts w:hint="eastAsia" w:ascii="宋体" w:hAnsi="宋体"/>
          <w:szCs w:val="21"/>
        </w:rPr>
        <w:t>监理人按第</w:t>
      </w:r>
      <w:r>
        <w:rPr>
          <w:rFonts w:ascii="宋体" w:hAnsi="宋体"/>
          <w:szCs w:val="21"/>
        </w:rPr>
        <w:t>3.5</w:t>
      </w:r>
      <w:r>
        <w:rPr>
          <w:rFonts w:hint="eastAsia" w:ascii="宋体" w:hAnsi="宋体"/>
          <w:szCs w:val="21"/>
        </w:rPr>
        <w:t>款商定或确定发包人从承包人处得到赔付的金额和（或）缺陷责任期的延长期。承包人应付给发包人的金额可从拟支付给承包人的合同价款中扣除，或由承包人以其他方式支付给发包人。</w:t>
      </w:r>
    </w:p>
    <w:p w14:paraId="14FD40FC">
      <w:pPr>
        <w:keepNext/>
        <w:keepLines/>
        <w:spacing w:before="120" w:beforeLines="50" w:after="120" w:afterLines="50" w:line="360" w:lineRule="auto"/>
        <w:outlineLvl w:val="1"/>
        <w:rPr>
          <w:rFonts w:hint="eastAsia" w:ascii="宋体" w:hAnsi="宋体" w:cs="宋体"/>
          <w:sz w:val="28"/>
          <w:szCs w:val="20"/>
        </w:rPr>
      </w:pPr>
      <w:bookmarkStart w:id="2210" w:name="_Toc117350570"/>
      <w:bookmarkStart w:id="2211" w:name="_Toc480487056"/>
      <w:bookmarkStart w:id="2212" w:name="_Toc480486884"/>
      <w:bookmarkStart w:id="2213" w:name="_Toc342296413"/>
      <w:bookmarkStart w:id="2214" w:name="_Toc338944855"/>
      <w:bookmarkStart w:id="2215" w:name="_Toc486580201"/>
      <w:bookmarkStart w:id="2216" w:name="_Toc490222646"/>
      <w:bookmarkStart w:id="2217" w:name="_Toc489280012"/>
      <w:bookmarkStart w:id="2218" w:name="_Toc483668230"/>
      <w:r>
        <w:rPr>
          <w:rFonts w:ascii="宋体" w:hAnsi="宋体" w:cs="宋体"/>
          <w:sz w:val="28"/>
          <w:szCs w:val="20"/>
        </w:rPr>
        <w:t>24.</w:t>
      </w:r>
      <w:r>
        <w:rPr>
          <w:rFonts w:hint="eastAsia" w:ascii="宋体" w:hAnsi="宋体" w:cs="宋体"/>
          <w:sz w:val="28"/>
          <w:szCs w:val="20"/>
        </w:rPr>
        <w:t>争议的解决</w:t>
      </w:r>
      <w:bookmarkEnd w:id="2210"/>
      <w:bookmarkEnd w:id="2211"/>
      <w:bookmarkEnd w:id="2212"/>
      <w:bookmarkEnd w:id="2213"/>
      <w:bookmarkEnd w:id="2214"/>
      <w:bookmarkEnd w:id="2215"/>
      <w:bookmarkEnd w:id="2216"/>
      <w:bookmarkEnd w:id="2217"/>
      <w:bookmarkEnd w:id="2218"/>
    </w:p>
    <w:p w14:paraId="52B2B79F">
      <w:pPr>
        <w:keepNext/>
        <w:keepLines/>
        <w:spacing w:before="120" w:beforeLines="50" w:after="120" w:afterLines="50" w:line="360" w:lineRule="auto"/>
        <w:outlineLvl w:val="2"/>
        <w:rPr>
          <w:rFonts w:hint="eastAsia" w:ascii="宋体" w:hAnsi="宋体"/>
          <w:sz w:val="24"/>
          <w:szCs w:val="20"/>
        </w:rPr>
      </w:pPr>
      <w:bookmarkStart w:id="2219" w:name="_Toc490222647"/>
      <w:bookmarkStart w:id="2220" w:name="_Toc486580202"/>
      <w:bookmarkStart w:id="2221" w:name="_Toc480486885"/>
      <w:bookmarkStart w:id="2222" w:name="_Toc342296414"/>
      <w:bookmarkStart w:id="2223" w:name="_Toc480487057"/>
      <w:bookmarkStart w:id="2224" w:name="_Toc117350571"/>
      <w:bookmarkStart w:id="2225" w:name="_Toc489280013"/>
      <w:bookmarkStart w:id="2226" w:name="_Toc483668231"/>
      <w:bookmarkStart w:id="2227" w:name="_Toc338944856"/>
      <w:r>
        <w:rPr>
          <w:rFonts w:ascii="宋体" w:hAnsi="宋体"/>
          <w:sz w:val="24"/>
          <w:szCs w:val="20"/>
        </w:rPr>
        <w:t xml:space="preserve">24.1  </w:t>
      </w:r>
      <w:r>
        <w:rPr>
          <w:rFonts w:hint="eastAsia" w:ascii="宋体" w:hAnsi="宋体"/>
          <w:sz w:val="24"/>
          <w:szCs w:val="20"/>
        </w:rPr>
        <w:t>争议的解决方式</w:t>
      </w:r>
      <w:bookmarkEnd w:id="2219"/>
      <w:bookmarkEnd w:id="2220"/>
      <w:bookmarkEnd w:id="2221"/>
      <w:bookmarkEnd w:id="2222"/>
      <w:bookmarkEnd w:id="2223"/>
      <w:bookmarkEnd w:id="2224"/>
      <w:bookmarkEnd w:id="2225"/>
      <w:bookmarkEnd w:id="2226"/>
      <w:bookmarkEnd w:id="2227"/>
    </w:p>
    <w:p w14:paraId="2D3B31D2">
      <w:pPr>
        <w:spacing w:line="360" w:lineRule="auto"/>
        <w:ind w:firstLine="420" w:firstLineChars="200"/>
        <w:rPr>
          <w:rFonts w:hint="eastAsia" w:ascii="宋体" w:hAnsi="宋体"/>
          <w:szCs w:val="21"/>
        </w:rPr>
      </w:pPr>
      <w:r>
        <w:rPr>
          <w:rFonts w:hint="eastAsia" w:ascii="宋体" w:hAnsi="宋体"/>
          <w:szCs w:val="21"/>
        </w:rPr>
        <w:t>发包人和承包人在履行合同中发生争议的，可以友好协商解决或者提请争议评审组评审。合同当事人友好协商解决不成、不愿提请争议评审或者不接受争议评审组意见的，可在合同条款专用部分中约定下列一种方式解决。</w:t>
      </w:r>
    </w:p>
    <w:p w14:paraId="52F2FDB6">
      <w:pPr>
        <w:spacing w:line="360" w:lineRule="auto"/>
        <w:ind w:firstLine="420" w:firstLineChars="200"/>
        <w:rPr>
          <w:rFonts w:hint="eastAsia" w:ascii="宋体" w:hAnsi="宋体"/>
          <w:szCs w:val="21"/>
        </w:rPr>
      </w:pPr>
      <w:r>
        <w:rPr>
          <w:rFonts w:hint="eastAsia" w:ascii="宋体" w:hAnsi="宋体"/>
          <w:szCs w:val="21"/>
        </w:rPr>
        <w:t>（</w:t>
      </w:r>
      <w:r>
        <w:rPr>
          <w:rFonts w:ascii="宋体" w:hAnsi="宋体"/>
          <w:szCs w:val="21"/>
        </w:rPr>
        <w:t>1</w:t>
      </w:r>
      <w:r>
        <w:rPr>
          <w:rFonts w:hint="eastAsia" w:ascii="宋体" w:hAnsi="宋体"/>
          <w:szCs w:val="21"/>
        </w:rPr>
        <w:t>）向约定的仲裁委员会申请仲裁；</w:t>
      </w:r>
    </w:p>
    <w:p w14:paraId="4EFC0057">
      <w:pPr>
        <w:spacing w:line="360" w:lineRule="auto"/>
        <w:ind w:firstLine="420" w:firstLineChars="200"/>
        <w:rPr>
          <w:rFonts w:hint="eastAsia" w:ascii="宋体" w:hAnsi="宋体"/>
          <w:szCs w:val="21"/>
        </w:rPr>
      </w:pPr>
      <w:r>
        <w:rPr>
          <w:rFonts w:hint="eastAsia" w:ascii="宋体" w:hAnsi="宋体"/>
          <w:szCs w:val="21"/>
        </w:rPr>
        <w:t>（</w:t>
      </w:r>
      <w:r>
        <w:rPr>
          <w:rFonts w:ascii="宋体" w:hAnsi="宋体"/>
          <w:szCs w:val="21"/>
        </w:rPr>
        <w:t>2</w:t>
      </w:r>
      <w:r>
        <w:rPr>
          <w:rFonts w:hint="eastAsia" w:ascii="宋体" w:hAnsi="宋体"/>
          <w:szCs w:val="21"/>
        </w:rPr>
        <w:t>）向有管辖权的人民法院提起诉讼。</w:t>
      </w:r>
    </w:p>
    <w:p w14:paraId="34A5DF8D">
      <w:pPr>
        <w:keepNext/>
        <w:keepLines/>
        <w:spacing w:before="120" w:beforeLines="50" w:after="120" w:afterLines="50" w:line="360" w:lineRule="auto"/>
        <w:outlineLvl w:val="2"/>
        <w:rPr>
          <w:rFonts w:hint="eastAsia" w:ascii="宋体" w:hAnsi="宋体"/>
          <w:sz w:val="24"/>
          <w:szCs w:val="20"/>
        </w:rPr>
      </w:pPr>
      <w:bookmarkStart w:id="2228" w:name="_Toc490222648"/>
      <w:bookmarkStart w:id="2229" w:name="_Toc489280014"/>
      <w:bookmarkStart w:id="2230" w:name="_Toc483668232"/>
      <w:bookmarkStart w:id="2231" w:name="_Toc480486886"/>
      <w:bookmarkStart w:id="2232" w:name="_Toc342296415"/>
      <w:bookmarkStart w:id="2233" w:name="_Toc486580203"/>
      <w:bookmarkStart w:id="2234" w:name="_Toc480487058"/>
      <w:bookmarkStart w:id="2235" w:name="_Toc117350572"/>
      <w:bookmarkStart w:id="2236" w:name="_Toc338944857"/>
      <w:r>
        <w:rPr>
          <w:rFonts w:ascii="宋体" w:hAnsi="宋体"/>
          <w:sz w:val="24"/>
          <w:szCs w:val="20"/>
        </w:rPr>
        <w:t xml:space="preserve">24.2  </w:t>
      </w:r>
      <w:r>
        <w:rPr>
          <w:rFonts w:hint="eastAsia" w:ascii="宋体" w:hAnsi="宋体"/>
          <w:sz w:val="24"/>
          <w:szCs w:val="20"/>
        </w:rPr>
        <w:t>友好解决</w:t>
      </w:r>
      <w:bookmarkEnd w:id="2228"/>
      <w:bookmarkEnd w:id="2229"/>
      <w:bookmarkEnd w:id="2230"/>
      <w:bookmarkEnd w:id="2231"/>
      <w:bookmarkEnd w:id="2232"/>
      <w:bookmarkEnd w:id="2233"/>
      <w:bookmarkEnd w:id="2234"/>
      <w:bookmarkEnd w:id="2235"/>
      <w:bookmarkEnd w:id="2236"/>
    </w:p>
    <w:p w14:paraId="5A7DE4CF">
      <w:pPr>
        <w:spacing w:line="360" w:lineRule="auto"/>
        <w:ind w:firstLine="420" w:firstLineChars="200"/>
        <w:rPr>
          <w:rFonts w:hint="eastAsia" w:ascii="宋体" w:hAnsi="宋体"/>
          <w:szCs w:val="21"/>
        </w:rPr>
      </w:pPr>
      <w:r>
        <w:rPr>
          <w:rFonts w:hint="eastAsia" w:ascii="宋体" w:hAnsi="宋体"/>
          <w:szCs w:val="21"/>
        </w:rPr>
        <w:t>在提请争议评审、仲裁或者诉讼前，以及在争议评审、仲裁或诉讼过程中，发包人和承包人均可共同努力友好协商解决争议。</w:t>
      </w:r>
    </w:p>
    <w:p w14:paraId="2ABFC912">
      <w:pPr>
        <w:keepNext/>
        <w:keepLines/>
        <w:spacing w:before="120" w:beforeLines="50" w:after="120" w:afterLines="50" w:line="360" w:lineRule="auto"/>
        <w:outlineLvl w:val="2"/>
        <w:rPr>
          <w:rFonts w:hint="eastAsia" w:ascii="宋体" w:hAnsi="宋体"/>
          <w:sz w:val="24"/>
          <w:szCs w:val="20"/>
        </w:rPr>
      </w:pPr>
      <w:bookmarkStart w:id="2237" w:name="_Toc117350573"/>
      <w:bookmarkStart w:id="2238" w:name="_Toc338944858"/>
      <w:bookmarkStart w:id="2239" w:name="_Toc489280015"/>
      <w:bookmarkStart w:id="2240" w:name="_Toc490222649"/>
      <w:bookmarkStart w:id="2241" w:name="_Toc486580204"/>
      <w:bookmarkStart w:id="2242" w:name="_Toc483668233"/>
      <w:bookmarkStart w:id="2243" w:name="_Toc480486887"/>
      <w:bookmarkStart w:id="2244" w:name="_Toc480487059"/>
      <w:bookmarkStart w:id="2245" w:name="_Toc342296416"/>
      <w:r>
        <w:rPr>
          <w:rFonts w:ascii="宋体" w:hAnsi="宋体"/>
          <w:sz w:val="24"/>
          <w:szCs w:val="20"/>
        </w:rPr>
        <w:t xml:space="preserve">24.3  </w:t>
      </w:r>
      <w:r>
        <w:rPr>
          <w:rFonts w:hint="eastAsia" w:ascii="宋体" w:hAnsi="宋体"/>
          <w:sz w:val="24"/>
          <w:szCs w:val="20"/>
        </w:rPr>
        <w:t>争议评审</w:t>
      </w:r>
      <w:bookmarkEnd w:id="2237"/>
      <w:bookmarkEnd w:id="2238"/>
      <w:bookmarkEnd w:id="2239"/>
      <w:bookmarkEnd w:id="2240"/>
      <w:bookmarkEnd w:id="2241"/>
      <w:bookmarkEnd w:id="2242"/>
      <w:bookmarkEnd w:id="2243"/>
      <w:bookmarkEnd w:id="2244"/>
      <w:bookmarkEnd w:id="2245"/>
    </w:p>
    <w:p w14:paraId="1A917249">
      <w:pPr>
        <w:spacing w:line="360" w:lineRule="auto"/>
        <w:ind w:firstLine="420" w:firstLineChars="200"/>
        <w:rPr>
          <w:rFonts w:hint="eastAsia" w:ascii="宋体" w:hAnsi="宋体"/>
          <w:szCs w:val="21"/>
        </w:rPr>
      </w:pPr>
      <w:r>
        <w:rPr>
          <w:rFonts w:ascii="宋体" w:hAnsi="宋体"/>
          <w:szCs w:val="21"/>
        </w:rPr>
        <w:t xml:space="preserve">24.3.1  </w:t>
      </w:r>
      <w:r>
        <w:rPr>
          <w:rFonts w:hint="eastAsia" w:ascii="宋体" w:hAnsi="宋体"/>
          <w:szCs w:val="21"/>
        </w:rPr>
        <w:t>采用争议评审的，发包人和承包人应在开工日后的</w:t>
      </w:r>
      <w:r>
        <w:rPr>
          <w:rFonts w:ascii="宋体" w:hAnsi="宋体"/>
          <w:szCs w:val="21"/>
        </w:rPr>
        <w:t>28</w:t>
      </w:r>
      <w:r>
        <w:rPr>
          <w:rFonts w:hint="eastAsia" w:ascii="宋体" w:hAnsi="宋体"/>
          <w:szCs w:val="21"/>
        </w:rPr>
        <w:t>天内或在争议发生后，协商成立争议评审组。争议评审组由有合同管理和工程实践经验的专家组成。</w:t>
      </w:r>
    </w:p>
    <w:p w14:paraId="58DA1D94">
      <w:pPr>
        <w:spacing w:line="360" w:lineRule="auto"/>
        <w:ind w:firstLine="420" w:firstLineChars="200"/>
        <w:rPr>
          <w:rFonts w:hint="eastAsia" w:ascii="宋体" w:hAnsi="宋体"/>
          <w:szCs w:val="21"/>
        </w:rPr>
      </w:pPr>
      <w:r>
        <w:rPr>
          <w:rFonts w:ascii="宋体" w:hAnsi="宋体"/>
          <w:szCs w:val="21"/>
        </w:rPr>
        <w:t xml:space="preserve">24.3.2  </w:t>
      </w:r>
      <w:r>
        <w:rPr>
          <w:rFonts w:hint="eastAsia" w:ascii="宋体" w:hAnsi="宋体"/>
          <w:szCs w:val="21"/>
        </w:rPr>
        <w:t>合同双方的争议，应首先由申请人向争议评审组提交一份详细的评审申请报告，并附必要的文件、图纸和证明材料，申请人还应将上述报告的副本同时提交给被申请人和监理人。</w:t>
      </w:r>
    </w:p>
    <w:p w14:paraId="42ADA669">
      <w:pPr>
        <w:spacing w:line="360" w:lineRule="auto"/>
        <w:ind w:firstLine="420" w:firstLineChars="200"/>
        <w:rPr>
          <w:rFonts w:hint="eastAsia" w:ascii="宋体" w:hAnsi="宋体"/>
          <w:szCs w:val="21"/>
        </w:rPr>
      </w:pPr>
      <w:r>
        <w:rPr>
          <w:rFonts w:ascii="宋体" w:hAnsi="宋体"/>
          <w:szCs w:val="21"/>
        </w:rPr>
        <w:t xml:space="preserve">24.3.3  </w:t>
      </w:r>
      <w:r>
        <w:rPr>
          <w:rFonts w:hint="eastAsia" w:ascii="宋体" w:hAnsi="宋体"/>
          <w:szCs w:val="21"/>
        </w:rPr>
        <w:t>被申请人在收到申请人评审申请报告副本后的</w:t>
      </w:r>
      <w:r>
        <w:rPr>
          <w:rFonts w:ascii="宋体" w:hAnsi="宋体"/>
          <w:szCs w:val="21"/>
        </w:rPr>
        <w:t>28</w:t>
      </w:r>
      <w:r>
        <w:rPr>
          <w:rFonts w:hint="eastAsia" w:ascii="宋体" w:hAnsi="宋体"/>
          <w:szCs w:val="21"/>
        </w:rPr>
        <w:t>天内，向争议评审组提交一份答辩报告，并附证明材料。被申请人应将答辩报告的副本同时提交给申请人和监理人。</w:t>
      </w:r>
    </w:p>
    <w:p w14:paraId="1AD5D659">
      <w:pPr>
        <w:spacing w:line="360" w:lineRule="auto"/>
        <w:ind w:firstLine="420" w:firstLineChars="200"/>
        <w:rPr>
          <w:rFonts w:hint="eastAsia" w:ascii="宋体" w:hAnsi="宋体"/>
          <w:szCs w:val="21"/>
        </w:rPr>
      </w:pPr>
      <w:r>
        <w:rPr>
          <w:rFonts w:ascii="宋体" w:hAnsi="宋体"/>
          <w:szCs w:val="21"/>
        </w:rPr>
        <w:t xml:space="preserve">24.3.4  </w:t>
      </w:r>
      <w:r>
        <w:rPr>
          <w:rFonts w:hint="eastAsia" w:ascii="宋体" w:hAnsi="宋体"/>
          <w:szCs w:val="21"/>
        </w:rPr>
        <w:t>争议评审组在收到合同双方报告后的</w:t>
      </w:r>
      <w:r>
        <w:rPr>
          <w:rFonts w:ascii="宋体" w:hAnsi="宋体"/>
          <w:szCs w:val="21"/>
        </w:rPr>
        <w:t>14</w:t>
      </w:r>
      <w:r>
        <w:rPr>
          <w:rFonts w:hint="eastAsia" w:ascii="宋体" w:hAnsi="宋体"/>
          <w:szCs w:val="21"/>
        </w:rPr>
        <w:t>天内，邀请双方代表和有关人员在合同约定的期限内举行调查会，向双方调查争议细节；必要时争议评审组可要求双方进一步提供补充材料。举行调查会的期限见合同条款专用部分。</w:t>
      </w:r>
    </w:p>
    <w:p w14:paraId="188CE3C2">
      <w:pPr>
        <w:spacing w:line="360" w:lineRule="auto"/>
        <w:ind w:firstLine="420" w:firstLineChars="200"/>
        <w:rPr>
          <w:rFonts w:hint="eastAsia" w:ascii="宋体" w:hAnsi="宋体"/>
          <w:szCs w:val="21"/>
        </w:rPr>
      </w:pPr>
      <w:r>
        <w:rPr>
          <w:rFonts w:ascii="宋体" w:hAnsi="宋体"/>
          <w:szCs w:val="21"/>
        </w:rPr>
        <w:t xml:space="preserve">24.3.5  </w:t>
      </w:r>
      <w:r>
        <w:rPr>
          <w:rFonts w:hint="eastAsia" w:ascii="宋体" w:hAnsi="宋体"/>
          <w:szCs w:val="21"/>
        </w:rPr>
        <w:t>在调查会结束后的</w:t>
      </w:r>
      <w:r>
        <w:rPr>
          <w:rFonts w:ascii="宋体" w:hAnsi="宋体"/>
          <w:szCs w:val="21"/>
        </w:rPr>
        <w:t>14</w:t>
      </w:r>
      <w:r>
        <w:rPr>
          <w:rFonts w:hint="eastAsia" w:ascii="宋体" w:hAnsi="宋体"/>
          <w:szCs w:val="21"/>
        </w:rPr>
        <w:t>天内，争议评审组应在不受任何干扰的情况下进行独立、公正的评审，在合同约定的期限内作出书面评审意见，并说明理由。在争议评审期间，争议双方暂按总监理工程师的确定执行。争议评审组作出争议评审意见的期限见合同条款专用部分。</w:t>
      </w:r>
    </w:p>
    <w:p w14:paraId="700A51A1">
      <w:pPr>
        <w:spacing w:line="360" w:lineRule="auto"/>
        <w:ind w:firstLine="420" w:firstLineChars="200"/>
        <w:rPr>
          <w:rFonts w:hint="eastAsia" w:ascii="宋体" w:hAnsi="宋体"/>
          <w:szCs w:val="21"/>
        </w:rPr>
      </w:pPr>
      <w:r>
        <w:rPr>
          <w:rFonts w:ascii="宋体" w:hAnsi="宋体"/>
          <w:szCs w:val="21"/>
        </w:rPr>
        <w:t xml:space="preserve">24.3.6  </w:t>
      </w:r>
      <w:r>
        <w:rPr>
          <w:rFonts w:hint="eastAsia" w:ascii="宋体" w:hAnsi="宋体"/>
          <w:szCs w:val="21"/>
        </w:rPr>
        <w:t>发包人和承包人接受评审意见的，由监理人根据评审意见拟定执行协议，经争议双方签字后作为合同的补充文件，并遵照执行。</w:t>
      </w:r>
    </w:p>
    <w:p w14:paraId="56EA8A9E">
      <w:pPr>
        <w:spacing w:line="360" w:lineRule="auto"/>
        <w:ind w:firstLine="420" w:firstLineChars="200"/>
        <w:rPr>
          <w:rFonts w:hint="eastAsia" w:ascii="宋体" w:hAnsi="宋体"/>
          <w:szCs w:val="21"/>
        </w:rPr>
      </w:pPr>
      <w:r>
        <w:rPr>
          <w:rFonts w:ascii="宋体" w:hAnsi="宋体"/>
          <w:szCs w:val="21"/>
        </w:rPr>
        <w:t xml:space="preserve">24.3.7  </w:t>
      </w:r>
      <w:r>
        <w:rPr>
          <w:rFonts w:hint="eastAsia" w:ascii="宋体" w:hAnsi="宋体"/>
          <w:szCs w:val="21"/>
        </w:rPr>
        <w:t>发包人或承包人不接受评审意见，并要求提交仲裁或提起诉讼的，应在收到评审意见后的</w:t>
      </w:r>
      <w:r>
        <w:rPr>
          <w:rFonts w:ascii="宋体" w:hAnsi="宋体"/>
          <w:szCs w:val="21"/>
        </w:rPr>
        <w:t>14</w:t>
      </w:r>
      <w:r>
        <w:rPr>
          <w:rFonts w:hint="eastAsia" w:ascii="宋体" w:hAnsi="宋体"/>
          <w:szCs w:val="21"/>
        </w:rPr>
        <w:t>天内将仲裁或起诉意向书面通知另一方，并抄送监理人，但在仲裁或诉讼结束前应暂按总监理工程师的确定执行。</w:t>
      </w:r>
    </w:p>
    <w:p w14:paraId="7ED4B66C">
      <w:pPr>
        <w:spacing w:line="360" w:lineRule="auto"/>
        <w:ind w:firstLine="420" w:firstLineChars="200"/>
        <w:rPr>
          <w:rFonts w:hint="eastAsia" w:ascii="宋体" w:hAnsi="宋体"/>
          <w:szCs w:val="21"/>
        </w:rPr>
      </w:pPr>
    </w:p>
    <w:p w14:paraId="41674412">
      <w:pPr>
        <w:spacing w:line="360" w:lineRule="auto"/>
        <w:ind w:firstLine="420" w:firstLineChars="200"/>
        <w:rPr>
          <w:rFonts w:hint="eastAsia" w:ascii="宋体" w:hAnsi="宋体"/>
          <w:szCs w:val="21"/>
        </w:rPr>
      </w:pPr>
    </w:p>
    <w:p w14:paraId="31AB43AD">
      <w:pPr>
        <w:spacing w:line="360" w:lineRule="auto"/>
        <w:ind w:firstLine="420" w:firstLineChars="200"/>
        <w:rPr>
          <w:rFonts w:hint="eastAsia" w:ascii="宋体" w:hAnsi="宋体"/>
          <w:szCs w:val="21"/>
        </w:rPr>
      </w:pPr>
    </w:p>
    <w:p w14:paraId="12501539">
      <w:pPr>
        <w:spacing w:line="360" w:lineRule="auto"/>
        <w:ind w:firstLine="420" w:firstLineChars="200"/>
        <w:rPr>
          <w:rFonts w:hint="eastAsia" w:ascii="宋体" w:hAnsi="宋体"/>
          <w:szCs w:val="21"/>
        </w:rPr>
      </w:pPr>
    </w:p>
    <w:p w14:paraId="254AE93A">
      <w:pPr>
        <w:spacing w:line="360" w:lineRule="auto"/>
        <w:ind w:firstLine="420" w:firstLineChars="200"/>
        <w:rPr>
          <w:rFonts w:hint="eastAsia" w:ascii="宋体" w:hAnsi="宋体"/>
          <w:szCs w:val="21"/>
        </w:rPr>
      </w:pPr>
    </w:p>
    <w:p w14:paraId="45E20E6B">
      <w:pPr>
        <w:spacing w:line="360" w:lineRule="auto"/>
        <w:ind w:firstLine="420" w:firstLineChars="200"/>
        <w:rPr>
          <w:rFonts w:hint="eastAsia" w:ascii="宋体" w:hAnsi="宋体"/>
          <w:szCs w:val="21"/>
        </w:rPr>
      </w:pPr>
    </w:p>
    <w:p w14:paraId="0C4FE921">
      <w:pPr>
        <w:spacing w:line="360" w:lineRule="auto"/>
        <w:ind w:firstLine="420" w:firstLineChars="200"/>
        <w:rPr>
          <w:rFonts w:hint="eastAsia" w:ascii="宋体" w:hAnsi="宋体"/>
          <w:szCs w:val="21"/>
        </w:rPr>
      </w:pPr>
    </w:p>
    <w:p w14:paraId="70AF4AB0">
      <w:pPr>
        <w:spacing w:line="360" w:lineRule="auto"/>
        <w:ind w:firstLine="420" w:firstLineChars="200"/>
        <w:rPr>
          <w:rFonts w:hint="eastAsia" w:ascii="宋体" w:hAnsi="宋体"/>
          <w:szCs w:val="21"/>
        </w:rPr>
      </w:pPr>
    </w:p>
    <w:p w14:paraId="0FD12885">
      <w:pPr>
        <w:spacing w:line="360" w:lineRule="auto"/>
        <w:ind w:firstLine="420" w:firstLineChars="200"/>
        <w:rPr>
          <w:rFonts w:hint="eastAsia" w:ascii="宋体" w:hAnsi="宋体"/>
          <w:szCs w:val="21"/>
        </w:rPr>
      </w:pPr>
    </w:p>
    <w:p w14:paraId="660C1D0D">
      <w:pPr>
        <w:spacing w:line="360" w:lineRule="auto"/>
        <w:ind w:firstLine="420" w:firstLineChars="200"/>
        <w:rPr>
          <w:rFonts w:hint="eastAsia" w:ascii="宋体" w:hAnsi="宋体"/>
          <w:szCs w:val="21"/>
        </w:rPr>
      </w:pPr>
    </w:p>
    <w:p w14:paraId="79C37866">
      <w:pPr>
        <w:spacing w:line="360" w:lineRule="auto"/>
        <w:ind w:firstLine="420" w:firstLineChars="200"/>
        <w:rPr>
          <w:rFonts w:hint="eastAsia" w:ascii="宋体" w:hAnsi="宋体"/>
          <w:szCs w:val="21"/>
        </w:rPr>
      </w:pPr>
    </w:p>
    <w:p w14:paraId="5AEEEAD9">
      <w:pPr>
        <w:spacing w:line="360" w:lineRule="auto"/>
        <w:ind w:firstLine="420" w:firstLineChars="200"/>
        <w:rPr>
          <w:rFonts w:hint="eastAsia" w:ascii="宋体" w:hAnsi="宋体"/>
          <w:szCs w:val="21"/>
        </w:rPr>
      </w:pPr>
    </w:p>
    <w:p w14:paraId="1AB4622C">
      <w:pPr>
        <w:spacing w:line="360" w:lineRule="auto"/>
        <w:ind w:firstLine="420" w:firstLineChars="200"/>
        <w:rPr>
          <w:rFonts w:hint="eastAsia" w:ascii="宋体" w:hAnsi="宋体"/>
          <w:szCs w:val="21"/>
        </w:rPr>
      </w:pPr>
    </w:p>
    <w:p w14:paraId="1526F593">
      <w:pPr>
        <w:spacing w:line="360" w:lineRule="auto"/>
        <w:ind w:firstLine="420" w:firstLineChars="200"/>
        <w:rPr>
          <w:rFonts w:hint="eastAsia" w:ascii="宋体" w:hAnsi="宋体"/>
          <w:szCs w:val="21"/>
        </w:rPr>
      </w:pPr>
    </w:p>
    <w:p w14:paraId="12A7B5BD">
      <w:pPr>
        <w:spacing w:line="360" w:lineRule="auto"/>
        <w:ind w:firstLine="420" w:firstLineChars="200"/>
        <w:rPr>
          <w:rFonts w:hint="eastAsia" w:ascii="宋体" w:hAnsi="宋体"/>
          <w:szCs w:val="21"/>
        </w:rPr>
      </w:pPr>
    </w:p>
    <w:p w14:paraId="46F3C304">
      <w:pPr>
        <w:spacing w:line="360" w:lineRule="auto"/>
        <w:ind w:firstLine="420" w:firstLineChars="200"/>
        <w:rPr>
          <w:rFonts w:hint="eastAsia" w:ascii="宋体" w:hAnsi="宋体"/>
          <w:szCs w:val="21"/>
        </w:rPr>
      </w:pPr>
    </w:p>
    <w:p w14:paraId="108D4281">
      <w:pPr>
        <w:spacing w:line="360" w:lineRule="auto"/>
        <w:ind w:firstLine="420" w:firstLineChars="200"/>
        <w:rPr>
          <w:rFonts w:hint="eastAsia" w:ascii="宋体" w:hAnsi="宋体"/>
          <w:szCs w:val="21"/>
        </w:rPr>
      </w:pPr>
    </w:p>
    <w:p w14:paraId="163CFE5F">
      <w:pPr>
        <w:spacing w:line="360" w:lineRule="auto"/>
        <w:ind w:firstLine="420" w:firstLineChars="200"/>
        <w:rPr>
          <w:rFonts w:hint="eastAsia" w:ascii="宋体" w:hAnsi="宋体"/>
          <w:szCs w:val="21"/>
        </w:rPr>
      </w:pPr>
    </w:p>
    <w:p w14:paraId="3CF73C22">
      <w:pPr>
        <w:spacing w:line="360" w:lineRule="auto"/>
        <w:ind w:firstLine="420" w:firstLineChars="200"/>
        <w:rPr>
          <w:rFonts w:hint="eastAsia" w:ascii="宋体" w:hAnsi="宋体"/>
          <w:szCs w:val="21"/>
        </w:rPr>
      </w:pPr>
    </w:p>
    <w:p w14:paraId="73CAB1F9">
      <w:pPr>
        <w:spacing w:line="360" w:lineRule="auto"/>
        <w:ind w:firstLine="420" w:firstLineChars="200"/>
        <w:rPr>
          <w:rFonts w:hint="eastAsia" w:ascii="宋体" w:hAnsi="宋体"/>
          <w:szCs w:val="21"/>
        </w:rPr>
      </w:pPr>
    </w:p>
    <w:p w14:paraId="421AA48E">
      <w:pPr>
        <w:spacing w:line="360" w:lineRule="auto"/>
        <w:ind w:firstLine="420" w:firstLineChars="200"/>
        <w:rPr>
          <w:rFonts w:hint="eastAsia" w:ascii="宋体" w:hAnsi="宋体"/>
          <w:szCs w:val="21"/>
        </w:rPr>
      </w:pPr>
    </w:p>
    <w:p w14:paraId="1327A23F">
      <w:pPr>
        <w:spacing w:line="360" w:lineRule="auto"/>
        <w:ind w:firstLine="420" w:firstLineChars="200"/>
        <w:rPr>
          <w:rFonts w:hint="eastAsia" w:ascii="宋体" w:hAnsi="宋体"/>
          <w:szCs w:val="21"/>
        </w:rPr>
      </w:pPr>
    </w:p>
    <w:p w14:paraId="72880960">
      <w:pPr>
        <w:spacing w:line="360" w:lineRule="auto"/>
        <w:ind w:firstLine="420" w:firstLineChars="200"/>
        <w:rPr>
          <w:rFonts w:hint="eastAsia" w:ascii="宋体" w:hAnsi="宋体"/>
          <w:szCs w:val="21"/>
        </w:rPr>
      </w:pPr>
    </w:p>
    <w:p w14:paraId="67DC9472">
      <w:pPr>
        <w:rPr>
          <w:rFonts w:hint="eastAsia" w:ascii="宋体" w:hAnsi="宋体"/>
        </w:rPr>
      </w:pPr>
    </w:p>
    <w:p w14:paraId="1437BAE6">
      <w:pPr>
        <w:pStyle w:val="3"/>
        <w:ind w:left="647"/>
        <w:rPr>
          <w:rFonts w:hint="eastAsia" w:hAnsi="宋体"/>
          <w:sz w:val="28"/>
          <w:szCs w:val="28"/>
        </w:rPr>
      </w:pPr>
      <w:r>
        <w:rPr>
          <w:rFonts w:hint="eastAsia" w:hAnsi="宋体"/>
          <w:sz w:val="28"/>
          <w:szCs w:val="28"/>
        </w:rPr>
        <w:t xml:space="preserve">第三部分   </w:t>
      </w:r>
      <w:r>
        <w:rPr>
          <w:rFonts w:hAnsi="宋体"/>
          <w:sz w:val="28"/>
          <w:szCs w:val="28"/>
        </w:rPr>
        <w:t>合同条款专用部分</w:t>
      </w:r>
    </w:p>
    <w:p w14:paraId="3909C918">
      <w:pPr>
        <w:pStyle w:val="3"/>
        <w:spacing w:line="439" w:lineRule="exact"/>
        <w:jc w:val="both"/>
        <w:rPr>
          <w:rFonts w:hint="eastAsia" w:hAnsi="宋体" w:cs="Arial Unicode MS"/>
          <w:sz w:val="21"/>
          <w:szCs w:val="21"/>
        </w:rPr>
      </w:pPr>
      <w:r>
        <w:rPr>
          <w:rFonts w:hAnsi="宋体"/>
          <w:sz w:val="21"/>
          <w:szCs w:val="21"/>
        </w:rPr>
        <w:t>1.一般约定</w:t>
      </w:r>
    </w:p>
    <w:p w14:paraId="477478C2">
      <w:pPr>
        <w:pStyle w:val="34"/>
        <w:tabs>
          <w:tab w:val="left" w:pos="1254"/>
        </w:tabs>
        <w:adjustRightInd w:val="0"/>
        <w:rPr>
          <w:rFonts w:hint="eastAsia"/>
          <w:sz w:val="21"/>
          <w:szCs w:val="21"/>
        </w:rPr>
      </w:pPr>
      <w:r>
        <w:rPr>
          <w:sz w:val="21"/>
          <w:szCs w:val="21"/>
        </w:rPr>
        <w:t>1.1词语定义</w:t>
      </w:r>
    </w:p>
    <w:p w14:paraId="5A49788D">
      <w:pPr>
        <w:adjustRightInd w:val="0"/>
        <w:spacing w:before="1"/>
        <w:rPr>
          <w:rFonts w:hint="eastAsia" w:ascii="宋体" w:hAnsi="宋体" w:cs="Arial Unicode MS"/>
          <w:szCs w:val="21"/>
        </w:rPr>
      </w:pPr>
    </w:p>
    <w:p w14:paraId="4FA29D67">
      <w:pPr>
        <w:tabs>
          <w:tab w:val="left" w:pos="1809"/>
        </w:tabs>
        <w:adjustRightInd w:val="0"/>
        <w:spacing w:line="364" w:lineRule="exact"/>
        <w:rPr>
          <w:rFonts w:hint="eastAsia" w:ascii="宋体" w:hAnsi="宋体" w:cs="Arial Unicode MS"/>
          <w:szCs w:val="21"/>
        </w:rPr>
      </w:pPr>
      <w:r>
        <w:rPr>
          <w:rFonts w:ascii="宋体" w:hAnsi="宋体" w:cs="Arial Unicode MS"/>
          <w:szCs w:val="21"/>
        </w:rPr>
        <w:t>1.1.2合同当事人和人员</w:t>
      </w:r>
    </w:p>
    <w:p w14:paraId="2C7D4CA4">
      <w:pPr>
        <w:tabs>
          <w:tab w:val="left" w:pos="2229"/>
        </w:tabs>
        <w:adjustRightInd w:val="0"/>
        <w:spacing w:line="417" w:lineRule="exact"/>
        <w:rPr>
          <w:rFonts w:hint="eastAsia" w:ascii="宋体" w:hAnsi="宋体" w:cs="Arial Unicode MS"/>
          <w:szCs w:val="21"/>
        </w:rPr>
      </w:pPr>
      <w:r>
        <w:rPr>
          <w:rFonts w:ascii="宋体" w:hAnsi="宋体" w:cs="Arial Unicode MS"/>
          <w:szCs w:val="21"/>
        </w:rPr>
        <w:t>1.1.2.2发包人：</w:t>
      </w:r>
      <w:r>
        <w:rPr>
          <w:rFonts w:hint="eastAsia" w:ascii="宋体" w:hAnsi="宋体" w:cs="Arial Unicode MS"/>
          <w:szCs w:val="21"/>
          <w:u w:val="single"/>
        </w:rPr>
        <w:t xml:space="preserve"> </w:t>
      </w:r>
      <w:r>
        <w:rPr>
          <w:rFonts w:ascii="宋体" w:hAnsi="宋体" w:cs="Arial Unicode MS"/>
          <w:szCs w:val="21"/>
          <w:u w:val="single"/>
        </w:rPr>
        <w:t>北京市朝阳区人民政府香河园街道办事处</w:t>
      </w:r>
    </w:p>
    <w:p w14:paraId="5DF1E959">
      <w:pPr>
        <w:spacing w:line="440" w:lineRule="exact"/>
        <w:rPr>
          <w:rFonts w:hint="eastAsia" w:ascii="宋体" w:hAnsi="宋体" w:cs="Arial Unicode MS"/>
          <w:szCs w:val="21"/>
          <w:u w:val="single"/>
        </w:rPr>
      </w:pPr>
      <w:r>
        <w:rPr>
          <w:rFonts w:ascii="宋体" w:hAnsi="宋体" w:cs="Arial Unicode MS"/>
          <w:szCs w:val="21"/>
        </w:rPr>
        <w:t>1.1.2.3承包人：</w:t>
      </w:r>
      <w:r>
        <w:rPr>
          <w:rFonts w:hint="eastAsia" w:ascii="宋体" w:hAnsi="宋体" w:cs="Arial Unicode MS"/>
          <w:szCs w:val="21"/>
          <w:u w:val="single"/>
        </w:rPr>
        <w:t xml:space="preserve"> </w:t>
      </w:r>
      <w:r>
        <w:rPr>
          <w:rFonts w:hint="eastAsia" w:ascii="宋体" w:hAnsi="宋体"/>
          <w:szCs w:val="21"/>
          <w:u w:val="single"/>
        </w:rPr>
        <w:t xml:space="preserve">                              </w:t>
      </w:r>
    </w:p>
    <w:p w14:paraId="2491D6E5">
      <w:pPr>
        <w:tabs>
          <w:tab w:val="left" w:pos="2229"/>
        </w:tabs>
        <w:adjustRightInd w:val="0"/>
        <w:spacing w:line="420" w:lineRule="exact"/>
        <w:rPr>
          <w:rFonts w:hint="eastAsia" w:ascii="宋体" w:hAnsi="宋体" w:cs="Arial Unicode MS"/>
          <w:szCs w:val="21"/>
        </w:rPr>
      </w:pPr>
      <w:r>
        <w:rPr>
          <w:rFonts w:ascii="宋体" w:hAnsi="宋体" w:cs="Arial Unicode MS"/>
          <w:szCs w:val="21"/>
        </w:rPr>
        <w:t>1.1.2.6监理人：</w:t>
      </w:r>
      <w:r>
        <w:rPr>
          <w:rFonts w:hint="eastAsia" w:ascii="宋体" w:hAnsi="宋体" w:cs="Arial Unicode MS"/>
          <w:szCs w:val="21"/>
          <w:u w:val="single"/>
        </w:rPr>
        <w:t xml:space="preserve">                               </w:t>
      </w:r>
    </w:p>
    <w:p w14:paraId="09EDE7AF">
      <w:pPr>
        <w:tabs>
          <w:tab w:val="left" w:pos="2229"/>
        </w:tabs>
        <w:adjustRightInd w:val="0"/>
        <w:spacing w:line="360" w:lineRule="auto"/>
        <w:rPr>
          <w:rFonts w:hint="eastAsia" w:ascii="宋体" w:hAnsi="宋体" w:cs="Arial Unicode MS"/>
          <w:szCs w:val="21"/>
        </w:rPr>
      </w:pPr>
      <w:r>
        <w:rPr>
          <w:rFonts w:ascii="宋体" w:hAnsi="宋体" w:cs="Arial Unicode MS"/>
          <w:szCs w:val="21"/>
        </w:rPr>
        <w:t>1.1.2.8发包人代表：</w:t>
      </w:r>
    </w:p>
    <w:p w14:paraId="06DDEBE9">
      <w:pPr>
        <w:adjustRightInd w:val="0"/>
        <w:spacing w:before="16" w:line="360" w:lineRule="auto"/>
        <w:rPr>
          <w:rFonts w:hint="eastAsia" w:ascii="宋体" w:hAnsi="宋体" w:cs="Arial Unicode MS"/>
          <w:szCs w:val="21"/>
          <w:u w:val="single"/>
        </w:rPr>
      </w:pPr>
      <w:r>
        <w:rPr>
          <w:rFonts w:ascii="宋体" w:hAnsi="宋体" w:cs="Arial Unicode MS"/>
          <w:szCs w:val="21"/>
        </w:rPr>
        <w:t>姓    名：</w:t>
      </w:r>
      <w:r>
        <w:rPr>
          <w:rFonts w:hint="eastAsia" w:ascii="宋体" w:hAnsi="宋体" w:cs="Arial Unicode MS"/>
          <w:szCs w:val="21"/>
          <w:u w:val="single"/>
        </w:rPr>
        <w:t xml:space="preserve">                   </w:t>
      </w:r>
    </w:p>
    <w:p w14:paraId="0AAFFA20">
      <w:pPr>
        <w:adjustRightInd w:val="0"/>
        <w:spacing w:before="16" w:line="360" w:lineRule="auto"/>
        <w:rPr>
          <w:rFonts w:hint="eastAsia" w:ascii="宋体" w:hAnsi="宋体" w:cs="Arial Unicode MS"/>
          <w:szCs w:val="21"/>
          <w:u w:val="single"/>
        </w:rPr>
      </w:pPr>
      <w:r>
        <w:rPr>
          <w:rFonts w:ascii="宋体" w:hAnsi="宋体" w:cs="Arial Unicode MS"/>
          <w:szCs w:val="21"/>
        </w:rPr>
        <w:t xml:space="preserve">职 </w:t>
      </w:r>
      <w:r>
        <w:rPr>
          <w:rFonts w:hint="eastAsia" w:ascii="宋体" w:hAnsi="宋体" w:cs="Arial Unicode MS"/>
          <w:szCs w:val="21"/>
        </w:rPr>
        <w:t xml:space="preserve">   </w:t>
      </w:r>
      <w:r>
        <w:rPr>
          <w:rFonts w:ascii="宋体" w:hAnsi="宋体" w:cs="Arial Unicode MS"/>
          <w:szCs w:val="21"/>
        </w:rPr>
        <w:t>称：</w:t>
      </w:r>
      <w:r>
        <w:rPr>
          <w:rFonts w:hint="eastAsia" w:ascii="宋体" w:hAnsi="宋体" w:cs="Arial Unicode MS"/>
          <w:szCs w:val="21"/>
          <w:u w:val="single"/>
        </w:rPr>
        <w:t xml:space="preserve">                     </w:t>
      </w:r>
    </w:p>
    <w:p w14:paraId="1C1B651C">
      <w:pPr>
        <w:adjustRightInd w:val="0"/>
        <w:spacing w:before="16" w:line="360" w:lineRule="auto"/>
        <w:rPr>
          <w:rFonts w:hint="eastAsia" w:ascii="宋体" w:hAnsi="宋体" w:cs="Arial Unicode MS"/>
          <w:szCs w:val="21"/>
          <w:u w:val="single"/>
        </w:rPr>
      </w:pPr>
      <w:r>
        <w:rPr>
          <w:rFonts w:ascii="宋体" w:hAnsi="宋体" w:cs="Arial Unicode MS"/>
          <w:szCs w:val="21"/>
        </w:rPr>
        <w:t>联系电话：</w:t>
      </w:r>
      <w:r>
        <w:rPr>
          <w:rFonts w:hint="eastAsia" w:ascii="宋体" w:hAnsi="宋体" w:cs="Arial Unicode MS"/>
          <w:szCs w:val="21"/>
          <w:u w:val="single"/>
        </w:rPr>
        <w:t xml:space="preserve">             </w:t>
      </w:r>
    </w:p>
    <w:p w14:paraId="6202A196">
      <w:pPr>
        <w:adjustRightInd w:val="0"/>
        <w:spacing w:before="16" w:line="360" w:lineRule="auto"/>
        <w:rPr>
          <w:rFonts w:hint="eastAsia" w:ascii="宋体" w:hAnsi="宋体" w:cs="Arial Unicode MS"/>
          <w:szCs w:val="21"/>
          <w:u w:val="single"/>
        </w:rPr>
      </w:pPr>
      <w:r>
        <w:rPr>
          <w:rFonts w:ascii="宋体" w:hAnsi="宋体" w:cs="Arial Unicode MS"/>
          <w:szCs w:val="21"/>
        </w:rPr>
        <w:t>电子信箱：</w:t>
      </w:r>
      <w:r>
        <w:rPr>
          <w:rFonts w:hint="eastAsia" w:ascii="宋体" w:hAnsi="宋体" w:cs="Arial Unicode MS"/>
          <w:szCs w:val="21"/>
          <w:u w:val="single"/>
        </w:rPr>
        <w:t xml:space="preserve">           </w:t>
      </w:r>
    </w:p>
    <w:p w14:paraId="19FDDD19">
      <w:pPr>
        <w:adjustRightInd w:val="0"/>
        <w:spacing w:before="16" w:line="360" w:lineRule="auto"/>
        <w:rPr>
          <w:rFonts w:hint="eastAsia" w:ascii="宋体" w:hAnsi="宋体" w:cs="Arial Unicode MS"/>
          <w:szCs w:val="21"/>
        </w:rPr>
      </w:pPr>
      <w:r>
        <w:rPr>
          <w:rFonts w:ascii="宋体" w:hAnsi="宋体" w:cs="Arial Unicode MS"/>
          <w:szCs w:val="21"/>
        </w:rPr>
        <w:t>通信地址：</w:t>
      </w:r>
      <w:r>
        <w:rPr>
          <w:rFonts w:hint="eastAsia" w:ascii="宋体" w:hAnsi="宋体" w:cs="Arial Unicode MS"/>
          <w:szCs w:val="21"/>
          <w:u w:val="single"/>
        </w:rPr>
        <w:t xml:space="preserve">               </w:t>
      </w:r>
    </w:p>
    <w:p w14:paraId="3B17C73F">
      <w:pPr>
        <w:tabs>
          <w:tab w:val="left" w:pos="1809"/>
        </w:tabs>
        <w:adjustRightInd w:val="0"/>
        <w:spacing w:line="363" w:lineRule="exact"/>
        <w:rPr>
          <w:rFonts w:hint="eastAsia" w:ascii="宋体" w:hAnsi="宋体" w:cs="Arial Unicode MS"/>
          <w:szCs w:val="21"/>
        </w:rPr>
      </w:pPr>
      <w:r>
        <w:rPr>
          <w:rFonts w:ascii="宋体" w:hAnsi="宋体" w:cs="Arial Unicode MS"/>
          <w:szCs w:val="21"/>
        </w:rPr>
        <w:t>1.1.3工程和设备</w:t>
      </w:r>
    </w:p>
    <w:p w14:paraId="1A439A73">
      <w:pPr>
        <w:tabs>
          <w:tab w:val="left" w:pos="2229"/>
        </w:tabs>
        <w:adjustRightInd w:val="0"/>
        <w:spacing w:line="417" w:lineRule="exact"/>
        <w:rPr>
          <w:rFonts w:hint="eastAsia" w:ascii="宋体" w:hAnsi="宋体" w:cs="Arial Unicode MS"/>
          <w:szCs w:val="21"/>
        </w:rPr>
      </w:pPr>
      <w:r>
        <w:rPr>
          <w:rFonts w:ascii="宋体" w:hAnsi="宋体" w:cs="Arial Unicode MS"/>
          <w:szCs w:val="21"/>
        </w:rPr>
        <w:t>1.1.3.2永久工程：</w:t>
      </w:r>
      <w:r>
        <w:rPr>
          <w:rFonts w:ascii="宋体" w:hAnsi="宋体" w:cs="Arial Unicode MS"/>
          <w:szCs w:val="21"/>
          <w:u w:val="single"/>
        </w:rPr>
        <w:t>本工程</w:t>
      </w:r>
    </w:p>
    <w:p w14:paraId="2E88EA19">
      <w:pPr>
        <w:pStyle w:val="34"/>
        <w:adjustRightInd w:val="0"/>
        <w:rPr>
          <w:rFonts w:hint="eastAsia"/>
          <w:sz w:val="21"/>
          <w:szCs w:val="21"/>
        </w:rPr>
      </w:pPr>
      <w:r>
        <w:rPr>
          <w:sz w:val="21"/>
          <w:szCs w:val="21"/>
        </w:rPr>
        <w:t>1.1.3.3 临时工程：</w:t>
      </w:r>
      <w:r>
        <w:rPr>
          <w:sz w:val="21"/>
          <w:szCs w:val="21"/>
          <w:u w:val="single"/>
        </w:rPr>
        <w:t>指驻地建设、临时用地、临时性道路、便桥（栈）、施工临时用水 工程、施工临时用电工程等内容（不限于此），承包人结合现场实际情况及编制的施工组织 方案自行确定</w:t>
      </w:r>
    </w:p>
    <w:p w14:paraId="55897D06">
      <w:pPr>
        <w:tabs>
          <w:tab w:val="left" w:pos="2334"/>
        </w:tabs>
        <w:adjustRightInd w:val="0"/>
        <w:spacing w:line="420" w:lineRule="exact"/>
        <w:rPr>
          <w:rFonts w:hint="eastAsia" w:ascii="宋体" w:hAnsi="宋体" w:cs="Arial Unicode MS"/>
          <w:szCs w:val="21"/>
        </w:rPr>
      </w:pPr>
      <w:r>
        <w:rPr>
          <w:rFonts w:ascii="宋体" w:hAnsi="宋体" w:cs="Arial Unicode MS"/>
          <w:szCs w:val="21"/>
        </w:rPr>
        <w:t>1.1.3.10永久占地：</w:t>
      </w:r>
      <w:r>
        <w:rPr>
          <w:rFonts w:ascii="宋体" w:hAnsi="宋体" w:cs="Arial Unicode MS"/>
          <w:szCs w:val="21"/>
          <w:u w:val="single"/>
        </w:rPr>
        <w:t>见施工图纸</w:t>
      </w:r>
    </w:p>
    <w:p w14:paraId="168E3503">
      <w:pPr>
        <w:tabs>
          <w:tab w:val="left" w:pos="2334"/>
        </w:tabs>
        <w:adjustRightInd w:val="0"/>
        <w:spacing w:line="420" w:lineRule="exact"/>
        <w:rPr>
          <w:rFonts w:hint="eastAsia" w:ascii="宋体" w:hAnsi="宋体" w:cs="Arial Unicode MS"/>
          <w:szCs w:val="21"/>
        </w:rPr>
      </w:pPr>
      <w:r>
        <w:rPr>
          <w:rFonts w:ascii="宋体" w:hAnsi="宋体" w:cs="Arial Unicode MS"/>
          <w:szCs w:val="21"/>
        </w:rPr>
        <w:t>1.1.3.11临时占地：</w:t>
      </w:r>
      <w:r>
        <w:rPr>
          <w:rFonts w:ascii="宋体" w:hAnsi="宋体" w:cs="Arial Unicode MS"/>
          <w:szCs w:val="21"/>
          <w:u w:val="single"/>
        </w:rPr>
        <w:t>见施工图纸</w:t>
      </w:r>
    </w:p>
    <w:p w14:paraId="689461CB">
      <w:pPr>
        <w:tabs>
          <w:tab w:val="left" w:pos="1809"/>
        </w:tabs>
        <w:adjustRightInd w:val="0"/>
        <w:spacing w:line="364" w:lineRule="exact"/>
        <w:rPr>
          <w:rFonts w:hint="eastAsia" w:ascii="宋体" w:hAnsi="宋体" w:cs="Arial Unicode MS"/>
          <w:szCs w:val="21"/>
        </w:rPr>
      </w:pPr>
      <w:r>
        <w:rPr>
          <w:rFonts w:ascii="宋体" w:hAnsi="宋体" w:cs="Arial Unicode MS"/>
          <w:szCs w:val="21"/>
        </w:rPr>
        <w:t>1.1.4日期</w:t>
      </w:r>
    </w:p>
    <w:p w14:paraId="1F78A14F">
      <w:pPr>
        <w:tabs>
          <w:tab w:val="left" w:pos="2229"/>
        </w:tabs>
        <w:adjustRightInd w:val="0"/>
        <w:spacing w:line="416" w:lineRule="exact"/>
        <w:rPr>
          <w:rFonts w:hint="eastAsia" w:ascii="宋体" w:hAnsi="宋体" w:cs="Arial Unicode MS"/>
          <w:szCs w:val="21"/>
        </w:rPr>
      </w:pPr>
      <w:r>
        <w:rPr>
          <w:rFonts w:ascii="宋体" w:hAnsi="宋体" w:cs="Arial Unicode MS"/>
          <w:szCs w:val="21"/>
        </w:rPr>
        <w:t>1.1.4.5缺陷责任期期限：</w:t>
      </w:r>
      <w:r>
        <w:rPr>
          <w:rFonts w:ascii="宋体" w:hAnsi="宋体" w:cs="Arial Unicode MS"/>
          <w:szCs w:val="21"/>
          <w:u w:val="single"/>
        </w:rPr>
        <w:t>整体工程通过竣工验收之日起24个月</w:t>
      </w:r>
      <w:r>
        <w:rPr>
          <w:rFonts w:ascii="宋体" w:hAnsi="宋体" w:cs="Arial Unicode MS"/>
          <w:szCs w:val="21"/>
        </w:rPr>
        <w:t>。</w:t>
      </w:r>
    </w:p>
    <w:p w14:paraId="71D11123">
      <w:pPr>
        <w:tabs>
          <w:tab w:val="left" w:pos="1809"/>
        </w:tabs>
        <w:adjustRightInd w:val="0"/>
        <w:spacing w:line="364" w:lineRule="exact"/>
        <w:rPr>
          <w:rFonts w:hint="eastAsia" w:ascii="宋体" w:hAnsi="宋体" w:cs="Arial Unicode MS"/>
          <w:szCs w:val="21"/>
        </w:rPr>
      </w:pPr>
      <w:r>
        <w:rPr>
          <w:rFonts w:ascii="宋体" w:hAnsi="宋体" w:cs="Arial Unicode MS"/>
          <w:szCs w:val="21"/>
        </w:rPr>
        <w:t>1.1.8其他需要补充的内容</w:t>
      </w:r>
    </w:p>
    <w:p w14:paraId="6098CC93">
      <w:pPr>
        <w:pStyle w:val="34"/>
        <w:adjustRightInd w:val="0"/>
        <w:spacing w:before="16" w:line="420" w:lineRule="exact"/>
        <w:ind w:firstLine="420"/>
        <w:rPr>
          <w:sz w:val="21"/>
          <w:szCs w:val="21"/>
          <w:u w:val="single"/>
        </w:rPr>
      </w:pPr>
      <w:r>
        <w:rPr>
          <w:sz w:val="21"/>
          <w:szCs w:val="21"/>
          <w:u w:val="single"/>
        </w:rPr>
        <w:t xml:space="preserve">1.1.8.1.材料:指构成或将构成永久工程组成部分的各类物品(工程设备除外)，包括合同中可能约定的承包人仅负责供应的材料。 </w:t>
      </w:r>
    </w:p>
    <w:p w14:paraId="7C8B69D1">
      <w:pPr>
        <w:pStyle w:val="34"/>
        <w:adjustRightInd w:val="0"/>
        <w:spacing w:before="16" w:line="420" w:lineRule="exact"/>
        <w:ind w:firstLine="420"/>
        <w:rPr>
          <w:rFonts w:hint="eastAsia"/>
          <w:sz w:val="21"/>
          <w:szCs w:val="21"/>
        </w:rPr>
      </w:pPr>
      <w:r>
        <w:rPr>
          <w:sz w:val="21"/>
          <w:szCs w:val="21"/>
          <w:u w:val="single"/>
        </w:rPr>
        <w:t>1.1.8.2.除另有特别指明外，专用合同条款中使用的措辞“合同条款”指通用合同条款和或专用合同条款。</w:t>
      </w:r>
    </w:p>
    <w:p w14:paraId="0B676BBE">
      <w:pPr>
        <w:pStyle w:val="34"/>
        <w:adjustRightInd w:val="0"/>
        <w:spacing w:line="401" w:lineRule="exact"/>
        <w:rPr>
          <w:rFonts w:hint="eastAsia"/>
          <w:sz w:val="21"/>
          <w:szCs w:val="21"/>
        </w:rPr>
      </w:pPr>
      <w:r>
        <w:rPr>
          <w:sz w:val="21"/>
          <w:szCs w:val="21"/>
          <w:u w:val="single"/>
        </w:rPr>
        <w:t>1.1.8.3.合同文件组成及解释顺序按照本合同协议书部分的为准。</w:t>
      </w:r>
    </w:p>
    <w:p w14:paraId="199D1265">
      <w:pPr>
        <w:pStyle w:val="34"/>
        <w:tabs>
          <w:tab w:val="left" w:pos="1254"/>
        </w:tabs>
        <w:adjustRightInd w:val="0"/>
        <w:spacing w:line="371" w:lineRule="exact"/>
        <w:rPr>
          <w:rFonts w:hint="eastAsia"/>
          <w:sz w:val="21"/>
          <w:szCs w:val="21"/>
        </w:rPr>
      </w:pPr>
      <w:r>
        <w:rPr>
          <w:sz w:val="21"/>
          <w:szCs w:val="21"/>
        </w:rPr>
        <w:t>1.4合同文件的优先顺</w:t>
      </w:r>
      <w:r>
        <w:rPr>
          <w:rFonts w:hint="eastAsia"/>
          <w:sz w:val="21"/>
          <w:szCs w:val="21"/>
        </w:rPr>
        <w:t>序</w:t>
      </w:r>
    </w:p>
    <w:p w14:paraId="39D77346">
      <w:pPr>
        <w:adjustRightInd w:val="0"/>
        <w:spacing w:line="318" w:lineRule="exact"/>
        <w:rPr>
          <w:rFonts w:hint="eastAsia" w:ascii="宋体" w:hAnsi="宋体" w:cs="Arial Unicode MS"/>
          <w:szCs w:val="21"/>
        </w:rPr>
      </w:pPr>
      <w:r>
        <w:rPr>
          <w:rFonts w:ascii="宋体" w:hAnsi="宋体"/>
          <w:szCs w:val="21"/>
        </w:rPr>
        <mc:AlternateContent>
          <mc:Choice Requires="wpg">
            <w:drawing>
              <wp:anchor distT="0" distB="0" distL="114300" distR="114300" simplePos="0" relativeHeight="251660288" behindDoc="0" locked="0" layoutInCell="1" allowOverlap="1">
                <wp:simplePos x="0" y="0"/>
                <wp:positionH relativeFrom="page">
                  <wp:posOffset>542925</wp:posOffset>
                </wp:positionH>
                <wp:positionV relativeFrom="page">
                  <wp:posOffset>895350</wp:posOffset>
                </wp:positionV>
                <wp:extent cx="1270" cy="8905875"/>
                <wp:effectExtent l="0" t="0" r="0" b="0"/>
                <wp:wrapNone/>
                <wp:docPr id="15" name="组合 15"/>
                <wp:cNvGraphicFramePr/>
                <a:graphic xmlns:a="http://schemas.openxmlformats.org/drawingml/2006/main">
                  <a:graphicData uri="http://schemas.microsoft.com/office/word/2010/wordprocessingGroup">
                    <wpg:wgp>
                      <wpg:cNvGrpSpPr/>
                      <wpg:grpSpPr>
                        <a:xfrm>
                          <a:off x="0" y="0"/>
                          <a:ext cx="1270" cy="8905875"/>
                          <a:chOff x="855" y="1410"/>
                          <a:chExt cx="2" cy="14025"/>
                        </a:xfrm>
                      </wpg:grpSpPr>
                      <wps:wsp>
                        <wps:cNvPr id="14" name="任意多边形 14"/>
                        <wps:cNvSpPr/>
                        <wps:spPr>
                          <a:xfrm>
                            <a:off x="855" y="1410"/>
                            <a:ext cx="2" cy="14025"/>
                          </a:xfrm>
                          <a:custGeom>
                            <a:avLst/>
                            <a:gdLst/>
                            <a:ahLst/>
                            <a:cxnLst/>
                            <a:rect l="0" t="0" r="0" b="0"/>
                            <a:pathLst>
                              <a:path h="14025">
                                <a:moveTo>
                                  <a:pt x="0" y="0"/>
                                </a:moveTo>
                                <a:lnTo>
                                  <a:pt x="0" y="14025"/>
                                </a:lnTo>
                                <a:lnTo>
                                  <a:pt x="0" y="0"/>
                                </a:lnTo>
                                <a:close/>
                              </a:path>
                            </a:pathLst>
                          </a:custGeom>
                          <a:solidFill>
                            <a:srgbClr val="000000"/>
                          </a:solidFill>
                          <a:ln>
                            <a:noFill/>
                          </a:ln>
                        </wps:spPr>
                        <wps:bodyPr upright="1"/>
                      </wps:wsp>
                    </wpg:wgp>
                  </a:graphicData>
                </a:graphic>
              </wp:anchor>
            </w:drawing>
          </mc:Choice>
          <mc:Fallback>
            <w:pict>
              <v:group id="_x0000_s1026" o:spid="_x0000_s1026" o:spt="203" style="position:absolute;left:0pt;margin-left:42.75pt;margin-top:70.5pt;height:701.25pt;width:0.1pt;mso-position-horizontal-relative:page;mso-position-vertical-relative:page;z-index:251660288;mso-width-relative:page;mso-height-relative:page;" coordorigin="855,1410" coordsize="2,14025" o:gfxdata="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">
                <o:lock v:ext="edit" aspectratio="f"/>
                <v:shape id="_x0000_s1026" o:spid="_x0000_s1026" o:spt="100" style="position:absolute;left:855;top:1410;height:14025;width:2;" fillcolor="#000000" filled="t" stroked="f" coordsize="1,14025" o:gfxdata="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hABs68AAAA&#10;2wAAAA8AAAAAAAAAAQAgAAAAIgAAAGRycy9kb3ducmV2LnhtbFBLAQIUABQAAAAIAIdO4kAzLwWe&#10;OwAAADkAAAAQAAAAAAAAAAEAIAAAAAsBAABkcnMvc2hhcGV4bWwueG1sUEsFBgAAAAAGAAYAWwEA&#10;ALUDAAAAAA==&#10;" path="m0,0l0,14025,0,0xe">
                  <v:fill on="t" focussize="0,0"/>
                  <v:stroke on="f"/>
                  <v:imagedata o:title=""/>
                  <o:lock v:ext="edit" aspectratio="f"/>
                </v:shape>
              </v:group>
            </w:pict>
          </mc:Fallback>
        </mc:AlternateContent>
      </w:r>
      <w:r>
        <w:rPr>
          <w:rFonts w:ascii="宋体" w:hAnsi="宋体" w:cs="Arial Unicode MS"/>
          <w:szCs w:val="21"/>
        </w:rPr>
        <w:t>合同文件的优先解释顺序如下：</w:t>
      </w:r>
    </w:p>
    <w:p w14:paraId="196E2251">
      <w:pPr>
        <w:adjustRightInd w:val="0"/>
        <w:spacing w:line="360" w:lineRule="exact"/>
        <w:rPr>
          <w:rFonts w:hint="eastAsia" w:ascii="宋体" w:hAnsi="宋体" w:cs="Arial Unicode MS"/>
          <w:szCs w:val="21"/>
        </w:rPr>
      </w:pPr>
      <w:r>
        <w:rPr>
          <w:rFonts w:ascii="宋体" w:hAnsi="宋体" w:cs="Arial Unicode MS"/>
          <w:szCs w:val="21"/>
        </w:rPr>
        <w:t>（1）合同协议书；</w:t>
      </w:r>
    </w:p>
    <w:p w14:paraId="312747C2">
      <w:pPr>
        <w:adjustRightInd w:val="0"/>
        <w:spacing w:line="360" w:lineRule="exact"/>
        <w:rPr>
          <w:rFonts w:hint="eastAsia" w:ascii="宋体" w:hAnsi="宋体" w:cs="Arial Unicode MS"/>
          <w:szCs w:val="21"/>
        </w:rPr>
      </w:pPr>
      <w:r>
        <w:rPr>
          <w:rFonts w:ascii="宋体" w:hAnsi="宋体" w:cs="Arial Unicode MS"/>
          <w:szCs w:val="21"/>
        </w:rPr>
        <w:t>（2）中标通知书；</w:t>
      </w:r>
    </w:p>
    <w:p w14:paraId="4AF89825">
      <w:pPr>
        <w:adjustRightInd w:val="0"/>
        <w:spacing w:line="360" w:lineRule="exact"/>
        <w:rPr>
          <w:rFonts w:hint="eastAsia" w:ascii="宋体" w:hAnsi="宋体" w:cs="Arial Unicode MS"/>
          <w:szCs w:val="21"/>
        </w:rPr>
      </w:pPr>
      <w:r>
        <w:rPr>
          <w:rFonts w:ascii="宋体" w:hAnsi="宋体" w:cs="Arial Unicode MS"/>
          <w:szCs w:val="21"/>
        </w:rPr>
        <w:t>（3）投标函及投标函附录；</w:t>
      </w:r>
    </w:p>
    <w:p w14:paraId="3DF1A5E6">
      <w:pPr>
        <w:adjustRightInd w:val="0"/>
        <w:spacing w:line="360" w:lineRule="exact"/>
        <w:rPr>
          <w:rFonts w:hint="eastAsia" w:ascii="宋体" w:hAnsi="宋体" w:cs="Arial Unicode MS"/>
          <w:szCs w:val="21"/>
        </w:rPr>
      </w:pPr>
      <w:r>
        <w:rPr>
          <w:rFonts w:ascii="宋体" w:hAnsi="宋体" w:cs="Arial Unicode MS"/>
          <w:szCs w:val="21"/>
        </w:rPr>
        <w:t>（4）合同条款专用部分；</w:t>
      </w:r>
    </w:p>
    <w:p w14:paraId="7A7635F4">
      <w:pPr>
        <w:adjustRightInd w:val="0"/>
        <w:spacing w:line="360" w:lineRule="exact"/>
        <w:rPr>
          <w:rFonts w:hint="eastAsia" w:ascii="宋体" w:hAnsi="宋体" w:cs="Arial Unicode MS"/>
          <w:szCs w:val="21"/>
        </w:rPr>
      </w:pPr>
      <w:r>
        <w:rPr>
          <w:rFonts w:ascii="宋体" w:hAnsi="宋体" w:cs="Arial Unicode MS"/>
          <w:szCs w:val="21"/>
        </w:rPr>
        <w:t>（5）合同条款通用部分；</w:t>
      </w:r>
    </w:p>
    <w:p w14:paraId="2400C3D5">
      <w:pPr>
        <w:adjustRightInd w:val="0"/>
        <w:spacing w:line="417" w:lineRule="exact"/>
        <w:rPr>
          <w:rFonts w:hint="eastAsia" w:ascii="宋体" w:hAnsi="宋体" w:cs="Arial Unicode MS"/>
          <w:szCs w:val="21"/>
        </w:rPr>
      </w:pPr>
      <w:r>
        <w:rPr>
          <w:rFonts w:ascii="宋体" w:hAnsi="宋体" w:cs="Arial Unicode MS"/>
          <w:szCs w:val="21"/>
        </w:rPr>
        <w:t>（6）</w:t>
      </w:r>
      <w:r>
        <w:rPr>
          <w:rFonts w:ascii="宋体" w:hAnsi="宋体" w:cs="Arial Unicode MS"/>
          <w:szCs w:val="21"/>
          <w:u w:val="single"/>
        </w:rPr>
        <w:t>已标价工程量清单；</w:t>
      </w:r>
    </w:p>
    <w:p w14:paraId="4C659553">
      <w:pPr>
        <w:adjustRightInd w:val="0"/>
        <w:spacing w:line="420" w:lineRule="exact"/>
        <w:rPr>
          <w:rFonts w:hint="eastAsia" w:ascii="宋体" w:hAnsi="宋体" w:cs="Arial Unicode MS"/>
          <w:szCs w:val="21"/>
        </w:rPr>
      </w:pPr>
      <w:r>
        <w:rPr>
          <w:rFonts w:ascii="宋体" w:hAnsi="宋体" w:cs="Arial Unicode MS"/>
          <w:szCs w:val="21"/>
        </w:rPr>
        <w:t>（7）</w:t>
      </w:r>
      <w:r>
        <w:rPr>
          <w:rFonts w:ascii="宋体" w:hAnsi="宋体" w:cs="Arial Unicode MS"/>
          <w:szCs w:val="21"/>
          <w:u w:val="single"/>
        </w:rPr>
        <w:t>技术标准和要求；</w:t>
      </w:r>
    </w:p>
    <w:p w14:paraId="701E6DE9">
      <w:pPr>
        <w:adjustRightInd w:val="0"/>
        <w:spacing w:line="420" w:lineRule="exact"/>
        <w:rPr>
          <w:rFonts w:hint="eastAsia" w:ascii="宋体" w:hAnsi="宋体" w:cs="Arial Unicode MS"/>
          <w:szCs w:val="21"/>
        </w:rPr>
      </w:pPr>
      <w:r>
        <w:rPr>
          <w:rFonts w:ascii="宋体" w:hAnsi="宋体" w:cs="Arial Unicode MS"/>
          <w:szCs w:val="21"/>
        </w:rPr>
        <w:t>（8）</w:t>
      </w:r>
      <w:r>
        <w:rPr>
          <w:rFonts w:ascii="宋体" w:hAnsi="宋体" w:cs="Arial Unicode MS"/>
          <w:szCs w:val="21"/>
          <w:u w:val="single"/>
        </w:rPr>
        <w:t>图纸；</w:t>
      </w:r>
    </w:p>
    <w:p w14:paraId="5A6B7EE6">
      <w:pPr>
        <w:adjustRightInd w:val="0"/>
        <w:spacing w:line="420" w:lineRule="exact"/>
        <w:rPr>
          <w:rFonts w:hint="eastAsia" w:ascii="宋体" w:hAnsi="宋体" w:cs="Arial Unicode MS"/>
          <w:szCs w:val="21"/>
        </w:rPr>
      </w:pPr>
      <w:r>
        <w:rPr>
          <w:rFonts w:ascii="宋体" w:hAnsi="宋体" w:cs="Arial Unicode MS"/>
          <w:szCs w:val="21"/>
        </w:rPr>
        <w:t>（9）</w:t>
      </w:r>
      <w:r>
        <w:rPr>
          <w:rFonts w:ascii="宋体" w:hAnsi="宋体" w:cs="Arial Unicode MS"/>
          <w:szCs w:val="21"/>
          <w:u w:val="single"/>
        </w:rPr>
        <w:t>其他合同文件</w:t>
      </w:r>
    </w:p>
    <w:p w14:paraId="68F0361D">
      <w:pPr>
        <w:adjustRightInd w:val="0"/>
        <w:spacing w:before="22" w:line="360" w:lineRule="exact"/>
        <w:rPr>
          <w:rFonts w:hint="eastAsia" w:ascii="宋体" w:hAnsi="宋体" w:cs="Arial Unicode MS"/>
          <w:szCs w:val="21"/>
        </w:rPr>
      </w:pPr>
      <w:r>
        <w:rPr>
          <w:rFonts w:ascii="宋体" w:hAnsi="宋体" w:cs="Arial Unicode MS"/>
          <w:szCs w:val="21"/>
        </w:rPr>
        <w:t>（说明：（6）、（7）、（8）填空内容分别限于技术标准和要求、图纸、已标价工程量清单三者之 一。）</w:t>
      </w:r>
    </w:p>
    <w:p w14:paraId="6258DA56">
      <w:pPr>
        <w:adjustRightInd w:val="0"/>
        <w:spacing w:before="9"/>
        <w:rPr>
          <w:rFonts w:hint="eastAsia" w:ascii="宋体" w:hAnsi="宋体" w:cs="Arial Unicode MS"/>
          <w:sz w:val="17"/>
          <w:szCs w:val="17"/>
        </w:rPr>
      </w:pPr>
    </w:p>
    <w:p w14:paraId="05BD135A">
      <w:pPr>
        <w:pStyle w:val="34"/>
        <w:tabs>
          <w:tab w:val="left" w:pos="1254"/>
        </w:tabs>
        <w:adjustRightInd w:val="0"/>
        <w:rPr>
          <w:rFonts w:hint="eastAsia"/>
        </w:rPr>
      </w:pPr>
      <w:r>
        <w:t>1.5合同协议书</w:t>
      </w:r>
    </w:p>
    <w:p w14:paraId="419C0BB5">
      <w:pPr>
        <w:adjustRightInd w:val="0"/>
        <w:spacing w:before="1"/>
        <w:rPr>
          <w:rFonts w:hint="eastAsia" w:ascii="宋体" w:hAnsi="宋体" w:cs="Arial Unicode MS"/>
          <w:sz w:val="17"/>
          <w:szCs w:val="17"/>
        </w:rPr>
      </w:pPr>
    </w:p>
    <w:p w14:paraId="1A79F872">
      <w:pPr>
        <w:adjustRightInd w:val="0"/>
        <w:rPr>
          <w:rFonts w:hint="eastAsia" w:ascii="宋体" w:hAnsi="宋体" w:cs="Arial Unicode MS"/>
          <w:szCs w:val="21"/>
        </w:rPr>
      </w:pPr>
      <w:r>
        <w:rPr>
          <w:rFonts w:ascii="宋体" w:hAnsi="宋体" w:cs="Arial Unicode MS"/>
          <w:szCs w:val="21"/>
        </w:rPr>
        <w:t xml:space="preserve">合同生效的条件： </w:t>
      </w:r>
      <w:r>
        <w:rPr>
          <w:rFonts w:ascii="宋体" w:hAnsi="宋体" w:cs="Arial Unicode MS"/>
          <w:szCs w:val="21"/>
          <w:u w:val="single"/>
        </w:rPr>
        <w:t>合同双方授权代表签字并加盖公章之日起生效</w:t>
      </w:r>
      <w:r>
        <w:rPr>
          <w:rFonts w:hint="eastAsia" w:ascii="宋体" w:hAnsi="宋体" w:cs="Arial Unicode MS"/>
          <w:szCs w:val="21"/>
          <w:u w:val="single"/>
        </w:rPr>
        <w:t>。</w:t>
      </w:r>
    </w:p>
    <w:p w14:paraId="543CF126">
      <w:pPr>
        <w:adjustRightInd w:val="0"/>
        <w:spacing w:before="11"/>
        <w:rPr>
          <w:rFonts w:hint="eastAsia" w:ascii="宋体" w:hAnsi="宋体" w:cs="Arial Unicode MS"/>
          <w:szCs w:val="21"/>
        </w:rPr>
      </w:pPr>
    </w:p>
    <w:p w14:paraId="40FC2070">
      <w:pPr>
        <w:pStyle w:val="34"/>
        <w:tabs>
          <w:tab w:val="left" w:pos="599"/>
        </w:tabs>
        <w:adjustRightInd w:val="0"/>
        <w:spacing w:line="371" w:lineRule="exact"/>
        <w:jc w:val="left"/>
        <w:rPr>
          <w:rFonts w:hint="eastAsia"/>
        </w:rPr>
      </w:pPr>
      <w:r>
        <w:t>1.6</w:t>
      </w:r>
      <w:r>
        <w:tab/>
      </w:r>
      <w:r>
        <w:t>图纸和承包人文件</w:t>
      </w:r>
    </w:p>
    <w:p w14:paraId="2375362A">
      <w:pPr>
        <w:adjustRightInd w:val="0"/>
        <w:spacing w:before="1"/>
        <w:rPr>
          <w:rFonts w:hint="eastAsia" w:ascii="宋体" w:hAnsi="宋体" w:cs="Arial Unicode MS"/>
          <w:sz w:val="17"/>
          <w:szCs w:val="17"/>
        </w:rPr>
      </w:pPr>
    </w:p>
    <w:p w14:paraId="62ABBC0D">
      <w:pPr>
        <w:tabs>
          <w:tab w:val="left" w:pos="1809"/>
        </w:tabs>
        <w:adjustRightInd w:val="0"/>
        <w:spacing w:line="364" w:lineRule="exact"/>
        <w:rPr>
          <w:rFonts w:hint="eastAsia" w:ascii="宋体" w:hAnsi="宋体" w:cs="Arial Unicode MS"/>
          <w:szCs w:val="21"/>
        </w:rPr>
      </w:pPr>
      <w:r>
        <w:rPr>
          <w:rFonts w:ascii="宋体" w:hAnsi="宋体" w:cs="Arial Unicode MS"/>
          <w:szCs w:val="21"/>
        </w:rPr>
        <w:t>1.6.1图纸的提供</w:t>
      </w:r>
    </w:p>
    <w:p w14:paraId="715A33E8">
      <w:pPr>
        <w:adjustRightInd w:val="0"/>
        <w:spacing w:before="16" w:line="420" w:lineRule="exact"/>
        <w:rPr>
          <w:rFonts w:hint="eastAsia" w:ascii="宋体" w:hAnsi="宋体" w:cs="Arial Unicode MS"/>
          <w:szCs w:val="21"/>
          <w:u w:val="single"/>
        </w:rPr>
      </w:pPr>
      <w:r>
        <w:rPr>
          <w:rFonts w:ascii="宋体" w:hAnsi="宋体" w:cs="Arial Unicode MS"/>
          <w:szCs w:val="21"/>
        </w:rPr>
        <w:t>（5）发包人提供图纸的期限：</w:t>
      </w:r>
      <w:r>
        <w:rPr>
          <w:rFonts w:ascii="宋体" w:hAnsi="宋体" w:cs="Arial Unicode MS"/>
          <w:szCs w:val="21"/>
          <w:u w:val="single"/>
        </w:rPr>
        <w:t xml:space="preserve">合同生效后7个工作日内 </w:t>
      </w:r>
    </w:p>
    <w:p w14:paraId="2C864EC8">
      <w:pPr>
        <w:adjustRightInd w:val="0"/>
        <w:spacing w:before="16" w:line="420" w:lineRule="exact"/>
        <w:rPr>
          <w:rFonts w:hint="eastAsia" w:ascii="宋体" w:hAnsi="宋体" w:cs="Arial Unicode MS"/>
          <w:szCs w:val="21"/>
          <w:u w:val="single"/>
        </w:rPr>
      </w:pPr>
      <w:r>
        <w:rPr>
          <w:rFonts w:ascii="宋体" w:hAnsi="宋体" w:cs="Arial Unicode MS"/>
          <w:szCs w:val="21"/>
        </w:rPr>
        <w:t>发包人提供图纸的数量：</w:t>
      </w:r>
      <w:r>
        <w:rPr>
          <w:rFonts w:ascii="宋体" w:hAnsi="宋体" w:cs="Arial Unicode MS"/>
          <w:szCs w:val="21"/>
          <w:u w:val="single"/>
        </w:rPr>
        <w:t xml:space="preserve">提供4套施工图纸（含2套用于竣工图） </w:t>
      </w:r>
    </w:p>
    <w:p w14:paraId="3789201B">
      <w:pPr>
        <w:adjustRightInd w:val="0"/>
        <w:spacing w:before="16" w:line="420" w:lineRule="exact"/>
        <w:rPr>
          <w:rFonts w:hint="eastAsia" w:ascii="宋体" w:hAnsi="宋体" w:cs="Arial Unicode MS"/>
          <w:szCs w:val="21"/>
        </w:rPr>
      </w:pPr>
      <w:r>
        <w:rPr>
          <w:rFonts w:ascii="宋体" w:hAnsi="宋体" w:cs="Arial Unicode MS"/>
          <w:szCs w:val="21"/>
        </w:rPr>
        <w:t>其他约定：</w:t>
      </w:r>
      <w:r>
        <w:rPr>
          <w:rFonts w:ascii="宋体" w:hAnsi="宋体" w:cs="Arial Unicode MS"/>
          <w:szCs w:val="21"/>
          <w:u w:val="single"/>
        </w:rPr>
        <w:t>/</w:t>
      </w:r>
      <w:r>
        <w:rPr>
          <w:rFonts w:hint="eastAsia" w:ascii="宋体" w:hAnsi="宋体" w:cs="Arial Unicode MS"/>
          <w:szCs w:val="21"/>
          <w:u w:val="single"/>
        </w:rPr>
        <w:t xml:space="preserve">         </w:t>
      </w:r>
    </w:p>
    <w:p w14:paraId="22A1704C">
      <w:pPr>
        <w:tabs>
          <w:tab w:val="left" w:pos="1809"/>
        </w:tabs>
        <w:adjustRightInd w:val="0"/>
        <w:spacing w:line="344" w:lineRule="exact"/>
        <w:rPr>
          <w:rFonts w:hint="eastAsia" w:ascii="宋体" w:hAnsi="宋体" w:cs="Arial Unicode MS"/>
          <w:szCs w:val="21"/>
        </w:rPr>
      </w:pPr>
      <w:r>
        <w:rPr>
          <w:rFonts w:ascii="宋体" w:hAnsi="宋体" w:cs="Arial Unicode MS"/>
          <w:szCs w:val="21"/>
        </w:rPr>
        <w:t>1.6.2承包人提供的文件</w:t>
      </w:r>
    </w:p>
    <w:p w14:paraId="265DC7D6">
      <w:pPr>
        <w:adjustRightInd w:val="0"/>
        <w:spacing w:line="360" w:lineRule="exact"/>
        <w:rPr>
          <w:rFonts w:hint="eastAsia" w:ascii="宋体" w:hAnsi="宋体" w:cs="Arial Unicode MS"/>
          <w:szCs w:val="21"/>
        </w:rPr>
      </w:pPr>
      <w:r>
        <w:rPr>
          <w:rFonts w:ascii="宋体" w:hAnsi="宋体" w:cs="Arial Unicode MS"/>
          <w:szCs w:val="21"/>
        </w:rPr>
        <w:t>（1）由承包人提供的文件范围：</w:t>
      </w:r>
    </w:p>
    <w:p w14:paraId="76C8275E">
      <w:pPr>
        <w:pStyle w:val="34"/>
        <w:adjustRightInd w:val="0"/>
        <w:spacing w:before="16" w:line="420" w:lineRule="exact"/>
        <w:ind w:firstLine="750"/>
        <w:rPr>
          <w:rFonts w:hint="eastAsia"/>
          <w:sz w:val="21"/>
          <w:szCs w:val="21"/>
        </w:rPr>
      </w:pPr>
      <w:r>
        <w:rPr>
          <w:sz w:val="21"/>
          <w:szCs w:val="21"/>
          <w:u w:val="single"/>
        </w:rPr>
        <w:t>承包人有责任检查由发包人提供的所有图纸和文件以及经发包人/监理人/设计单位审批的施工图、大样图和配合图；一旦在这些图纸或文件中发现任何不一致，承包人应立即以 书面形式将此类差异报告给监理人并请求澄清。如果承包人需要任何进一步的图纸，承包人 应在相关工作开始前充裕的时间内以书面形式向发包人/监理人申请此类图纸。承包人应注 意图纸和文件中要求的预留洞和预埋件等并在工程实施过程中严格检查落实，发包人不会为 今后重新补做任何被承包人遗漏的预留洞和预埋件等支付额外的费用。</w:t>
      </w:r>
    </w:p>
    <w:p w14:paraId="779B3E0D">
      <w:pPr>
        <w:adjustRightInd w:val="0"/>
        <w:spacing w:line="344" w:lineRule="exact"/>
        <w:rPr>
          <w:rFonts w:hint="eastAsia" w:ascii="宋体" w:hAnsi="宋体" w:cs="Arial Unicode MS"/>
          <w:szCs w:val="21"/>
        </w:rPr>
      </w:pPr>
      <w:r>
        <w:rPr>
          <w:rFonts w:ascii="宋体" w:hAnsi="宋体" w:cs="Arial Unicode MS"/>
          <w:szCs w:val="21"/>
        </w:rPr>
        <w:t>承包人提供文件的期限：</w:t>
      </w:r>
    </w:p>
    <w:p w14:paraId="19A87123">
      <w:pPr>
        <w:pStyle w:val="34"/>
        <w:tabs>
          <w:tab w:val="left" w:pos="2279"/>
        </w:tabs>
        <w:adjustRightInd w:val="0"/>
        <w:spacing w:line="360" w:lineRule="auto"/>
        <w:rPr>
          <w:rFonts w:hint="eastAsia"/>
          <w:sz w:val="21"/>
          <w:szCs w:val="21"/>
        </w:rPr>
      </w:pPr>
      <w:r>
        <w:rPr>
          <w:sz w:val="21"/>
          <w:szCs w:val="21"/>
          <w:u w:val="single"/>
        </w:rPr>
        <w:t>相关工作开展前7天</w:t>
      </w:r>
      <w:r>
        <w:rPr>
          <w:sz w:val="21"/>
          <w:szCs w:val="21"/>
          <w:u w:val="single"/>
        </w:rPr>
        <w:tab/>
      </w:r>
    </w:p>
    <w:p w14:paraId="6E08FB4B">
      <w:pPr>
        <w:adjustRightInd w:val="0"/>
        <w:spacing w:line="360" w:lineRule="auto"/>
        <w:rPr>
          <w:rFonts w:hint="eastAsia" w:ascii="宋体" w:hAnsi="宋体" w:cs="Arial Unicode MS"/>
          <w:szCs w:val="21"/>
        </w:rPr>
      </w:pPr>
      <w:r>
        <w:rPr>
          <w:rFonts w:ascii="宋体" w:hAnsi="宋体" w:cs="Arial Unicode MS"/>
          <w:szCs w:val="21"/>
        </w:rPr>
        <w:t xml:space="preserve">承包人提供文件的数量： </w:t>
      </w:r>
      <w:r>
        <w:rPr>
          <w:rFonts w:ascii="宋体" w:hAnsi="宋体" w:cs="Arial Unicode MS"/>
          <w:szCs w:val="21"/>
          <w:u w:val="single"/>
        </w:rPr>
        <w:t xml:space="preserve">为满足工程需要及审批需要，至少纸质版文件8份、电子版1份。 </w:t>
      </w:r>
    </w:p>
    <w:p w14:paraId="699D5332">
      <w:pPr>
        <w:adjustRightInd w:val="0"/>
        <w:spacing w:line="360" w:lineRule="auto"/>
        <w:rPr>
          <w:rFonts w:hint="eastAsia" w:ascii="宋体" w:hAnsi="宋体"/>
          <w:szCs w:val="21"/>
        </w:rPr>
      </w:pPr>
      <w:r>
        <w:rPr>
          <w:rFonts w:ascii="宋体" w:hAnsi="宋体" w:cs="Arial Unicode MS"/>
          <w:szCs w:val="21"/>
        </w:rPr>
        <w:t>监理人批复承包人提供文件的期限：</w:t>
      </w:r>
      <w:r>
        <w:rPr>
          <w:rFonts w:ascii="宋体" w:hAnsi="宋体"/>
          <w:szCs w:val="21"/>
        </w:rPr>
        <mc:AlternateContent>
          <mc:Choice Requires="wpg">
            <w:drawing>
              <wp:anchor distT="0" distB="0" distL="114300" distR="114300" simplePos="0" relativeHeight="251661312" behindDoc="0" locked="0" layoutInCell="1" allowOverlap="1">
                <wp:simplePos x="0" y="0"/>
                <wp:positionH relativeFrom="page">
                  <wp:posOffset>542925</wp:posOffset>
                </wp:positionH>
                <wp:positionV relativeFrom="page">
                  <wp:posOffset>895350</wp:posOffset>
                </wp:positionV>
                <wp:extent cx="1270" cy="8905875"/>
                <wp:effectExtent l="0" t="0" r="0" b="0"/>
                <wp:wrapNone/>
                <wp:docPr id="17" name="组合 17"/>
                <wp:cNvGraphicFramePr/>
                <a:graphic xmlns:a="http://schemas.openxmlformats.org/drawingml/2006/main">
                  <a:graphicData uri="http://schemas.microsoft.com/office/word/2010/wordprocessingGroup">
                    <wpg:wgp>
                      <wpg:cNvGrpSpPr/>
                      <wpg:grpSpPr>
                        <a:xfrm>
                          <a:off x="0" y="0"/>
                          <a:ext cx="1270" cy="8905875"/>
                          <a:chOff x="855" y="1410"/>
                          <a:chExt cx="2" cy="14025"/>
                        </a:xfrm>
                      </wpg:grpSpPr>
                      <wps:wsp>
                        <wps:cNvPr id="16" name="任意多边形 16"/>
                        <wps:cNvSpPr/>
                        <wps:spPr>
                          <a:xfrm>
                            <a:off x="855" y="1410"/>
                            <a:ext cx="2" cy="14025"/>
                          </a:xfrm>
                          <a:custGeom>
                            <a:avLst/>
                            <a:gdLst/>
                            <a:ahLst/>
                            <a:cxnLst/>
                            <a:rect l="0" t="0" r="0" b="0"/>
                            <a:pathLst>
                              <a:path h="14025">
                                <a:moveTo>
                                  <a:pt x="0" y="0"/>
                                </a:moveTo>
                                <a:lnTo>
                                  <a:pt x="0" y="14025"/>
                                </a:lnTo>
                                <a:lnTo>
                                  <a:pt x="0" y="0"/>
                                </a:lnTo>
                                <a:close/>
                              </a:path>
                            </a:pathLst>
                          </a:custGeom>
                          <a:solidFill>
                            <a:srgbClr val="000000"/>
                          </a:solidFill>
                          <a:ln>
                            <a:noFill/>
                          </a:ln>
                        </wps:spPr>
                        <wps:bodyPr upright="1"/>
                      </wps:wsp>
                    </wpg:wgp>
                  </a:graphicData>
                </a:graphic>
              </wp:anchor>
            </w:drawing>
          </mc:Choice>
          <mc:Fallback>
            <w:pict>
              <v:group id="_x0000_s1026" o:spid="_x0000_s1026" o:spt="203" style="position:absolute;left:0pt;margin-left:42.75pt;margin-top:70.5pt;height:701.25pt;width:0.1pt;mso-position-horizontal-relative:page;mso-position-vertical-relative:page;z-index:251661312;mso-width-relative:page;mso-height-relative:page;" coordorigin="855,1410" coordsize="2,14025" o:gfxdata="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">
                <o:lock v:ext="edit" aspectratio="f"/>
                <v:shape id="_x0000_s1026" o:spid="_x0000_s1026" o:spt="100" style="position:absolute;left:855;top:1410;height:14025;width:2;" fillcolor="#000000" filled="t" stroked="f" coordsize="1,14025" o:gfxdata="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X3j0iugAAANsA&#10;AAAPAAAAAAAAAAEAIAAAACIAAABkcnMvZG93bnJldi54bWxQSwECFAAUAAAACACHTuJAMy8FnjsA&#10;AAA5AAAAEAAAAAAAAAABACAAAAAJAQAAZHJzL3NoYXBleG1sLnhtbFBLBQYAAAAABgAGAFsBAACz&#10;AwAAAAA=&#10;" path="m0,0l0,14025,0,0xe">
                  <v:fill on="t" focussize="0,0"/>
                  <v:stroke on="f"/>
                  <v:imagedata o:title=""/>
                  <o:lock v:ext="edit" aspectratio="f"/>
                </v:shape>
              </v:group>
            </w:pict>
          </mc:Fallback>
        </mc:AlternateContent>
      </w:r>
      <w:r>
        <w:rPr>
          <w:rFonts w:ascii="宋体" w:hAnsi="宋体"/>
          <w:szCs w:val="21"/>
          <w:u w:val="single"/>
        </w:rPr>
        <w:t>收到承包人提供的文件之日起5天内</w:t>
      </w:r>
    </w:p>
    <w:p w14:paraId="538D952E">
      <w:pPr>
        <w:adjustRightInd w:val="0"/>
        <w:spacing w:line="360" w:lineRule="auto"/>
        <w:rPr>
          <w:rFonts w:hint="eastAsia" w:ascii="宋体" w:hAnsi="宋体"/>
          <w:szCs w:val="21"/>
        </w:rPr>
      </w:pPr>
      <w:r>
        <w:rPr>
          <w:rFonts w:ascii="宋体" w:hAnsi="宋体" w:cs="Arial Unicode MS"/>
          <w:szCs w:val="21"/>
        </w:rPr>
        <w:t>其他约定：</w:t>
      </w:r>
      <w:r>
        <w:rPr>
          <w:rFonts w:hint="eastAsia" w:cs="宋体" w:asciiTheme="minorEastAsia" w:hAnsiTheme="minorEastAsia" w:eastAsiaTheme="minorEastAsia"/>
          <w:u w:val="single"/>
        </w:rPr>
        <w:t>承包人提供的文件应在各方面都是完整和符合有关规范的，承包人须对自己提供文件的正确性负责。</w:t>
      </w:r>
    </w:p>
    <w:p w14:paraId="79A0F4C0">
      <w:pPr>
        <w:pStyle w:val="34"/>
        <w:tabs>
          <w:tab w:val="left" w:pos="1254"/>
        </w:tabs>
        <w:adjustRightInd w:val="0"/>
        <w:spacing w:line="371" w:lineRule="exact"/>
        <w:rPr>
          <w:rFonts w:hint="eastAsia"/>
          <w:sz w:val="21"/>
          <w:szCs w:val="21"/>
        </w:rPr>
      </w:pPr>
      <w:r>
        <w:rPr>
          <w:sz w:val="21"/>
          <w:szCs w:val="21"/>
        </w:rPr>
        <w:t>1.7联  络</w:t>
      </w:r>
    </w:p>
    <w:p w14:paraId="2EDA714C">
      <w:pPr>
        <w:tabs>
          <w:tab w:val="left" w:pos="1809"/>
        </w:tabs>
        <w:adjustRightInd w:val="0"/>
        <w:spacing w:line="364" w:lineRule="exact"/>
        <w:rPr>
          <w:rFonts w:hint="eastAsia" w:ascii="宋体" w:hAnsi="宋体" w:cs="Arial Unicode MS"/>
          <w:szCs w:val="21"/>
        </w:rPr>
      </w:pPr>
      <w:r>
        <w:rPr>
          <w:rFonts w:ascii="宋体" w:hAnsi="宋体" w:cs="Arial Unicode MS"/>
          <w:szCs w:val="21"/>
        </w:rPr>
        <w:t>1.7.2联络来往函件的送达和接收</w:t>
      </w:r>
    </w:p>
    <w:p w14:paraId="0D393AB8">
      <w:pPr>
        <w:tabs>
          <w:tab w:val="left" w:pos="3688"/>
        </w:tabs>
        <w:adjustRightInd w:val="0"/>
        <w:spacing w:line="360" w:lineRule="auto"/>
        <w:rPr>
          <w:rFonts w:hint="eastAsia" w:ascii="宋体" w:hAnsi="宋体" w:cs="Arial Unicode MS"/>
          <w:szCs w:val="21"/>
          <w:u w:val="single"/>
        </w:rPr>
      </w:pPr>
      <w:r>
        <w:rPr>
          <w:rFonts w:ascii="宋体" w:hAnsi="宋体" w:cs="Arial Unicode MS"/>
          <w:szCs w:val="21"/>
        </w:rPr>
        <w:t>（2）发包人指定的接收地点：</w:t>
      </w:r>
      <w:r>
        <w:rPr>
          <w:rFonts w:hint="eastAsia" w:ascii="宋体" w:hAnsi="宋体" w:cs="Arial Unicode MS"/>
          <w:szCs w:val="21"/>
          <w:u w:val="single"/>
        </w:rPr>
        <w:t xml:space="preserve">     </w:t>
      </w:r>
      <w:r>
        <w:rPr>
          <w:rFonts w:ascii="宋体" w:hAnsi="宋体" w:cs="Arial Unicode MS"/>
          <w:szCs w:val="21"/>
          <w:u w:val="single"/>
        </w:rPr>
        <w:t xml:space="preserve"> </w:t>
      </w:r>
      <w:r>
        <w:rPr>
          <w:rFonts w:hint="eastAsia" w:ascii="宋体" w:hAnsi="宋体" w:cs="Arial Unicode MS"/>
          <w:szCs w:val="21"/>
          <w:u w:val="single"/>
        </w:rPr>
        <w:t xml:space="preserve">               </w:t>
      </w:r>
    </w:p>
    <w:p w14:paraId="678E4A9B">
      <w:pPr>
        <w:tabs>
          <w:tab w:val="left" w:pos="3688"/>
        </w:tabs>
        <w:adjustRightInd w:val="0"/>
        <w:spacing w:line="360" w:lineRule="auto"/>
        <w:rPr>
          <w:rFonts w:hint="eastAsia" w:ascii="宋体" w:hAnsi="宋体"/>
          <w:szCs w:val="21"/>
        </w:rPr>
      </w:pPr>
      <w:r>
        <w:rPr>
          <w:rFonts w:ascii="宋体" w:hAnsi="宋体" w:cs="Arial Unicode MS"/>
          <w:szCs w:val="21"/>
        </w:rPr>
        <w:t>发包人指定的接收人为：</w:t>
      </w:r>
      <w:r>
        <w:rPr>
          <w:rFonts w:hint="eastAsia" w:ascii="宋体" w:hAnsi="宋体" w:cs="Arial Unicode MS"/>
          <w:szCs w:val="21"/>
          <w:u w:val="single"/>
        </w:rPr>
        <w:t xml:space="preserve">     </w:t>
      </w:r>
      <w:r>
        <w:rPr>
          <w:rFonts w:ascii="宋体" w:hAnsi="宋体" w:cs="Arial Unicode MS"/>
          <w:szCs w:val="21"/>
          <w:u w:val="single"/>
        </w:rPr>
        <w:t xml:space="preserve"> </w:t>
      </w:r>
      <w:r>
        <w:rPr>
          <w:rFonts w:hint="eastAsia" w:ascii="宋体" w:hAnsi="宋体" w:cs="Arial Unicode MS"/>
          <w:szCs w:val="21"/>
          <w:u w:val="single"/>
        </w:rPr>
        <w:t xml:space="preserve">               </w:t>
      </w:r>
    </w:p>
    <w:p w14:paraId="58D10B20">
      <w:pPr>
        <w:adjustRightInd w:val="0"/>
        <w:spacing w:line="360" w:lineRule="auto"/>
        <w:rPr>
          <w:rFonts w:hint="eastAsia" w:ascii="宋体" w:hAnsi="宋体" w:cs="Arial Unicode MS"/>
          <w:szCs w:val="21"/>
        </w:rPr>
      </w:pPr>
      <w:r>
        <w:rPr>
          <w:rFonts w:ascii="宋体" w:hAnsi="宋体" w:cs="Arial Unicode MS"/>
          <w:szCs w:val="21"/>
        </w:rPr>
        <w:t>（3）监理人指定的接收地点：</w:t>
      </w:r>
      <w:r>
        <w:rPr>
          <w:rFonts w:hint="eastAsia" w:ascii="宋体" w:hAnsi="宋体" w:cs="Arial Unicode MS"/>
          <w:szCs w:val="21"/>
          <w:u w:val="single"/>
        </w:rPr>
        <w:t xml:space="preserve">     </w:t>
      </w:r>
      <w:r>
        <w:rPr>
          <w:rFonts w:ascii="宋体" w:hAnsi="宋体" w:cs="Arial Unicode MS"/>
          <w:szCs w:val="21"/>
          <w:u w:val="single"/>
        </w:rPr>
        <w:t xml:space="preserve"> </w:t>
      </w:r>
      <w:r>
        <w:rPr>
          <w:rFonts w:hint="eastAsia" w:ascii="宋体" w:hAnsi="宋体" w:cs="Arial Unicode MS"/>
          <w:szCs w:val="21"/>
          <w:u w:val="single"/>
        </w:rPr>
        <w:t xml:space="preserve">               </w:t>
      </w:r>
    </w:p>
    <w:p w14:paraId="66A4BD43">
      <w:pPr>
        <w:adjustRightInd w:val="0"/>
        <w:spacing w:line="360" w:lineRule="auto"/>
        <w:rPr>
          <w:rFonts w:hint="eastAsia" w:ascii="宋体" w:hAnsi="宋体" w:cs="Arial Unicode MS"/>
          <w:szCs w:val="21"/>
        </w:rPr>
      </w:pPr>
      <w:r>
        <w:rPr>
          <w:rFonts w:ascii="宋体" w:hAnsi="宋体" w:cs="Arial Unicode MS"/>
          <w:szCs w:val="21"/>
        </w:rPr>
        <w:t xml:space="preserve">监理人指定的接收人为： </w:t>
      </w:r>
      <w:r>
        <w:rPr>
          <w:rFonts w:hint="eastAsia" w:ascii="宋体" w:hAnsi="宋体" w:cs="Arial Unicode MS"/>
          <w:szCs w:val="21"/>
          <w:u w:val="single"/>
        </w:rPr>
        <w:t xml:space="preserve">          </w:t>
      </w:r>
    </w:p>
    <w:p w14:paraId="58FDB018">
      <w:pPr>
        <w:adjustRightInd w:val="0"/>
        <w:spacing w:line="360" w:lineRule="auto"/>
        <w:rPr>
          <w:rFonts w:hint="eastAsia" w:ascii="宋体" w:hAnsi="宋体" w:cs="Arial Unicode MS"/>
          <w:szCs w:val="21"/>
        </w:rPr>
      </w:pPr>
      <w:r>
        <w:rPr>
          <w:rFonts w:ascii="宋体" w:hAnsi="宋体" w:cs="Arial Unicode MS"/>
          <w:szCs w:val="21"/>
        </w:rPr>
        <w:t>（4）承包人指定的接收地点：</w:t>
      </w:r>
      <w:r>
        <w:rPr>
          <w:rFonts w:hint="eastAsia" w:ascii="宋体" w:hAnsi="宋体" w:cs="Arial Unicode MS"/>
          <w:szCs w:val="21"/>
          <w:u w:val="single"/>
        </w:rPr>
        <w:t xml:space="preserve">     </w:t>
      </w:r>
      <w:r>
        <w:rPr>
          <w:rFonts w:ascii="宋体" w:hAnsi="宋体" w:cs="Arial Unicode MS"/>
          <w:szCs w:val="21"/>
          <w:u w:val="single"/>
        </w:rPr>
        <w:t xml:space="preserve"> </w:t>
      </w:r>
      <w:r>
        <w:rPr>
          <w:rFonts w:hint="eastAsia" w:ascii="宋体" w:hAnsi="宋体" w:cs="Arial Unicode MS"/>
          <w:szCs w:val="21"/>
          <w:u w:val="single"/>
        </w:rPr>
        <w:t xml:space="preserve">               </w:t>
      </w:r>
    </w:p>
    <w:p w14:paraId="1759731F">
      <w:pPr>
        <w:pStyle w:val="3"/>
        <w:spacing w:line="439" w:lineRule="exact"/>
        <w:jc w:val="both"/>
        <w:rPr>
          <w:rFonts w:hint="eastAsia" w:hAnsi="宋体" w:cs="Arial Unicode MS"/>
          <w:sz w:val="23"/>
          <w:szCs w:val="23"/>
        </w:rPr>
      </w:pPr>
      <w:r>
        <w:rPr>
          <w:rFonts w:hAnsi="宋体"/>
          <w:szCs w:val="32"/>
        </w:rPr>
        <w:t>2.发包人义务</w:t>
      </w:r>
    </w:p>
    <w:p w14:paraId="5DA21D0A">
      <w:pPr>
        <w:pStyle w:val="34"/>
        <w:tabs>
          <w:tab w:val="left" w:pos="1254"/>
        </w:tabs>
        <w:adjustRightInd w:val="0"/>
        <w:rPr>
          <w:rFonts w:hint="eastAsia"/>
        </w:rPr>
      </w:pPr>
      <w:r>
        <w:t>2.3提供施工场地</w:t>
      </w:r>
    </w:p>
    <w:p w14:paraId="2F40EBFD">
      <w:pPr>
        <w:adjustRightInd w:val="0"/>
        <w:spacing w:line="406" w:lineRule="exact"/>
        <w:ind w:firstLine="420" w:firstLineChars="200"/>
        <w:rPr>
          <w:rFonts w:hint="eastAsia" w:ascii="宋体" w:hAnsi="宋体" w:cs="Arial Unicode MS"/>
          <w:szCs w:val="21"/>
        </w:rPr>
      </w:pPr>
      <w:r>
        <w:rPr>
          <w:rFonts w:ascii="宋体" w:hAnsi="宋体" w:cs="Arial Unicode MS"/>
          <w:szCs w:val="21"/>
        </w:rPr>
        <w:t>发包人移交施工场地的期限：发包人应当将具备施工条件的施工场地，在监理人发出开工通知中载 明的开工日期</w:t>
      </w:r>
      <w:r>
        <w:rPr>
          <w:rFonts w:ascii="宋体" w:hAnsi="宋体" w:cs="Arial Unicode MS"/>
          <w:sz w:val="24"/>
          <w:u w:val="single"/>
        </w:rPr>
        <w:t>7</w:t>
      </w:r>
      <w:r>
        <w:rPr>
          <w:rFonts w:ascii="宋体" w:hAnsi="宋体" w:cs="Arial Unicode MS"/>
          <w:szCs w:val="21"/>
        </w:rPr>
        <w:t>天前移交给承包人。</w:t>
      </w:r>
    </w:p>
    <w:p w14:paraId="68AA1D34">
      <w:pPr>
        <w:adjustRightInd w:val="0"/>
        <w:spacing w:before="15"/>
        <w:rPr>
          <w:rFonts w:hint="eastAsia" w:ascii="宋体" w:hAnsi="宋体" w:cs="Arial Unicode MS"/>
          <w:sz w:val="17"/>
          <w:szCs w:val="17"/>
        </w:rPr>
      </w:pPr>
    </w:p>
    <w:p w14:paraId="612F3AFE">
      <w:pPr>
        <w:pStyle w:val="34"/>
        <w:tabs>
          <w:tab w:val="left" w:pos="1254"/>
        </w:tabs>
        <w:adjustRightInd w:val="0"/>
        <w:rPr>
          <w:rFonts w:hint="eastAsia"/>
        </w:rPr>
      </w:pPr>
      <w:r>
        <w:t>2.8向承包人提交支付担保</w:t>
      </w:r>
    </w:p>
    <w:p w14:paraId="6BF6F9B6">
      <w:pPr>
        <w:adjustRightInd w:val="0"/>
        <w:spacing w:before="1"/>
        <w:rPr>
          <w:rFonts w:hint="eastAsia" w:ascii="宋体" w:hAnsi="宋体" w:cs="Arial Unicode MS"/>
          <w:sz w:val="17"/>
          <w:szCs w:val="17"/>
        </w:rPr>
      </w:pPr>
    </w:p>
    <w:p w14:paraId="7CD6BA58">
      <w:pPr>
        <w:adjustRightInd w:val="0"/>
        <w:rPr>
          <w:rFonts w:hint="eastAsia" w:ascii="宋体" w:hAnsi="宋体" w:cs="Arial Unicode MS"/>
          <w:sz w:val="24"/>
        </w:rPr>
      </w:pPr>
      <w:r>
        <w:rPr>
          <w:rFonts w:ascii="宋体" w:hAnsi="宋体" w:cs="Arial Unicode MS"/>
          <w:szCs w:val="21"/>
        </w:rPr>
        <w:t>（1）发包人向承包人提交支付担保的金额：</w:t>
      </w:r>
      <w:r>
        <w:rPr>
          <w:rFonts w:ascii="宋体" w:hAnsi="宋体" w:cs="Arial Unicode MS"/>
          <w:sz w:val="24"/>
          <w:u w:val="single"/>
        </w:rPr>
        <w:t>/</w:t>
      </w:r>
    </w:p>
    <w:p w14:paraId="54B7AC4B">
      <w:pPr>
        <w:adjustRightInd w:val="0"/>
        <w:spacing w:before="11"/>
        <w:rPr>
          <w:rFonts w:hint="eastAsia" w:ascii="宋体" w:hAnsi="宋体" w:cs="Arial Unicode MS"/>
          <w:szCs w:val="21"/>
        </w:rPr>
      </w:pPr>
    </w:p>
    <w:p w14:paraId="2559897F">
      <w:pPr>
        <w:pStyle w:val="34"/>
        <w:tabs>
          <w:tab w:val="left" w:pos="1374"/>
        </w:tabs>
        <w:adjustRightInd w:val="0"/>
        <w:spacing w:line="371" w:lineRule="exact"/>
        <w:rPr>
          <w:rFonts w:hint="eastAsia"/>
        </w:rPr>
      </w:pPr>
      <w:r>
        <w:t>2.13其他义务</w:t>
      </w:r>
    </w:p>
    <w:p w14:paraId="76FC9537">
      <w:pPr>
        <w:adjustRightInd w:val="0"/>
        <w:spacing w:before="1"/>
        <w:rPr>
          <w:rFonts w:hint="eastAsia" w:ascii="宋体" w:hAnsi="宋体" w:cs="Arial Unicode MS"/>
          <w:sz w:val="17"/>
          <w:szCs w:val="17"/>
        </w:rPr>
      </w:pPr>
    </w:p>
    <w:p w14:paraId="52F55524">
      <w:pPr>
        <w:adjustRightInd w:val="0"/>
        <w:spacing w:line="364" w:lineRule="exact"/>
        <w:rPr>
          <w:rFonts w:hint="eastAsia" w:ascii="宋体" w:hAnsi="宋体" w:cs="Arial Unicode MS"/>
          <w:szCs w:val="21"/>
        </w:rPr>
      </w:pPr>
      <w:r>
        <w:rPr>
          <w:rFonts w:ascii="宋体" w:hAnsi="宋体" w:cs="Arial Unicode MS"/>
          <w:szCs w:val="21"/>
        </w:rPr>
        <w:t>发包人应当履行的其他义务：</w:t>
      </w:r>
    </w:p>
    <w:p w14:paraId="28D03127">
      <w:pPr>
        <w:pStyle w:val="34"/>
        <w:adjustRightInd w:val="0"/>
        <w:spacing w:line="417" w:lineRule="exact"/>
        <w:rPr>
          <w:rFonts w:hint="eastAsia"/>
          <w:sz w:val="21"/>
          <w:szCs w:val="21"/>
        </w:rPr>
      </w:pPr>
      <w:r>
        <w:rPr>
          <w:sz w:val="21"/>
          <w:szCs w:val="21"/>
          <w:u w:val="single"/>
        </w:rPr>
        <w:t>发包人需要根据本工程施工总承包合同约定提供相应的管理、协调、配合</w:t>
      </w:r>
    </w:p>
    <w:p w14:paraId="55FA6E4C">
      <w:pPr>
        <w:pStyle w:val="3"/>
        <w:spacing w:line="439" w:lineRule="exact"/>
        <w:jc w:val="both"/>
        <w:rPr>
          <w:rFonts w:hint="eastAsia" w:hAnsi="宋体" w:cs="Arial Unicode MS"/>
          <w:sz w:val="23"/>
          <w:szCs w:val="23"/>
        </w:rPr>
      </w:pPr>
      <w:r>
        <w:rPr>
          <w:rFonts w:hAnsi="宋体"/>
          <w:szCs w:val="32"/>
        </w:rPr>
        <w:t>3.监理人</w:t>
      </w:r>
    </w:p>
    <w:p w14:paraId="03663E3E">
      <w:pPr>
        <w:pStyle w:val="34"/>
        <w:tabs>
          <w:tab w:val="left" w:pos="1254"/>
        </w:tabs>
        <w:adjustRightInd w:val="0"/>
        <w:rPr>
          <w:rFonts w:hint="eastAsia"/>
        </w:rPr>
      </w:pPr>
      <w:r>
        <w:t>3.1监理人的职责和权力</w:t>
      </w:r>
    </w:p>
    <w:p w14:paraId="046E81D5">
      <w:pPr>
        <w:adjustRightInd w:val="0"/>
        <w:spacing w:before="1"/>
        <w:rPr>
          <w:rFonts w:hint="eastAsia" w:ascii="宋体" w:hAnsi="宋体" w:cs="Arial Unicode MS"/>
          <w:sz w:val="17"/>
          <w:szCs w:val="17"/>
        </w:rPr>
      </w:pPr>
    </w:p>
    <w:p w14:paraId="1E77696D">
      <w:pPr>
        <w:adjustRightInd w:val="0"/>
        <w:spacing w:line="364" w:lineRule="exact"/>
        <w:rPr>
          <w:rFonts w:hint="eastAsia" w:ascii="宋体" w:hAnsi="宋体" w:cs="Arial Unicode MS"/>
          <w:szCs w:val="21"/>
        </w:rPr>
      </w:pPr>
      <w:r>
        <w:rPr>
          <w:rFonts w:hint="eastAsia" w:ascii="宋体" w:hAnsi="宋体" w:cs="Arial Unicode MS"/>
          <w:szCs w:val="21"/>
        </w:rPr>
        <w:t>3.1.1发包人需批准明确行使的权力：</w:t>
      </w:r>
    </w:p>
    <w:p w14:paraId="6614320B">
      <w:pPr>
        <w:adjustRightInd w:val="0"/>
        <w:spacing w:line="364" w:lineRule="exact"/>
        <w:rPr>
          <w:rFonts w:hint="eastAsia" w:ascii="宋体" w:hAnsi="宋体" w:cs="Arial Unicode MS"/>
          <w:szCs w:val="21"/>
        </w:rPr>
      </w:pPr>
      <w:r>
        <w:rPr>
          <w:rFonts w:hint="eastAsia" w:ascii="宋体" w:hAnsi="宋体" w:cs="Arial Unicode MS"/>
          <w:szCs w:val="21"/>
        </w:rPr>
        <w:t>与本工程的人员、合同、价格、支付、计量、计价、工期、工期延长、质量、建筑使用功能、分包人和供应商的选择、材料和工程设备的审批等有关，须事先经过发包人的审批。不管通用合同条款第3.1.1项如何约定，监理人行使须经发包人批准行使的权力时，应当向承包人出示其行使该权力已经取得发包人批准的文件或者其他合法有效的证明。</w:t>
      </w:r>
    </w:p>
    <w:p w14:paraId="2FD0B9B9">
      <w:pPr>
        <w:adjustRightInd w:val="0"/>
        <w:spacing w:line="364" w:lineRule="exact"/>
        <w:rPr>
          <w:rFonts w:hint="eastAsia" w:ascii="宋体" w:hAnsi="宋体" w:cs="Arial Unicode MS"/>
          <w:szCs w:val="21"/>
        </w:rPr>
      </w:pPr>
      <w:r>
        <w:rPr>
          <w:rFonts w:ascii="宋体" w:hAnsi="宋体" w:cs="Arial Unicode MS"/>
          <w:szCs w:val="21"/>
        </w:rPr>
        <mc:AlternateContent>
          <mc:Choice Requires="wpg">
            <w:drawing>
              <wp:anchor distT="0" distB="0" distL="114300" distR="114300" simplePos="0" relativeHeight="251662336" behindDoc="0" locked="0" layoutInCell="1" allowOverlap="1">
                <wp:simplePos x="0" y="0"/>
                <wp:positionH relativeFrom="page">
                  <wp:posOffset>542925</wp:posOffset>
                </wp:positionH>
                <wp:positionV relativeFrom="page">
                  <wp:posOffset>895350</wp:posOffset>
                </wp:positionV>
                <wp:extent cx="1270" cy="8905875"/>
                <wp:effectExtent l="0" t="0" r="0" b="0"/>
                <wp:wrapNone/>
                <wp:docPr id="19" name="组合 19"/>
                <wp:cNvGraphicFramePr/>
                <a:graphic xmlns:a="http://schemas.openxmlformats.org/drawingml/2006/main">
                  <a:graphicData uri="http://schemas.microsoft.com/office/word/2010/wordprocessingGroup">
                    <wpg:wgp>
                      <wpg:cNvGrpSpPr/>
                      <wpg:grpSpPr>
                        <a:xfrm>
                          <a:off x="0" y="0"/>
                          <a:ext cx="1270" cy="8905875"/>
                          <a:chOff x="855" y="1410"/>
                          <a:chExt cx="2" cy="14025"/>
                        </a:xfrm>
                      </wpg:grpSpPr>
                      <wps:wsp>
                        <wps:cNvPr id="18" name="任意多边形 18"/>
                        <wps:cNvSpPr/>
                        <wps:spPr>
                          <a:xfrm>
                            <a:off x="855" y="1410"/>
                            <a:ext cx="2" cy="14025"/>
                          </a:xfrm>
                          <a:custGeom>
                            <a:avLst/>
                            <a:gdLst/>
                            <a:ahLst/>
                            <a:cxnLst/>
                            <a:rect l="0" t="0" r="0" b="0"/>
                            <a:pathLst>
                              <a:path h="14025">
                                <a:moveTo>
                                  <a:pt x="0" y="0"/>
                                </a:moveTo>
                                <a:lnTo>
                                  <a:pt x="0" y="14025"/>
                                </a:lnTo>
                                <a:lnTo>
                                  <a:pt x="0" y="0"/>
                                </a:lnTo>
                                <a:close/>
                              </a:path>
                            </a:pathLst>
                          </a:custGeom>
                          <a:solidFill>
                            <a:srgbClr val="000000"/>
                          </a:solidFill>
                          <a:ln>
                            <a:noFill/>
                          </a:ln>
                        </wps:spPr>
                        <wps:bodyPr upright="1"/>
                      </wps:wsp>
                    </wpg:wgp>
                  </a:graphicData>
                </a:graphic>
              </wp:anchor>
            </w:drawing>
          </mc:Choice>
          <mc:Fallback>
            <w:pict>
              <v:group id="_x0000_s1026" o:spid="_x0000_s1026" o:spt="203" style="position:absolute;left:0pt;margin-left:42.75pt;margin-top:70.5pt;height:701.25pt;width:0.1pt;mso-position-horizontal-relative:page;mso-position-vertical-relative:page;z-index:251662336;mso-width-relative:page;mso-height-relative:page;" coordorigin="855,1410" coordsize="2,14025" o:gfxdata="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AR6s6fZAAAACgEAAA8AAAAAAAAAAQAgAAAAIgAAAGRycy9kb3ducmV2LnhtbFBLAQIUABQA&#10;AAAIAIdO4kBXzwDZYQIAAHkFAAAOAAAAAAAAAAEAIAAAACgBAABkcnMvZTJvRG9jLnhtbFBLBQYA&#10;AAAABgAGAFkBAAD7BQAAAAA=&#10;">
                <o:lock v:ext="edit" aspectratio="f"/>
                <v:shape id="_x0000_s1026" o:spid="_x0000_s1026" o:spt="100" style="position:absolute;left:855;top:1410;height:14025;width:2;" fillcolor="#000000" filled="t" stroked="f" coordsize="1,14025" o:gfxdata="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CQ0My74A&#10;AADbAAAADwAAAAAAAAABACAAAAAiAAAAZHJzL2Rvd25yZXYueG1sUEsBAhQAFAAAAAgAh07iQDMv&#10;BZ47AAAAOQAAABAAAAAAAAAAAQAgAAAADQEAAGRycy9zaGFwZXhtbC54bWxQSwUGAAAAAAYABgBb&#10;AQAAtwMAAAAA&#10;" path="m0,0l0,14025,0,0xe">
                  <v:fill on="t" focussize="0,0"/>
                  <v:stroke on="f"/>
                  <v:imagedata o:title=""/>
                  <o:lock v:ext="edit" aspectratio="f"/>
                </v:shape>
              </v:group>
            </w:pict>
          </mc:Fallback>
        </mc:AlternateContent>
      </w:r>
      <w:r>
        <w:rPr>
          <w:rFonts w:ascii="宋体" w:hAnsi="宋体" w:cs="Arial Unicode MS"/>
          <w:szCs w:val="21"/>
        </w:rPr>
        <w:t>4.承包人</w:t>
      </w:r>
    </w:p>
    <w:p w14:paraId="7571ACFE">
      <w:pPr>
        <w:pStyle w:val="34"/>
        <w:tabs>
          <w:tab w:val="left" w:pos="1254"/>
        </w:tabs>
        <w:adjustRightInd w:val="0"/>
        <w:rPr>
          <w:rFonts w:hint="eastAsia"/>
        </w:rPr>
      </w:pPr>
      <w:r>
        <w:t>4.1承包人的一般义务</w:t>
      </w:r>
    </w:p>
    <w:p w14:paraId="250694B8">
      <w:pPr>
        <w:adjustRightInd w:val="0"/>
        <w:spacing w:before="1"/>
        <w:rPr>
          <w:rFonts w:hint="eastAsia" w:ascii="宋体" w:hAnsi="宋体" w:cs="Arial Unicode MS"/>
          <w:sz w:val="17"/>
          <w:szCs w:val="17"/>
        </w:rPr>
      </w:pPr>
    </w:p>
    <w:p w14:paraId="088427D8">
      <w:pPr>
        <w:tabs>
          <w:tab w:val="left" w:pos="1809"/>
        </w:tabs>
        <w:adjustRightInd w:val="0"/>
        <w:spacing w:line="364" w:lineRule="exact"/>
        <w:rPr>
          <w:rFonts w:hint="eastAsia" w:ascii="宋体" w:hAnsi="宋体" w:cs="Arial Unicode MS"/>
          <w:szCs w:val="21"/>
        </w:rPr>
      </w:pPr>
      <w:r>
        <w:rPr>
          <w:rFonts w:ascii="宋体" w:hAnsi="宋体" w:cs="Arial Unicode MS"/>
          <w:szCs w:val="21"/>
        </w:rPr>
        <w:t>4.1.8为他人提供方便</w:t>
      </w:r>
    </w:p>
    <w:p w14:paraId="50F94A81">
      <w:pPr>
        <w:adjustRightInd w:val="0"/>
        <w:spacing w:before="19" w:line="360" w:lineRule="exact"/>
        <w:rPr>
          <w:rFonts w:hint="eastAsia" w:ascii="宋体" w:hAnsi="宋体" w:cs="Arial Unicode MS"/>
          <w:szCs w:val="21"/>
        </w:rPr>
      </w:pPr>
      <w:r>
        <w:rPr>
          <w:rFonts w:ascii="宋体" w:hAnsi="宋体" w:cs="Arial Unicode MS"/>
          <w:szCs w:val="21"/>
        </w:rPr>
        <w:t>（1）承包人应当对在施工场地或者附近实施与合同工程有关的其他工作的独立承包人履行管理、协调、配合、照管和服务义务的具体工作内容和要求：</w:t>
      </w:r>
    </w:p>
    <w:p w14:paraId="06AC2A2F">
      <w:pPr>
        <w:pStyle w:val="34"/>
        <w:adjustRightInd w:val="0"/>
        <w:spacing w:line="398" w:lineRule="exact"/>
        <w:rPr>
          <w:rFonts w:hint="eastAsia"/>
          <w:sz w:val="21"/>
          <w:szCs w:val="21"/>
        </w:rPr>
      </w:pPr>
      <w:r>
        <w:rPr>
          <w:sz w:val="21"/>
          <w:szCs w:val="21"/>
          <w:u w:val="single"/>
        </w:rPr>
        <w:t>协助发包</w:t>
      </w:r>
      <w:r>
        <w:rPr>
          <w:rFonts w:hint="eastAsia"/>
          <w:sz w:val="21"/>
          <w:szCs w:val="21"/>
          <w:u w:val="single"/>
        </w:rPr>
        <w:t>人</w:t>
      </w:r>
      <w:r>
        <w:rPr>
          <w:sz w:val="21"/>
          <w:szCs w:val="21"/>
          <w:u w:val="single"/>
        </w:rPr>
        <w:t>办理开工前必要的批准、许可、核准、报备及竣工后必要的报验、送检、备案等手续</w:t>
      </w:r>
      <w:r>
        <w:rPr>
          <w:rFonts w:hint="eastAsia"/>
          <w:sz w:val="21"/>
          <w:szCs w:val="21"/>
          <w:u w:val="single"/>
        </w:rPr>
        <w:t>；</w:t>
      </w:r>
      <w:r>
        <w:rPr>
          <w:sz w:val="21"/>
          <w:szCs w:val="21"/>
          <w:u w:val="single"/>
        </w:rPr>
        <w:t xml:space="preserve"> 为发包人及监理提供办公及生活用房，并配备照明、电话、空调等必要办公条件所需的设施，其费用己包含在措施费中，不再另行支付</w:t>
      </w:r>
      <w:r>
        <w:rPr>
          <w:rFonts w:hint="eastAsia"/>
          <w:sz w:val="21"/>
          <w:szCs w:val="21"/>
          <w:u w:val="single"/>
        </w:rPr>
        <w:t>；</w:t>
      </w:r>
      <w:r>
        <w:rPr>
          <w:sz w:val="21"/>
          <w:szCs w:val="21"/>
          <w:u w:val="single"/>
        </w:rPr>
        <w:t>承包人作为总包方必须及时向分包单位和劳务单位支付工人工资，确保社会稳定，不得因拖欠工资而发生个人或集体上访、扰乱社会及施工现场等治安事件。由此发生的费用被认为己经包括在承包人的签约合同价(投标总报价) 中。</w:t>
      </w:r>
    </w:p>
    <w:p w14:paraId="15DAEF18">
      <w:pPr>
        <w:tabs>
          <w:tab w:val="left" w:pos="1914"/>
        </w:tabs>
        <w:adjustRightInd w:val="0"/>
        <w:spacing w:before="22" w:line="360" w:lineRule="exact"/>
        <w:rPr>
          <w:rFonts w:hint="eastAsia" w:ascii="宋体" w:hAnsi="宋体" w:cs="Arial Unicode MS"/>
          <w:szCs w:val="21"/>
        </w:rPr>
      </w:pPr>
      <w:r>
        <w:rPr>
          <w:rFonts w:ascii="宋体" w:hAnsi="宋体" w:cs="Arial Unicode MS"/>
          <w:szCs w:val="21"/>
        </w:rPr>
        <w:t>4.1.10承包人的设计工作 承包人承担的施工图设计或与工程配套的设计工作内容：</w:t>
      </w:r>
    </w:p>
    <w:p w14:paraId="0B133108">
      <w:pPr>
        <w:pStyle w:val="34"/>
        <w:adjustRightInd w:val="0"/>
        <w:spacing w:line="398" w:lineRule="exact"/>
        <w:rPr>
          <w:rFonts w:hint="eastAsia"/>
          <w:sz w:val="21"/>
          <w:szCs w:val="21"/>
        </w:rPr>
      </w:pPr>
      <w:r>
        <w:rPr>
          <w:sz w:val="21"/>
          <w:szCs w:val="21"/>
          <w:u w:val="single"/>
        </w:rPr>
        <w:t>由承包人负责完成的设计文件（包括二次深化图）属于合同条款第1.6.2项约定的承包人提供的文件，承包人应按照专用合同条款第1.6.2项约定的期限和数量提交，由此发生的费用被认为已经包括在承包人的签约合同价中。</w:t>
      </w:r>
    </w:p>
    <w:p w14:paraId="7A4CB40E">
      <w:pPr>
        <w:tabs>
          <w:tab w:val="left" w:pos="1914"/>
        </w:tabs>
        <w:adjustRightInd w:val="0"/>
        <w:spacing w:line="363" w:lineRule="exact"/>
        <w:rPr>
          <w:rFonts w:hint="eastAsia" w:ascii="宋体" w:hAnsi="宋体" w:cs="Arial Unicode MS"/>
          <w:szCs w:val="21"/>
        </w:rPr>
      </w:pPr>
      <w:r>
        <w:rPr>
          <w:rFonts w:ascii="宋体" w:hAnsi="宋体" w:cs="Arial Unicode MS"/>
          <w:szCs w:val="21"/>
        </w:rPr>
        <w:t>4.1.12其他义务</w:t>
      </w:r>
    </w:p>
    <w:p w14:paraId="6BA4671B">
      <w:pPr>
        <w:adjustRightInd w:val="0"/>
        <w:spacing w:before="19" w:line="360" w:lineRule="exact"/>
        <w:rPr>
          <w:rFonts w:hint="eastAsia" w:ascii="宋体" w:hAnsi="宋体" w:cs="Arial Unicode MS"/>
          <w:szCs w:val="21"/>
        </w:rPr>
      </w:pPr>
      <w:r>
        <w:rPr>
          <w:rFonts w:ascii="宋体" w:hAnsi="宋体" w:cs="Arial Unicode MS"/>
          <w:szCs w:val="21"/>
        </w:rPr>
        <w:t>（1）安全文明施工费由承包人统一管理，承包人对工程安全文明施工负总责。承包人不按分包合同约定支付安全文明施工费，造成分包人不能及时落实安全防护措施导致发生事故的，由承包人负主要责  任。</w:t>
      </w:r>
    </w:p>
    <w:p w14:paraId="1D1477EA">
      <w:pPr>
        <w:adjustRightInd w:val="0"/>
        <w:spacing w:line="360" w:lineRule="exact"/>
        <w:rPr>
          <w:rFonts w:hint="eastAsia" w:ascii="宋体" w:hAnsi="宋体" w:cs="Arial Unicode MS"/>
          <w:szCs w:val="21"/>
        </w:rPr>
      </w:pPr>
      <w:r>
        <w:rPr>
          <w:rFonts w:ascii="宋体" w:hAnsi="宋体" w:cs="Arial Unicode MS"/>
          <w:szCs w:val="21"/>
        </w:rPr>
        <w:t>（2）对于超过一定规模的危大工程（如有），承包人应当组织召开专家论证会对专项施工方案进行论证，并根据专家论证意见对专项方案进行调整，发包人原因造成的专项方案调整，其费用变化由发包 人承担。</w:t>
      </w:r>
    </w:p>
    <w:p w14:paraId="3548FE49">
      <w:pPr>
        <w:adjustRightInd w:val="0"/>
        <w:spacing w:line="341" w:lineRule="exact"/>
        <w:rPr>
          <w:rFonts w:hint="eastAsia" w:ascii="宋体" w:hAnsi="宋体" w:cs="Arial Unicode MS"/>
          <w:szCs w:val="21"/>
        </w:rPr>
      </w:pPr>
      <w:r>
        <w:rPr>
          <w:rFonts w:ascii="宋体" w:hAnsi="宋体" w:cs="Arial Unicode MS"/>
          <w:szCs w:val="21"/>
        </w:rPr>
        <w:t>（3）承包人应履行的其他义务：</w:t>
      </w:r>
    </w:p>
    <w:p w14:paraId="4C500BCA">
      <w:pPr>
        <w:pStyle w:val="34"/>
        <w:adjustRightInd w:val="0"/>
        <w:spacing w:line="417" w:lineRule="exact"/>
        <w:rPr>
          <w:rFonts w:hint="eastAsia"/>
          <w:sz w:val="21"/>
          <w:szCs w:val="21"/>
        </w:rPr>
      </w:pPr>
      <w:r>
        <w:rPr>
          <w:sz w:val="21"/>
          <w:szCs w:val="21"/>
          <w:u w:val="single"/>
        </w:rPr>
        <w:t>1)、委派负责现场管理的承包人代表须持有与本工程相应的资格证书。</w:t>
      </w:r>
    </w:p>
    <w:p w14:paraId="35E112FC">
      <w:pPr>
        <w:pStyle w:val="34"/>
        <w:adjustRightInd w:val="0"/>
        <w:rPr>
          <w:rFonts w:hint="eastAsia"/>
          <w:sz w:val="21"/>
          <w:szCs w:val="21"/>
        </w:rPr>
      </w:pPr>
      <w:r>
        <w:rPr>
          <w:sz w:val="21"/>
          <w:szCs w:val="21"/>
          <w:u w:val="single"/>
        </w:rPr>
        <w:t>2)、承包人为实施本合同雇用的特殊工种的工人和操作人员应受过专门的培训并已取得政府 有关管理机构规定的上岗证书，这些特殊工程包括但不限于：电工、焊工、架子工、防水工、电梯安装人员、施工机械操作人员等，如因承包人违反上述约定用工导致第三方或发包人的损失，承包人应当负责赔偿。</w:t>
      </w:r>
    </w:p>
    <w:p w14:paraId="16A215C8">
      <w:pPr>
        <w:pStyle w:val="34"/>
        <w:adjustRightInd w:val="0"/>
        <w:rPr>
          <w:rFonts w:hint="eastAsia"/>
          <w:sz w:val="21"/>
          <w:szCs w:val="21"/>
          <w:u w:val="single"/>
        </w:rPr>
      </w:pPr>
      <w:r>
        <w:rPr>
          <w:sz w:val="21"/>
          <w:szCs w:val="21"/>
          <w:u w:val="single"/>
        </w:rPr>
        <w:t>3)、关于扬尘治理义务</w:t>
      </w:r>
    </w:p>
    <w:p w14:paraId="632A5107">
      <w:pPr>
        <w:pStyle w:val="34"/>
        <w:adjustRightInd w:val="0"/>
        <w:rPr>
          <w:rFonts w:hint="eastAsia"/>
          <w:sz w:val="21"/>
          <w:szCs w:val="21"/>
        </w:rPr>
      </w:pPr>
      <w:r>
        <w:rPr>
          <w:sz w:val="21"/>
          <w:szCs w:val="21"/>
          <w:u w:val="single"/>
        </w:rPr>
        <w:t>a、承包人应通过有效的技术手段和管理措施将施工产生的扬尘控制在相关指标范围内。确保工地沙土覆盖、工地路面硬化、出工地车辆冲洗车轮、拆除房屋的工地洒水压尘、垃圾分</w:t>
      </w:r>
      <w:r>
        <w:rPr>
          <w:sz w:val="21"/>
          <w:szCs w:val="21"/>
        </w:rPr>
        <mc:AlternateContent>
          <mc:Choice Requires="wpg">
            <w:drawing>
              <wp:anchor distT="0" distB="0" distL="114300" distR="114300" simplePos="0" relativeHeight="251663360" behindDoc="0" locked="0" layoutInCell="1" allowOverlap="1">
                <wp:simplePos x="0" y="0"/>
                <wp:positionH relativeFrom="page">
                  <wp:posOffset>542925</wp:posOffset>
                </wp:positionH>
                <wp:positionV relativeFrom="page">
                  <wp:posOffset>895350</wp:posOffset>
                </wp:positionV>
                <wp:extent cx="1270" cy="8905875"/>
                <wp:effectExtent l="0" t="0" r="0" b="0"/>
                <wp:wrapNone/>
                <wp:docPr id="8" name="组合 8"/>
                <wp:cNvGraphicFramePr/>
                <a:graphic xmlns:a="http://schemas.openxmlformats.org/drawingml/2006/main">
                  <a:graphicData uri="http://schemas.microsoft.com/office/word/2010/wordprocessingGroup">
                    <wpg:wgp>
                      <wpg:cNvGrpSpPr/>
                      <wpg:grpSpPr>
                        <a:xfrm>
                          <a:off x="0" y="0"/>
                          <a:ext cx="1270" cy="8905875"/>
                          <a:chOff x="855" y="1410"/>
                          <a:chExt cx="2" cy="14025"/>
                        </a:xfrm>
                      </wpg:grpSpPr>
                      <wps:wsp>
                        <wps:cNvPr id="12" name="任意多边形 12"/>
                        <wps:cNvSpPr/>
                        <wps:spPr>
                          <a:xfrm>
                            <a:off x="855" y="1410"/>
                            <a:ext cx="2" cy="14025"/>
                          </a:xfrm>
                          <a:custGeom>
                            <a:avLst/>
                            <a:gdLst/>
                            <a:ahLst/>
                            <a:cxnLst/>
                            <a:rect l="0" t="0" r="0" b="0"/>
                            <a:pathLst>
                              <a:path h="14025">
                                <a:moveTo>
                                  <a:pt x="0" y="0"/>
                                </a:moveTo>
                                <a:lnTo>
                                  <a:pt x="0" y="14025"/>
                                </a:lnTo>
                                <a:lnTo>
                                  <a:pt x="0" y="0"/>
                                </a:lnTo>
                                <a:close/>
                              </a:path>
                            </a:pathLst>
                          </a:custGeom>
                          <a:solidFill>
                            <a:srgbClr val="000000"/>
                          </a:solidFill>
                          <a:ln>
                            <a:noFill/>
                          </a:ln>
                        </wps:spPr>
                        <wps:bodyPr upright="1"/>
                      </wps:wsp>
                    </wpg:wgp>
                  </a:graphicData>
                </a:graphic>
              </wp:anchor>
            </w:drawing>
          </mc:Choice>
          <mc:Fallback>
            <w:pict>
              <v:group id="_x0000_s1026" o:spid="_x0000_s1026" o:spt="203" style="position:absolute;left:0pt;margin-left:42.75pt;margin-top:70.5pt;height:701.25pt;width:0.1pt;mso-position-horizontal-relative:page;mso-position-vertical-relative:page;z-index:251663360;mso-width-relative:page;mso-height-relative:page;" coordorigin="855,1410" coordsize="2,14025" o:gfxdata="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">
                <o:lock v:ext="edit" aspectratio="f"/>
                <v:shape id="_x0000_s1026" o:spid="_x0000_s1026" o:spt="100" style="position:absolute;left:855;top:1410;height:14025;width:2;" fillcolor="#000000" filled="t" stroked="f" coordsize="1,14025" o:gfxdata="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aOU7IbsAAADb&#10;AAAADwAAAAAAAAABACAAAAAiAAAAZHJzL2Rvd25yZXYueG1sUEsBAhQAFAAAAAgAh07iQDMvBZ47&#10;AAAAOQAAABAAAAAAAAAAAQAgAAAACgEAAGRycy9zaGFwZXhtbC54bWxQSwUGAAAAAAYABgBbAQAA&#10;tAMAAAAA&#10;" path="m0,0l0,14025,0,0xe">
                  <v:fill on="t" focussize="0,0"/>
                  <v:stroke on="f"/>
                  <v:imagedata o:title=""/>
                  <o:lock v:ext="edit" aspectratio="f"/>
                </v:shape>
              </v:group>
            </w:pict>
          </mc:Fallback>
        </mc:AlternateContent>
      </w:r>
      <w:r>
        <w:rPr>
          <w:sz w:val="21"/>
          <w:szCs w:val="21"/>
          <w:u w:val="single"/>
        </w:rPr>
        <w:t>类密闭存放，并保证渣土运输车辆符合相关规定要求。</w:t>
      </w:r>
    </w:p>
    <w:p w14:paraId="69735C4C">
      <w:pPr>
        <w:pStyle w:val="34"/>
        <w:tabs>
          <w:tab w:val="left" w:pos="7404"/>
        </w:tabs>
        <w:adjustRightInd w:val="0"/>
        <w:rPr>
          <w:rFonts w:hint="eastAsia"/>
          <w:sz w:val="21"/>
          <w:szCs w:val="21"/>
          <w:u w:val="single"/>
        </w:rPr>
      </w:pPr>
      <w:r>
        <w:rPr>
          <w:sz w:val="21"/>
          <w:szCs w:val="21"/>
          <w:u w:val="single"/>
        </w:rPr>
        <w:t xml:space="preserve">b、承包人应在施工期间加强环保意识、保持工地清洁、控制扬尘、杜绝漏撒材料，使得施工现场及周围无扬尘污染。 </w:t>
      </w:r>
    </w:p>
    <w:p w14:paraId="09A8B8E3">
      <w:pPr>
        <w:pStyle w:val="34"/>
        <w:tabs>
          <w:tab w:val="left" w:pos="7404"/>
        </w:tabs>
        <w:adjustRightInd w:val="0"/>
        <w:rPr>
          <w:rFonts w:hint="eastAsia"/>
          <w:sz w:val="21"/>
          <w:szCs w:val="21"/>
          <w:u w:val="single"/>
        </w:rPr>
      </w:pPr>
      <w:r>
        <w:rPr>
          <w:sz w:val="21"/>
          <w:szCs w:val="21"/>
          <w:u w:val="single"/>
        </w:rPr>
        <w:t xml:space="preserve">4)、承包人应服从发包人、监理人的管理与监督。如发包人或监理人发现承包人工作中的安全措施、设施不符合国家、地方、行业及本合同的有关规定，要求承包人限期整改，当承包人不能满足要求时，发包人有权罚款，所发生的费用由发包人直接从应付承包人的当期进度款中扣除。整项工程或部分工程不符合发包人的指示、工程规范和图纸的要求，发包人将视其严重性，有权停止所有工程或任何部分。由此而导致的工期延误和经济损失，由承包人负全部责任。 </w:t>
      </w:r>
    </w:p>
    <w:p w14:paraId="28C997CF">
      <w:pPr>
        <w:pStyle w:val="34"/>
        <w:tabs>
          <w:tab w:val="left" w:pos="7404"/>
        </w:tabs>
        <w:adjustRightInd w:val="0"/>
        <w:rPr>
          <w:rFonts w:hint="eastAsia"/>
          <w:sz w:val="21"/>
          <w:szCs w:val="21"/>
          <w:u w:val="single"/>
        </w:rPr>
      </w:pPr>
      <w:r>
        <w:rPr>
          <w:sz w:val="21"/>
          <w:szCs w:val="21"/>
          <w:u w:val="single"/>
        </w:rPr>
        <w:t xml:space="preserve">5)、承包人须通过共同视察工地或自行现场踏勘了解本工程的施工现场情况，包括但不限于临时工程的布置，施工现场及周围的建筑物、构筑物、古树名木、道路、现场已有临时及永久水源、电源、管线、设施的保护，红线外场地占地保护，工地现场降尘、降噪的防护措施等。 </w:t>
      </w:r>
    </w:p>
    <w:p w14:paraId="58D1B4A4">
      <w:pPr>
        <w:pStyle w:val="34"/>
        <w:tabs>
          <w:tab w:val="left" w:pos="7404"/>
        </w:tabs>
        <w:adjustRightInd w:val="0"/>
        <w:rPr>
          <w:rFonts w:hint="eastAsia"/>
          <w:sz w:val="21"/>
          <w:szCs w:val="21"/>
          <w:u w:val="single"/>
        </w:rPr>
      </w:pPr>
      <w:r>
        <w:rPr>
          <w:sz w:val="21"/>
          <w:szCs w:val="21"/>
          <w:u w:val="single"/>
        </w:rPr>
        <w:t xml:space="preserve">6)、鉴于场区实际情况，承包人应根据平面布置图并充分考虑和遵守发包人规定的场区使用 期限的前提下对场区（生活区、材料码放区、办公区位置范围等）进行合理安排。现场平面 布置图报发包人、监理人批准后方可实施。在小区规划红线以外的场地内不应布置办公、生活区等，避免发生二次搬迁工作。无论何种情况下，承包人都必须按照现场踏勘之日的标准接受现场的所有现状。如发包人在招标前不组织现场踏勘，承包人应自行进行现场踏勘，并视为接受现场的所有现状。如果承包人认为场地狭小而需要工程现场范围以外的工作用地或用作临时办公或生活基地，承包人须承担所需的施工用房或场地的使用费用，并申请及获得有关管理机构或用地拥有者的许可，承包人应保证发包人免于与上述事件有关的任何索赔、诉讼、损害和损失。因施工场地狭小，承包人需另行租赁场地摆放材料、设备而发生的材料设备转运、转送费用已包含在签约合同价中。 </w:t>
      </w:r>
    </w:p>
    <w:p w14:paraId="000BEC9F">
      <w:pPr>
        <w:pStyle w:val="34"/>
        <w:tabs>
          <w:tab w:val="left" w:pos="7404"/>
        </w:tabs>
        <w:adjustRightInd w:val="0"/>
        <w:rPr>
          <w:rFonts w:hint="eastAsia"/>
          <w:sz w:val="21"/>
          <w:szCs w:val="21"/>
          <w:u w:val="single"/>
        </w:rPr>
      </w:pPr>
      <w:r>
        <w:rPr>
          <w:sz w:val="21"/>
          <w:szCs w:val="21"/>
          <w:u w:val="single"/>
        </w:rPr>
        <w:t xml:space="preserve">7)、在施工过程中承包人有责任保护地上、地下管线的完整性，在施工范围内地上或地下管 线受损而产生的损害赔偿、行政处罚等费用均由承包人自行承担。在施工前承包人负责与影响施工的供电、给排水、燃气、有线电视、电话、监控、网络、楼号牌、绿化、邻近建筑物、构筑物等产权单位及物业联系，提出处理和保护方案，经产权单位或物业同意，报监理批准后方可实施，土方开挖施工前必须挖探沟，确保土方开挖施工范围内的地下管线安全。 </w:t>
      </w:r>
    </w:p>
    <w:p w14:paraId="64813899">
      <w:pPr>
        <w:pStyle w:val="34"/>
        <w:tabs>
          <w:tab w:val="left" w:pos="7404"/>
        </w:tabs>
        <w:adjustRightInd w:val="0"/>
        <w:rPr>
          <w:rFonts w:hint="eastAsia"/>
          <w:sz w:val="21"/>
          <w:szCs w:val="21"/>
          <w:u w:val="single"/>
        </w:rPr>
      </w:pPr>
      <w:r>
        <w:rPr>
          <w:sz w:val="21"/>
          <w:szCs w:val="21"/>
          <w:u w:val="single"/>
        </w:rPr>
        <w:t>8)、在施工期间，承包人应设立每天24小时居民接待室，接待居民来信、来电、来访对工程 的投诉，及时安排投诉的处理工作。安排专职人员，做好对居民的政策宣传、改造方案的答疑、解释工作。</w:t>
      </w:r>
    </w:p>
    <w:p w14:paraId="4C651F32">
      <w:pPr>
        <w:pStyle w:val="34"/>
        <w:tabs>
          <w:tab w:val="left" w:pos="7404"/>
        </w:tabs>
        <w:adjustRightInd w:val="0"/>
        <w:rPr>
          <w:rFonts w:hint="eastAsia"/>
          <w:sz w:val="21"/>
          <w:szCs w:val="21"/>
        </w:rPr>
      </w:pPr>
      <w:r>
        <w:rPr>
          <w:sz w:val="21"/>
          <w:szCs w:val="21"/>
          <w:u w:val="single"/>
        </w:rPr>
        <w:t>9)、承担施工安全保卫工作及非夜间施工照明的责任和要求：承包人应保证现场施工安全 保卫工作和非夜间施工照明，以及场内、场内与场外接口处交通的通畅，符合国家及北京市</w:t>
      </w:r>
      <w:r>
        <w:rPr>
          <w:sz w:val="21"/>
          <w:szCs w:val="21"/>
        </w:rPr>
        <mc:AlternateContent>
          <mc:Choice Requires="wpg">
            <w:drawing>
              <wp:anchor distT="0" distB="0" distL="114300" distR="114300" simplePos="0" relativeHeight="251664384" behindDoc="0" locked="0" layoutInCell="1" allowOverlap="1">
                <wp:simplePos x="0" y="0"/>
                <wp:positionH relativeFrom="page">
                  <wp:posOffset>542925</wp:posOffset>
                </wp:positionH>
                <wp:positionV relativeFrom="page">
                  <wp:posOffset>895350</wp:posOffset>
                </wp:positionV>
                <wp:extent cx="1270" cy="8905875"/>
                <wp:effectExtent l="0" t="0" r="0" b="0"/>
                <wp:wrapNone/>
                <wp:docPr id="13" name="组合 13"/>
                <wp:cNvGraphicFramePr/>
                <a:graphic xmlns:a="http://schemas.openxmlformats.org/drawingml/2006/main">
                  <a:graphicData uri="http://schemas.microsoft.com/office/word/2010/wordprocessingGroup">
                    <wpg:wgp>
                      <wpg:cNvGrpSpPr/>
                      <wpg:grpSpPr>
                        <a:xfrm>
                          <a:off x="0" y="0"/>
                          <a:ext cx="1270" cy="8905875"/>
                          <a:chOff x="855" y="1410"/>
                          <a:chExt cx="2" cy="14025"/>
                        </a:xfrm>
                      </wpg:grpSpPr>
                      <wps:wsp>
                        <wps:cNvPr id="20" name="任意多边形 20"/>
                        <wps:cNvSpPr/>
                        <wps:spPr>
                          <a:xfrm>
                            <a:off x="855" y="1410"/>
                            <a:ext cx="2" cy="14025"/>
                          </a:xfrm>
                          <a:custGeom>
                            <a:avLst/>
                            <a:gdLst/>
                            <a:ahLst/>
                            <a:cxnLst/>
                            <a:rect l="0" t="0" r="0" b="0"/>
                            <a:pathLst>
                              <a:path h="14025">
                                <a:moveTo>
                                  <a:pt x="0" y="0"/>
                                </a:moveTo>
                                <a:lnTo>
                                  <a:pt x="0" y="14025"/>
                                </a:lnTo>
                                <a:lnTo>
                                  <a:pt x="0" y="0"/>
                                </a:lnTo>
                                <a:close/>
                              </a:path>
                            </a:pathLst>
                          </a:custGeom>
                          <a:solidFill>
                            <a:srgbClr val="000000"/>
                          </a:solidFill>
                          <a:ln>
                            <a:noFill/>
                          </a:ln>
                        </wps:spPr>
                        <wps:bodyPr upright="1"/>
                      </wps:wsp>
                    </wpg:wgp>
                  </a:graphicData>
                </a:graphic>
              </wp:anchor>
            </w:drawing>
          </mc:Choice>
          <mc:Fallback>
            <w:pict>
              <v:group id="_x0000_s1026" o:spid="_x0000_s1026" o:spt="203" style="position:absolute;left:0pt;margin-left:42.75pt;margin-top:70.5pt;height:701.25pt;width:0.1pt;mso-position-horizontal-relative:page;mso-position-vertical-relative:page;z-index:251664384;mso-width-relative:page;mso-height-relative:page;" coordorigin="855,1410" coordsize="2,14025" o:gfxdata="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AR6s6fZAAAACgEAAA8AAAAAAAAAAQAgAAAAIgAAAGRycy9kb3ducmV2LnhtbFBLAQIUABQA&#10;AAAIAIdO4kCncVk4YQIAAHkFAAAOAAAAAAAAAAEAIAAAACgBAABkcnMvZTJvRG9jLnhtbFBLBQYA&#10;AAAABgAGAFkBAAD7BQAAAAA=&#10;">
                <o:lock v:ext="edit" aspectratio="f"/>
                <v:shape id="_x0000_s1026" o:spid="_x0000_s1026" o:spt="100" style="position:absolute;left:855;top:1410;height:14025;width:2;" fillcolor="#000000" filled="t" stroked="f" coordsize="1,14025" o:gfxdata="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DkXynC5AAAA2wAA&#10;AA8AAAAAAAAAAQAgAAAAIgAAAGRycy9kb3ducmV2LnhtbFBLAQIUABQAAAAIAIdO4kAzLwWeOwAA&#10;ADkAAAAQAAAAAAAAAAEAIAAAAAgBAABkcnMvc2hhcGV4bWwueG1sUEsFBgAAAAAGAAYAWwEAALID&#10;AAAAAA==&#10;" path="m0,0l0,14025,0,0xe">
                  <v:fill on="t" focussize="0,0"/>
                  <v:stroke on="f"/>
                  <v:imagedata o:title=""/>
                  <o:lock v:ext="edit" aspectratio="f"/>
                </v:shape>
              </v:group>
            </w:pict>
          </mc:Fallback>
        </mc:AlternateContent>
      </w:r>
      <w:r>
        <w:rPr>
          <w:sz w:val="21"/>
          <w:szCs w:val="21"/>
          <w:u w:val="single"/>
        </w:rPr>
        <w:t>的有关规定，以免除发包人人员、监理公司人员以及其他第三方人员在施工现场因承包人未完成本条之规定所造成的人员伤害损失和财产损失，否则由承包人负责并承担由此发生的费用。</w:t>
      </w:r>
      <w:r>
        <w:rPr>
          <w:sz w:val="21"/>
          <w:szCs w:val="21"/>
          <w:u w:val="single"/>
        </w:rPr>
        <w:tab/>
      </w:r>
      <w:r>
        <w:rPr>
          <w:sz w:val="21"/>
          <w:szCs w:val="21"/>
        </w:rPr>
        <w:t xml:space="preserve"> </w:t>
      </w:r>
    </w:p>
    <w:p w14:paraId="5E6AB1EE">
      <w:pPr>
        <w:pStyle w:val="34"/>
        <w:tabs>
          <w:tab w:val="left" w:pos="7404"/>
        </w:tabs>
        <w:adjustRightInd w:val="0"/>
        <w:rPr>
          <w:rFonts w:hint="eastAsia"/>
          <w:sz w:val="21"/>
          <w:szCs w:val="21"/>
          <w:u w:val="single"/>
        </w:rPr>
      </w:pPr>
      <w:r>
        <w:rPr>
          <w:sz w:val="21"/>
          <w:szCs w:val="21"/>
          <w:u w:val="single"/>
        </w:rPr>
        <w:t xml:space="preserve">10)、需承包人办理的有关施工场地交通、环卫、施工噪声管理、特别通行证、夜间施工证、渣土消纳等手续，由承包人办理的此类手续要符合北京市有关规定并承担发生的相关费 用，如有疏忽，一切经济和工期上的损失均由承包人负责。 </w:t>
      </w:r>
    </w:p>
    <w:p w14:paraId="3E38DF76">
      <w:pPr>
        <w:pStyle w:val="34"/>
        <w:tabs>
          <w:tab w:val="left" w:pos="7404"/>
        </w:tabs>
        <w:adjustRightInd w:val="0"/>
        <w:rPr>
          <w:rFonts w:hint="eastAsia"/>
          <w:sz w:val="21"/>
          <w:szCs w:val="21"/>
          <w:u w:val="single"/>
        </w:rPr>
      </w:pPr>
      <w:r>
        <w:rPr>
          <w:sz w:val="21"/>
          <w:szCs w:val="21"/>
          <w:u w:val="single"/>
        </w:rPr>
        <w:t xml:space="preserve">11)、原有和已完工程成品保护的特殊要求及费用承担：承包人应做好其施工范围内的成品 保护工作，并有义务保护好作业面内已有、已完工程、管线、设备、尤其是居民房屋内装 修、家具及室内外物品等的保护及保管工作。承包人应提供必要的人员、材料和设备用于整 个工程的成品保护及保管工作，包括对已向承包人移交的分包工程和独立承包人（如果有） 承担的工程的保护工作，防止任何原有财产和已完工作遭受任何损坏或破坏，如有损坏由承 包人负责修复并承担修复费用，成品保护费用已包含在签约合同价款中（包括有需要时聘请 专业成保公司进行成品保护）。如由此给发包人带来行政处罚或其他经济损失，承包人应当 承担相应责任并赔偿发包人损失。 </w:t>
      </w:r>
    </w:p>
    <w:p w14:paraId="26E19034">
      <w:pPr>
        <w:pStyle w:val="34"/>
        <w:tabs>
          <w:tab w:val="left" w:pos="7404"/>
        </w:tabs>
        <w:adjustRightInd w:val="0"/>
        <w:rPr>
          <w:rFonts w:hint="eastAsia"/>
          <w:sz w:val="21"/>
          <w:szCs w:val="21"/>
          <w:u w:val="single"/>
        </w:rPr>
      </w:pPr>
      <w:r>
        <w:rPr>
          <w:sz w:val="21"/>
          <w:szCs w:val="21"/>
          <w:u w:val="single"/>
        </w:rPr>
        <w:t xml:space="preserve">12)、周边财产的保护：承包人不得非法侵占和妨害毗邻的财产、土地、街道、市政设施和他们下面的土壤和空间、他们的所有者、使用者或其他任何人，也不得在工程或工程任何部分的实施中采用可能会给这类财产、土地、街道、市政设施、树木和人员带来损坏或伤害的施工方法；承包人应保障发包人免于因工程实施对周边毗邻财产或人身等的损害或伤害而可能招致的索赔、罚款和其它法律责任。承包人因临时或永久工程施工需临时中断任何市政设施的总管或其它设施时，应首先从政府有关管理机构取得相关许可，承包人应周密计划和科学组织。在整个工程施工期间，承包人应负责保护所有的现有道路、步行道、踏步和在它们地下的可能的服务设施；由于承包人原因造成上述设施损坏的，承包人需进行修缮直至达到 有关管理机构满意，并支付与此相关的任何费用和罚款。   </w:t>
      </w:r>
    </w:p>
    <w:p w14:paraId="3665E8AB">
      <w:pPr>
        <w:pStyle w:val="34"/>
        <w:tabs>
          <w:tab w:val="left" w:pos="7404"/>
        </w:tabs>
        <w:adjustRightInd w:val="0"/>
        <w:rPr>
          <w:rFonts w:hint="eastAsia"/>
          <w:sz w:val="21"/>
          <w:szCs w:val="21"/>
          <w:u w:val="single"/>
        </w:rPr>
      </w:pPr>
      <w:r>
        <w:rPr>
          <w:sz w:val="21"/>
          <w:szCs w:val="21"/>
          <w:u w:val="single"/>
        </w:rPr>
        <w:t xml:space="preserve">13)、施工场地清洁卫生的要求： 保证施工现场清洁符合环境卫生以及消防、街道、防疫、 园林、供电、交通、市政文物及安全管理等建设行政主管部门和相关部门的有关规定，应达 到北京市文明工地标准。如果承包人违反上述规定，给发包人或第三方造成损失，承包人应 当承担由此产生的赔偿责任。 </w:t>
      </w:r>
    </w:p>
    <w:p w14:paraId="7E9BB06C">
      <w:pPr>
        <w:pStyle w:val="34"/>
        <w:tabs>
          <w:tab w:val="left" w:pos="7404"/>
        </w:tabs>
        <w:adjustRightInd w:val="0"/>
        <w:rPr>
          <w:rFonts w:hint="eastAsia"/>
          <w:sz w:val="21"/>
          <w:szCs w:val="21"/>
          <w:u w:val="single"/>
        </w:rPr>
      </w:pPr>
      <w:r>
        <w:rPr>
          <w:sz w:val="21"/>
          <w:szCs w:val="21"/>
          <w:u w:val="single"/>
        </w:rPr>
        <w:t>14)、如果任何为本工程正常使用功能和设计使用寿命所必须的或为本工程适用的任何规范、规程或标准所要求的工作既未以文字形式明确约定为属于发包人或任何其他承包人的工作，也未在本合同中以文字形式明确提及，则此类工作应由作为承担本工程承包责任和义务的承包人的工作。承包人不得就此类潜在责任和义务向发包人提出任何费用和工期的索赔要求，且在任何情况下，承包人也不得就此提出有关其投标价格考虑不周、有缺或漏、计算错 误等的补偿要求。</w:t>
      </w:r>
    </w:p>
    <w:p w14:paraId="35CC2A4D">
      <w:pPr>
        <w:pStyle w:val="34"/>
        <w:adjustRightInd w:val="0"/>
        <w:spacing w:line="345" w:lineRule="exact"/>
        <w:rPr>
          <w:rFonts w:hint="eastAsia"/>
          <w:sz w:val="21"/>
          <w:szCs w:val="21"/>
        </w:rPr>
      </w:pPr>
      <w:r>
        <w:rPr>
          <w:sz w:val="21"/>
          <w:szCs w:val="21"/>
        </w:rPr>
        <mc:AlternateContent>
          <mc:Choice Requires="wpg">
            <w:drawing>
              <wp:anchor distT="0" distB="0" distL="114300" distR="114300" simplePos="0" relativeHeight="251665408" behindDoc="0" locked="0" layoutInCell="1" allowOverlap="1">
                <wp:simplePos x="0" y="0"/>
                <wp:positionH relativeFrom="page">
                  <wp:posOffset>542925</wp:posOffset>
                </wp:positionH>
                <wp:positionV relativeFrom="page">
                  <wp:posOffset>895350</wp:posOffset>
                </wp:positionV>
                <wp:extent cx="1270" cy="8905875"/>
                <wp:effectExtent l="0" t="0" r="0" b="0"/>
                <wp:wrapNone/>
                <wp:docPr id="21" name="组合 21"/>
                <wp:cNvGraphicFramePr/>
                <a:graphic xmlns:a="http://schemas.openxmlformats.org/drawingml/2006/main">
                  <a:graphicData uri="http://schemas.microsoft.com/office/word/2010/wordprocessingGroup">
                    <wpg:wgp>
                      <wpg:cNvGrpSpPr/>
                      <wpg:grpSpPr>
                        <a:xfrm>
                          <a:off x="0" y="0"/>
                          <a:ext cx="1270" cy="8905875"/>
                          <a:chOff x="855" y="1410"/>
                          <a:chExt cx="2" cy="14025"/>
                        </a:xfrm>
                      </wpg:grpSpPr>
                      <wps:wsp>
                        <wps:cNvPr id="22" name="任意多边形 22"/>
                        <wps:cNvSpPr/>
                        <wps:spPr>
                          <a:xfrm>
                            <a:off x="855" y="1410"/>
                            <a:ext cx="2" cy="14025"/>
                          </a:xfrm>
                          <a:custGeom>
                            <a:avLst/>
                            <a:gdLst/>
                            <a:ahLst/>
                            <a:cxnLst/>
                            <a:rect l="0" t="0" r="0" b="0"/>
                            <a:pathLst>
                              <a:path h="14025">
                                <a:moveTo>
                                  <a:pt x="0" y="0"/>
                                </a:moveTo>
                                <a:lnTo>
                                  <a:pt x="0" y="14025"/>
                                </a:lnTo>
                                <a:lnTo>
                                  <a:pt x="0" y="0"/>
                                </a:lnTo>
                                <a:close/>
                              </a:path>
                            </a:pathLst>
                          </a:custGeom>
                          <a:solidFill>
                            <a:srgbClr val="000000"/>
                          </a:solidFill>
                          <a:ln>
                            <a:noFill/>
                          </a:ln>
                        </wps:spPr>
                        <wps:bodyPr upright="1"/>
                      </wps:wsp>
                    </wpg:wgp>
                  </a:graphicData>
                </a:graphic>
              </wp:anchor>
            </w:drawing>
          </mc:Choice>
          <mc:Fallback>
            <w:pict>
              <v:group id="_x0000_s1026" o:spid="_x0000_s1026" o:spt="203" style="position:absolute;left:0pt;margin-left:42.75pt;margin-top:70.5pt;height:701.25pt;width:0.1pt;mso-position-horizontal-relative:page;mso-position-vertical-relative:page;z-index:251665408;mso-width-relative:page;mso-height-relative:page;" coordorigin="855,1410" coordsize="2,14025" o:gfxdata="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AR6s6fZAAAACgEAAA8AAAAAAAAAAQAgAAAAIgAAAGRycy9kb3ducmV2LnhtbFBLAQIUABQA&#10;AAAIAIdO4kAgID6cYQIAAHkFAAAOAAAAAAAAAAEAIAAAACgBAABkcnMvZTJvRG9jLnhtbFBLBQYA&#10;AAAABgAGAFkBAAD7BQAAAAA=&#10;">
                <o:lock v:ext="edit" aspectratio="f"/>
                <v:shape id="_x0000_s1026" o:spid="_x0000_s1026" o:spt="100" style="position:absolute;left:855;top:1410;height:14025;width:2;" fillcolor="#000000" filled="t" stroked="f" coordsize="1,14025" o:gfxdata="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mifGcvQAA&#10;ANsAAAAPAAAAAAAAAAEAIAAAACIAAABkcnMvZG93bnJldi54bWxQSwECFAAUAAAACACHTuJAMy8F&#10;njsAAAA5AAAAEAAAAAAAAAABACAAAAAMAQAAZHJzL3NoYXBleG1sLnhtbFBLBQYAAAAABgAGAFsB&#10;AAC2AwAAAAA=&#10;" path="m0,0l0,14025,0,0xe">
                  <v:fill on="t" focussize="0,0"/>
                  <v:stroke on="f"/>
                  <v:imagedata o:title=""/>
                  <o:lock v:ext="edit" aspectratio="f"/>
                </v:shape>
              </v:group>
            </w:pict>
          </mc:Fallback>
        </mc:AlternateContent>
      </w:r>
      <w:r>
        <w:rPr>
          <w:sz w:val="21"/>
          <w:szCs w:val="21"/>
          <w:u w:val="single"/>
        </w:rPr>
        <w:t>15)、承包人应负责本工程施工现场的全面管理。对可能会影响到工地安全和正常施工秩序</w:t>
      </w:r>
    </w:p>
    <w:p w14:paraId="747FAA9B">
      <w:pPr>
        <w:pStyle w:val="34"/>
        <w:adjustRightInd w:val="0"/>
        <w:rPr>
          <w:rFonts w:hint="eastAsia"/>
          <w:sz w:val="21"/>
          <w:szCs w:val="21"/>
          <w:u w:val="single"/>
        </w:rPr>
      </w:pPr>
      <w:r>
        <w:rPr>
          <w:sz w:val="21"/>
          <w:szCs w:val="21"/>
          <w:u w:val="single"/>
        </w:rPr>
        <w:t xml:space="preserve">的事件制定预先防止发生措施。依据国家和北京市的有关规定签订劳动合同或劳务合同，若发生民工因承包人拖欠工资等事宜而聚众闹事、占领工地、妨碍工程或发包人正常工作类事件，全部责任由承包人承担，承包人须立刻采取措施妥善处理解决，以确保本工程的进行不会受到影响。若承包人在有关事件发生后3天内仍不能处理完毕，发包人有权采取包括但不 限于直接发放工资给民工等一切必要措施控制发生事态的状况，直至解决纠纷事件。在上述事件发生情况下，视为承包人没有尽到合同文件所要求的管理责任，承包人须承担工期延误、额外费用增加及法律上和诉讼上的一切责任，而发包人有权将所述的直接支付民工款项，从按合同应支付给承包人的款项内全部扣除，或作为债项向承包人追讨。 </w:t>
      </w:r>
    </w:p>
    <w:p w14:paraId="60C0E5F5">
      <w:pPr>
        <w:pStyle w:val="34"/>
        <w:adjustRightInd w:val="0"/>
        <w:rPr>
          <w:rFonts w:hint="eastAsia"/>
          <w:sz w:val="21"/>
          <w:szCs w:val="21"/>
          <w:u w:val="single"/>
        </w:rPr>
      </w:pPr>
      <w:r>
        <w:rPr>
          <w:sz w:val="21"/>
          <w:szCs w:val="21"/>
          <w:u w:val="single"/>
        </w:rPr>
        <w:t xml:space="preserve">16)、承包人应对整个现场的施工组织和施工方案的适用性、稳定性和安全性负全面责任， 同时根据施工现场的实际情况建立健全质量保证体系、环境保证体系、职业健康和安全保证 体系。 </w:t>
      </w:r>
    </w:p>
    <w:p w14:paraId="6342C656">
      <w:pPr>
        <w:pStyle w:val="34"/>
        <w:adjustRightInd w:val="0"/>
        <w:rPr>
          <w:rFonts w:hint="eastAsia"/>
          <w:sz w:val="21"/>
          <w:szCs w:val="21"/>
          <w:u w:val="single"/>
        </w:rPr>
      </w:pPr>
      <w:r>
        <w:rPr>
          <w:sz w:val="21"/>
          <w:szCs w:val="21"/>
          <w:u w:val="single"/>
        </w:rPr>
        <w:t xml:space="preserve">17)、对于政府有关部门发送发包人的有关本工程施工现场的任何意见及通知，其中涉及承包人的，承包人应承担相关责任和工作。 </w:t>
      </w:r>
    </w:p>
    <w:p w14:paraId="13BFC562">
      <w:pPr>
        <w:pStyle w:val="34"/>
        <w:adjustRightInd w:val="0"/>
        <w:rPr>
          <w:rFonts w:hint="eastAsia"/>
          <w:sz w:val="21"/>
          <w:szCs w:val="21"/>
          <w:u w:val="single"/>
        </w:rPr>
      </w:pPr>
      <w:r>
        <w:rPr>
          <w:sz w:val="21"/>
          <w:szCs w:val="21"/>
          <w:u w:val="single"/>
        </w:rPr>
        <w:t xml:space="preserve">18)、安全防护、文明施工、现场的消防、卫生防疫等相关工作是承包人的责任，发包人不 接受任何由于安全防护、文明施工、现场消防或卫生防疫不符合相关部门的规定而发生的罚 款或索赔。 </w:t>
      </w:r>
    </w:p>
    <w:p w14:paraId="3F0408E8">
      <w:pPr>
        <w:pStyle w:val="34"/>
        <w:adjustRightInd w:val="0"/>
        <w:rPr>
          <w:rFonts w:hint="eastAsia"/>
          <w:sz w:val="21"/>
          <w:szCs w:val="21"/>
          <w:u w:val="single"/>
        </w:rPr>
      </w:pPr>
      <w:r>
        <w:rPr>
          <w:sz w:val="21"/>
          <w:szCs w:val="21"/>
          <w:u w:val="single"/>
        </w:rPr>
        <w:t xml:space="preserve">19)、承包人必须采取适当的措施，最大程度地降低施工过程中产生的不可避免的施工扰民并采取必要的措施，协商并解决扰民及民扰问题。承包人必须遵守政府有关主管部门对施工场地交通、施工噪音、环境保护和安全生产等的管理规定，按规定办理有关手续并承担相关 费用，避免或减少由于施工造成的噪音、空气污染而带来的扰民及民扰影响及施工带来日常行人及道路使用的干扰。承包人必须主动协调同周围居民及有关单位的关系，以免造成窝工、停工、延误工期的现象发生。承包人须直接参与由北京市和区建委、公安、环保局、区 政府、发包人和承包人共同组成的有关协调民扰、扰民联合办公组织；承包人应代表发包人直接负责处理扰民、民扰的工作； </w:t>
      </w:r>
    </w:p>
    <w:p w14:paraId="18D690FD">
      <w:pPr>
        <w:pStyle w:val="34"/>
        <w:adjustRightInd w:val="0"/>
        <w:rPr>
          <w:rFonts w:hint="eastAsia"/>
          <w:sz w:val="21"/>
          <w:szCs w:val="21"/>
          <w:u w:val="single"/>
        </w:rPr>
      </w:pPr>
      <w:r>
        <w:rPr>
          <w:sz w:val="21"/>
          <w:szCs w:val="21"/>
          <w:u w:val="single"/>
        </w:rPr>
        <w:t xml:space="preserve">20)、施工过程中承包人应积极配合规委、建委、质检站、消防局、街道办、城管、环卫、 园林等政府部门的检查工作，并按上述部门的要求作好相关方面的施工部署等工作。由于承 包人原因导致的各项政府罚款由承包人承担，造成的工期延误、窝工、降效、增加承包人用 工用料等一切费用均由承包人承担； </w:t>
      </w:r>
    </w:p>
    <w:p w14:paraId="7A84F22E">
      <w:pPr>
        <w:pStyle w:val="34"/>
        <w:adjustRightInd w:val="0"/>
        <w:rPr>
          <w:rFonts w:hint="eastAsia"/>
          <w:sz w:val="21"/>
          <w:szCs w:val="21"/>
        </w:rPr>
      </w:pPr>
      <w:r>
        <w:rPr>
          <w:sz w:val="21"/>
          <w:szCs w:val="21"/>
          <w:u w:val="single"/>
        </w:rPr>
        <w:t>21)、承包人在北京地区施工，应当对施工期内可能出现的不利于施工的各种自然及社会因 素（包括但不限于降雨、大风、沙尘暴、扰民、民扰、雾霾、红色预警、橙色预警、国家庆 典、外交来访、中高考期间的施工管制、召开“两会”的施工管制、交通管制、上级视察及</w:t>
      </w:r>
      <w:r>
        <w:rPr>
          <w:sz w:val="21"/>
          <w:szCs w:val="21"/>
        </w:rPr>
        <w:t xml:space="preserve"> </w:t>
      </w:r>
      <w:r>
        <w:rPr>
          <w:sz w:val="21"/>
          <w:szCs w:val="21"/>
          <w:u w:val="single"/>
        </w:rPr>
        <w:t>检查等）做出充分的预见，并制定周密的施工方案及合理的对策，保证工期总体进度不受影</w:t>
      </w:r>
      <w:r>
        <w:rPr>
          <w:sz w:val="21"/>
          <w:szCs w:val="21"/>
        </w:rPr>
        <mc:AlternateContent>
          <mc:Choice Requires="wpg">
            <w:drawing>
              <wp:anchor distT="0" distB="0" distL="114300" distR="114300" simplePos="0" relativeHeight="251666432" behindDoc="0" locked="0" layoutInCell="1" allowOverlap="1">
                <wp:simplePos x="0" y="0"/>
                <wp:positionH relativeFrom="page">
                  <wp:posOffset>542925</wp:posOffset>
                </wp:positionH>
                <wp:positionV relativeFrom="page">
                  <wp:posOffset>895350</wp:posOffset>
                </wp:positionV>
                <wp:extent cx="1270" cy="8905875"/>
                <wp:effectExtent l="0" t="0" r="0" b="0"/>
                <wp:wrapNone/>
                <wp:docPr id="23" name="组合 23"/>
                <wp:cNvGraphicFramePr/>
                <a:graphic xmlns:a="http://schemas.openxmlformats.org/drawingml/2006/main">
                  <a:graphicData uri="http://schemas.microsoft.com/office/word/2010/wordprocessingGroup">
                    <wpg:wgp>
                      <wpg:cNvGrpSpPr/>
                      <wpg:grpSpPr>
                        <a:xfrm>
                          <a:off x="0" y="0"/>
                          <a:ext cx="1270" cy="8905875"/>
                          <a:chOff x="855" y="1410"/>
                          <a:chExt cx="2" cy="14025"/>
                        </a:xfrm>
                      </wpg:grpSpPr>
                      <wps:wsp>
                        <wps:cNvPr id="24" name="任意多边形 24"/>
                        <wps:cNvSpPr/>
                        <wps:spPr>
                          <a:xfrm>
                            <a:off x="855" y="1410"/>
                            <a:ext cx="2" cy="14025"/>
                          </a:xfrm>
                          <a:custGeom>
                            <a:avLst/>
                            <a:gdLst/>
                            <a:ahLst/>
                            <a:cxnLst/>
                            <a:rect l="0" t="0" r="0" b="0"/>
                            <a:pathLst>
                              <a:path h="14025">
                                <a:moveTo>
                                  <a:pt x="0" y="0"/>
                                </a:moveTo>
                                <a:lnTo>
                                  <a:pt x="0" y="14025"/>
                                </a:lnTo>
                                <a:lnTo>
                                  <a:pt x="0" y="0"/>
                                </a:lnTo>
                                <a:close/>
                              </a:path>
                            </a:pathLst>
                          </a:custGeom>
                          <a:solidFill>
                            <a:srgbClr val="000000"/>
                          </a:solidFill>
                          <a:ln>
                            <a:noFill/>
                          </a:ln>
                        </wps:spPr>
                        <wps:bodyPr upright="1"/>
                      </wps:wsp>
                    </wpg:wgp>
                  </a:graphicData>
                </a:graphic>
              </wp:anchor>
            </w:drawing>
          </mc:Choice>
          <mc:Fallback>
            <w:pict>
              <v:group id="_x0000_s1026" o:spid="_x0000_s1026" o:spt="203" style="position:absolute;left:0pt;margin-left:42.75pt;margin-top:70.5pt;height:701.25pt;width:0.1pt;mso-position-horizontal-relative:page;mso-position-vertical-relative:page;z-index:251666432;mso-width-relative:page;mso-height-relative:page;" coordorigin="855,1410" coordsize="2,14025" o:gfxdata="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">
                <o:lock v:ext="edit" aspectratio="f"/>
                <v:shape id="_x0000_s1026" o:spid="_x0000_s1026" o:spt="100" style="position:absolute;left:855;top:1410;height:14025;width:2;" fillcolor="#000000" filled="t" stroked="f" coordsize="1,14025" o:gfxdata="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RizMc74A&#10;AADbAAAADwAAAAAAAAABACAAAAAiAAAAZHJzL2Rvd25yZXYueG1sUEsBAhQAFAAAAAgAh07iQDMv&#10;BZ47AAAAOQAAABAAAAAAAAAAAQAgAAAADQEAAGRycy9zaGFwZXhtbC54bWxQSwUGAAAAAAYABgBb&#10;AQAAtwMAAAAA&#10;" path="m0,0l0,14025,0,0xe">
                  <v:fill on="t" focussize="0,0"/>
                  <v:stroke on="f"/>
                  <v:imagedata o:title=""/>
                  <o:lock v:ext="edit" aspectratio="f"/>
                </v:shape>
              </v:group>
            </w:pict>
          </mc:Fallback>
        </mc:AlternateContent>
      </w:r>
      <w:r>
        <w:rPr>
          <w:sz w:val="21"/>
          <w:szCs w:val="21"/>
          <w:u w:val="single"/>
        </w:rPr>
        <w:t>响，既定竣工日期不变。</w:t>
      </w:r>
    </w:p>
    <w:p w14:paraId="594BB85C">
      <w:pPr>
        <w:pStyle w:val="34"/>
        <w:adjustRightInd w:val="0"/>
        <w:rPr>
          <w:rFonts w:hint="eastAsia"/>
          <w:sz w:val="21"/>
          <w:szCs w:val="21"/>
          <w:u w:val="single"/>
        </w:rPr>
      </w:pPr>
      <w:r>
        <w:rPr>
          <w:sz w:val="21"/>
          <w:szCs w:val="21"/>
          <w:u w:val="single"/>
        </w:rPr>
        <w:t xml:space="preserve">22)、对于承包人在施工过程中有需要发包人配合完成的工作，承包人应于施工总控制进度计划中明确表述或在合理的时限内提前通知发包人； </w:t>
      </w:r>
    </w:p>
    <w:p w14:paraId="48EC7FC2">
      <w:pPr>
        <w:pStyle w:val="34"/>
        <w:adjustRightInd w:val="0"/>
        <w:rPr>
          <w:rFonts w:hint="eastAsia"/>
          <w:sz w:val="21"/>
          <w:szCs w:val="21"/>
          <w:u w:val="single"/>
        </w:rPr>
      </w:pPr>
      <w:r>
        <w:rPr>
          <w:sz w:val="21"/>
          <w:szCs w:val="21"/>
          <w:u w:val="single"/>
        </w:rPr>
        <w:t xml:space="preserve">23)、承包人确认在签署本承包合同时，已充分了解本项目各项政府手续的办理进程，承诺继续做好市建委、质（安）监站和区、街道及相邻等相关单位的疏导工作，维护项目整体利益； </w:t>
      </w:r>
    </w:p>
    <w:p w14:paraId="33EE0341">
      <w:pPr>
        <w:pStyle w:val="34"/>
        <w:adjustRightInd w:val="0"/>
        <w:rPr>
          <w:rFonts w:hint="eastAsia"/>
          <w:sz w:val="21"/>
          <w:szCs w:val="21"/>
          <w:u w:val="single"/>
        </w:rPr>
      </w:pPr>
      <w:r>
        <w:rPr>
          <w:sz w:val="21"/>
          <w:szCs w:val="21"/>
          <w:u w:val="single"/>
        </w:rPr>
        <w:t xml:space="preserve">24)、承包人负责在施工期间定期与政府质检部门联络并接受其质量监督。承包人负责在施工总进度计划规定的时限内实现政府相关部门要求的各种验收。承包人因各种验收所发生的费用全部包含在签约合同总价中。承包人因核验拖期而延误的工期不予延长。 </w:t>
      </w:r>
    </w:p>
    <w:p w14:paraId="4CFF9CEB">
      <w:pPr>
        <w:pStyle w:val="34"/>
        <w:adjustRightInd w:val="0"/>
        <w:rPr>
          <w:rFonts w:hint="eastAsia"/>
          <w:sz w:val="21"/>
          <w:szCs w:val="21"/>
          <w:u w:val="single"/>
        </w:rPr>
      </w:pPr>
      <w:r>
        <w:rPr>
          <w:sz w:val="21"/>
          <w:szCs w:val="21"/>
          <w:u w:val="single"/>
        </w:rPr>
        <w:t xml:space="preserve">25)、专业分包人、专项供应商招标过程中的招标工作及相关协调、配合工作，相关费用（包括但不限于应向政府部门交纳的各项费用）应包含在签约合同价格中； </w:t>
      </w:r>
    </w:p>
    <w:p w14:paraId="0533C814">
      <w:pPr>
        <w:pStyle w:val="34"/>
        <w:adjustRightInd w:val="0"/>
        <w:rPr>
          <w:rFonts w:hint="eastAsia"/>
          <w:sz w:val="21"/>
          <w:szCs w:val="21"/>
          <w:u w:val="single"/>
        </w:rPr>
      </w:pPr>
      <w:r>
        <w:rPr>
          <w:sz w:val="21"/>
          <w:szCs w:val="21"/>
          <w:u w:val="single"/>
        </w:rPr>
        <w:t xml:space="preserve">26)、所有由承包人负责编制的加工图、大样图、安装图、协调配合图等需提供给发包人审批；发包人审批认可后方能按其施工。 </w:t>
      </w:r>
    </w:p>
    <w:p w14:paraId="2E8F5F8A">
      <w:pPr>
        <w:pStyle w:val="34"/>
        <w:adjustRightInd w:val="0"/>
        <w:rPr>
          <w:rFonts w:hint="eastAsia"/>
          <w:sz w:val="21"/>
          <w:szCs w:val="21"/>
          <w:u w:val="single"/>
        </w:rPr>
      </w:pPr>
      <w:r>
        <w:rPr>
          <w:sz w:val="21"/>
          <w:szCs w:val="21"/>
          <w:u w:val="single"/>
        </w:rPr>
        <w:t xml:space="preserve">27)、承包人在整个合同期内对其为本合同工作的人员的人身安全负有全部责任。承包人应当采取各种必要的措施（如安全规章、安全教育、安全措施）以保护所有施工人员的安全， 费用由承包人承担（承包人应自行投保）。 </w:t>
      </w:r>
    </w:p>
    <w:p w14:paraId="4D50F46B">
      <w:pPr>
        <w:pStyle w:val="34"/>
        <w:adjustRightInd w:val="0"/>
        <w:rPr>
          <w:rFonts w:hint="eastAsia"/>
          <w:sz w:val="21"/>
          <w:szCs w:val="21"/>
          <w:u w:val="single"/>
        </w:rPr>
      </w:pPr>
      <w:r>
        <w:rPr>
          <w:sz w:val="21"/>
          <w:szCs w:val="21"/>
          <w:u w:val="single"/>
        </w:rPr>
        <w:t xml:space="preserve">28)、承包人应承担在施工中因承包人原因发生的停工、返工、材料及物件的倒运、机械二次进场等所造成的损失。 </w:t>
      </w:r>
    </w:p>
    <w:p w14:paraId="35BD8B0F">
      <w:pPr>
        <w:pStyle w:val="34"/>
        <w:adjustRightInd w:val="0"/>
        <w:rPr>
          <w:rFonts w:hint="eastAsia"/>
          <w:sz w:val="21"/>
          <w:szCs w:val="21"/>
          <w:u w:val="single"/>
        </w:rPr>
      </w:pPr>
      <w:r>
        <w:rPr>
          <w:sz w:val="21"/>
          <w:szCs w:val="21"/>
          <w:u w:val="single"/>
        </w:rPr>
        <w:t xml:space="preserve">29)、发包人要求本工程实施过程中产生的固体废弃物必须按可回收废弃物、不可回收废弃 物、危险废弃物三类分类投放、分类回收、分类处理；尤其是危险废弃物必须由承包人选择 有相应资质的单位进行处理，所产生的费用已包含在签约合同价中，结算时不再调整； </w:t>
      </w:r>
    </w:p>
    <w:p w14:paraId="438C7E4A">
      <w:pPr>
        <w:pStyle w:val="34"/>
        <w:adjustRightInd w:val="0"/>
        <w:rPr>
          <w:rFonts w:hint="eastAsia"/>
          <w:sz w:val="21"/>
          <w:szCs w:val="21"/>
          <w:u w:val="single"/>
        </w:rPr>
      </w:pPr>
      <w:r>
        <w:rPr>
          <w:sz w:val="21"/>
          <w:szCs w:val="21"/>
          <w:u w:val="single"/>
        </w:rPr>
        <w:t xml:space="preserve">30)、承包人应遵循京建法【2017】27号、京建法【2018】5号文，建筑拆除工程产生的建筑 垃圾应当优先选择资源化处置，优先选择使用建筑垃圾再利用产品；无法进行资源化处置 的，应当按规定及时淸运，对不能及时处置或清运的，应当进行覆盖或密封存放。拆除的除建筑垃圾外的建筑材料应运至发包人指定地点统一存放。 </w:t>
      </w:r>
    </w:p>
    <w:p w14:paraId="7FD5AD6D">
      <w:pPr>
        <w:pStyle w:val="34"/>
        <w:adjustRightInd w:val="0"/>
        <w:rPr>
          <w:rFonts w:hint="eastAsia"/>
          <w:sz w:val="21"/>
          <w:szCs w:val="21"/>
          <w:u w:val="single"/>
        </w:rPr>
      </w:pPr>
      <w:r>
        <w:rPr>
          <w:sz w:val="21"/>
          <w:szCs w:val="21"/>
          <w:u w:val="single"/>
        </w:rPr>
        <w:t>31)、竣工清理：在工程竣工后10日内，不管发包人是否已办妥政府有关机构所要求的一切必要的批准、备案手续以及是否已发布移交证书，承包人应安排专业队伍全面履行其合同责 任和义务，包括：</w:t>
      </w:r>
    </w:p>
    <w:p w14:paraId="436B38EA">
      <w:pPr>
        <w:pStyle w:val="34"/>
        <w:adjustRightInd w:val="0"/>
        <w:rPr>
          <w:rFonts w:hint="eastAsia"/>
          <w:sz w:val="21"/>
          <w:szCs w:val="21"/>
          <w:u w:val="single"/>
        </w:rPr>
      </w:pPr>
      <w:r>
        <w:rPr>
          <w:sz w:val="21"/>
          <w:szCs w:val="21"/>
          <w:u w:val="single"/>
        </w:rPr>
        <w:t>（a）清除现场所有剩余材料、杂物、垃圾等等；</w:t>
      </w:r>
    </w:p>
    <w:p w14:paraId="03734ED7">
      <w:pPr>
        <w:pStyle w:val="34"/>
        <w:adjustRightInd w:val="0"/>
        <w:rPr>
          <w:rFonts w:hint="eastAsia"/>
          <w:sz w:val="21"/>
          <w:szCs w:val="21"/>
          <w:u w:val="single"/>
        </w:rPr>
      </w:pPr>
      <w:r>
        <w:rPr>
          <w:sz w:val="21"/>
          <w:szCs w:val="21"/>
          <w:u w:val="single"/>
        </w:rPr>
        <w:t xml:space="preserve">（b）拆除现场所有的临 时建筑物和临时设施并恢复地面原状。 </w:t>
      </w:r>
    </w:p>
    <w:p w14:paraId="79A43BCF">
      <w:pPr>
        <w:pStyle w:val="34"/>
        <w:adjustRightInd w:val="0"/>
        <w:rPr>
          <w:rFonts w:hint="eastAsia"/>
          <w:sz w:val="21"/>
          <w:szCs w:val="21"/>
        </w:rPr>
      </w:pPr>
      <w:r>
        <w:rPr>
          <w:sz w:val="21"/>
          <w:szCs w:val="21"/>
          <w:u w:val="single"/>
        </w:rPr>
        <w:t>32)、设置工程竣工标牌，标牌标注承包人质量维修负责人和维修服务电话。</w:t>
      </w:r>
    </w:p>
    <w:p w14:paraId="2C976CC3">
      <w:pPr>
        <w:pStyle w:val="34"/>
        <w:adjustRightInd w:val="0"/>
        <w:rPr>
          <w:rFonts w:hint="eastAsia"/>
          <w:sz w:val="21"/>
          <w:szCs w:val="21"/>
          <w:u w:val="single"/>
        </w:rPr>
      </w:pPr>
      <w:r>
        <w:rPr>
          <w:sz w:val="21"/>
          <w:szCs w:val="21"/>
          <w:u w:val="single"/>
        </w:rPr>
        <w:t>33)、承包人应负责编制竣工资料（含分包工程的资料），负责完成竣工验收备案，工程移交及技术档案移交。工程竣工验收合格后，承包人应协助发包人完成工程向各产权单位的移交工作。</w:t>
      </w:r>
    </w:p>
    <w:p w14:paraId="4834325B">
      <w:pPr>
        <w:pStyle w:val="34"/>
        <w:adjustRightInd w:val="0"/>
        <w:rPr>
          <w:rFonts w:hint="eastAsia"/>
          <w:sz w:val="21"/>
          <w:szCs w:val="21"/>
          <w:u w:val="single"/>
        </w:rPr>
      </w:pPr>
      <w:r>
        <w:rPr>
          <w:sz w:val="21"/>
          <w:szCs w:val="21"/>
        </w:rPr>
        <mc:AlternateContent>
          <mc:Choice Requires="wpg">
            <w:drawing>
              <wp:anchor distT="0" distB="0" distL="114300" distR="114300" simplePos="0" relativeHeight="251667456" behindDoc="0" locked="0" layoutInCell="1" allowOverlap="1">
                <wp:simplePos x="0" y="0"/>
                <wp:positionH relativeFrom="page">
                  <wp:posOffset>542925</wp:posOffset>
                </wp:positionH>
                <wp:positionV relativeFrom="page">
                  <wp:posOffset>895350</wp:posOffset>
                </wp:positionV>
                <wp:extent cx="1270" cy="8905875"/>
                <wp:effectExtent l="0" t="0" r="0" b="0"/>
                <wp:wrapNone/>
                <wp:docPr id="51" name="组合 51"/>
                <wp:cNvGraphicFramePr/>
                <a:graphic xmlns:a="http://schemas.openxmlformats.org/drawingml/2006/main">
                  <a:graphicData uri="http://schemas.microsoft.com/office/word/2010/wordprocessingGroup">
                    <wpg:wgp>
                      <wpg:cNvGrpSpPr/>
                      <wpg:grpSpPr>
                        <a:xfrm>
                          <a:off x="0" y="0"/>
                          <a:ext cx="1270" cy="8905875"/>
                          <a:chOff x="855" y="1410"/>
                          <a:chExt cx="2" cy="14025"/>
                        </a:xfrm>
                      </wpg:grpSpPr>
                      <wps:wsp>
                        <wps:cNvPr id="50" name="任意多边形 50"/>
                        <wps:cNvSpPr/>
                        <wps:spPr>
                          <a:xfrm>
                            <a:off x="855" y="1410"/>
                            <a:ext cx="2" cy="14025"/>
                          </a:xfrm>
                          <a:custGeom>
                            <a:avLst/>
                            <a:gdLst/>
                            <a:ahLst/>
                            <a:cxnLst/>
                            <a:rect l="0" t="0" r="0" b="0"/>
                            <a:pathLst>
                              <a:path h="14025">
                                <a:moveTo>
                                  <a:pt x="0" y="0"/>
                                </a:moveTo>
                                <a:lnTo>
                                  <a:pt x="0" y="14025"/>
                                </a:lnTo>
                                <a:lnTo>
                                  <a:pt x="0" y="0"/>
                                </a:lnTo>
                                <a:close/>
                              </a:path>
                            </a:pathLst>
                          </a:custGeom>
                          <a:solidFill>
                            <a:srgbClr val="000000"/>
                          </a:solidFill>
                          <a:ln>
                            <a:noFill/>
                          </a:ln>
                        </wps:spPr>
                        <wps:bodyPr upright="1"/>
                      </wps:wsp>
                    </wpg:wgp>
                  </a:graphicData>
                </a:graphic>
              </wp:anchor>
            </w:drawing>
          </mc:Choice>
          <mc:Fallback>
            <w:pict>
              <v:group id="_x0000_s1026" o:spid="_x0000_s1026" o:spt="203" style="position:absolute;left:0pt;margin-left:42.75pt;margin-top:70.5pt;height:701.25pt;width:0.1pt;mso-position-horizontal-relative:page;mso-position-vertical-relative:page;z-index:251667456;mso-width-relative:page;mso-height-relative:page;" coordorigin="855,1410" coordsize="2,14025" o:gfxdata="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">
                <o:lock v:ext="edit" aspectratio="f"/>
                <v:shape id="_x0000_s1026" o:spid="_x0000_s1026" o:spt="100" style="position:absolute;left:855;top:1410;height:14025;width:2;" fillcolor="#000000" filled="t" stroked="f" coordsize="1,14025" o:gfxdata="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hEbkNugAAANsA&#10;AAAPAAAAAAAAAAEAIAAAACIAAABkcnMvZG93bnJldi54bWxQSwECFAAUAAAACACHTuJAMy8FnjsA&#10;AAA5AAAAEAAAAAAAAAABACAAAAAJAQAAZHJzL3NoYXBleG1sLnhtbFBLBQYAAAAABgAGAFsBAACz&#10;AwAAAAA=&#10;" path="m0,0l0,14025,0,0xe">
                  <v:fill on="t" focussize="0,0"/>
                  <v:stroke on="f"/>
                  <v:imagedata o:title=""/>
                  <o:lock v:ext="edit" aspectratio="f"/>
                </v:shape>
              </v:group>
            </w:pict>
          </mc:Fallback>
        </mc:AlternateContent>
      </w:r>
      <w:r>
        <w:rPr>
          <w:sz w:val="21"/>
          <w:szCs w:val="21"/>
          <w:u w:val="single"/>
        </w:rPr>
        <w:t>34)、程保修期间，承包人应成立维修保障组，对于保修期内发现的工程质量问题负责免费维修、返修，处理居民质量投诉，对造成的直接、间接损失负责全部赔偿。</w:t>
      </w:r>
    </w:p>
    <w:p w14:paraId="157CABC5">
      <w:pPr>
        <w:pStyle w:val="34"/>
        <w:adjustRightInd w:val="0"/>
        <w:rPr>
          <w:rFonts w:hint="eastAsia"/>
          <w:sz w:val="21"/>
          <w:szCs w:val="21"/>
          <w:u w:val="single"/>
        </w:rPr>
      </w:pPr>
      <w:r>
        <w:rPr>
          <w:sz w:val="21"/>
          <w:szCs w:val="21"/>
          <w:u w:val="single"/>
        </w:rPr>
        <w:t xml:space="preserve">35)、承包人应充分考虑本项目合同范围外的公共区域、楼本体改造施工综合管线改造施工 需与本项目同步实施，并应根据情况制定周密的施工方案及合理的对策，保证工期总体进度 不受影响，既定竣工日期不变。 </w:t>
      </w:r>
    </w:p>
    <w:p w14:paraId="6AD66ED1">
      <w:pPr>
        <w:pStyle w:val="34"/>
        <w:adjustRightInd w:val="0"/>
        <w:rPr>
          <w:rFonts w:hint="eastAsia"/>
          <w:sz w:val="21"/>
          <w:szCs w:val="21"/>
          <w:u w:val="single"/>
        </w:rPr>
      </w:pPr>
      <w:r>
        <w:rPr>
          <w:sz w:val="21"/>
          <w:szCs w:val="21"/>
          <w:u w:val="single"/>
        </w:rPr>
        <w:t xml:space="preserve">36)、鉴于发包人委托了项目管理公司对本工程进行全面管理，承包人应积极配合并服从项 目管理公司管理。 </w:t>
      </w:r>
    </w:p>
    <w:p w14:paraId="3F66485A">
      <w:pPr>
        <w:pStyle w:val="34"/>
        <w:adjustRightInd w:val="0"/>
        <w:rPr>
          <w:rFonts w:hint="eastAsia"/>
          <w:sz w:val="21"/>
          <w:szCs w:val="21"/>
        </w:rPr>
      </w:pPr>
      <w:r>
        <w:rPr>
          <w:sz w:val="21"/>
          <w:szCs w:val="21"/>
          <w:u w:val="single"/>
        </w:rPr>
        <w:t>37)、按相关文件规定由发包人委托第三方工程质量检测机构进行工程实体质量及材料等检 测、试验工作，承包人应全面配合，履行职责。</w:t>
      </w:r>
      <w:r>
        <w:rPr>
          <w:sz w:val="21"/>
          <w:szCs w:val="21"/>
          <w:u w:val="single"/>
        </w:rPr>
        <w:tab/>
      </w:r>
      <w:r>
        <w:rPr>
          <w:sz w:val="21"/>
          <w:szCs w:val="21"/>
        </w:rPr>
        <w:t xml:space="preserve"> </w:t>
      </w:r>
    </w:p>
    <w:p w14:paraId="51F28B6C">
      <w:pPr>
        <w:pStyle w:val="34"/>
        <w:adjustRightInd w:val="0"/>
        <w:rPr>
          <w:rFonts w:hint="eastAsia"/>
          <w:sz w:val="21"/>
          <w:szCs w:val="21"/>
          <w:u w:val="single"/>
        </w:rPr>
      </w:pPr>
      <w:r>
        <w:rPr>
          <w:sz w:val="21"/>
          <w:szCs w:val="21"/>
          <w:u w:val="single"/>
        </w:rPr>
        <w:t xml:space="preserve">38)、投入本项目使用的相关建筑类涂料与胶粘剂等产品应符合北京市《建筑类涂料与胶粘 剂挥发性有机化合物含量限值标准》(DB11/1983-2022)的相关要求: 39)、其他合同约定应由承包人承担的义务 </w:t>
      </w:r>
      <w:r>
        <w:rPr>
          <w:rFonts w:hint="eastAsia"/>
          <w:sz w:val="21"/>
          <w:szCs w:val="21"/>
          <w:u w:val="single"/>
        </w:rPr>
        <w:t>。</w:t>
      </w:r>
    </w:p>
    <w:p w14:paraId="60DB8932">
      <w:pPr>
        <w:pStyle w:val="34"/>
        <w:adjustRightInd w:val="0"/>
        <w:rPr>
          <w:rFonts w:hint="eastAsia"/>
          <w:sz w:val="21"/>
          <w:szCs w:val="21"/>
          <w:u w:val="single"/>
        </w:rPr>
      </w:pPr>
      <w:r>
        <w:rPr>
          <w:sz w:val="21"/>
          <w:szCs w:val="21"/>
          <w:u w:val="single"/>
        </w:rPr>
        <w:t>39)、</w:t>
      </w:r>
      <w:r>
        <w:rPr>
          <w:rFonts w:hint="eastAsia"/>
          <w:sz w:val="21"/>
          <w:szCs w:val="21"/>
          <w:u w:val="single"/>
        </w:rPr>
        <w:t>其他合同约定应由承包人承担的义务：</w:t>
      </w:r>
    </w:p>
    <w:p w14:paraId="612B30A2">
      <w:pPr>
        <w:pStyle w:val="34"/>
        <w:tabs>
          <w:tab w:val="left" w:pos="1164"/>
        </w:tabs>
        <w:adjustRightInd w:val="0"/>
        <w:rPr>
          <w:rFonts w:hint="eastAsia"/>
          <w:sz w:val="21"/>
          <w:szCs w:val="21"/>
          <w:u w:val="single"/>
        </w:rPr>
      </w:pPr>
      <w:r>
        <w:rPr>
          <w:sz w:val="21"/>
          <w:szCs w:val="21"/>
          <w:u w:val="single"/>
        </w:rPr>
        <w:t>1)承包人应加强施工现场消防安全管理。建立施工现场消防安全管理制度，编制火灾扑灭 和应急疏散预案，应急疏散对象应包括施工人员和小区居民。施工现场应按规定配置符合消防安全技术标准的消防设施、器材，无法正常使用或不满足相关标准的应及时更换。施工现场按要求应设置临时消防水系统，确有困难的可利用建筑原有消防给水系统，配备相应器材并保持完好有效。易燃可燃包装物等垃圾应每日清运出场。加强用火用电用气管理，严格动火作业审批，配备灭火器材并设置动火监护人进行现场监护，动火作业前应对作业现场区域 可燃物进行清理。现场的消防安全管理相关工作是承包人的责任，发包人不接受任何由于现 场消防不符合相关部门的规定而发生的罚款或索赔。                                                           2)承包人应加强施工安全管理。开挖作业前应探明地下管线状况，防止挖断管线，影响居 民正常生活。施工现场应进行封闭式安全防护，马道口、屋面出入口应设置锁闭措施，防止 居民误入。施工材料集中存放，封闭管理，在居民活动范围内存放材料的，要采取防倾覆措 施，严禁超高码放。沟槽开挖及建（构）筑物拆除期间应在出入口等明显位置设置安全提 示，在作业面设置临时照明并在边缘设置警示灯，防止居民靠近。施工现场配电系统应实行 三级配电，用电设备必须做到“一机、一闸、一箱、一漏”。室外电气设备、配电箱要采取防风防雨措施。强化管线改造施工政府安全监管力度，推动施工企业落实安全管理主体责任。安装、巡检、维修或拆除临时用电设备和线路，必须由专职电工完成。做好施工现场24 小时值守工作。安全防护等相关工作是承包人的责任，发包人不接受任何由于安全防护不符 合相关部门的规定而发生的罚款或索赔。                                                                             3)承包人应加强绿色文明施工和防疫管理。严格落实施工现场各项绿色施工措施，合理安 排施工时间，最大限度减少噪声污染；应对裸露地面进行洒水降尘和覆盖，及时清运建筑垃 圾，不能及时清运的，应对建筑垃圾进行覆盖或密闭存放；建筑垃圾不得与生活垃圾混装混</w:t>
      </w:r>
      <w:r>
        <w:rPr>
          <w:sz w:val="21"/>
          <w:szCs w:val="21"/>
        </w:rPr>
        <mc:AlternateContent>
          <mc:Choice Requires="wpg">
            <w:drawing>
              <wp:anchor distT="0" distB="0" distL="114300" distR="114300" simplePos="0" relativeHeight="251668480" behindDoc="0" locked="0" layoutInCell="1" allowOverlap="1">
                <wp:simplePos x="0" y="0"/>
                <wp:positionH relativeFrom="page">
                  <wp:posOffset>542925</wp:posOffset>
                </wp:positionH>
                <wp:positionV relativeFrom="page">
                  <wp:posOffset>895350</wp:posOffset>
                </wp:positionV>
                <wp:extent cx="1270" cy="8905875"/>
                <wp:effectExtent l="0" t="0" r="0" b="0"/>
                <wp:wrapNone/>
                <wp:docPr id="43" name="组合 43"/>
                <wp:cNvGraphicFramePr/>
                <a:graphic xmlns:a="http://schemas.openxmlformats.org/drawingml/2006/main">
                  <a:graphicData uri="http://schemas.microsoft.com/office/word/2010/wordprocessingGroup">
                    <wpg:wgp>
                      <wpg:cNvGrpSpPr/>
                      <wpg:grpSpPr>
                        <a:xfrm>
                          <a:off x="0" y="0"/>
                          <a:ext cx="1270" cy="8905875"/>
                          <a:chOff x="855" y="1410"/>
                          <a:chExt cx="2" cy="14025"/>
                        </a:xfrm>
                      </wpg:grpSpPr>
                      <wps:wsp>
                        <wps:cNvPr id="42" name="任意多边形 42"/>
                        <wps:cNvSpPr/>
                        <wps:spPr>
                          <a:xfrm>
                            <a:off x="855" y="1410"/>
                            <a:ext cx="2" cy="14025"/>
                          </a:xfrm>
                          <a:custGeom>
                            <a:avLst/>
                            <a:gdLst/>
                            <a:ahLst/>
                            <a:cxnLst/>
                            <a:rect l="0" t="0" r="0" b="0"/>
                            <a:pathLst>
                              <a:path h="14025">
                                <a:moveTo>
                                  <a:pt x="0" y="0"/>
                                </a:moveTo>
                                <a:lnTo>
                                  <a:pt x="0" y="14025"/>
                                </a:lnTo>
                                <a:lnTo>
                                  <a:pt x="0" y="0"/>
                                </a:lnTo>
                                <a:close/>
                              </a:path>
                            </a:pathLst>
                          </a:custGeom>
                          <a:solidFill>
                            <a:srgbClr val="000000"/>
                          </a:solidFill>
                          <a:ln>
                            <a:noFill/>
                          </a:ln>
                        </wps:spPr>
                        <wps:bodyPr upright="1"/>
                      </wps:wsp>
                    </wpg:wgp>
                  </a:graphicData>
                </a:graphic>
              </wp:anchor>
            </w:drawing>
          </mc:Choice>
          <mc:Fallback>
            <w:pict>
              <v:group id="_x0000_s1026" o:spid="_x0000_s1026" o:spt="203" style="position:absolute;left:0pt;margin-left:42.75pt;margin-top:70.5pt;height:701.25pt;width:0.1pt;mso-position-horizontal-relative:page;mso-position-vertical-relative:page;z-index:251668480;mso-width-relative:page;mso-height-relative:page;" coordorigin="855,1410" coordsize="2,14025" o:gfxdata="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AR6s6fZAAAACgEAAA8AAAAAAAAAAQAgAAAAIgAAAGRycy9kb3ducmV2LnhtbFBLAQIUABQA&#10;AAAIAIdO4kA7zR0XYQIAAHkFAAAOAAAAAAAAAAEAIAAAACgBAABkcnMvZTJvRG9jLnhtbFBLBQYA&#10;AAAABgAGAFkBAAD7BQAAAAA=&#10;">
                <o:lock v:ext="edit" aspectratio="f"/>
                <v:shape id="_x0000_s1026" o:spid="_x0000_s1026" o:spt="100" style="position:absolute;left:855;top:1410;height:14025;width:2;" fillcolor="#000000" filled="t" stroked="f" coordsize="1,14025" o:gfxdata="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e1YUPL4A&#10;AADbAAAADwAAAAAAAAABACAAAAAiAAAAZHJzL2Rvd25yZXYueG1sUEsBAhQAFAAAAAgAh07iQDMv&#10;BZ47AAAAOQAAABAAAAAAAAAAAQAgAAAADQEAAGRycy9zaGFwZXhtbC54bWxQSwUGAAAAAAYABgBb&#10;AQAAtwMAAAAA&#10;" path="m0,0l0,14025,0,0xe">
                  <v:fill on="t" focussize="0,0"/>
                  <v:stroke on="f"/>
                  <v:imagedata o:title=""/>
                  <o:lock v:ext="edit" aspectratio="f"/>
                </v:shape>
              </v:group>
            </w:pict>
          </mc:Fallback>
        </mc:AlternateContent>
      </w:r>
      <w:r>
        <w:rPr>
          <w:sz w:val="21"/>
          <w:szCs w:val="21"/>
          <w:u w:val="single"/>
        </w:rPr>
        <w:t>运。要及时修复施工毁坏的路面，方便居民出行。将施工现场疫情防控纳入社区管理，进出小区的作业人员和管理人员应遵守本市疫情防控要求，服从社区防疫管理。承包人应根据施 工计划合理安排材料进场工作，最大限度减少占用小区空间，当日施工完毕后做到“活完料</w:t>
      </w:r>
      <w:r>
        <w:rPr>
          <w:sz w:val="21"/>
          <w:szCs w:val="21"/>
        </w:rPr>
        <w:t xml:space="preserve"> </w:t>
      </w:r>
      <w:r>
        <w:rPr>
          <w:sz w:val="21"/>
          <w:szCs w:val="21"/>
          <w:u w:val="single"/>
        </w:rPr>
        <w:t>净场地清”。项目负责人应加强重大活动服务保障期间值班值守，确保我市重大活动期间施</w:t>
      </w:r>
      <w:r>
        <w:rPr>
          <w:sz w:val="21"/>
          <w:szCs w:val="21"/>
        </w:rPr>
        <w:t xml:space="preserve"> </w:t>
      </w:r>
      <w:r>
        <w:rPr>
          <w:sz w:val="21"/>
          <w:szCs w:val="21"/>
          <w:u w:val="single"/>
        </w:rPr>
        <w:t xml:space="preserve">工现场不扬尘、不冒烟、不违章违规作业、不挖断管线、不中毒、不坍塌、不抢工、不亡 人、不掉队、不投诉。文明施工、卫生防疫等相关工作是承包人的责任，发包人不接受任何 由于文明施工或卫生防疫不符合相关部门的规定而发生的罚款或索赔。 </w:t>
      </w:r>
    </w:p>
    <w:p w14:paraId="50F59F27">
      <w:pPr>
        <w:pStyle w:val="34"/>
        <w:tabs>
          <w:tab w:val="left" w:pos="1164"/>
        </w:tabs>
        <w:adjustRightInd w:val="0"/>
        <w:rPr>
          <w:rFonts w:hint="eastAsia"/>
          <w:sz w:val="21"/>
          <w:szCs w:val="21"/>
        </w:rPr>
      </w:pPr>
      <w:r>
        <w:rPr>
          <w:sz w:val="21"/>
          <w:szCs w:val="21"/>
          <w:u w:val="single"/>
        </w:rPr>
        <w:t>4)承包人应强化施工公示工作。承包人应在施工现场设立“责任主体公示牌”和“主要材</w:t>
      </w:r>
      <w:r>
        <w:rPr>
          <w:sz w:val="21"/>
          <w:szCs w:val="21"/>
        </w:rPr>
        <w:t xml:space="preserve"> </w:t>
      </w:r>
      <w:r>
        <w:rPr>
          <w:sz w:val="21"/>
          <w:szCs w:val="21"/>
          <w:u w:val="single"/>
        </w:rPr>
        <w:t>料公示牌”。“责任主体公示牌”应载明建设、施工、监理、设计、检测机构单位名称及项</w:t>
      </w:r>
      <w:r>
        <w:rPr>
          <w:sz w:val="21"/>
          <w:szCs w:val="21"/>
        </w:rPr>
        <w:t xml:space="preserve"> </w:t>
      </w:r>
      <w:r>
        <w:rPr>
          <w:sz w:val="21"/>
          <w:szCs w:val="21"/>
          <w:u w:val="single"/>
        </w:rPr>
        <w:t>目负责人姓名、电话；“主要材料公示牌”应载明材料生产厂家、出厂检测报告及进场复试</w:t>
      </w:r>
      <w:r>
        <w:rPr>
          <w:sz w:val="21"/>
          <w:szCs w:val="21"/>
        </w:rPr>
        <w:t xml:space="preserve"> </w:t>
      </w:r>
      <w:r>
        <w:rPr>
          <w:sz w:val="21"/>
          <w:szCs w:val="21"/>
          <w:u w:val="single"/>
        </w:rPr>
        <w:t>结果等内容。                                                                                                                 5) 按照《北京市住房和城乡建设委员会关于印发&lt;北京市房屋建筑和市政基础设施工程安全 质量状况评估管理办法（暂行）&gt;的通知》（京建法〔2013〕2号）和《北京市住房和城乡建 设委员会关于北京市房屋建筑和市政基础设施工程质量风险分级管控平台上线运行的通知》</w:t>
      </w:r>
    </w:p>
    <w:p w14:paraId="79E76F02">
      <w:pPr>
        <w:pStyle w:val="34"/>
        <w:tabs>
          <w:tab w:val="left" w:pos="1164"/>
        </w:tabs>
        <w:adjustRightInd w:val="0"/>
        <w:rPr>
          <w:rFonts w:hint="eastAsia"/>
          <w:sz w:val="21"/>
          <w:szCs w:val="21"/>
          <w:u w:val="single"/>
        </w:rPr>
      </w:pPr>
      <w:r>
        <w:rPr>
          <w:sz w:val="21"/>
          <w:szCs w:val="21"/>
          <w:u w:val="single"/>
        </w:rPr>
        <w:t>（京建发〔2020〕352号）要求，主动开展质量安全风险分级管控和测评工作。老旧小区改造工程风险等级按照不低于较大风险进行管控。承包人应定期对所承担的工程项目各阶段、 各环节质量安全状况进行检查，对质量安全管控情况进行自评价，并将检查和评价结果提交 发包人，由发包人进行复检，并将检查和评价结果报送至质量风险分级管控平台，实现精细</w:t>
      </w:r>
      <w:r>
        <w:rPr>
          <w:rFonts w:hint="eastAsia"/>
          <w:sz w:val="21"/>
          <w:szCs w:val="21"/>
          <w:u w:val="single"/>
        </w:rPr>
        <w:t>化治理</w:t>
      </w:r>
      <w:r>
        <w:rPr>
          <w:sz w:val="21"/>
          <w:szCs w:val="21"/>
          <w:u w:val="single"/>
        </w:rPr>
        <w:t xml:space="preserve">  </w:t>
      </w:r>
    </w:p>
    <w:p w14:paraId="3E9AA9BF">
      <w:pPr>
        <w:pStyle w:val="34"/>
        <w:numPr>
          <w:ilvl w:val="0"/>
          <w:numId w:val="35"/>
        </w:numPr>
        <w:tabs>
          <w:tab w:val="left" w:pos="1164"/>
        </w:tabs>
        <w:adjustRightInd w:val="0"/>
        <w:jc w:val="left"/>
        <w:rPr>
          <w:rFonts w:hint="eastAsia"/>
          <w:sz w:val="21"/>
          <w:szCs w:val="21"/>
          <w:u w:val="single"/>
        </w:rPr>
      </w:pPr>
      <w:r>
        <w:rPr>
          <w:sz w:val="21"/>
          <w:szCs w:val="21"/>
          <w:u w:val="single"/>
        </w:rPr>
        <w:t xml:space="preserve">承包人应建立健全改造工程应急救援体系，编制质量安全事故应急预案，落实应急指挥体系、应急救援队伍和应急物资及装备，建立健全安全生产预警和应急协调保障机制，强化 应急处置。                                                                                                                    7)对于承包人在施工过程中有需要发包人配合完成的工作，承包人应于施工总控制进度计划中明确表述或在合理的时限内提前通知发包人；                                                        8)承包人确认在签署本承包合同时，已充分了解本项目各项政府手续的办理进程，承诺继续做好市建委、质（安）监站和区、街道及相邻等相关单位的疏导工作，维护项目整体利益；                                                                                                                                9)承包人负责在施工期间定期与政府质检部门联络并接受其质量监督。承包人负责在施工 总进度计划规定的时限内实现政府相关部门要求的各种验收。承包人因各种验收所发生的费 用全部包含在签约合同总价中。承包人因核验拖期而延误的工期不予延长。 </w:t>
      </w:r>
    </w:p>
    <w:p w14:paraId="4E6ECE57">
      <w:pPr>
        <w:pStyle w:val="34"/>
        <w:numPr>
          <w:ilvl w:val="0"/>
          <w:numId w:val="36"/>
        </w:numPr>
        <w:tabs>
          <w:tab w:val="left" w:pos="1164"/>
        </w:tabs>
        <w:adjustRightInd w:val="0"/>
        <w:jc w:val="left"/>
        <w:rPr>
          <w:rFonts w:hint="eastAsia"/>
          <w:sz w:val="21"/>
          <w:szCs w:val="21"/>
          <w:u w:val="single"/>
        </w:rPr>
      </w:pPr>
      <w:r>
        <w:rPr>
          <w:sz w:val="21"/>
          <w:szCs w:val="21"/>
          <w:u w:val="single"/>
        </w:rPr>
        <w:t xml:space="preserve"> 承包人应建立工序自检、交接检和专职人员检查的“三检”制度，未经验收或验收不合</w:t>
      </w:r>
      <w:r>
        <w:rPr>
          <w:sz w:val="21"/>
          <w:szCs w:val="21"/>
        </w:rPr>
        <w:t xml:space="preserve"> </w:t>
      </w:r>
      <w:r>
        <w:rPr>
          <w:sz w:val="21"/>
          <w:szCs w:val="21"/>
          <w:u w:val="single"/>
        </w:rPr>
        <w:t>格不得进行下一道工序。公共区域改造完工后，在发包人组织完成四方验收的基础上，由发 包人牵头组织社区居委会、业主委员会、物业服务企业、业主代表和参建单位，对改造效果</w:t>
      </w:r>
      <w:r>
        <w:rPr>
          <w:sz w:val="21"/>
          <w:szCs w:val="21"/>
        </w:rPr>
        <mc:AlternateContent>
          <mc:Choice Requires="wpg">
            <w:drawing>
              <wp:anchor distT="0" distB="0" distL="114300" distR="114300" simplePos="0" relativeHeight="251669504" behindDoc="0" locked="0" layoutInCell="1" allowOverlap="1">
                <wp:simplePos x="0" y="0"/>
                <wp:positionH relativeFrom="page">
                  <wp:posOffset>542925</wp:posOffset>
                </wp:positionH>
                <wp:positionV relativeFrom="page">
                  <wp:posOffset>895350</wp:posOffset>
                </wp:positionV>
                <wp:extent cx="1270" cy="8905875"/>
                <wp:effectExtent l="0" t="0" r="0" b="0"/>
                <wp:wrapNone/>
                <wp:docPr id="31" name="组合 31"/>
                <wp:cNvGraphicFramePr/>
                <a:graphic xmlns:a="http://schemas.openxmlformats.org/drawingml/2006/main">
                  <a:graphicData uri="http://schemas.microsoft.com/office/word/2010/wordprocessingGroup">
                    <wpg:wgp>
                      <wpg:cNvGrpSpPr/>
                      <wpg:grpSpPr>
                        <a:xfrm>
                          <a:off x="0" y="0"/>
                          <a:ext cx="1270" cy="8905875"/>
                          <a:chOff x="855" y="1410"/>
                          <a:chExt cx="2" cy="14025"/>
                        </a:xfrm>
                      </wpg:grpSpPr>
                      <wps:wsp>
                        <wps:cNvPr id="30" name="任意多边形 30"/>
                        <wps:cNvSpPr/>
                        <wps:spPr>
                          <a:xfrm>
                            <a:off x="855" y="1410"/>
                            <a:ext cx="2" cy="14025"/>
                          </a:xfrm>
                          <a:custGeom>
                            <a:avLst/>
                            <a:gdLst/>
                            <a:ahLst/>
                            <a:cxnLst/>
                            <a:rect l="0" t="0" r="0" b="0"/>
                            <a:pathLst>
                              <a:path h="14025">
                                <a:moveTo>
                                  <a:pt x="0" y="0"/>
                                </a:moveTo>
                                <a:lnTo>
                                  <a:pt x="0" y="14025"/>
                                </a:lnTo>
                                <a:lnTo>
                                  <a:pt x="0" y="0"/>
                                </a:lnTo>
                                <a:close/>
                              </a:path>
                            </a:pathLst>
                          </a:custGeom>
                          <a:solidFill>
                            <a:srgbClr val="000000"/>
                          </a:solidFill>
                          <a:ln>
                            <a:noFill/>
                          </a:ln>
                        </wps:spPr>
                        <wps:bodyPr upright="1"/>
                      </wps:wsp>
                    </wpg:wgp>
                  </a:graphicData>
                </a:graphic>
              </wp:anchor>
            </w:drawing>
          </mc:Choice>
          <mc:Fallback>
            <w:pict>
              <v:group id="_x0000_s1026" o:spid="_x0000_s1026" o:spt="203" style="position:absolute;left:0pt;margin-left:42.75pt;margin-top:70.5pt;height:701.25pt;width:0.1pt;mso-position-horizontal-relative:page;mso-position-vertical-relative:page;z-index:251669504;mso-width-relative:page;mso-height-relative:page;" coordorigin="855,1410" coordsize="2,14025" o:gfxdata="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BHqzp9kAAAAKAQAADwAAAAAAAAABACAAAAAiAAAAZHJzL2Rvd25yZXYueG1sUEsBAhQA&#10;FAAAAAgAh07iQGy3VmdjAgAAeQUAAA4AAAAAAAAAAQAgAAAAKAEAAGRycy9lMm9Eb2MueG1sUEsF&#10;BgAAAAAGAAYAWQEAAP0FAAAAAA==&#10;">
                <o:lock v:ext="edit" aspectratio="f"/>
                <v:shape id="_x0000_s1026" o:spid="_x0000_s1026" o:spt="100" style="position:absolute;left:855;top:1410;height:14025;width:2;" fillcolor="#000000" filled="t" stroked="f" coordsize="1,14025" o:gfxdata="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LzOXK25AAAA2wAA&#10;AA8AAAAAAAAAAQAgAAAAIgAAAGRycy9kb3ducmV2LnhtbFBLAQIUABQAAAAIAIdO4kAzLwWeOwAA&#10;ADkAAAAQAAAAAAAAAAEAIAAAAAgBAABkcnMvc2hhcGV4bWwueG1sUEsFBgAAAAAGAAYAWwEAALID&#10;AAAAAA==&#10;" path="m0,0l0,14025,0,0xe">
                  <v:fill on="t" focussize="0,0"/>
                  <v:stroke on="f"/>
                  <v:imagedata o:title=""/>
                  <o:lock v:ext="edit" aspectratio="f"/>
                </v:shape>
              </v:group>
            </w:pict>
          </mc:Fallback>
        </mc:AlternateContent>
      </w:r>
      <w:r>
        <w:rPr>
          <w:sz w:val="21"/>
          <w:szCs w:val="21"/>
          <w:u w:val="single"/>
        </w:rPr>
        <w:t>进行验收，承包人应配合验收。</w:t>
      </w:r>
    </w:p>
    <w:p w14:paraId="0BEEC42A">
      <w:pPr>
        <w:pStyle w:val="34"/>
        <w:numPr>
          <w:ilvl w:val="0"/>
          <w:numId w:val="36"/>
        </w:numPr>
        <w:tabs>
          <w:tab w:val="left" w:pos="1164"/>
        </w:tabs>
        <w:adjustRightInd w:val="0"/>
        <w:jc w:val="left"/>
        <w:rPr>
          <w:rFonts w:hint="eastAsia"/>
          <w:sz w:val="21"/>
          <w:szCs w:val="21"/>
          <w:u w:val="single"/>
        </w:rPr>
      </w:pPr>
      <w:r>
        <w:rPr>
          <w:rFonts w:hint="eastAsia"/>
          <w:sz w:val="21"/>
          <w:szCs w:val="21"/>
          <w:u w:val="single"/>
        </w:rPr>
        <w:t>发生紧急事故时，因承包人的原因没有及时赶赴事故现场抢修的，造成的全部损失及抢修费用均由承包人承担。</w:t>
      </w:r>
    </w:p>
    <w:p w14:paraId="61E82997">
      <w:pPr>
        <w:pStyle w:val="34"/>
        <w:numPr>
          <w:ilvl w:val="0"/>
          <w:numId w:val="36"/>
        </w:numPr>
        <w:tabs>
          <w:tab w:val="left" w:pos="1164"/>
        </w:tabs>
        <w:adjustRightInd w:val="0"/>
        <w:jc w:val="left"/>
        <w:rPr>
          <w:rFonts w:hint="eastAsia"/>
          <w:sz w:val="21"/>
          <w:szCs w:val="21"/>
          <w:u w:val="single"/>
        </w:rPr>
      </w:pPr>
      <w:r>
        <w:rPr>
          <w:rFonts w:hint="eastAsia"/>
          <w:sz w:val="21"/>
          <w:szCs w:val="21"/>
          <w:u w:val="single"/>
        </w:rPr>
        <w:t xml:space="preserve"> 因承包人责任，达不到约定的质量标准，承包人应无偿返工，工期不予顺延。返工后仍不合格的，发包人有权解除合同。</w:t>
      </w:r>
    </w:p>
    <w:p w14:paraId="229077C0">
      <w:pPr>
        <w:pStyle w:val="34"/>
        <w:numPr>
          <w:ilvl w:val="0"/>
          <w:numId w:val="36"/>
        </w:numPr>
        <w:tabs>
          <w:tab w:val="left" w:pos="1164"/>
        </w:tabs>
        <w:adjustRightInd w:val="0"/>
        <w:jc w:val="left"/>
        <w:rPr>
          <w:rFonts w:hint="eastAsia"/>
          <w:sz w:val="21"/>
          <w:szCs w:val="21"/>
          <w:u w:val="single"/>
        </w:rPr>
      </w:pPr>
      <w:r>
        <w:rPr>
          <w:rFonts w:hint="eastAsia"/>
          <w:sz w:val="21"/>
          <w:szCs w:val="21"/>
          <w:u w:val="single"/>
        </w:rPr>
        <w:t xml:space="preserve"> 承包人逾期【5】日仍未完工的，发包人有权解除合同。</w:t>
      </w:r>
    </w:p>
    <w:p w14:paraId="1B4EB7D3">
      <w:pPr>
        <w:pStyle w:val="34"/>
        <w:numPr>
          <w:ilvl w:val="0"/>
          <w:numId w:val="36"/>
        </w:numPr>
        <w:tabs>
          <w:tab w:val="left" w:pos="1164"/>
        </w:tabs>
        <w:adjustRightInd w:val="0"/>
        <w:jc w:val="left"/>
        <w:rPr>
          <w:rFonts w:hint="eastAsia"/>
          <w:sz w:val="21"/>
          <w:szCs w:val="21"/>
          <w:u w:val="single"/>
        </w:rPr>
      </w:pPr>
      <w:r>
        <w:rPr>
          <w:rFonts w:hint="eastAsia"/>
          <w:sz w:val="21"/>
          <w:szCs w:val="21"/>
          <w:u w:val="single"/>
        </w:rPr>
        <w:t>除本合同另有约定外，承包人违反合同约定的其他义务，经发包人催告后3日内仍拒不改正或改正后仍不符合合同约定的，发包人有权解除本合同。</w:t>
      </w:r>
    </w:p>
    <w:p w14:paraId="35EEE089">
      <w:pPr>
        <w:pStyle w:val="34"/>
        <w:numPr>
          <w:ilvl w:val="0"/>
          <w:numId w:val="36"/>
        </w:numPr>
        <w:tabs>
          <w:tab w:val="left" w:pos="1164"/>
        </w:tabs>
        <w:adjustRightInd w:val="0"/>
        <w:jc w:val="left"/>
        <w:rPr>
          <w:rFonts w:hint="eastAsia"/>
          <w:sz w:val="21"/>
          <w:szCs w:val="21"/>
          <w:u w:val="single"/>
        </w:rPr>
      </w:pPr>
      <w:r>
        <w:rPr>
          <w:rFonts w:hint="eastAsia"/>
          <w:sz w:val="21"/>
          <w:szCs w:val="21"/>
          <w:u w:val="single"/>
        </w:rPr>
        <w:t>因承包人原因导致合同解除的，承包人应按合同总额【5】%的标准支付违约金，违约金不足以弥补发包人所受损失的（包括但不限于实际损失、可预期利益），承包人应予以补足。工程款按发包人确认合格的部分结算。因发包人向承包人主张权利产生的律师费、诉讼费、公证费、鉴定费等，由承包人承担。</w:t>
      </w:r>
    </w:p>
    <w:p w14:paraId="2828BB2B">
      <w:pPr>
        <w:pStyle w:val="34"/>
        <w:numPr>
          <w:ilvl w:val="0"/>
          <w:numId w:val="36"/>
        </w:numPr>
        <w:tabs>
          <w:tab w:val="left" w:pos="1164"/>
        </w:tabs>
        <w:adjustRightInd w:val="0"/>
        <w:jc w:val="left"/>
        <w:rPr>
          <w:rFonts w:hint="eastAsia"/>
          <w:sz w:val="21"/>
          <w:szCs w:val="21"/>
          <w:u w:val="single"/>
        </w:rPr>
      </w:pPr>
      <w:r>
        <w:rPr>
          <w:rFonts w:hint="eastAsia"/>
          <w:sz w:val="21"/>
          <w:szCs w:val="21"/>
          <w:u w:val="single"/>
        </w:rPr>
        <w:t>发包人或监理人对承包人的任何批准、认可均应以书面形式确认。发包人或监理人未在合同约定时间内回复承包人的，在任何情况下均不视为对承包人提交资料或承包人行为的认可。</w:t>
      </w:r>
    </w:p>
    <w:p w14:paraId="3DA11A77">
      <w:pPr>
        <w:pStyle w:val="34"/>
        <w:tabs>
          <w:tab w:val="left" w:pos="1254"/>
        </w:tabs>
        <w:adjustRightInd w:val="0"/>
        <w:spacing w:line="371" w:lineRule="exact"/>
        <w:rPr>
          <w:rFonts w:hint="eastAsia"/>
          <w:sz w:val="21"/>
          <w:szCs w:val="21"/>
        </w:rPr>
      </w:pPr>
      <w:r>
        <w:rPr>
          <w:sz w:val="21"/>
          <w:szCs w:val="21"/>
        </w:rPr>
        <w:t>4.2履约担保</w:t>
      </w:r>
    </w:p>
    <w:p w14:paraId="688129C2">
      <w:pPr>
        <w:tabs>
          <w:tab w:val="left" w:pos="1809"/>
        </w:tabs>
        <w:adjustRightInd w:val="0"/>
        <w:spacing w:line="237" w:lineRule="auto"/>
        <w:rPr>
          <w:rFonts w:hint="eastAsia" w:ascii="宋体" w:hAnsi="宋体" w:cs="Arial Unicode MS"/>
          <w:szCs w:val="21"/>
        </w:rPr>
      </w:pPr>
      <w:r>
        <w:rPr>
          <w:rFonts w:ascii="宋体" w:hAnsi="宋体" w:cs="Arial Unicode MS"/>
          <w:szCs w:val="21"/>
        </w:rPr>
        <w:t>4.2.1承包人履约担保的格式和金额 发包人</w:t>
      </w:r>
      <w:r>
        <w:rPr>
          <w:rFonts w:ascii="宋体" w:hAnsi="宋体" w:cs="Arial Unicode MS"/>
          <w:szCs w:val="21"/>
          <w:u w:val="single"/>
        </w:rPr>
        <w:t>不要求</w:t>
      </w:r>
      <w:r>
        <w:rPr>
          <w:rFonts w:ascii="宋体" w:hAnsi="宋体" w:cs="Arial Unicode MS"/>
          <w:szCs w:val="21"/>
        </w:rPr>
        <w:t>（要求/不要求）承包人提供承包人履约担保。 承包人履约担保的金额为</w:t>
      </w:r>
      <w:r>
        <w:rPr>
          <w:rFonts w:ascii="宋体" w:hAnsi="宋体" w:cs="Arial Unicode MS"/>
          <w:szCs w:val="21"/>
          <w:u w:val="single"/>
        </w:rPr>
        <w:t>/</w:t>
      </w:r>
    </w:p>
    <w:p w14:paraId="3E2BF236">
      <w:pPr>
        <w:pStyle w:val="34"/>
        <w:tabs>
          <w:tab w:val="left" w:pos="1374"/>
        </w:tabs>
        <w:adjustRightInd w:val="0"/>
        <w:spacing w:line="371" w:lineRule="exact"/>
        <w:rPr>
          <w:rFonts w:hint="eastAsia"/>
          <w:sz w:val="21"/>
          <w:szCs w:val="21"/>
        </w:rPr>
      </w:pPr>
      <w:r>
        <w:rPr>
          <w:sz w:val="21"/>
          <w:szCs w:val="21"/>
        </w:rPr>
        <w:t>4.11不利物质条件</w:t>
      </w:r>
    </w:p>
    <w:p w14:paraId="36F7C953">
      <w:pPr>
        <w:tabs>
          <w:tab w:val="left" w:pos="1914"/>
        </w:tabs>
        <w:adjustRightInd w:val="0"/>
        <w:spacing w:line="364" w:lineRule="exact"/>
        <w:rPr>
          <w:rFonts w:hint="eastAsia" w:ascii="宋体" w:hAnsi="宋体" w:cs="Arial Unicode MS"/>
          <w:szCs w:val="21"/>
        </w:rPr>
      </w:pPr>
      <w:r>
        <w:rPr>
          <w:rFonts w:ascii="宋体" w:hAnsi="宋体" w:cs="Arial Unicode MS"/>
          <w:szCs w:val="21"/>
        </w:rPr>
        <w:t>4.11.1不利物质条件的范围：</w:t>
      </w:r>
    </w:p>
    <w:p w14:paraId="5AF34879">
      <w:pPr>
        <w:pStyle w:val="34"/>
        <w:adjustRightInd w:val="0"/>
        <w:spacing w:line="417" w:lineRule="exact"/>
        <w:rPr>
          <w:rFonts w:hint="eastAsia"/>
          <w:sz w:val="21"/>
          <w:szCs w:val="21"/>
        </w:rPr>
      </w:pPr>
      <w:r>
        <w:rPr>
          <w:sz w:val="21"/>
          <w:szCs w:val="21"/>
          <w:u w:val="single"/>
        </w:rPr>
        <w:t>地下</w:t>
      </w:r>
      <w:r>
        <w:rPr>
          <w:rFonts w:hint="eastAsia"/>
          <w:sz w:val="21"/>
          <w:szCs w:val="21"/>
          <w:u w:val="single"/>
        </w:rPr>
        <w:t>已</w:t>
      </w:r>
      <w:r>
        <w:rPr>
          <w:sz w:val="21"/>
          <w:szCs w:val="21"/>
          <w:u w:val="single"/>
        </w:rPr>
        <w:t>存在的但未探明的非自然物质障碍和污染物等，包括地下和水文条件；</w:t>
      </w:r>
    </w:p>
    <w:p w14:paraId="42302332">
      <w:pPr>
        <w:adjustRightInd w:val="0"/>
        <w:spacing w:before="14"/>
        <w:rPr>
          <w:rFonts w:hint="eastAsia" w:ascii="宋体" w:hAnsi="宋体" w:cs="Arial Unicode MS"/>
          <w:sz w:val="23"/>
          <w:szCs w:val="23"/>
        </w:rPr>
      </w:pPr>
    </w:p>
    <w:p w14:paraId="4BC31BD1">
      <w:pPr>
        <w:pStyle w:val="3"/>
        <w:spacing w:line="439" w:lineRule="exact"/>
        <w:jc w:val="both"/>
        <w:rPr>
          <w:rFonts w:hint="eastAsia" w:hAnsi="宋体"/>
          <w:szCs w:val="32"/>
        </w:rPr>
      </w:pPr>
      <w:r>
        <w:rPr>
          <w:rFonts w:hAnsi="宋体"/>
          <w:szCs w:val="32"/>
        </w:rPr>
        <w:t>5.材料和工程设备</w:t>
      </w:r>
    </w:p>
    <w:p w14:paraId="170EF4EC">
      <w:pPr>
        <w:pStyle w:val="34"/>
        <w:tabs>
          <w:tab w:val="left" w:pos="1254"/>
        </w:tabs>
        <w:adjustRightInd w:val="0"/>
        <w:rPr>
          <w:rFonts w:hint="eastAsia"/>
        </w:rPr>
      </w:pPr>
      <w:r>
        <w:t>5.1承包人提供的材料和工程设备</w:t>
      </w:r>
    </w:p>
    <w:p w14:paraId="33D6CCF7">
      <w:pPr>
        <w:adjustRightInd w:val="0"/>
        <w:spacing w:before="5"/>
        <w:rPr>
          <w:rFonts w:hint="eastAsia" w:ascii="宋体" w:hAnsi="宋体" w:cs="Arial Unicode MS"/>
          <w:sz w:val="16"/>
          <w:szCs w:val="16"/>
        </w:rPr>
      </w:pPr>
    </w:p>
    <w:p w14:paraId="5281E14B">
      <w:pPr>
        <w:tabs>
          <w:tab w:val="left" w:pos="1884"/>
          <w:tab w:val="left" w:pos="8034"/>
        </w:tabs>
        <w:adjustRightInd w:val="0"/>
        <w:spacing w:line="406" w:lineRule="exact"/>
        <w:rPr>
          <w:rFonts w:hint="eastAsia" w:ascii="宋体" w:hAnsi="宋体" w:cs="Arial Unicode MS"/>
          <w:sz w:val="24"/>
        </w:rPr>
      </w:pPr>
      <w:r>
        <w:rPr>
          <w:rFonts w:ascii="宋体" w:hAnsi="宋体" w:cs="Arial Unicode MS"/>
          <w:szCs w:val="21"/>
        </w:rPr>
        <w:t>5.1.2</w:t>
      </w:r>
      <w:r>
        <w:rPr>
          <w:rFonts w:hint="eastAsia" w:ascii="宋体" w:hAnsi="宋体" w:cs="Arial Unicode MS"/>
          <w:szCs w:val="21"/>
        </w:rPr>
        <w:t>承包人将由其提供的材料和工程设备的供货人和品种、规格、数量及供货时间等报送监理人 审批的期限：承包人应当在相应材料和工程设备进场前【3】天将相应材料和工程设备的供货人及采购品种、规格、数量和供货时间等报送监理人审批，监理人收到该采购供应计划7天内予以批复或提出修改意见。未经监理人和发包人审批确定的该等材料和工程设备不得进场现场，否则发包人有权不支付相应在材料和工程设备价款。</w:t>
      </w:r>
    </w:p>
    <w:p w14:paraId="5BACD19C">
      <w:pPr>
        <w:adjustRightInd w:val="0"/>
        <w:spacing w:before="15"/>
        <w:rPr>
          <w:rFonts w:hint="eastAsia" w:ascii="宋体" w:hAnsi="宋体" w:cs="Arial Unicode MS"/>
        </w:rPr>
      </w:pPr>
    </w:p>
    <w:p w14:paraId="0FF245EF">
      <w:pPr>
        <w:pStyle w:val="3"/>
        <w:spacing w:line="439" w:lineRule="exact"/>
        <w:jc w:val="both"/>
        <w:rPr>
          <w:rFonts w:hint="eastAsia" w:hAnsi="宋体"/>
          <w:szCs w:val="32"/>
        </w:rPr>
      </w:pPr>
      <w:r>
        <w:rPr>
          <w:rFonts w:hAnsi="宋体"/>
          <w:szCs w:val="32"/>
        </w:rPr>
        <w:t>6.施工设备和临时设施</w:t>
      </w:r>
    </w:p>
    <w:p w14:paraId="5C71A9C1">
      <w:pPr>
        <w:pStyle w:val="34"/>
        <w:tabs>
          <w:tab w:val="left" w:pos="1254"/>
        </w:tabs>
        <w:adjustRightInd w:val="0"/>
        <w:rPr>
          <w:rFonts w:hint="eastAsia"/>
        </w:rPr>
      </w:pPr>
      <w:r>
        <w:t>6.1承包人提供的施工设备和临时设施</w:t>
      </w:r>
    </w:p>
    <w:p w14:paraId="0F8A3958">
      <w:pPr>
        <w:tabs>
          <w:tab w:val="left" w:pos="1809"/>
        </w:tabs>
        <w:adjustRightInd w:val="0"/>
        <w:spacing w:line="364" w:lineRule="exact"/>
        <w:rPr>
          <w:rFonts w:hint="eastAsia" w:ascii="宋体" w:hAnsi="宋体"/>
        </w:rPr>
      </w:pPr>
      <w:r>
        <w:rPr>
          <w:rFonts w:ascii="宋体" w:hAnsi="宋体" w:cs="Arial Unicode MS"/>
          <w:szCs w:val="21"/>
        </w:rPr>
        <w:t>6.1.2承包人承担自行修建临时设施费用的范围：</w:t>
      </w:r>
      <w:r>
        <w:rPr>
          <w:rFonts w:ascii="宋体" w:hAnsi="宋体"/>
          <w:u w:val="single"/>
        </w:rPr>
        <w:t>/</w:t>
      </w:r>
    </w:p>
    <w:p w14:paraId="44C68B7B">
      <w:pPr>
        <w:adjustRightInd w:val="0"/>
        <w:spacing w:line="364" w:lineRule="exact"/>
        <w:rPr>
          <w:rFonts w:hint="eastAsia" w:ascii="宋体" w:hAnsi="宋体" w:cs="Arial Unicode MS"/>
          <w:szCs w:val="21"/>
        </w:rPr>
      </w:pPr>
      <w:r>
        <w:rPr>
          <w:rFonts w:ascii="宋体" w:hAnsi="宋体" w:cs="Arial Unicode MS"/>
          <w:szCs w:val="21"/>
        </w:rPr>
        <w:t>发包人办理申请手续并承担相关费用的临时占地：</w:t>
      </w:r>
    </w:p>
    <w:p w14:paraId="0FE1D576">
      <w:pPr>
        <w:pStyle w:val="34"/>
        <w:adjustRightInd w:val="0"/>
        <w:spacing w:before="16" w:line="420" w:lineRule="exact"/>
        <w:rPr>
          <w:rFonts w:hint="eastAsia"/>
          <w:sz w:val="21"/>
          <w:szCs w:val="21"/>
        </w:rPr>
      </w:pPr>
      <w:r>
        <w:rPr>
          <w:sz w:val="21"/>
          <w:szCs w:val="21"/>
          <w:u w:val="single"/>
        </w:rPr>
        <w:t>无论何种情况下，承包人自行踏勘的都必须按照现场踏勘之日的标准接受现场的所有 现状。如果承包人认为场地狭小而需要工程现场范围以外的工作用地或用作临时办公或生活 基地，承包人须自费承担所需的施工用房或场地，并申请及获得有关管理机构或用地拥有者 的许可, 承包人应负责确保所有现场周边毗邻的道路、步行道和现场出入口等的干净和整 洁，同时保证它们及周边公共交通、公众生活不因承包人和其它受承包人控制的施工操作、 材料装卸、车辆、材料、物品、设备和工人而带来任何妨碍；承包</w:t>
      </w:r>
      <w:r>
        <w:rPr>
          <w:rFonts w:hint="eastAsia"/>
          <w:sz w:val="21"/>
          <w:szCs w:val="21"/>
          <w:u w:val="single"/>
        </w:rPr>
        <w:t>人</w:t>
      </w:r>
      <w:r>
        <w:rPr>
          <w:sz w:val="21"/>
          <w:szCs w:val="21"/>
          <w:u w:val="single"/>
        </w:rPr>
        <w:t>应保证发包人免于与上 述事件有关的任何索赔、诉讼、损害和损失 。</w:t>
      </w:r>
    </w:p>
    <w:p w14:paraId="65C6D94C">
      <w:pPr>
        <w:adjustRightInd w:val="0"/>
        <w:spacing w:before="9"/>
        <w:rPr>
          <w:rFonts w:hint="eastAsia" w:ascii="宋体" w:hAnsi="宋体" w:cs="Arial Unicode MS"/>
          <w:szCs w:val="21"/>
        </w:rPr>
      </w:pPr>
    </w:p>
    <w:p w14:paraId="188B12C0">
      <w:pPr>
        <w:pStyle w:val="34"/>
        <w:tabs>
          <w:tab w:val="left" w:pos="1254"/>
        </w:tabs>
        <w:adjustRightInd w:val="0"/>
        <w:spacing w:line="371" w:lineRule="exact"/>
        <w:rPr>
          <w:rFonts w:hint="eastAsia" w:cs="Arial Unicode MS"/>
          <w:sz w:val="21"/>
          <w:szCs w:val="21"/>
        </w:rPr>
      </w:pPr>
      <w:r>
        <w:rPr>
          <w:sz w:val="21"/>
          <w:szCs w:val="21"/>
        </w:rPr>
        <w:t>6.2发包人提供的施工设备和临时设施</w:t>
      </w:r>
      <w:r>
        <w:rPr>
          <w:sz w:val="21"/>
          <w:szCs w:val="21"/>
        </w:rPr>
        <mc:AlternateContent>
          <mc:Choice Requires="wpg">
            <w:drawing>
              <wp:anchor distT="0" distB="0" distL="114300" distR="114300" simplePos="0" relativeHeight="251670528" behindDoc="0" locked="0" layoutInCell="1" allowOverlap="1">
                <wp:simplePos x="0" y="0"/>
                <wp:positionH relativeFrom="page">
                  <wp:posOffset>542925</wp:posOffset>
                </wp:positionH>
                <wp:positionV relativeFrom="page">
                  <wp:posOffset>895350</wp:posOffset>
                </wp:positionV>
                <wp:extent cx="1270" cy="8905875"/>
                <wp:effectExtent l="0" t="0" r="0" b="0"/>
                <wp:wrapNone/>
                <wp:docPr id="45" name="组合 45"/>
                <wp:cNvGraphicFramePr/>
                <a:graphic xmlns:a="http://schemas.openxmlformats.org/drawingml/2006/main">
                  <a:graphicData uri="http://schemas.microsoft.com/office/word/2010/wordprocessingGroup">
                    <wpg:wgp>
                      <wpg:cNvGrpSpPr/>
                      <wpg:grpSpPr>
                        <a:xfrm>
                          <a:off x="0" y="0"/>
                          <a:ext cx="1270" cy="8905875"/>
                          <a:chOff x="855" y="1410"/>
                          <a:chExt cx="2" cy="14025"/>
                        </a:xfrm>
                      </wpg:grpSpPr>
                      <wps:wsp>
                        <wps:cNvPr id="44" name="任意多边形 44"/>
                        <wps:cNvSpPr/>
                        <wps:spPr>
                          <a:xfrm>
                            <a:off x="855" y="1410"/>
                            <a:ext cx="2" cy="14025"/>
                          </a:xfrm>
                          <a:custGeom>
                            <a:avLst/>
                            <a:gdLst/>
                            <a:ahLst/>
                            <a:cxnLst/>
                            <a:rect l="0" t="0" r="0" b="0"/>
                            <a:pathLst>
                              <a:path h="14025">
                                <a:moveTo>
                                  <a:pt x="0" y="0"/>
                                </a:moveTo>
                                <a:lnTo>
                                  <a:pt x="0" y="14025"/>
                                </a:lnTo>
                                <a:lnTo>
                                  <a:pt x="0" y="0"/>
                                </a:lnTo>
                                <a:close/>
                              </a:path>
                            </a:pathLst>
                          </a:custGeom>
                          <a:solidFill>
                            <a:srgbClr val="000000"/>
                          </a:solidFill>
                          <a:ln>
                            <a:noFill/>
                          </a:ln>
                        </wps:spPr>
                        <wps:bodyPr upright="1"/>
                      </wps:wsp>
                    </wpg:wgp>
                  </a:graphicData>
                </a:graphic>
              </wp:anchor>
            </w:drawing>
          </mc:Choice>
          <mc:Fallback>
            <w:pict>
              <v:group id="_x0000_s1026" o:spid="_x0000_s1026" o:spt="203" style="position:absolute;left:0pt;margin-left:42.75pt;margin-top:70.5pt;height:701.25pt;width:0.1pt;mso-position-horizontal-relative:page;mso-position-vertical-relative:page;z-index:251670528;mso-width-relative:page;mso-height-relative:page;" coordorigin="855,1410" coordsize="2,14025" o:gfxdata="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">
                <o:lock v:ext="edit" aspectratio="f"/>
                <v:shape id="_x0000_s1026" o:spid="_x0000_s1026" o:spt="100" style="position:absolute;left:855;top:1410;height:14025;width:2;" fillcolor="#000000" filled="t" stroked="f" coordsize="1,14025" o:gfxdata="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b8ynTvQAA&#10;ANsAAAAPAAAAAAAAAAEAIAAAACIAAABkcnMvZG93bnJldi54bWxQSwECFAAUAAAACACHTuJAMy8F&#10;njsAAAA5AAAAEAAAAAAAAAABACAAAAAMAQAAZHJzL3NoYXBleG1sLnhtbFBLBQYAAAAABgAGAFsB&#10;AAC2AwAAAAA=&#10;" path="m0,0l0,14025,0,0xe">
                  <v:fill on="t" focussize="0,0"/>
                  <v:stroke on="f"/>
                  <v:imagedata o:title=""/>
                  <o:lock v:ext="edit" aspectratio="f"/>
                </v:shape>
              </v:group>
            </w:pict>
          </mc:Fallback>
        </mc:AlternateContent>
      </w:r>
      <w:r>
        <w:rPr>
          <w:rFonts w:cs="Arial Unicode MS"/>
          <w:sz w:val="21"/>
          <w:szCs w:val="21"/>
        </w:rPr>
        <w:t>发包人提供的施工设备和临时设施：</w:t>
      </w:r>
      <w:r>
        <w:rPr>
          <w:rFonts w:cs="Arial Unicode MS"/>
          <w:sz w:val="21"/>
          <w:szCs w:val="21"/>
          <w:u w:val="single"/>
        </w:rPr>
        <w:t xml:space="preserve">/  </w:t>
      </w:r>
      <w:r>
        <w:rPr>
          <w:rFonts w:cs="Arial Unicode MS"/>
          <w:sz w:val="21"/>
          <w:szCs w:val="21"/>
        </w:rPr>
        <w:t xml:space="preserve">发包人提供的施工设备和临时设施的运行、维护、拆除、清运费用的承担人： </w:t>
      </w:r>
      <w:r>
        <w:rPr>
          <w:rFonts w:cs="Arial Unicode MS"/>
          <w:sz w:val="21"/>
          <w:szCs w:val="21"/>
          <w:u w:val="single"/>
        </w:rPr>
        <w:t>承包人承担，并包含在投标总价内</w:t>
      </w:r>
    </w:p>
    <w:p w14:paraId="2A5B16EF">
      <w:pPr>
        <w:adjustRightInd w:val="0"/>
        <w:spacing w:before="15"/>
        <w:rPr>
          <w:rFonts w:hint="eastAsia" w:ascii="宋体" w:hAnsi="宋体" w:cs="Arial Unicode MS"/>
          <w:sz w:val="23"/>
          <w:szCs w:val="23"/>
        </w:rPr>
      </w:pPr>
    </w:p>
    <w:p w14:paraId="038B97BC">
      <w:pPr>
        <w:pStyle w:val="3"/>
        <w:spacing w:line="439" w:lineRule="exact"/>
        <w:jc w:val="both"/>
        <w:rPr>
          <w:rFonts w:hint="eastAsia" w:hAnsi="宋体"/>
          <w:szCs w:val="32"/>
        </w:rPr>
      </w:pPr>
      <w:r>
        <w:rPr>
          <w:rFonts w:hAnsi="宋体"/>
          <w:szCs w:val="32"/>
        </w:rPr>
        <w:t>7.交通运输</w:t>
      </w:r>
    </w:p>
    <w:p w14:paraId="1D48B0A9">
      <w:pPr>
        <w:pStyle w:val="34"/>
        <w:tabs>
          <w:tab w:val="left" w:pos="1254"/>
        </w:tabs>
        <w:adjustRightInd w:val="0"/>
        <w:rPr>
          <w:rFonts w:hint="eastAsia"/>
        </w:rPr>
      </w:pPr>
      <w:r>
        <w:t>7.1道路通行权和场外设施</w:t>
      </w:r>
    </w:p>
    <w:p w14:paraId="08AE0110">
      <w:pPr>
        <w:adjustRightInd w:val="0"/>
        <w:rPr>
          <w:rFonts w:hint="eastAsia" w:ascii="宋体" w:hAnsi="宋体" w:cs="Arial Unicode MS"/>
          <w:szCs w:val="21"/>
        </w:rPr>
      </w:pPr>
      <w:r>
        <w:rPr>
          <w:rFonts w:ascii="宋体" w:hAnsi="宋体" w:cs="Arial Unicode MS"/>
          <w:szCs w:val="21"/>
        </w:rPr>
        <w:t>负责取得道路通行权、场外设施修建权的办理人:</w:t>
      </w:r>
      <w:r>
        <w:rPr>
          <w:rFonts w:ascii="宋体" w:hAnsi="宋体" w:cs="Arial Unicode MS"/>
          <w:sz w:val="21"/>
          <w:szCs w:val="21"/>
          <w:u w:val="single"/>
        </w:rPr>
        <w:t xml:space="preserve">发包人  </w:t>
      </w:r>
      <w:r>
        <w:rPr>
          <w:rFonts w:ascii="宋体" w:hAnsi="宋体" w:cs="Arial Unicode MS"/>
          <w:szCs w:val="21"/>
        </w:rPr>
        <w:t>，其相关费用由发包人承担。</w:t>
      </w:r>
    </w:p>
    <w:p w14:paraId="166B8919">
      <w:pPr>
        <w:pStyle w:val="34"/>
        <w:tabs>
          <w:tab w:val="left" w:pos="1254"/>
        </w:tabs>
        <w:adjustRightInd w:val="0"/>
        <w:rPr>
          <w:rFonts w:hint="eastAsia"/>
        </w:rPr>
      </w:pPr>
      <w:r>
        <w:t>7.2场内施工道路</w:t>
      </w:r>
    </w:p>
    <w:p w14:paraId="36774618">
      <w:pPr>
        <w:tabs>
          <w:tab w:val="left" w:pos="2214"/>
        </w:tabs>
        <w:adjustRightInd w:val="0"/>
        <w:rPr>
          <w:rFonts w:hint="eastAsia" w:ascii="宋体" w:hAnsi="宋体" w:cs="Arial Unicode MS"/>
          <w:sz w:val="18"/>
          <w:szCs w:val="18"/>
        </w:rPr>
      </w:pPr>
      <w:r>
        <w:rPr>
          <w:rFonts w:ascii="宋体" w:hAnsi="宋体" w:cs="Arial Unicode MS"/>
          <w:szCs w:val="21"/>
        </w:rPr>
        <w:t>7.2.1施工所需的场内临时道路和交通设施的修建、维护、养护和管理人：</w:t>
      </w:r>
      <w:r>
        <w:rPr>
          <w:rFonts w:ascii="宋体" w:hAnsi="宋体" w:cs="Times New Roman"/>
          <w:sz w:val="21"/>
          <w:u w:val="single"/>
        </w:rPr>
        <w:t>承包人</w:t>
      </w:r>
      <w:r>
        <w:rPr>
          <w:rFonts w:ascii="宋体" w:hAnsi="宋体" w:cs="Arial Unicode MS"/>
          <w:szCs w:val="21"/>
        </w:rPr>
        <w:t>，相关费用 由</w:t>
      </w:r>
      <w:r>
        <w:rPr>
          <w:rFonts w:ascii="宋体" w:hAnsi="宋体" w:cs="Arial Unicode MS"/>
          <w:sz w:val="24"/>
          <w:u w:val="single"/>
        </w:rPr>
        <w:t>承包人</w:t>
      </w:r>
      <w:r>
        <w:rPr>
          <w:rFonts w:ascii="宋体" w:hAnsi="宋体" w:cs="Arial Unicode MS"/>
          <w:szCs w:val="21"/>
        </w:rPr>
        <w:t>承担。</w:t>
      </w:r>
    </w:p>
    <w:p w14:paraId="18C8E189">
      <w:pPr>
        <w:pStyle w:val="34"/>
        <w:tabs>
          <w:tab w:val="left" w:pos="1254"/>
        </w:tabs>
        <w:adjustRightInd w:val="0"/>
        <w:rPr>
          <w:rFonts w:hint="eastAsia"/>
        </w:rPr>
      </w:pPr>
      <w:r>
        <w:t>7.4超大件和超重件的运输</w:t>
      </w:r>
    </w:p>
    <w:p w14:paraId="6D80FDF0">
      <w:pPr>
        <w:adjustRightInd w:val="0"/>
        <w:spacing w:line="364" w:lineRule="exact"/>
        <w:rPr>
          <w:rFonts w:hint="eastAsia" w:ascii="宋体" w:hAnsi="宋体"/>
        </w:rPr>
      </w:pPr>
      <w:r>
        <w:rPr>
          <w:rFonts w:ascii="宋体" w:hAnsi="宋体" w:cs="Arial Unicode MS"/>
          <w:szCs w:val="21"/>
        </w:rPr>
        <w:t>运输超大件或超重件所需的道路和桥梁临时加固改造等费用的承担人：</w:t>
      </w:r>
      <w:r>
        <w:rPr>
          <w:rFonts w:ascii="宋体" w:hAnsi="宋体"/>
          <w:u w:val="single"/>
        </w:rPr>
        <w:t>承包人</w:t>
      </w:r>
    </w:p>
    <w:p w14:paraId="089AD0BC">
      <w:pPr>
        <w:pStyle w:val="3"/>
        <w:spacing w:line="439" w:lineRule="exact"/>
        <w:jc w:val="both"/>
        <w:rPr>
          <w:rFonts w:hint="eastAsia" w:hAnsi="宋体"/>
          <w:szCs w:val="32"/>
        </w:rPr>
      </w:pPr>
      <w:r>
        <w:rPr>
          <w:rFonts w:hAnsi="宋体"/>
          <w:szCs w:val="32"/>
        </w:rPr>
        <w:t>8.测量放线</w:t>
      </w:r>
    </w:p>
    <w:p w14:paraId="3646692E">
      <w:pPr>
        <w:pStyle w:val="34"/>
        <w:tabs>
          <w:tab w:val="left" w:pos="1254"/>
        </w:tabs>
        <w:adjustRightInd w:val="0"/>
        <w:rPr>
          <w:rFonts w:hint="eastAsia"/>
        </w:rPr>
      </w:pPr>
      <w:r>
        <w:t>8.1施工控制网</w:t>
      </w:r>
    </w:p>
    <w:p w14:paraId="463DDBFB">
      <w:pPr>
        <w:adjustRightInd w:val="0"/>
        <w:spacing w:before="1"/>
        <w:rPr>
          <w:rFonts w:hint="eastAsia" w:ascii="宋体" w:hAnsi="宋体" w:cs="Arial Unicode MS"/>
          <w:sz w:val="17"/>
          <w:szCs w:val="17"/>
        </w:rPr>
      </w:pPr>
    </w:p>
    <w:p w14:paraId="4E2D16F5">
      <w:pPr>
        <w:tabs>
          <w:tab w:val="left" w:pos="1809"/>
        </w:tabs>
        <w:adjustRightInd w:val="0"/>
        <w:spacing w:line="364" w:lineRule="exact"/>
        <w:rPr>
          <w:rFonts w:hint="eastAsia" w:ascii="宋体" w:hAnsi="宋体"/>
          <w:szCs w:val="21"/>
        </w:rPr>
      </w:pPr>
      <w:r>
        <w:rPr>
          <w:rFonts w:ascii="宋体" w:hAnsi="宋体" w:cs="Arial Unicode MS"/>
          <w:szCs w:val="21"/>
        </w:rPr>
        <w:t>8.1.1发包人通过监理人提供测量基准点、基准线和水准点及其书面资料的期限：</w:t>
      </w:r>
      <w:r>
        <w:rPr>
          <w:rFonts w:ascii="宋体" w:hAnsi="宋体"/>
          <w:szCs w:val="21"/>
          <w:u w:val="single"/>
        </w:rPr>
        <w:t>合同签订后7天</w:t>
      </w:r>
    </w:p>
    <w:p w14:paraId="32D688A0">
      <w:pPr>
        <w:tabs>
          <w:tab w:val="left" w:pos="1809"/>
        </w:tabs>
        <w:adjustRightInd w:val="0"/>
        <w:spacing w:line="364" w:lineRule="exact"/>
        <w:rPr>
          <w:rFonts w:hint="eastAsia" w:ascii="宋体" w:hAnsi="宋体" w:cs="Arial Unicode MS"/>
          <w:szCs w:val="21"/>
        </w:rPr>
      </w:pPr>
      <w:r>
        <w:rPr>
          <w:rFonts w:ascii="宋体" w:hAnsi="宋体" w:cs="Arial Unicode MS"/>
          <w:szCs w:val="21"/>
        </w:rPr>
        <w:t>8.1.2承包人测设施工控制网的其他要求：</w:t>
      </w:r>
    </w:p>
    <w:p w14:paraId="6B4430DF">
      <w:pPr>
        <w:pStyle w:val="34"/>
        <w:adjustRightInd w:val="0"/>
        <w:spacing w:before="16" w:line="420" w:lineRule="exact"/>
        <w:rPr>
          <w:rFonts w:hint="eastAsia"/>
          <w:sz w:val="21"/>
          <w:szCs w:val="21"/>
        </w:rPr>
      </w:pPr>
      <w:r>
        <w:rPr>
          <w:sz w:val="21"/>
          <w:szCs w:val="21"/>
          <w:u w:val="single"/>
        </w:rPr>
        <w:t>由承包人依据监理人提供的测量基点、基准线和水准点以及国家的工程测量技术规范和合同要求精度，测试自己的施工控制网。</w:t>
      </w:r>
    </w:p>
    <w:p w14:paraId="3213D78B">
      <w:pPr>
        <w:adjustRightInd w:val="0"/>
        <w:spacing w:line="344" w:lineRule="exact"/>
        <w:rPr>
          <w:rFonts w:hint="eastAsia" w:ascii="宋体" w:hAnsi="宋体"/>
          <w:szCs w:val="21"/>
        </w:rPr>
      </w:pPr>
      <w:r>
        <w:rPr>
          <w:rFonts w:ascii="宋体" w:hAnsi="宋体" w:cs="Arial Unicode MS"/>
          <w:szCs w:val="21"/>
        </w:rPr>
        <w:t>承包人将施工控制网资料报送监理人审批的期限：</w:t>
      </w:r>
      <w:r>
        <w:rPr>
          <w:rFonts w:ascii="宋体" w:hAnsi="宋体"/>
          <w:szCs w:val="21"/>
          <w:u w:val="single"/>
        </w:rPr>
        <w:t>收到计划后7内日</w:t>
      </w:r>
    </w:p>
    <w:p w14:paraId="3E40C524">
      <w:pPr>
        <w:pStyle w:val="3"/>
        <w:spacing w:line="439" w:lineRule="exact"/>
        <w:jc w:val="both"/>
        <w:rPr>
          <w:rFonts w:hint="eastAsia" w:hAnsi="宋体"/>
          <w:szCs w:val="32"/>
        </w:rPr>
      </w:pPr>
      <w:r>
        <w:rPr>
          <w:rFonts w:hAnsi="宋体"/>
          <w:szCs w:val="32"/>
        </w:rPr>
        <w:t>9.施工安全、治安保卫和环境保护</w:t>
      </w:r>
    </w:p>
    <w:p w14:paraId="55D7C128">
      <w:pPr>
        <w:pStyle w:val="34"/>
        <w:tabs>
          <w:tab w:val="left" w:pos="1254"/>
        </w:tabs>
        <w:adjustRightInd w:val="0"/>
        <w:spacing w:line="360" w:lineRule="exact"/>
        <w:rPr>
          <w:rFonts w:hint="eastAsia"/>
        </w:rPr>
      </w:pPr>
    </w:p>
    <w:p w14:paraId="5119F585">
      <w:pPr>
        <w:pStyle w:val="34"/>
        <w:tabs>
          <w:tab w:val="left" w:pos="1254"/>
        </w:tabs>
        <w:adjustRightInd w:val="0"/>
        <w:spacing w:line="360" w:lineRule="exact"/>
        <w:rPr>
          <w:rFonts w:hint="eastAsia"/>
        </w:rPr>
      </w:pPr>
      <w:r>
        <mc:AlternateContent>
          <mc:Choice Requires="wpg">
            <w:drawing>
              <wp:anchor distT="0" distB="0" distL="114300" distR="114300" simplePos="0" relativeHeight="251671552" behindDoc="0" locked="0" layoutInCell="1" allowOverlap="1">
                <wp:simplePos x="0" y="0"/>
                <wp:positionH relativeFrom="page">
                  <wp:posOffset>542925</wp:posOffset>
                </wp:positionH>
                <wp:positionV relativeFrom="page">
                  <wp:posOffset>895350</wp:posOffset>
                </wp:positionV>
                <wp:extent cx="1270" cy="8905875"/>
                <wp:effectExtent l="0" t="0" r="0" b="0"/>
                <wp:wrapNone/>
                <wp:docPr id="47" name="组合 47"/>
                <wp:cNvGraphicFramePr/>
                <a:graphic xmlns:a="http://schemas.openxmlformats.org/drawingml/2006/main">
                  <a:graphicData uri="http://schemas.microsoft.com/office/word/2010/wordprocessingGroup">
                    <wpg:wgp>
                      <wpg:cNvGrpSpPr/>
                      <wpg:grpSpPr>
                        <a:xfrm>
                          <a:off x="0" y="0"/>
                          <a:ext cx="1270" cy="8905875"/>
                          <a:chOff x="855" y="1410"/>
                          <a:chExt cx="2" cy="14025"/>
                        </a:xfrm>
                      </wpg:grpSpPr>
                      <wps:wsp>
                        <wps:cNvPr id="46" name="任意多边形 46"/>
                        <wps:cNvSpPr/>
                        <wps:spPr>
                          <a:xfrm>
                            <a:off x="855" y="1410"/>
                            <a:ext cx="2" cy="14025"/>
                          </a:xfrm>
                          <a:custGeom>
                            <a:avLst/>
                            <a:gdLst/>
                            <a:ahLst/>
                            <a:cxnLst/>
                            <a:rect l="0" t="0" r="0" b="0"/>
                            <a:pathLst>
                              <a:path h="14025">
                                <a:moveTo>
                                  <a:pt x="0" y="0"/>
                                </a:moveTo>
                                <a:lnTo>
                                  <a:pt x="0" y="14025"/>
                                </a:lnTo>
                                <a:lnTo>
                                  <a:pt x="0" y="0"/>
                                </a:lnTo>
                                <a:close/>
                              </a:path>
                            </a:pathLst>
                          </a:custGeom>
                          <a:solidFill>
                            <a:srgbClr val="000000"/>
                          </a:solidFill>
                          <a:ln>
                            <a:noFill/>
                          </a:ln>
                        </wps:spPr>
                        <wps:bodyPr upright="1"/>
                      </wps:wsp>
                    </wpg:wgp>
                  </a:graphicData>
                </a:graphic>
              </wp:anchor>
            </w:drawing>
          </mc:Choice>
          <mc:Fallback>
            <w:pict>
              <v:group id="_x0000_s1026" o:spid="_x0000_s1026" o:spt="203" style="position:absolute;left:0pt;margin-left:42.75pt;margin-top:70.5pt;height:701.25pt;width:0.1pt;mso-position-horizontal-relative:page;mso-position-vertical-relative:page;z-index:251671552;mso-width-relative:page;mso-height-relative:page;" coordorigin="855,1410" coordsize="2,14025" o:gfxdata="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">
                <o:lock v:ext="edit" aspectratio="f"/>
                <v:shape id="_x0000_s1026" o:spid="_x0000_s1026" o:spt="100" style="position:absolute;left:855;top:1410;height:14025;width:2;" fillcolor="#000000" filled="t" stroked="f" coordsize="1,14025" o:gfxdata="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EbRI/vQAA&#10;ANsAAAAPAAAAAAAAAAEAIAAAACIAAABkcnMvZG93bnJldi54bWxQSwECFAAUAAAACACHTuJAMy8F&#10;njsAAAA5AAAAEAAAAAAAAAABACAAAAAMAQAAZHJzL3NoYXBleG1sLnhtbFBLBQYAAAAABgAGAFsB&#10;AAC2AwAAAAA=&#10;" path="m0,0l0,14025,0,0xe">
                  <v:fill on="t" focussize="0,0"/>
                  <v:stroke on="f"/>
                  <v:imagedata o:title=""/>
                  <o:lock v:ext="edit" aspectratio="f"/>
                </v:shape>
              </v:group>
            </w:pict>
          </mc:Fallback>
        </mc:AlternateContent>
      </w:r>
      <w:r>
        <w:t>9.2承包人的施工安全责任</w:t>
      </w:r>
    </w:p>
    <w:p w14:paraId="6BECCEEC">
      <w:pPr>
        <w:adjustRightInd w:val="0"/>
        <w:spacing w:before="4"/>
        <w:rPr>
          <w:rFonts w:hint="eastAsia" w:ascii="宋体" w:hAnsi="宋体" w:cs="Arial Unicode MS"/>
          <w:sz w:val="17"/>
          <w:szCs w:val="17"/>
        </w:rPr>
      </w:pPr>
    </w:p>
    <w:p w14:paraId="76CB2B3E">
      <w:pPr>
        <w:tabs>
          <w:tab w:val="left" w:pos="1809"/>
        </w:tabs>
        <w:adjustRightInd w:val="0"/>
        <w:spacing w:line="237" w:lineRule="auto"/>
        <w:rPr>
          <w:rFonts w:hint="eastAsia" w:ascii="宋体" w:hAnsi="宋体" w:cs="Arial Unicode MS"/>
          <w:szCs w:val="21"/>
        </w:rPr>
      </w:pPr>
      <w:r>
        <w:rPr>
          <w:rFonts w:ascii="宋体" w:hAnsi="宋体" w:cs="Arial Unicode MS"/>
          <w:szCs w:val="21"/>
        </w:rPr>
        <w:t xml:space="preserve">9.2.1承包人向监理人报送施工安全措施计划的期限： </w:t>
      </w:r>
      <w:r>
        <w:rPr>
          <w:rFonts w:ascii="宋体" w:hAnsi="宋体" w:cs="Arial Unicode MS"/>
          <w:szCs w:val="21"/>
          <w:u w:val="single"/>
        </w:rPr>
        <w:t xml:space="preserve">合同签订后7天内 </w:t>
      </w:r>
      <w:r>
        <w:rPr>
          <w:rFonts w:ascii="宋体" w:hAnsi="宋体" w:cs="Arial Unicode MS"/>
          <w:szCs w:val="21"/>
        </w:rPr>
        <w:t>监理人收到承包人报送的施工安全措施计划后应当在</w:t>
      </w:r>
      <w:r>
        <w:rPr>
          <w:rFonts w:ascii="宋体" w:hAnsi="宋体" w:cs="Arial Unicode MS"/>
          <w:szCs w:val="21"/>
          <w:u w:val="single"/>
        </w:rPr>
        <w:t>7</w:t>
      </w:r>
      <w:r>
        <w:rPr>
          <w:rFonts w:ascii="宋体" w:hAnsi="宋体" w:cs="Arial Unicode MS"/>
          <w:szCs w:val="21"/>
        </w:rPr>
        <w:t>天内给予批复。</w:t>
      </w:r>
    </w:p>
    <w:p w14:paraId="6B46DEEF">
      <w:pPr>
        <w:adjustRightInd w:val="0"/>
        <w:spacing w:before="14"/>
        <w:rPr>
          <w:rFonts w:hint="eastAsia" w:ascii="宋体" w:hAnsi="宋体" w:cs="Arial Unicode MS"/>
          <w:szCs w:val="21"/>
        </w:rPr>
      </w:pPr>
    </w:p>
    <w:p w14:paraId="18E368F1">
      <w:pPr>
        <w:pStyle w:val="34"/>
        <w:tabs>
          <w:tab w:val="left" w:pos="1254"/>
        </w:tabs>
        <w:adjustRightInd w:val="0"/>
        <w:rPr>
          <w:rFonts w:hint="eastAsia"/>
          <w:sz w:val="21"/>
          <w:szCs w:val="21"/>
        </w:rPr>
      </w:pPr>
      <w:r>
        <w:rPr>
          <w:sz w:val="21"/>
          <w:szCs w:val="21"/>
        </w:rPr>
        <w:t>9.3治安保卫</w:t>
      </w:r>
    </w:p>
    <w:p w14:paraId="673DB19A">
      <w:pPr>
        <w:adjustRightInd w:val="0"/>
        <w:spacing w:line="364" w:lineRule="exact"/>
        <w:rPr>
          <w:rFonts w:hint="eastAsia" w:ascii="宋体" w:hAnsi="宋体"/>
          <w:szCs w:val="21"/>
        </w:rPr>
      </w:pPr>
      <w:r>
        <w:rPr>
          <w:rFonts w:ascii="宋体" w:hAnsi="宋体" w:cs="Arial Unicode MS"/>
          <w:szCs w:val="21"/>
        </w:rPr>
        <w:t>9.3.3  制定施工场地治安管理计划和突发治安事件紧急预案的责任人：</w:t>
      </w:r>
      <w:r>
        <w:rPr>
          <w:rFonts w:ascii="宋体" w:hAnsi="宋体"/>
          <w:szCs w:val="21"/>
          <w:u w:val="single"/>
        </w:rPr>
        <w:t xml:space="preserve">  承包人</w:t>
      </w:r>
    </w:p>
    <w:p w14:paraId="44D348CC">
      <w:pPr>
        <w:pStyle w:val="34"/>
        <w:tabs>
          <w:tab w:val="left" w:pos="1254"/>
        </w:tabs>
        <w:adjustRightInd w:val="0"/>
        <w:spacing w:line="371" w:lineRule="exact"/>
        <w:rPr>
          <w:rFonts w:hint="eastAsia"/>
          <w:sz w:val="21"/>
          <w:szCs w:val="21"/>
        </w:rPr>
      </w:pPr>
      <w:r>
        <w:rPr>
          <w:sz w:val="21"/>
          <w:szCs w:val="21"/>
        </w:rPr>
        <w:t>9.4环境保护</w:t>
      </w:r>
    </w:p>
    <w:p w14:paraId="789C8A81">
      <w:pPr>
        <w:tabs>
          <w:tab w:val="left" w:pos="1809"/>
        </w:tabs>
        <w:adjustRightInd w:val="0"/>
        <w:spacing w:line="364" w:lineRule="exact"/>
        <w:rPr>
          <w:rFonts w:hint="eastAsia" w:ascii="宋体" w:hAnsi="宋体" w:cs="Arial Unicode MS"/>
          <w:szCs w:val="21"/>
        </w:rPr>
      </w:pPr>
      <w:r>
        <w:rPr>
          <w:rFonts w:ascii="宋体" w:hAnsi="宋体" w:cs="Arial Unicode MS"/>
          <w:szCs w:val="21"/>
        </w:rPr>
        <w:t>9.4.3施工环保措施计划报送监理人审批的时间：</w:t>
      </w:r>
      <w:r>
        <w:rPr>
          <w:rFonts w:ascii="宋体" w:hAnsi="宋体"/>
          <w:szCs w:val="21"/>
          <w:u w:val="single"/>
        </w:rPr>
        <w:t xml:space="preserve">  合同签订后7天内</w:t>
      </w:r>
      <w:r>
        <w:rPr>
          <w:rFonts w:ascii="宋体" w:hAnsi="宋体" w:cs="Arial Unicode MS"/>
          <w:szCs w:val="21"/>
        </w:rPr>
        <w:t>监理人收到承包人报送的施工环保措施计划后应当在</w:t>
      </w:r>
      <w:r>
        <w:rPr>
          <w:rFonts w:ascii="宋体" w:hAnsi="宋体" w:cs="Arial Unicode MS"/>
          <w:szCs w:val="21"/>
          <w:u w:val="single"/>
        </w:rPr>
        <w:t>7</w:t>
      </w:r>
      <w:r>
        <w:rPr>
          <w:rFonts w:ascii="宋体" w:hAnsi="宋体" w:cs="Arial Unicode MS"/>
          <w:szCs w:val="21"/>
        </w:rPr>
        <w:t>天内给予批复。</w:t>
      </w:r>
    </w:p>
    <w:p w14:paraId="287A733F">
      <w:pPr>
        <w:adjustRightInd w:val="0"/>
        <w:spacing w:before="14"/>
        <w:rPr>
          <w:rFonts w:hint="eastAsia" w:ascii="宋体" w:hAnsi="宋体" w:cs="Arial Unicode MS"/>
          <w:szCs w:val="21"/>
        </w:rPr>
      </w:pPr>
    </w:p>
    <w:p w14:paraId="7CA3FF71">
      <w:pPr>
        <w:pStyle w:val="34"/>
        <w:tabs>
          <w:tab w:val="left" w:pos="1254"/>
        </w:tabs>
        <w:adjustRightInd w:val="0"/>
        <w:rPr>
          <w:rFonts w:hint="eastAsia"/>
          <w:sz w:val="21"/>
          <w:szCs w:val="21"/>
        </w:rPr>
      </w:pPr>
      <w:r>
        <w:rPr>
          <w:sz w:val="21"/>
          <w:szCs w:val="21"/>
        </w:rPr>
        <w:t>9.6施工现场安全生产标准化管理目标</w:t>
      </w:r>
    </w:p>
    <w:p w14:paraId="3A8B7DCC">
      <w:pPr>
        <w:adjustRightInd w:val="0"/>
        <w:spacing w:before="6"/>
        <w:rPr>
          <w:rFonts w:hint="eastAsia" w:ascii="宋体" w:hAnsi="宋体" w:cs="Arial Unicode MS"/>
          <w:szCs w:val="21"/>
        </w:rPr>
      </w:pPr>
    </w:p>
    <w:p w14:paraId="1465DCBE">
      <w:pPr>
        <w:tabs>
          <w:tab w:val="left" w:pos="1884"/>
        </w:tabs>
        <w:adjustRightInd w:val="0"/>
        <w:spacing w:line="360" w:lineRule="exact"/>
        <w:rPr>
          <w:rFonts w:hint="eastAsia" w:ascii="宋体" w:hAnsi="宋体" w:cs="Arial Unicode MS"/>
          <w:szCs w:val="21"/>
        </w:rPr>
      </w:pPr>
      <w:r>
        <w:rPr>
          <w:rFonts w:ascii="宋体" w:hAnsi="宋体" w:cs="Arial Unicode MS"/>
          <w:szCs w:val="21"/>
        </w:rPr>
        <w:t>9.6.1未达到合同协议书中约定的安全生产标准化管理目标等级的违约金或损失赔偿金的金额或者 计算方法：</w:t>
      </w:r>
    </w:p>
    <w:p w14:paraId="22D23280">
      <w:pPr>
        <w:tabs>
          <w:tab w:val="left" w:pos="1884"/>
        </w:tabs>
        <w:adjustRightInd w:val="0"/>
        <w:spacing w:line="360" w:lineRule="exact"/>
        <w:rPr>
          <w:rFonts w:hint="eastAsia" w:ascii="宋体" w:hAnsi="宋体"/>
          <w:szCs w:val="21"/>
        </w:rPr>
      </w:pPr>
      <w:r>
        <w:rPr>
          <w:rFonts w:ascii="宋体" w:hAnsi="宋体"/>
          <w:szCs w:val="21"/>
          <w:u w:val="single"/>
        </w:rPr>
        <w:t xml:space="preserve">  A=（1-K1÷K2）×F</w:t>
      </w:r>
      <w:r>
        <w:rPr>
          <w:rFonts w:ascii="宋体" w:hAnsi="宋体"/>
          <w:szCs w:val="21"/>
          <w:u w:val="single"/>
        </w:rPr>
        <w:tab/>
      </w:r>
    </w:p>
    <w:p w14:paraId="74E82B4B">
      <w:pPr>
        <w:pStyle w:val="34"/>
        <w:tabs>
          <w:tab w:val="left" w:pos="5874"/>
        </w:tabs>
        <w:adjustRightInd w:val="0"/>
        <w:spacing w:line="420" w:lineRule="exact"/>
        <w:rPr>
          <w:rFonts w:hint="eastAsia"/>
          <w:sz w:val="21"/>
          <w:szCs w:val="21"/>
        </w:rPr>
      </w:pPr>
      <w:r>
        <w:rPr>
          <w:sz w:val="21"/>
          <w:szCs w:val="21"/>
          <w:u w:val="single"/>
        </w:rPr>
        <w:t>其中：A=计算的违约损失赔偿金</w:t>
      </w:r>
      <w:r>
        <w:rPr>
          <w:sz w:val="21"/>
          <w:szCs w:val="21"/>
          <w:u w:val="single"/>
        </w:rPr>
        <w:tab/>
      </w:r>
    </w:p>
    <w:p w14:paraId="09D1D170">
      <w:pPr>
        <w:pStyle w:val="34"/>
        <w:tabs>
          <w:tab w:val="left" w:pos="1794"/>
          <w:tab w:val="left" w:pos="9954"/>
        </w:tabs>
        <w:adjustRightInd w:val="0"/>
        <w:spacing w:line="420" w:lineRule="exact"/>
        <w:rPr>
          <w:rFonts w:hint="eastAsia"/>
          <w:sz w:val="21"/>
          <w:szCs w:val="21"/>
        </w:rPr>
      </w:pPr>
      <w:r>
        <w:rPr>
          <w:sz w:val="21"/>
          <w:szCs w:val="21"/>
          <w:u w:val="single"/>
        </w:rPr>
        <w:t>K1=标准化考评认定登记对应《安全文明施工管理办法》规定的标准费率</w:t>
      </w:r>
    </w:p>
    <w:p w14:paraId="515C6C76">
      <w:pPr>
        <w:pStyle w:val="34"/>
        <w:tabs>
          <w:tab w:val="left" w:pos="1794"/>
        </w:tabs>
        <w:adjustRightInd w:val="0"/>
        <w:spacing w:line="420" w:lineRule="exact"/>
        <w:rPr>
          <w:rFonts w:hint="eastAsia"/>
          <w:sz w:val="21"/>
          <w:szCs w:val="21"/>
        </w:rPr>
      </w:pPr>
      <w:r>
        <w:rPr>
          <w:sz w:val="21"/>
          <w:szCs w:val="21"/>
          <w:u w:val="single"/>
        </w:rPr>
        <w:t>K2=合同约定的管理目标登记对应《安全文明施工管理办法》规定的标准费率</w:t>
      </w:r>
    </w:p>
    <w:p w14:paraId="61B9BC3D">
      <w:pPr>
        <w:pStyle w:val="34"/>
        <w:tabs>
          <w:tab w:val="left" w:pos="1794"/>
        </w:tabs>
        <w:adjustRightInd w:val="0"/>
        <w:spacing w:line="420" w:lineRule="exact"/>
        <w:rPr>
          <w:rFonts w:hint="eastAsia"/>
          <w:sz w:val="21"/>
          <w:szCs w:val="21"/>
        </w:rPr>
      </w:pPr>
      <w:r>
        <w:rPr>
          <w:sz w:val="21"/>
          <w:szCs w:val="21"/>
          <w:u w:val="single"/>
        </w:rPr>
        <w:t>F=合同中载明的安全文明施工费总额</w:t>
      </w:r>
    </w:p>
    <w:p w14:paraId="2D77540B">
      <w:pPr>
        <w:tabs>
          <w:tab w:val="left" w:pos="2004"/>
        </w:tabs>
        <w:adjustRightInd w:val="0"/>
        <w:rPr>
          <w:rFonts w:hint="eastAsia" w:ascii="宋体" w:hAnsi="宋体"/>
          <w:szCs w:val="21"/>
        </w:rPr>
      </w:pPr>
      <w:r>
        <w:rPr>
          <w:rFonts w:ascii="宋体" w:hAnsi="宋体" w:cs="Arial Unicode MS"/>
          <w:szCs w:val="21"/>
        </w:rPr>
        <w:t>9.6.2发包人</w:t>
      </w:r>
      <w:r>
        <w:rPr>
          <w:rFonts w:ascii="宋体" w:hAnsi="宋体" w:cs="Arial Unicode MS"/>
          <w:szCs w:val="21"/>
          <w:u w:val="single"/>
        </w:rPr>
        <w:t>不给予</w:t>
      </w:r>
      <w:r>
        <w:rPr>
          <w:rFonts w:ascii="宋体" w:hAnsi="宋体" w:cs="Arial Unicode MS"/>
          <w:szCs w:val="21"/>
        </w:rPr>
        <w:t>承包人创优奖励。发包人给予承包人创优奖励的，创优奖励金额或者计算方 法：</w:t>
      </w:r>
      <w:r>
        <w:rPr>
          <w:rFonts w:ascii="宋体" w:hAnsi="宋体"/>
          <w:szCs w:val="21"/>
          <w:u w:val="single"/>
        </w:rPr>
        <w:t>/</w:t>
      </w:r>
    </w:p>
    <w:p w14:paraId="55DFE257">
      <w:pPr>
        <w:pStyle w:val="34"/>
        <w:tabs>
          <w:tab w:val="left" w:pos="1254"/>
        </w:tabs>
        <w:adjustRightInd w:val="0"/>
        <w:spacing w:line="371" w:lineRule="exact"/>
        <w:rPr>
          <w:rFonts w:hint="eastAsia"/>
          <w:sz w:val="21"/>
          <w:szCs w:val="21"/>
        </w:rPr>
      </w:pPr>
      <w:r>
        <w:rPr>
          <w:sz w:val="21"/>
          <w:szCs w:val="21"/>
        </w:rPr>
        <w:t>9.7特殊安全文明施工</w:t>
      </w:r>
    </w:p>
    <w:p w14:paraId="08FB143A">
      <w:pPr>
        <w:tabs>
          <w:tab w:val="left" w:pos="1809"/>
        </w:tabs>
        <w:adjustRightInd w:val="0"/>
        <w:spacing w:line="364" w:lineRule="exact"/>
        <w:rPr>
          <w:rFonts w:hint="eastAsia" w:ascii="宋体" w:hAnsi="宋体"/>
          <w:szCs w:val="21"/>
        </w:rPr>
      </w:pPr>
      <w:r>
        <w:rPr>
          <w:rFonts w:ascii="宋体" w:hAnsi="宋体" w:cs="Arial Unicode MS"/>
          <w:szCs w:val="21"/>
        </w:rPr>
        <w:t>9.7.1未达到合同约定的特殊安全文明施工要求的违约金或损失赔偿金的金额或者计算方法：</w:t>
      </w:r>
      <w:r>
        <w:rPr>
          <w:rFonts w:ascii="宋体" w:hAnsi="宋体"/>
          <w:szCs w:val="21"/>
          <w:u w:val="single"/>
        </w:rPr>
        <w:t>双方另行协商</w:t>
      </w:r>
    </w:p>
    <w:p w14:paraId="2343A8C6">
      <w:pPr>
        <w:tabs>
          <w:tab w:val="left" w:pos="2004"/>
        </w:tabs>
        <w:adjustRightInd w:val="0"/>
        <w:rPr>
          <w:rFonts w:hint="eastAsia" w:ascii="宋体" w:hAnsi="宋体" w:cs="Arial Unicode MS"/>
          <w:szCs w:val="21"/>
        </w:rPr>
      </w:pPr>
      <w:r>
        <w:rPr>
          <w:rFonts w:ascii="宋体" w:hAnsi="宋体" w:cs="Arial Unicode MS"/>
          <w:szCs w:val="21"/>
        </w:rPr>
        <w:t>9.7.2发包人</w:t>
      </w:r>
      <w:r>
        <w:rPr>
          <w:rFonts w:ascii="宋体" w:hAnsi="宋体" w:cs="Arial Unicode MS"/>
          <w:szCs w:val="21"/>
          <w:u w:val="single"/>
        </w:rPr>
        <w:t>不给予</w:t>
      </w:r>
      <w:r>
        <w:rPr>
          <w:rFonts w:ascii="宋体" w:hAnsi="宋体" w:cs="Arial Unicode MS"/>
          <w:szCs w:val="21"/>
        </w:rPr>
        <w:t>承包人创优奖励。</w:t>
      </w:r>
    </w:p>
    <w:p w14:paraId="75AE7424">
      <w:pPr>
        <w:tabs>
          <w:tab w:val="left" w:pos="2004"/>
        </w:tabs>
        <w:adjustRightInd w:val="0"/>
        <w:rPr>
          <w:rFonts w:hint="eastAsia" w:ascii="宋体" w:hAnsi="宋体"/>
          <w:szCs w:val="21"/>
        </w:rPr>
      </w:pPr>
      <w:r>
        <w:rPr>
          <w:rFonts w:ascii="宋体" w:hAnsi="宋体" w:cs="Arial Unicode MS"/>
          <w:szCs w:val="21"/>
        </w:rPr>
        <w:t>发包人给予承包人创优奖励的，创优奖励金额或者计算方法：</w:t>
      </w:r>
      <w:r>
        <w:rPr>
          <w:rFonts w:ascii="宋体" w:hAnsi="宋体"/>
          <w:szCs w:val="21"/>
          <w:u w:val="single"/>
        </w:rPr>
        <w:t>/</w:t>
      </w:r>
    </w:p>
    <w:p w14:paraId="40AA7C78">
      <w:pPr>
        <w:adjustRightInd w:val="0"/>
        <w:spacing w:before="11"/>
        <w:rPr>
          <w:rFonts w:hint="eastAsia" w:ascii="宋体" w:hAnsi="宋体" w:cs="Arial Unicode MS"/>
          <w:sz w:val="24"/>
        </w:rPr>
      </w:pPr>
      <w:r>
        <w:rPr>
          <w:rFonts w:ascii="宋体" w:hAnsi="宋体"/>
        </w:rPr>
        <mc:AlternateContent>
          <mc:Choice Requires="wpg">
            <w:drawing>
              <wp:anchor distT="0" distB="0" distL="114300" distR="114300" simplePos="0" relativeHeight="251672576" behindDoc="0" locked="0" layoutInCell="1" allowOverlap="1">
                <wp:simplePos x="0" y="0"/>
                <wp:positionH relativeFrom="page">
                  <wp:posOffset>542925</wp:posOffset>
                </wp:positionH>
                <wp:positionV relativeFrom="page">
                  <wp:posOffset>895350</wp:posOffset>
                </wp:positionV>
                <wp:extent cx="1270" cy="8905875"/>
                <wp:effectExtent l="0" t="0" r="0" b="0"/>
                <wp:wrapNone/>
                <wp:docPr id="37" name="组合 37"/>
                <wp:cNvGraphicFramePr/>
                <a:graphic xmlns:a="http://schemas.openxmlformats.org/drawingml/2006/main">
                  <a:graphicData uri="http://schemas.microsoft.com/office/word/2010/wordprocessingGroup">
                    <wpg:wgp>
                      <wpg:cNvGrpSpPr/>
                      <wpg:grpSpPr>
                        <a:xfrm>
                          <a:off x="0" y="0"/>
                          <a:ext cx="1270" cy="8905875"/>
                          <a:chOff x="855" y="1410"/>
                          <a:chExt cx="2" cy="14025"/>
                        </a:xfrm>
                      </wpg:grpSpPr>
                      <wps:wsp>
                        <wps:cNvPr id="36" name="任意多边形 36"/>
                        <wps:cNvSpPr/>
                        <wps:spPr>
                          <a:xfrm>
                            <a:off x="855" y="1410"/>
                            <a:ext cx="2" cy="14025"/>
                          </a:xfrm>
                          <a:custGeom>
                            <a:avLst/>
                            <a:gdLst/>
                            <a:ahLst/>
                            <a:cxnLst/>
                            <a:rect l="0" t="0" r="0" b="0"/>
                            <a:pathLst>
                              <a:path h="14025">
                                <a:moveTo>
                                  <a:pt x="0" y="0"/>
                                </a:moveTo>
                                <a:lnTo>
                                  <a:pt x="0" y="14025"/>
                                </a:lnTo>
                                <a:lnTo>
                                  <a:pt x="0" y="0"/>
                                </a:lnTo>
                                <a:close/>
                              </a:path>
                            </a:pathLst>
                          </a:custGeom>
                          <a:solidFill>
                            <a:srgbClr val="000000"/>
                          </a:solidFill>
                          <a:ln>
                            <a:noFill/>
                          </a:ln>
                        </wps:spPr>
                        <wps:bodyPr upright="1"/>
                      </wps:wsp>
                    </wpg:wgp>
                  </a:graphicData>
                </a:graphic>
              </wp:anchor>
            </w:drawing>
          </mc:Choice>
          <mc:Fallback>
            <w:pict>
              <v:group id="_x0000_s1026" o:spid="_x0000_s1026" o:spt="203" style="position:absolute;left:0pt;margin-left:42.75pt;margin-top:70.5pt;height:701.25pt;width:0.1pt;mso-position-horizontal-relative:page;mso-position-vertical-relative:page;z-index:251672576;mso-width-relative:page;mso-height-relative:page;" coordorigin="855,1410" coordsize="2,14025" o:gfxdata="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AR6s6fZAAAACgEAAA8AAAAAAAAAAQAgAAAAIgAAAGRycy9kb3ducmV2LnhtbFBLAQIUABQA&#10;AAAIAIdO4kByoLlfYQIAAHkFAAAOAAAAAAAAAAEAIAAAACgBAABkcnMvZTJvRG9jLnhtbFBLBQYA&#10;AAAABgAGAFkBAAD7BQAAAAA=&#10;">
                <o:lock v:ext="edit" aspectratio="f"/>
                <v:shape id="_x0000_s1026" o:spid="_x0000_s1026" o:spt="100" style="position:absolute;left:855;top:1410;height:14025;width:2;" fillcolor="#000000" filled="t" stroked="f" coordsize="1,14025" o:gfxdata="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ca2FCvQAA&#10;ANsAAAAPAAAAAAAAAAEAIAAAACIAAABkcnMvZG93bnJldi54bWxQSwECFAAUAAAACACHTuJAMy8F&#10;njsAAAA5AAAAEAAAAAAAAAABACAAAAAMAQAAZHJzL3NoYXBleG1sLnhtbFBLBQYAAAAABgAGAFsB&#10;AAC2AwAAAAA=&#10;" path="m0,0l0,14025,0,0xe">
                  <v:fill on="t" focussize="0,0"/>
                  <v:stroke on="f"/>
                  <v:imagedata o:title=""/>
                  <o:lock v:ext="edit" aspectratio="f"/>
                </v:shape>
              </v:group>
            </w:pict>
          </mc:Fallback>
        </mc:AlternateContent>
      </w:r>
    </w:p>
    <w:p w14:paraId="6775D6F1">
      <w:pPr>
        <w:pStyle w:val="3"/>
        <w:spacing w:line="439" w:lineRule="exact"/>
        <w:jc w:val="both"/>
        <w:rPr>
          <w:rFonts w:hint="eastAsia" w:hAnsi="宋体"/>
          <w:szCs w:val="32"/>
        </w:rPr>
      </w:pPr>
      <w:r>
        <w:rPr>
          <w:rFonts w:hAnsi="宋体"/>
          <w:szCs w:val="32"/>
        </w:rPr>
        <w:t>10.进度计划</w:t>
      </w:r>
    </w:p>
    <w:p w14:paraId="2EC3C31A">
      <w:pPr>
        <w:pStyle w:val="34"/>
        <w:tabs>
          <w:tab w:val="left" w:pos="1374"/>
        </w:tabs>
        <w:adjustRightInd w:val="0"/>
        <w:rPr>
          <w:rFonts w:hint="eastAsia"/>
        </w:rPr>
      </w:pPr>
      <w:r>
        <w:t>10.1合同进度计划</w:t>
      </w:r>
    </w:p>
    <w:p w14:paraId="27209756">
      <w:pPr>
        <w:adjustRightInd w:val="0"/>
        <w:spacing w:line="364" w:lineRule="exact"/>
        <w:rPr>
          <w:rFonts w:hint="eastAsia" w:ascii="宋体" w:hAnsi="宋体" w:cs="Arial Unicode MS"/>
          <w:szCs w:val="21"/>
        </w:rPr>
      </w:pPr>
      <w:r>
        <w:rPr>
          <w:rFonts w:ascii="宋体" w:hAnsi="宋体" w:cs="Arial Unicode MS"/>
          <w:szCs w:val="21"/>
        </w:rPr>
        <w:t>10.1.1承包人编制施工进度计划和施工方案说明的内容：</w:t>
      </w:r>
    </w:p>
    <w:p w14:paraId="285A7E62">
      <w:pPr>
        <w:pStyle w:val="34"/>
        <w:adjustRightInd w:val="0"/>
        <w:spacing w:before="16" w:line="420" w:lineRule="exact"/>
        <w:rPr>
          <w:rFonts w:hint="eastAsia"/>
          <w:sz w:val="21"/>
          <w:szCs w:val="21"/>
        </w:rPr>
      </w:pPr>
      <w:r>
        <w:rPr>
          <w:sz w:val="21"/>
          <w:szCs w:val="21"/>
          <w:u w:val="single"/>
        </w:rPr>
        <w:t>按</w:t>
      </w:r>
      <w:r>
        <w:rPr>
          <w:rFonts w:hint="eastAsia"/>
          <w:sz w:val="21"/>
          <w:szCs w:val="21"/>
          <w:u w:val="single"/>
        </w:rPr>
        <w:t>承包</w:t>
      </w:r>
      <w:r>
        <w:rPr>
          <w:sz w:val="21"/>
          <w:szCs w:val="21"/>
          <w:u w:val="single"/>
        </w:rPr>
        <w:t>人投标阶段承诺的总进度计划关键线路目标，以及施工顺序和方法要点，向监理人提交更准确更详细的实施性施工方案，施工进度计划中还应载明要求发包人组织设 计人进行阶段性工程设计交底的时间。包括但不限于：a)合同工程的整体工期计划及保障措施；</w:t>
      </w:r>
    </w:p>
    <w:p w14:paraId="32AF3BA9">
      <w:pPr>
        <w:pStyle w:val="34"/>
        <w:adjustRightInd w:val="0"/>
        <w:spacing w:line="420" w:lineRule="exact"/>
        <w:rPr>
          <w:rFonts w:hint="eastAsia"/>
          <w:sz w:val="21"/>
          <w:szCs w:val="21"/>
          <w:u w:val="single"/>
        </w:rPr>
      </w:pPr>
      <w:r>
        <w:rPr>
          <w:sz w:val="21"/>
          <w:szCs w:val="21"/>
          <w:u w:val="single"/>
        </w:rPr>
        <w:t xml:space="preserve">(b)各分部分项工期进度安排及控制措施； </w:t>
      </w:r>
    </w:p>
    <w:p w14:paraId="079095DE">
      <w:pPr>
        <w:pStyle w:val="34"/>
        <w:adjustRightInd w:val="0"/>
        <w:spacing w:line="420" w:lineRule="exact"/>
        <w:rPr>
          <w:rFonts w:hint="eastAsia"/>
          <w:sz w:val="21"/>
          <w:szCs w:val="21"/>
          <w:u w:val="single"/>
        </w:rPr>
      </w:pPr>
      <w:r>
        <w:rPr>
          <w:sz w:val="21"/>
          <w:szCs w:val="21"/>
          <w:u w:val="single"/>
        </w:rPr>
        <w:t xml:space="preserve">(C)劳动力配置计划及保障措施； </w:t>
      </w:r>
    </w:p>
    <w:p w14:paraId="50D22676">
      <w:pPr>
        <w:pStyle w:val="34"/>
        <w:adjustRightInd w:val="0"/>
        <w:spacing w:line="420" w:lineRule="exact"/>
        <w:rPr>
          <w:rFonts w:hint="eastAsia"/>
          <w:sz w:val="21"/>
          <w:szCs w:val="21"/>
          <w:u w:val="single"/>
        </w:rPr>
      </w:pPr>
      <w:r>
        <w:rPr>
          <w:sz w:val="21"/>
          <w:szCs w:val="21"/>
          <w:u w:val="single"/>
        </w:rPr>
        <w:t xml:space="preserve">(d)材料设备供应计划及保障措施； </w:t>
      </w:r>
    </w:p>
    <w:p w14:paraId="291A5B47">
      <w:pPr>
        <w:pStyle w:val="34"/>
        <w:adjustRightInd w:val="0"/>
        <w:spacing w:line="420" w:lineRule="exact"/>
        <w:rPr>
          <w:rFonts w:hint="eastAsia"/>
          <w:sz w:val="21"/>
          <w:szCs w:val="21"/>
          <w:u w:val="single"/>
        </w:rPr>
      </w:pPr>
      <w:r>
        <w:rPr>
          <w:sz w:val="21"/>
          <w:szCs w:val="21"/>
          <w:u w:val="single"/>
        </w:rPr>
        <w:t xml:space="preserve">(e)机械设备和试验、检测仪器配备计划及保障措施； </w:t>
      </w:r>
    </w:p>
    <w:p w14:paraId="732C8789">
      <w:pPr>
        <w:pStyle w:val="34"/>
        <w:adjustRightInd w:val="0"/>
        <w:spacing w:line="420" w:lineRule="exact"/>
        <w:rPr>
          <w:rFonts w:hint="eastAsia"/>
          <w:sz w:val="21"/>
          <w:szCs w:val="21"/>
          <w:u w:val="single"/>
        </w:rPr>
      </w:pPr>
      <w:r>
        <w:rPr>
          <w:sz w:val="21"/>
          <w:szCs w:val="21"/>
          <w:u w:val="single"/>
        </w:rPr>
        <w:t xml:space="preserve">(f)考虑工程拆迁、工程拆改移配合及影响计划； </w:t>
      </w:r>
    </w:p>
    <w:p w14:paraId="0E587D52">
      <w:pPr>
        <w:pStyle w:val="34"/>
        <w:adjustRightInd w:val="0"/>
        <w:spacing w:line="420" w:lineRule="exact"/>
        <w:rPr>
          <w:rFonts w:hint="eastAsia"/>
          <w:sz w:val="21"/>
          <w:szCs w:val="21"/>
          <w:u w:val="single"/>
        </w:rPr>
      </w:pPr>
      <w:r>
        <w:rPr>
          <w:sz w:val="21"/>
          <w:szCs w:val="21"/>
          <w:u w:val="single"/>
        </w:rPr>
        <w:t xml:space="preserve">(g)冬季、雨季施工技术措施及保障计划； </w:t>
      </w:r>
    </w:p>
    <w:p w14:paraId="73CC71A7">
      <w:pPr>
        <w:pStyle w:val="34"/>
        <w:adjustRightInd w:val="0"/>
        <w:spacing w:line="420" w:lineRule="exact"/>
        <w:rPr>
          <w:rFonts w:hint="eastAsia"/>
          <w:sz w:val="21"/>
          <w:szCs w:val="21"/>
          <w:u w:val="single"/>
        </w:rPr>
      </w:pPr>
      <w:r>
        <w:rPr>
          <w:sz w:val="21"/>
          <w:szCs w:val="21"/>
          <w:u w:val="single"/>
        </w:rPr>
        <w:t xml:space="preserve">(h)各分部分项工程施工方案和技术措施； </w:t>
      </w:r>
    </w:p>
    <w:p w14:paraId="0530FCB9">
      <w:pPr>
        <w:pStyle w:val="34"/>
        <w:adjustRightInd w:val="0"/>
        <w:spacing w:line="420" w:lineRule="exact"/>
        <w:rPr>
          <w:rFonts w:hint="eastAsia"/>
          <w:sz w:val="21"/>
          <w:szCs w:val="21"/>
        </w:rPr>
      </w:pPr>
      <w:r>
        <w:rPr>
          <w:sz w:val="21"/>
          <w:szCs w:val="21"/>
          <w:u w:val="single"/>
        </w:rPr>
        <w:t>(i)交通导改措施；</w:t>
      </w:r>
    </w:p>
    <w:p w14:paraId="435BEBCC">
      <w:pPr>
        <w:pStyle w:val="34"/>
        <w:adjustRightInd w:val="0"/>
        <w:spacing w:line="420" w:lineRule="exact"/>
        <w:rPr>
          <w:rFonts w:hint="eastAsia"/>
          <w:sz w:val="21"/>
          <w:szCs w:val="21"/>
        </w:rPr>
      </w:pPr>
      <w:r>
        <w:rPr>
          <w:sz w:val="21"/>
          <w:szCs w:val="21"/>
          <w:u w:val="single"/>
        </w:rPr>
        <w:t>(j)合同工程重点、难点的施工方案，施工进度计划中还应载明要求发包人组织设计人进行阶段性工程设计交底的时间。</w:t>
      </w:r>
    </w:p>
    <w:p w14:paraId="3871B97E">
      <w:pPr>
        <w:adjustRightInd w:val="0"/>
        <w:spacing w:line="344" w:lineRule="exact"/>
        <w:rPr>
          <w:rFonts w:hint="eastAsia" w:ascii="宋体" w:hAnsi="宋体" w:cs="Arial Unicode MS"/>
          <w:szCs w:val="21"/>
        </w:rPr>
      </w:pPr>
      <w:r>
        <w:rPr>
          <w:rFonts w:ascii="宋体" w:hAnsi="宋体" w:cs="Arial Unicode MS"/>
          <w:szCs w:val="21"/>
        </w:rPr>
        <w:t>10.1.2承包人编制分阶段或分项施工进度计划和施工方案说明的内容及时限要求：</w:t>
      </w:r>
    </w:p>
    <w:p w14:paraId="7DE5DC14">
      <w:pPr>
        <w:adjustRightInd w:val="0"/>
        <w:rPr>
          <w:rFonts w:hint="eastAsia" w:ascii="宋体" w:hAnsi="宋体" w:cs="Arial Unicode MS"/>
          <w:sz w:val="21"/>
          <w:szCs w:val="21"/>
          <w:u w:val="single"/>
        </w:rPr>
      </w:pPr>
      <w:r>
        <w:rPr>
          <w:rFonts w:ascii="宋体" w:hAnsi="宋体" w:cs="Arial Unicode MS"/>
          <w:sz w:val="21"/>
          <w:szCs w:val="21"/>
          <w:u w:val="single"/>
        </w:rPr>
        <w:t xml:space="preserve">承包人编制的总进度计划必须在合同生效后7天内或发包人有要求时提供第一版。监理人批复或对施工进度计划和施工方案说明提出修改意见的期限:自监理人收到承包人报送的相关进度计划和施工方案说明后14天内。 </w:t>
      </w:r>
    </w:p>
    <w:p w14:paraId="7638EC24">
      <w:pPr>
        <w:adjustRightInd w:val="0"/>
        <w:rPr>
          <w:rFonts w:hint="eastAsia" w:ascii="宋体" w:hAnsi="宋体"/>
          <w:szCs w:val="21"/>
        </w:rPr>
      </w:pPr>
      <w:r>
        <w:rPr>
          <w:rFonts w:ascii="宋体" w:hAnsi="宋体" w:cs="Arial Unicode MS"/>
          <w:szCs w:val="21"/>
        </w:rPr>
        <w:t>10.1.3群体工程中有关编制进度计划和施工方案说明的要求：</w:t>
      </w:r>
      <w:r>
        <w:rPr>
          <w:rFonts w:ascii="宋体" w:hAnsi="宋体"/>
          <w:szCs w:val="21"/>
          <w:u w:val="single"/>
        </w:rPr>
        <w:t>/</w:t>
      </w:r>
    </w:p>
    <w:p w14:paraId="00C80B1B">
      <w:pPr>
        <w:pStyle w:val="34"/>
        <w:tabs>
          <w:tab w:val="left" w:pos="1374"/>
        </w:tabs>
        <w:adjustRightInd w:val="0"/>
        <w:spacing w:line="371" w:lineRule="exact"/>
        <w:rPr>
          <w:rFonts w:hint="eastAsia"/>
          <w:sz w:val="21"/>
          <w:szCs w:val="21"/>
        </w:rPr>
      </w:pPr>
      <w:r>
        <w:rPr>
          <w:sz w:val="21"/>
          <w:szCs w:val="21"/>
        </w:rPr>
        <w:t>10.2合同进度计划的修订</w:t>
      </w:r>
    </w:p>
    <w:p w14:paraId="155EBF30">
      <w:pPr>
        <w:adjustRightInd w:val="0"/>
        <w:spacing w:line="237" w:lineRule="auto"/>
        <w:rPr>
          <w:rFonts w:hint="eastAsia" w:ascii="宋体" w:hAnsi="宋体" w:cs="Arial Unicode MS"/>
          <w:sz w:val="21"/>
          <w:szCs w:val="21"/>
          <w:u w:val="single"/>
        </w:rPr>
      </w:pPr>
      <w:r>
        <w:rPr>
          <w:rFonts w:ascii="宋体" w:hAnsi="宋体" w:cs="Arial Unicode MS"/>
          <w:szCs w:val="21"/>
        </w:rPr>
        <w:t xml:space="preserve">10.2.1承包人报送修订合同进度计划申请报告和相关资料的期限： </w:t>
      </w:r>
      <w:r>
        <w:rPr>
          <w:rFonts w:ascii="宋体" w:hAnsi="宋体" w:cs="Arial Unicode MS"/>
          <w:sz w:val="21"/>
          <w:szCs w:val="21"/>
          <w:u w:val="single"/>
        </w:rPr>
        <w:t xml:space="preserve">合同签订后7天内 </w:t>
      </w:r>
      <w:r>
        <w:rPr>
          <w:rFonts w:ascii="宋体" w:hAnsi="宋体" w:cs="Arial Unicode MS"/>
          <w:szCs w:val="21"/>
        </w:rPr>
        <w:t>监理人批复修订合同进度计划申请报告的期限：</w:t>
      </w:r>
      <w:r>
        <w:rPr>
          <w:rFonts w:ascii="宋体" w:hAnsi="宋体" w:cs="Arial Unicode MS"/>
          <w:sz w:val="21"/>
          <w:szCs w:val="21"/>
          <w:u w:val="single"/>
        </w:rPr>
        <w:t xml:space="preserve">收到承包人报送的修订合同进度计划申请报告和相关资料后7天内 </w:t>
      </w:r>
    </w:p>
    <w:p w14:paraId="6ED946A3">
      <w:pPr>
        <w:tabs>
          <w:tab w:val="left" w:pos="8274"/>
        </w:tabs>
        <w:adjustRightInd w:val="0"/>
        <w:spacing w:line="237" w:lineRule="auto"/>
        <w:rPr>
          <w:rFonts w:hint="eastAsia" w:ascii="宋体" w:hAnsi="宋体" w:cs="Arial Unicode MS"/>
          <w:szCs w:val="21"/>
        </w:rPr>
      </w:pPr>
      <w:r>
        <w:rPr>
          <w:rFonts w:ascii="宋体" w:hAnsi="宋体" w:cs="Arial Unicode MS"/>
          <w:szCs w:val="21"/>
        </w:rPr>
        <w:t xml:space="preserve">10.2.2监理人批复修订合同进度计划的期限： </w:t>
      </w:r>
      <w:r>
        <w:rPr>
          <w:rFonts w:ascii="宋体" w:hAnsi="宋体" w:cs="Arial Unicode MS"/>
          <w:sz w:val="21"/>
          <w:szCs w:val="21"/>
          <w:u w:val="single"/>
        </w:rPr>
        <w:t>收到承包人报送的修订合同进度计划申请报告和相关资料后7天内</w:t>
      </w:r>
      <w:r>
        <w:rPr>
          <w:rFonts w:ascii="宋体" w:hAnsi="宋体"/>
          <w:szCs w:val="21"/>
        </w:rPr>
        <mc:AlternateContent>
          <mc:Choice Requires="wpg">
            <w:drawing>
              <wp:anchor distT="0" distB="0" distL="114300" distR="114300" simplePos="0" relativeHeight="251673600" behindDoc="0" locked="0" layoutInCell="1" allowOverlap="1">
                <wp:simplePos x="0" y="0"/>
                <wp:positionH relativeFrom="page">
                  <wp:posOffset>542925</wp:posOffset>
                </wp:positionH>
                <wp:positionV relativeFrom="page">
                  <wp:posOffset>895350</wp:posOffset>
                </wp:positionV>
                <wp:extent cx="1270" cy="8905875"/>
                <wp:effectExtent l="0" t="0" r="0" b="0"/>
                <wp:wrapNone/>
                <wp:docPr id="29" name="组合 29"/>
                <wp:cNvGraphicFramePr/>
                <a:graphic xmlns:a="http://schemas.openxmlformats.org/drawingml/2006/main">
                  <a:graphicData uri="http://schemas.microsoft.com/office/word/2010/wordprocessingGroup">
                    <wpg:wgp>
                      <wpg:cNvGrpSpPr/>
                      <wpg:grpSpPr>
                        <a:xfrm>
                          <a:off x="0" y="0"/>
                          <a:ext cx="1270" cy="8905875"/>
                          <a:chOff x="855" y="1410"/>
                          <a:chExt cx="2" cy="14025"/>
                        </a:xfrm>
                      </wpg:grpSpPr>
                      <wps:wsp>
                        <wps:cNvPr id="28" name="任意多边形 28"/>
                        <wps:cNvSpPr/>
                        <wps:spPr>
                          <a:xfrm>
                            <a:off x="855" y="1410"/>
                            <a:ext cx="2" cy="14025"/>
                          </a:xfrm>
                          <a:custGeom>
                            <a:avLst/>
                            <a:gdLst/>
                            <a:ahLst/>
                            <a:cxnLst/>
                            <a:rect l="0" t="0" r="0" b="0"/>
                            <a:pathLst>
                              <a:path h="14025">
                                <a:moveTo>
                                  <a:pt x="0" y="0"/>
                                </a:moveTo>
                                <a:lnTo>
                                  <a:pt x="0" y="14025"/>
                                </a:lnTo>
                                <a:lnTo>
                                  <a:pt x="0" y="0"/>
                                </a:lnTo>
                                <a:close/>
                              </a:path>
                            </a:pathLst>
                          </a:custGeom>
                          <a:solidFill>
                            <a:srgbClr val="000000"/>
                          </a:solidFill>
                          <a:ln>
                            <a:noFill/>
                          </a:ln>
                        </wps:spPr>
                        <wps:bodyPr upright="1"/>
                      </wps:wsp>
                    </wpg:wgp>
                  </a:graphicData>
                </a:graphic>
              </wp:anchor>
            </w:drawing>
          </mc:Choice>
          <mc:Fallback>
            <w:pict>
              <v:group id="_x0000_s1026" o:spid="_x0000_s1026" o:spt="203" style="position:absolute;left:0pt;margin-left:42.75pt;margin-top:70.5pt;height:701.25pt;width:0.1pt;mso-position-horizontal-relative:page;mso-position-vertical-relative:page;z-index:251673600;mso-width-relative:page;mso-height-relative:page;" coordorigin="855,1410" coordsize="2,14025" o:gfxdata="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AR6s6fZAAAACgEAAA8AAAAAAAAAAQAgAAAAIgAAAGRycy9kb3ducmV2LnhtbFBLAQIUABQA&#10;AAAIAIdO4kBtJhukYQIAAHkFAAAOAAAAAAAAAAEAIAAAACgBAABkcnMvZTJvRG9jLnhtbFBLBQYA&#10;AAAABgAGAFkBAAD7BQAAAAA=&#10;">
                <o:lock v:ext="edit" aspectratio="f"/>
                <v:shape id="_x0000_s1026" o:spid="_x0000_s1026" o:spt="100" style="position:absolute;left:855;top:1410;height:14025;width:2;" fillcolor="#000000" filled="t" stroked="f" coordsize="1,14025" o:gfxdata="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Mdhxna5AAAA2wAA&#10;AA8AAAAAAAAAAQAgAAAAIgAAAGRycy9kb3ducmV2LnhtbFBLAQIUABQAAAAIAIdO4kAzLwWeOwAA&#10;ADkAAAAQAAAAAAAAAAEAIAAAAAgBAABkcnMvc2hhcGV4bWwueG1sUEsFBgAAAAAGAAYAWwEAALID&#10;AAAAAA==&#10;" path="m0,0l0,14025,0,0xe">
                  <v:fill on="t" focussize="0,0"/>
                  <v:stroke on="f"/>
                  <v:imagedata o:title=""/>
                  <o:lock v:ext="edit" aspectratio="f"/>
                </v:shape>
              </v:group>
            </w:pict>
          </mc:Fallback>
        </mc:AlternateContent>
      </w:r>
    </w:p>
    <w:p w14:paraId="2077DB62">
      <w:pPr>
        <w:pStyle w:val="34"/>
        <w:tabs>
          <w:tab w:val="left" w:pos="1374"/>
        </w:tabs>
        <w:adjustRightInd w:val="0"/>
        <w:spacing w:line="371" w:lineRule="exact"/>
        <w:rPr>
          <w:rFonts w:hint="eastAsia"/>
        </w:rPr>
      </w:pPr>
      <w:r>
        <w:t>10.3合同进度计划的其他要求</w:t>
      </w:r>
    </w:p>
    <w:p w14:paraId="3127F9B9">
      <w:pPr>
        <w:adjustRightInd w:val="0"/>
        <w:rPr>
          <w:rFonts w:hint="eastAsia" w:ascii="宋体" w:hAnsi="宋体"/>
        </w:rPr>
      </w:pPr>
      <w:r>
        <w:rPr>
          <w:rFonts w:ascii="宋体" w:hAnsi="宋体" w:cs="Arial Unicode MS"/>
          <w:szCs w:val="21"/>
        </w:rPr>
        <w:t>10.3.2施工进度计划管理的人员配置要求：</w:t>
      </w:r>
      <w:r>
        <w:rPr>
          <w:rFonts w:ascii="宋体" w:hAnsi="宋体"/>
          <w:u w:val="single"/>
        </w:rPr>
        <w:t>满足本项目需求</w:t>
      </w:r>
    </w:p>
    <w:p w14:paraId="65A3EDBF">
      <w:pPr>
        <w:adjustRightInd w:val="0"/>
        <w:spacing w:line="337" w:lineRule="exact"/>
        <w:rPr>
          <w:rFonts w:hint="eastAsia" w:ascii="宋体" w:hAnsi="宋体"/>
        </w:rPr>
      </w:pPr>
      <w:r>
        <w:rPr>
          <w:rFonts w:ascii="宋体" w:hAnsi="宋体" w:cs="Arial Unicode MS"/>
          <w:szCs w:val="21"/>
        </w:rPr>
        <w:t>10.3.3施工进度计划的计算机应用软件要求：</w:t>
      </w:r>
      <w:r>
        <w:rPr>
          <w:rFonts w:ascii="宋体" w:hAnsi="宋体"/>
          <w:u w:val="single"/>
        </w:rPr>
        <w:t>满足本项目需求</w:t>
      </w:r>
    </w:p>
    <w:p w14:paraId="5CE4936C">
      <w:pPr>
        <w:pStyle w:val="3"/>
        <w:spacing w:line="439" w:lineRule="exact"/>
        <w:jc w:val="both"/>
        <w:rPr>
          <w:rFonts w:hint="eastAsia" w:hAnsi="宋体"/>
          <w:szCs w:val="32"/>
        </w:rPr>
      </w:pPr>
      <w:r>
        <w:rPr>
          <w:rFonts w:hAnsi="宋体"/>
          <w:szCs w:val="32"/>
        </w:rPr>
        <w:t>11.开工和竣工</w:t>
      </w:r>
    </w:p>
    <w:p w14:paraId="47F88AAC">
      <w:pPr>
        <w:pStyle w:val="34"/>
        <w:tabs>
          <w:tab w:val="left" w:pos="1374"/>
        </w:tabs>
        <w:adjustRightInd w:val="0"/>
        <w:rPr>
          <w:rFonts w:hint="eastAsia"/>
        </w:rPr>
      </w:pPr>
      <w:r>
        <w:t>11.3发包人的工期延误</w:t>
      </w:r>
    </w:p>
    <w:p w14:paraId="24ECCCAA">
      <w:pPr>
        <w:adjustRightInd w:val="0"/>
        <w:spacing w:line="364" w:lineRule="exact"/>
        <w:rPr>
          <w:rFonts w:hint="eastAsia" w:ascii="宋体" w:hAnsi="宋体" w:cs="Arial Unicode MS"/>
          <w:sz w:val="19"/>
          <w:szCs w:val="19"/>
        </w:rPr>
      </w:pPr>
      <w:r>
        <w:rPr>
          <w:rFonts w:ascii="宋体" w:hAnsi="宋体" w:cs="Arial Unicode MS"/>
          <w:szCs w:val="21"/>
        </w:rPr>
        <w:t>（8）发包人造成工期延误的其他原因</w:t>
      </w:r>
      <w:r>
        <w:rPr>
          <w:rFonts w:ascii="宋体" w:hAnsi="宋体" w:cs="Arial Unicode MS"/>
          <w:sz w:val="19"/>
          <w:szCs w:val="19"/>
        </w:rPr>
        <w:t>：</w:t>
      </w:r>
    </w:p>
    <w:p w14:paraId="2B7469FB">
      <w:pPr>
        <w:pStyle w:val="34"/>
        <w:adjustRightInd w:val="0"/>
        <w:spacing w:before="16" w:line="420" w:lineRule="exact"/>
        <w:rPr>
          <w:rFonts w:hint="eastAsia"/>
          <w:sz w:val="21"/>
          <w:szCs w:val="21"/>
        </w:rPr>
      </w:pPr>
      <w:r>
        <w:rPr>
          <w:sz w:val="21"/>
          <w:szCs w:val="21"/>
          <w:u w:val="single"/>
        </w:rPr>
        <w:t>1.在施工过程中，如遇有法定节日及国家规定的必须停工的时间，不计入停工损失，</w:t>
      </w:r>
      <w:r>
        <w:rPr>
          <w:sz w:val="21"/>
          <w:szCs w:val="21"/>
        </w:rPr>
        <w:t xml:space="preserve"> </w:t>
      </w:r>
      <w:r>
        <w:rPr>
          <w:sz w:val="21"/>
          <w:szCs w:val="21"/>
          <w:u w:val="single"/>
        </w:rPr>
        <w:t>但可作为工期顺延的依据。 2.工程顺延的原因，除规定的不可抗力外，对于因工程内容变更、设计变更、工程款支</w:t>
      </w:r>
      <w:r>
        <w:rPr>
          <w:sz w:val="21"/>
          <w:szCs w:val="21"/>
        </w:rPr>
        <w:t xml:space="preserve"> </w:t>
      </w:r>
      <w:r>
        <w:rPr>
          <w:sz w:val="21"/>
          <w:szCs w:val="21"/>
          <w:u w:val="single"/>
        </w:rPr>
        <w:t>付、地下物等因素造成的工期顺延，不计入停工损失，但可以作 为工期顺延的依据。 3.以监理单位出具的开工日期为实际开工日期，此日期之前为准备期，不计入合同工 期。</w:t>
      </w:r>
    </w:p>
    <w:p w14:paraId="2C127BF4">
      <w:pPr>
        <w:pStyle w:val="34"/>
        <w:adjustRightInd w:val="0"/>
        <w:spacing w:line="401" w:lineRule="exact"/>
        <w:rPr>
          <w:rFonts w:hint="eastAsia"/>
          <w:sz w:val="21"/>
          <w:szCs w:val="21"/>
        </w:rPr>
      </w:pPr>
      <w:r>
        <w:rPr>
          <w:sz w:val="21"/>
          <w:szCs w:val="21"/>
          <w:u w:val="single"/>
        </w:rPr>
        <w:t>4.因发包人原因不能按照监理人发出的开工通知中载明的开工日期开工。</w:t>
      </w:r>
    </w:p>
    <w:p w14:paraId="5C2A1B34">
      <w:pPr>
        <w:pStyle w:val="34"/>
        <w:tabs>
          <w:tab w:val="left" w:pos="1374"/>
        </w:tabs>
        <w:adjustRightInd w:val="0"/>
        <w:spacing w:line="371" w:lineRule="exact"/>
        <w:rPr>
          <w:rFonts w:hint="eastAsia"/>
          <w:sz w:val="21"/>
          <w:szCs w:val="21"/>
        </w:rPr>
      </w:pPr>
      <w:r>
        <w:rPr>
          <w:sz w:val="21"/>
          <w:szCs w:val="21"/>
        </w:rPr>
        <w:t>11.4异常恶劣的气候条件</w:t>
      </w:r>
    </w:p>
    <w:p w14:paraId="56627261">
      <w:pPr>
        <w:adjustRightInd w:val="0"/>
        <w:spacing w:line="364" w:lineRule="exact"/>
        <w:rPr>
          <w:rFonts w:hint="eastAsia" w:ascii="宋体" w:hAnsi="宋体"/>
          <w:szCs w:val="21"/>
          <w:u w:val="single"/>
        </w:rPr>
      </w:pPr>
      <w:r>
        <w:rPr>
          <w:rFonts w:hint="eastAsia" w:ascii="宋体" w:hAnsi="宋体"/>
          <w:szCs w:val="21"/>
          <w:u w:val="single"/>
        </w:rPr>
        <w:t>异常恶劣的气候条件的范围和标准：不可抗力，如果任何一方由于战争、严重火灾、水灾、台风和地震以及不可抗力的客观情况致使合同履行受阻时，履行合同的期限应予以延长，延长的期限应相当于事故 所影响的时间，且受事故影响的一方应在不可抗力的事故发生后尽快通知另一方，并在 事故发生后两周内，将有关部门出具的证明文件发给另一方。双方应通过友好协商在合 理的时间内达成进一步履行合同的协议。</w:t>
      </w:r>
    </w:p>
    <w:p w14:paraId="19CAE0F0">
      <w:pPr>
        <w:pStyle w:val="34"/>
        <w:tabs>
          <w:tab w:val="left" w:pos="1374"/>
        </w:tabs>
        <w:adjustRightInd w:val="0"/>
        <w:spacing w:line="371" w:lineRule="exact"/>
        <w:rPr>
          <w:rFonts w:hint="eastAsia"/>
          <w:sz w:val="21"/>
          <w:szCs w:val="21"/>
        </w:rPr>
      </w:pPr>
      <w:r>
        <w:rPr>
          <w:sz w:val="21"/>
          <w:szCs w:val="21"/>
        </w:rPr>
        <w:t>11.5承包人的工期延误</w:t>
      </w:r>
    </w:p>
    <w:p w14:paraId="172407AB">
      <w:pPr>
        <w:adjustRightInd w:val="0"/>
        <w:spacing w:line="364" w:lineRule="exact"/>
        <w:rPr>
          <w:rFonts w:hint="eastAsia" w:ascii="宋体" w:hAnsi="宋体" w:cs="Arial Unicode MS"/>
          <w:szCs w:val="21"/>
        </w:rPr>
      </w:pPr>
      <w:r>
        <w:rPr>
          <w:rFonts w:ascii="宋体" w:hAnsi="宋体" w:cs="Arial Unicode MS"/>
          <w:szCs w:val="21"/>
        </w:rPr>
        <w:t xml:space="preserve">11.5.2  </w:t>
      </w:r>
      <w:r>
        <w:rPr>
          <w:rFonts w:hint="eastAsia" w:ascii="宋体" w:hAnsi="宋体" w:cs="Arial Unicode MS"/>
          <w:szCs w:val="21"/>
        </w:rPr>
        <w:t>逾期竣工违约金的计算标准和计算方法：工期每延误一天，承包人应当向发包人赔偿签约合同价万分之五的工期违约金，不足一天按一天计；计算方法为延误工期日历天*签约合同价*万分之五</w:t>
      </w:r>
    </w:p>
    <w:p w14:paraId="5C46F29A">
      <w:pPr>
        <w:adjustRightInd w:val="0"/>
        <w:spacing w:line="364" w:lineRule="exact"/>
        <w:rPr>
          <w:rFonts w:hint="eastAsia" w:ascii="宋体" w:hAnsi="宋体"/>
          <w:szCs w:val="21"/>
        </w:rPr>
      </w:pPr>
      <w:r>
        <w:rPr>
          <w:rFonts w:hint="eastAsia" w:ascii="宋体" w:hAnsi="宋体" w:cs="Arial Unicode MS"/>
          <w:szCs w:val="21"/>
        </w:rPr>
        <w:t>逾期竣工违约金最高限额：</w:t>
      </w:r>
      <w:r>
        <w:rPr>
          <w:rFonts w:ascii="宋体" w:hAnsi="宋体"/>
          <w:szCs w:val="21"/>
        </w:rPr>
        <mc:AlternateContent>
          <mc:Choice Requires="wpg">
            <w:drawing>
              <wp:anchor distT="0" distB="0" distL="114300" distR="114300" simplePos="0" relativeHeight="251674624" behindDoc="0" locked="0" layoutInCell="1" allowOverlap="1">
                <wp:simplePos x="0" y="0"/>
                <wp:positionH relativeFrom="page">
                  <wp:posOffset>542925</wp:posOffset>
                </wp:positionH>
                <wp:positionV relativeFrom="page">
                  <wp:posOffset>895350</wp:posOffset>
                </wp:positionV>
                <wp:extent cx="1270" cy="8905875"/>
                <wp:effectExtent l="0" t="0" r="0" b="0"/>
                <wp:wrapNone/>
                <wp:docPr id="25" name="组合 25"/>
                <wp:cNvGraphicFramePr/>
                <a:graphic xmlns:a="http://schemas.openxmlformats.org/drawingml/2006/main">
                  <a:graphicData uri="http://schemas.microsoft.com/office/word/2010/wordprocessingGroup">
                    <wpg:wgp>
                      <wpg:cNvGrpSpPr/>
                      <wpg:grpSpPr>
                        <a:xfrm>
                          <a:off x="0" y="0"/>
                          <a:ext cx="1270" cy="8905875"/>
                          <a:chOff x="855" y="1410"/>
                          <a:chExt cx="2" cy="14025"/>
                        </a:xfrm>
                      </wpg:grpSpPr>
                      <wps:wsp>
                        <wps:cNvPr id="26" name="任意多边形 26"/>
                        <wps:cNvSpPr/>
                        <wps:spPr>
                          <a:xfrm>
                            <a:off x="855" y="1410"/>
                            <a:ext cx="2" cy="14025"/>
                          </a:xfrm>
                          <a:custGeom>
                            <a:avLst/>
                            <a:gdLst/>
                            <a:ahLst/>
                            <a:cxnLst/>
                            <a:rect l="0" t="0" r="0" b="0"/>
                            <a:pathLst>
                              <a:path h="14025">
                                <a:moveTo>
                                  <a:pt x="0" y="0"/>
                                </a:moveTo>
                                <a:lnTo>
                                  <a:pt x="0" y="14025"/>
                                </a:lnTo>
                                <a:lnTo>
                                  <a:pt x="0" y="0"/>
                                </a:lnTo>
                                <a:close/>
                              </a:path>
                            </a:pathLst>
                          </a:custGeom>
                          <a:solidFill>
                            <a:srgbClr val="000000"/>
                          </a:solidFill>
                          <a:ln>
                            <a:noFill/>
                          </a:ln>
                        </wps:spPr>
                        <wps:bodyPr upright="1"/>
                      </wps:wsp>
                    </wpg:wgp>
                  </a:graphicData>
                </a:graphic>
              </wp:anchor>
            </w:drawing>
          </mc:Choice>
          <mc:Fallback>
            <w:pict>
              <v:group id="_x0000_s1026" o:spid="_x0000_s1026" o:spt="203" style="position:absolute;left:0pt;margin-left:42.75pt;margin-top:70.5pt;height:701.25pt;width:0.1pt;mso-position-horizontal-relative:page;mso-position-vertical-relative:page;z-index:251674624;mso-width-relative:page;mso-height-relative:page;" coordorigin="855,1410" coordsize="2,14025" o:gfxdata="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">
                <o:lock v:ext="edit" aspectratio="f"/>
                <v:shape id="_x0000_s1026" o:spid="_x0000_s1026" o:spt="100" style="position:absolute;left:855;top:1410;height:14025;width:2;" fillcolor="#000000" filled="t" stroked="f" coordsize="1,14025" o:gfxdata="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ZsvefvQAA&#10;ANsAAAAPAAAAAAAAAAEAIAAAACIAAABkcnMvZG93bnJldi54bWxQSwECFAAUAAAACACHTuJAMy8F&#10;njsAAAA5AAAAEAAAAAAAAAABACAAAAAMAQAAZHJzL3NoYXBleG1sLnhtbFBLBQYAAAAABgAGAFsB&#10;AAC2AwAAAAA=&#10;" path="m0,0l0,14025,0,0xe">
                  <v:fill on="t" focussize="0,0"/>
                  <v:stroke on="f"/>
                  <v:imagedata o:title=""/>
                  <o:lock v:ext="edit" aspectratio="f"/>
                </v:shape>
              </v:group>
            </w:pict>
          </mc:Fallback>
        </mc:AlternateContent>
      </w:r>
      <w:r>
        <w:rPr>
          <w:rFonts w:hint="eastAsia" w:ascii="宋体" w:hAnsi="宋体" w:cs="Arial Unicode MS"/>
          <w:szCs w:val="21"/>
        </w:rPr>
        <w:t>/</w:t>
      </w:r>
    </w:p>
    <w:p w14:paraId="28D5E2BA">
      <w:pPr>
        <w:adjustRightInd w:val="0"/>
        <w:spacing w:before="9"/>
        <w:rPr>
          <w:rFonts w:hint="eastAsia" w:ascii="宋体" w:hAnsi="宋体" w:cs="Arial Unicode MS"/>
          <w:szCs w:val="21"/>
        </w:rPr>
      </w:pPr>
    </w:p>
    <w:p w14:paraId="3067B8D0">
      <w:pPr>
        <w:pStyle w:val="34"/>
        <w:tabs>
          <w:tab w:val="left" w:pos="719"/>
        </w:tabs>
        <w:adjustRightInd w:val="0"/>
        <w:spacing w:line="371" w:lineRule="exact"/>
        <w:rPr>
          <w:rFonts w:hint="eastAsia"/>
          <w:sz w:val="21"/>
          <w:szCs w:val="21"/>
        </w:rPr>
      </w:pPr>
      <w:r>
        <w:rPr>
          <w:sz w:val="21"/>
          <w:szCs w:val="21"/>
        </w:rPr>
        <w:t>11.6</w:t>
      </w:r>
      <w:r>
        <w:rPr>
          <w:sz w:val="21"/>
          <w:szCs w:val="21"/>
        </w:rPr>
        <w:tab/>
      </w:r>
      <w:r>
        <w:rPr>
          <w:sz w:val="21"/>
          <w:szCs w:val="21"/>
        </w:rPr>
        <w:t>发承包双方原因导致的工期延误</w:t>
      </w:r>
      <w:r>
        <w:rPr>
          <w:rFonts w:cs="Arial Unicode MS"/>
          <w:sz w:val="21"/>
          <w:szCs w:val="21"/>
        </w:rPr>
        <w:t>发承包双方导致工期延误的原因：</w:t>
      </w:r>
      <w:r>
        <w:rPr>
          <w:sz w:val="21"/>
          <w:szCs w:val="21"/>
          <w:u w:val="single"/>
        </w:rPr>
        <w:t>/</w:t>
      </w:r>
    </w:p>
    <w:p w14:paraId="1629C2BB">
      <w:pPr>
        <w:pStyle w:val="34"/>
        <w:tabs>
          <w:tab w:val="left" w:pos="719"/>
        </w:tabs>
        <w:adjustRightInd w:val="0"/>
        <w:spacing w:line="371" w:lineRule="exact"/>
        <w:rPr>
          <w:rFonts w:hint="eastAsia"/>
          <w:sz w:val="21"/>
          <w:szCs w:val="21"/>
        </w:rPr>
      </w:pPr>
      <w:r>
        <w:rPr>
          <w:sz w:val="21"/>
          <w:szCs w:val="21"/>
        </w:rPr>
        <w:t>11.7</w:t>
      </w:r>
      <w:r>
        <w:rPr>
          <w:sz w:val="21"/>
          <w:szCs w:val="21"/>
        </w:rPr>
        <w:tab/>
      </w:r>
      <w:r>
        <w:rPr>
          <w:sz w:val="21"/>
          <w:szCs w:val="21"/>
        </w:rPr>
        <w:t>非发承包双方原因导致的工期延误</w:t>
      </w:r>
      <w:r>
        <w:rPr>
          <w:rFonts w:cs="Arial Unicode MS"/>
          <w:sz w:val="21"/>
          <w:szCs w:val="21"/>
        </w:rPr>
        <w:t>非发承包双方导致工期延误的原因：</w:t>
      </w:r>
      <w:r>
        <w:rPr>
          <w:sz w:val="21"/>
          <w:szCs w:val="21"/>
          <w:u w:val="single"/>
        </w:rPr>
        <w:t>/</w:t>
      </w:r>
    </w:p>
    <w:p w14:paraId="5B203821">
      <w:pPr>
        <w:pStyle w:val="34"/>
        <w:tabs>
          <w:tab w:val="left" w:pos="1374"/>
        </w:tabs>
        <w:adjustRightInd w:val="0"/>
        <w:spacing w:line="371" w:lineRule="exact"/>
        <w:rPr>
          <w:rFonts w:hint="eastAsia"/>
          <w:sz w:val="21"/>
          <w:szCs w:val="21"/>
        </w:rPr>
      </w:pPr>
      <w:r>
        <w:rPr>
          <w:sz w:val="21"/>
          <w:szCs w:val="21"/>
        </w:rPr>
        <w:t>11.8工期提前</w:t>
      </w:r>
    </w:p>
    <w:p w14:paraId="7E162CAA">
      <w:pPr>
        <w:adjustRightInd w:val="0"/>
        <w:spacing w:line="364" w:lineRule="exact"/>
        <w:rPr>
          <w:rFonts w:hint="eastAsia" w:ascii="宋体" w:hAnsi="宋体"/>
          <w:szCs w:val="21"/>
        </w:rPr>
      </w:pPr>
      <w:r>
        <w:rPr>
          <w:rFonts w:ascii="宋体" w:hAnsi="宋体" w:cs="Arial Unicode MS"/>
          <w:szCs w:val="21"/>
        </w:rPr>
        <w:t>提前竣工的奖励办法：</w:t>
      </w:r>
      <w:r>
        <w:rPr>
          <w:rFonts w:ascii="宋体" w:hAnsi="宋体"/>
          <w:szCs w:val="21"/>
          <w:u w:val="single"/>
        </w:rPr>
        <w:t>/</w:t>
      </w:r>
    </w:p>
    <w:p w14:paraId="33BC7E6E">
      <w:pPr>
        <w:pStyle w:val="3"/>
        <w:spacing w:line="439" w:lineRule="exact"/>
        <w:jc w:val="both"/>
        <w:rPr>
          <w:rFonts w:hint="eastAsia" w:hAnsi="宋体" w:cs="Arial Unicode MS"/>
          <w:sz w:val="23"/>
          <w:szCs w:val="23"/>
        </w:rPr>
      </w:pPr>
      <w:r>
        <w:rPr>
          <w:rFonts w:hAnsi="宋体"/>
          <w:szCs w:val="32"/>
        </w:rPr>
        <w:t>12.暂停施工</w:t>
      </w:r>
    </w:p>
    <w:p w14:paraId="614B016C">
      <w:pPr>
        <w:pStyle w:val="34"/>
        <w:tabs>
          <w:tab w:val="left" w:pos="1374"/>
        </w:tabs>
        <w:adjustRightInd w:val="0"/>
        <w:rPr>
          <w:rFonts w:hint="eastAsia"/>
        </w:rPr>
      </w:pPr>
      <w:r>
        <w:t>12.1承包人暂停施工的责任</w:t>
      </w:r>
    </w:p>
    <w:p w14:paraId="158286AC">
      <w:pPr>
        <w:adjustRightInd w:val="0"/>
        <w:spacing w:line="364" w:lineRule="exact"/>
        <w:rPr>
          <w:rFonts w:hint="eastAsia" w:ascii="宋体" w:hAnsi="宋体" w:cs="Arial Unicode MS"/>
          <w:szCs w:val="21"/>
        </w:rPr>
      </w:pPr>
      <w:r>
        <w:rPr>
          <w:rFonts w:ascii="宋体" w:hAnsi="宋体" w:cs="Arial Unicode MS"/>
          <w:szCs w:val="21"/>
        </w:rPr>
        <w:t>（4）承包人承担暂停施工责任的其他情形：</w:t>
      </w:r>
    </w:p>
    <w:p w14:paraId="4B752051">
      <w:pPr>
        <w:pStyle w:val="34"/>
        <w:adjustRightInd w:val="0"/>
        <w:spacing w:before="16" w:line="420" w:lineRule="exact"/>
        <w:rPr>
          <w:rFonts w:hint="eastAsia"/>
          <w:sz w:val="21"/>
          <w:szCs w:val="21"/>
        </w:rPr>
      </w:pPr>
      <w:r>
        <w:rPr>
          <w:sz w:val="21"/>
          <w:szCs w:val="21"/>
          <w:u w:val="single"/>
        </w:rPr>
        <w:t>12.1.1工程若因施工质量问题需要暂停施工而影响正常施工的，承包人应制订赶工计划，赶工造成的费用由承包人承担，发包人不予增加相应的费用；</w:t>
      </w:r>
    </w:p>
    <w:p w14:paraId="6765A73A">
      <w:pPr>
        <w:pStyle w:val="34"/>
        <w:adjustRightInd w:val="0"/>
        <w:spacing w:line="401" w:lineRule="exact"/>
        <w:rPr>
          <w:rFonts w:hint="eastAsia"/>
          <w:sz w:val="21"/>
          <w:szCs w:val="21"/>
        </w:rPr>
      </w:pPr>
      <w:r>
        <w:rPr>
          <w:sz w:val="21"/>
          <w:szCs w:val="21"/>
          <w:u w:val="single"/>
        </w:rPr>
        <w:t>①因承包人违反规范或任何工程质量不合格而进行返工、重建、修建的工期；</w:t>
      </w:r>
    </w:p>
    <w:p w14:paraId="41CD5A2D">
      <w:pPr>
        <w:pStyle w:val="34"/>
        <w:adjustRightInd w:val="0"/>
        <w:rPr>
          <w:rFonts w:hint="eastAsia"/>
          <w:sz w:val="21"/>
          <w:szCs w:val="21"/>
        </w:rPr>
      </w:pPr>
      <w:r>
        <w:rPr>
          <w:sz w:val="21"/>
          <w:szCs w:val="21"/>
          <w:u w:val="single"/>
        </w:rPr>
        <w:t>②未按设计要求进行施工或因施工组织方案不可行导致发包人未能按时审批而影响开工的；</w:t>
      </w:r>
    </w:p>
    <w:p w14:paraId="7E093EB8">
      <w:pPr>
        <w:pStyle w:val="34"/>
        <w:adjustRightInd w:val="0"/>
        <w:spacing w:line="420" w:lineRule="exact"/>
        <w:rPr>
          <w:rFonts w:hint="eastAsia"/>
          <w:sz w:val="21"/>
          <w:szCs w:val="21"/>
        </w:rPr>
      </w:pPr>
      <w:r>
        <w:rPr>
          <w:sz w:val="21"/>
          <w:szCs w:val="21"/>
          <w:u w:val="single"/>
        </w:rPr>
        <w:t>③工程验收不合格发现存在质量问题或技术问题需要整改的；</w:t>
      </w:r>
    </w:p>
    <w:p w14:paraId="43B818E5">
      <w:pPr>
        <w:pStyle w:val="34"/>
        <w:adjustRightInd w:val="0"/>
        <w:spacing w:line="420" w:lineRule="exact"/>
        <w:rPr>
          <w:rFonts w:hint="eastAsia"/>
          <w:sz w:val="21"/>
          <w:szCs w:val="21"/>
        </w:rPr>
      </w:pPr>
      <w:r>
        <w:rPr>
          <w:sz w:val="21"/>
          <w:szCs w:val="21"/>
          <w:u w:val="single"/>
        </w:rPr>
        <w:t>④承包人自身原因造成待工待料的；</w:t>
      </w:r>
    </w:p>
    <w:p w14:paraId="089FF35E">
      <w:pPr>
        <w:pStyle w:val="34"/>
        <w:adjustRightInd w:val="0"/>
        <w:rPr>
          <w:rFonts w:hint="eastAsia"/>
          <w:sz w:val="21"/>
          <w:szCs w:val="21"/>
        </w:rPr>
      </w:pPr>
      <w:r>
        <w:rPr>
          <w:sz w:val="21"/>
          <w:szCs w:val="21"/>
          <w:u w:val="single"/>
        </w:rPr>
        <w:t>⑤工程质量未达到等级标准要求，发包人要求承包人返工的；综述其工期不予顺延， 责任由承包人承担。</w:t>
      </w:r>
    </w:p>
    <w:p w14:paraId="7B481F62">
      <w:pPr>
        <w:pStyle w:val="3"/>
        <w:spacing w:line="439" w:lineRule="exact"/>
        <w:jc w:val="both"/>
        <w:rPr>
          <w:rFonts w:hint="eastAsia" w:hAnsi="宋体"/>
          <w:szCs w:val="32"/>
        </w:rPr>
      </w:pPr>
      <w:r>
        <w:rPr>
          <w:rFonts w:hAnsi="宋体"/>
          <w:szCs w:val="32"/>
        </w:rPr>
        <w:t>13.工程质量</w:t>
      </w:r>
    </w:p>
    <w:p w14:paraId="18E8E253">
      <w:pPr>
        <w:adjustRightInd w:val="0"/>
        <w:spacing w:before="11"/>
        <w:rPr>
          <w:rFonts w:hint="eastAsia" w:ascii="宋体" w:hAnsi="宋体"/>
          <w:szCs w:val="21"/>
        </w:rPr>
      </w:pPr>
      <w:r>
        <w:rPr>
          <w:rFonts w:ascii="宋体" w:hAnsi="宋体"/>
          <w:szCs w:val="21"/>
        </w:rPr>
        <mc:AlternateContent>
          <mc:Choice Requires="wpg">
            <w:drawing>
              <wp:anchor distT="0" distB="0" distL="114300" distR="114300" simplePos="0" relativeHeight="251675648" behindDoc="0" locked="0" layoutInCell="1" allowOverlap="1">
                <wp:simplePos x="0" y="0"/>
                <wp:positionH relativeFrom="page">
                  <wp:posOffset>542925</wp:posOffset>
                </wp:positionH>
                <wp:positionV relativeFrom="page">
                  <wp:posOffset>895350</wp:posOffset>
                </wp:positionV>
                <wp:extent cx="1270" cy="8905875"/>
                <wp:effectExtent l="0" t="0" r="0" b="0"/>
                <wp:wrapNone/>
                <wp:docPr id="39" name="组合 39"/>
                <wp:cNvGraphicFramePr/>
                <a:graphic xmlns:a="http://schemas.openxmlformats.org/drawingml/2006/main">
                  <a:graphicData uri="http://schemas.microsoft.com/office/word/2010/wordprocessingGroup">
                    <wpg:wgp>
                      <wpg:cNvGrpSpPr/>
                      <wpg:grpSpPr>
                        <a:xfrm>
                          <a:off x="0" y="0"/>
                          <a:ext cx="1270" cy="8905875"/>
                          <a:chOff x="855" y="1410"/>
                          <a:chExt cx="2" cy="14025"/>
                        </a:xfrm>
                      </wpg:grpSpPr>
                      <wps:wsp>
                        <wps:cNvPr id="38" name="任意多边形 38"/>
                        <wps:cNvSpPr/>
                        <wps:spPr>
                          <a:xfrm>
                            <a:off x="855" y="1410"/>
                            <a:ext cx="2" cy="14025"/>
                          </a:xfrm>
                          <a:custGeom>
                            <a:avLst/>
                            <a:gdLst/>
                            <a:ahLst/>
                            <a:cxnLst/>
                            <a:rect l="0" t="0" r="0" b="0"/>
                            <a:pathLst>
                              <a:path h="14025">
                                <a:moveTo>
                                  <a:pt x="0" y="0"/>
                                </a:moveTo>
                                <a:lnTo>
                                  <a:pt x="0" y="14025"/>
                                </a:lnTo>
                                <a:lnTo>
                                  <a:pt x="0" y="0"/>
                                </a:lnTo>
                                <a:close/>
                              </a:path>
                            </a:pathLst>
                          </a:custGeom>
                          <a:solidFill>
                            <a:srgbClr val="000000"/>
                          </a:solidFill>
                          <a:ln>
                            <a:noFill/>
                          </a:ln>
                        </wps:spPr>
                        <wps:bodyPr upright="1"/>
                      </wps:wsp>
                    </wpg:wgp>
                  </a:graphicData>
                </a:graphic>
              </wp:anchor>
            </w:drawing>
          </mc:Choice>
          <mc:Fallback>
            <w:pict>
              <v:group id="_x0000_s1026" o:spid="_x0000_s1026" o:spt="203" style="position:absolute;left:0pt;margin-left:42.75pt;margin-top:70.5pt;height:701.25pt;width:0.1pt;mso-position-horizontal-relative:page;mso-position-vertical-relative:page;z-index:251675648;mso-width-relative:page;mso-height-relative:page;" coordorigin="855,1410" coordsize="2,14025" o:gfxdata="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">
                <o:lock v:ext="edit" aspectratio="f"/>
                <v:shape id="_x0000_s1026" o:spid="_x0000_s1026" o:spt="100" style="position:absolute;left:855;top:1410;height:14025;width:2;" fillcolor="#000000" filled="t" stroked="f" coordsize="1,14025" o:gfxdata="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EK4UKu5AAAA2wAA&#10;AA8AAAAAAAAAAQAgAAAAIgAAAGRycy9kb3ducmV2LnhtbFBLAQIUABQAAAAIAIdO4kAzLwWeOwAA&#10;ADkAAAAQAAAAAAAAAAEAIAAAAAgBAABkcnMvc2hhcGV4bWwueG1sUEsFBgAAAAAGAAYAWwEAALID&#10;AAAAAA==&#10;" path="m0,0l0,14025,0,0xe">
                  <v:fill on="t" focussize="0,0"/>
                  <v:stroke on="f"/>
                  <v:imagedata o:title=""/>
                  <o:lock v:ext="edit" aspectratio="f"/>
                </v:shape>
              </v:group>
            </w:pict>
          </mc:Fallback>
        </mc:AlternateContent>
      </w:r>
      <w:r>
        <w:rPr>
          <w:rFonts w:ascii="宋体" w:hAnsi="宋体"/>
          <w:szCs w:val="21"/>
        </w:rPr>
        <w:t>13.2承包人的质量管理</w:t>
      </w:r>
    </w:p>
    <w:p w14:paraId="393F3709">
      <w:pPr>
        <w:tabs>
          <w:tab w:val="left" w:pos="1914"/>
        </w:tabs>
        <w:adjustRightInd w:val="0"/>
        <w:spacing w:line="237" w:lineRule="auto"/>
        <w:rPr>
          <w:rFonts w:hint="eastAsia" w:ascii="宋体" w:hAnsi="宋体"/>
          <w:szCs w:val="21"/>
        </w:rPr>
      </w:pPr>
      <w:r>
        <w:rPr>
          <w:rFonts w:ascii="宋体" w:hAnsi="宋体" w:cs="Arial Unicode MS"/>
          <w:szCs w:val="21"/>
        </w:rPr>
        <w:t xml:space="preserve">13.2.1承包人向监理人提交工程质量保证措施文件的期限： </w:t>
      </w:r>
      <w:r>
        <w:rPr>
          <w:rFonts w:ascii="宋体" w:hAnsi="宋体" w:cs="Arial Unicode MS"/>
          <w:szCs w:val="21"/>
          <w:u w:val="single"/>
        </w:rPr>
        <w:t xml:space="preserve">签订合同后5天内 </w:t>
      </w:r>
      <w:r>
        <w:rPr>
          <w:rFonts w:ascii="宋体" w:hAnsi="宋体" w:cs="Arial Unicode MS"/>
          <w:szCs w:val="21"/>
        </w:rPr>
        <w:t>监理人审批工程质量保证措施文件的期限：</w:t>
      </w:r>
      <w:r>
        <w:rPr>
          <w:rFonts w:ascii="宋体" w:hAnsi="宋体"/>
          <w:szCs w:val="21"/>
          <w:u w:val="single"/>
        </w:rPr>
        <w:t xml:space="preserve">    5天</w:t>
      </w:r>
    </w:p>
    <w:p w14:paraId="492F268A">
      <w:pPr>
        <w:pStyle w:val="34"/>
        <w:tabs>
          <w:tab w:val="left" w:pos="1374"/>
        </w:tabs>
        <w:adjustRightInd w:val="0"/>
        <w:spacing w:line="371" w:lineRule="exact"/>
        <w:rPr>
          <w:rFonts w:hint="eastAsia"/>
          <w:sz w:val="21"/>
          <w:szCs w:val="21"/>
        </w:rPr>
      </w:pPr>
      <w:r>
        <w:rPr>
          <w:sz w:val="21"/>
          <w:szCs w:val="21"/>
        </w:rPr>
        <w:t>13.3承包人的质量检查</w:t>
      </w:r>
    </w:p>
    <w:p w14:paraId="30E666E8">
      <w:pPr>
        <w:adjustRightInd w:val="0"/>
        <w:spacing w:line="237" w:lineRule="auto"/>
        <w:rPr>
          <w:rFonts w:hint="eastAsia" w:ascii="宋体" w:hAnsi="宋体"/>
          <w:szCs w:val="21"/>
        </w:rPr>
      </w:pPr>
      <w:r>
        <w:rPr>
          <w:rFonts w:ascii="宋体" w:hAnsi="宋体" w:cs="Arial Unicode MS"/>
          <w:szCs w:val="21"/>
        </w:rPr>
        <w:t xml:space="preserve">承包人向监理人报送工程质量报表的期限： </w:t>
      </w:r>
      <w:r>
        <w:rPr>
          <w:rFonts w:ascii="宋体" w:hAnsi="宋体" w:cs="Arial Unicode MS"/>
          <w:szCs w:val="21"/>
          <w:u w:val="single"/>
        </w:rPr>
        <w:t xml:space="preserve">质量检查后2日内 </w:t>
      </w:r>
      <w:r>
        <w:rPr>
          <w:rFonts w:ascii="宋体" w:hAnsi="宋体" w:cs="Arial Unicode MS"/>
          <w:szCs w:val="21"/>
        </w:rPr>
        <w:t>承包人向监理人报送工程质量报表的要求：</w:t>
      </w:r>
      <w:r>
        <w:rPr>
          <w:rFonts w:ascii="宋体" w:hAnsi="宋体"/>
          <w:szCs w:val="21"/>
          <w:u w:val="single"/>
        </w:rPr>
        <w:t xml:space="preserve"> 按合同约定对材料、工程设备以及工程的所有部位及其施工工艺进行全过程的质量检 查和检验，并作详细记录，编制工程质量报表，质量检测相关文件真实完整。</w:t>
      </w:r>
      <w:r>
        <w:rPr>
          <w:rFonts w:ascii="宋体" w:hAnsi="宋体"/>
          <w:szCs w:val="21"/>
          <w:u w:val="single"/>
        </w:rPr>
        <w:tab/>
      </w:r>
      <w:r>
        <w:rPr>
          <w:rFonts w:ascii="宋体" w:hAnsi="宋体" w:cs="Arial Unicode MS"/>
          <w:szCs w:val="21"/>
        </w:rPr>
        <w:t>监理人审查工程质量报表的期限：</w:t>
      </w:r>
      <w:r>
        <w:rPr>
          <w:rFonts w:ascii="宋体" w:hAnsi="宋体"/>
          <w:szCs w:val="21"/>
          <w:u w:val="single"/>
        </w:rPr>
        <w:t xml:space="preserve"> 自监理人收到承包人报送的工程质量报表后7天内</w:t>
      </w:r>
      <w:r>
        <w:rPr>
          <w:rFonts w:ascii="宋体" w:hAnsi="宋体"/>
          <w:szCs w:val="21"/>
          <w:u w:val="single"/>
        </w:rPr>
        <w:tab/>
      </w:r>
    </w:p>
    <w:p w14:paraId="1206A5E8">
      <w:pPr>
        <w:adjustRightInd w:val="0"/>
        <w:spacing w:before="11"/>
        <w:rPr>
          <w:rFonts w:hint="eastAsia" w:ascii="宋体" w:hAnsi="宋体" w:cs="Arial Unicode MS"/>
          <w:szCs w:val="21"/>
        </w:rPr>
      </w:pPr>
    </w:p>
    <w:p w14:paraId="24175DAB">
      <w:pPr>
        <w:pStyle w:val="34"/>
        <w:tabs>
          <w:tab w:val="left" w:pos="1374"/>
        </w:tabs>
        <w:adjustRightInd w:val="0"/>
        <w:spacing w:line="371" w:lineRule="exact"/>
        <w:rPr>
          <w:rFonts w:hint="eastAsia"/>
          <w:sz w:val="21"/>
          <w:szCs w:val="21"/>
        </w:rPr>
      </w:pPr>
      <w:r>
        <w:rPr>
          <w:sz w:val="21"/>
          <w:szCs w:val="21"/>
        </w:rPr>
        <w:t>13.4监理人的质量检查</w:t>
      </w:r>
    </w:p>
    <w:p w14:paraId="2F713F4A">
      <w:pPr>
        <w:adjustRightInd w:val="0"/>
        <w:spacing w:line="360" w:lineRule="exact"/>
        <w:ind w:firstLine="420" w:firstLineChars="200"/>
        <w:rPr>
          <w:rFonts w:hint="eastAsia" w:ascii="宋体" w:hAnsi="宋体"/>
          <w:szCs w:val="21"/>
        </w:rPr>
      </w:pPr>
      <w:r>
        <w:rPr>
          <w:rFonts w:hint="eastAsia" w:ascii="宋体" w:hAnsi="宋体" w:cs="Arial Unicode MS"/>
          <w:szCs w:val="21"/>
        </w:rPr>
        <w:t>承包人应当为监理人的检查和检验提供方便，监理人可以进行察看和查阅施工原始记录的其他地方 包括：每道工序完成后，承包人向监理工程师报送工序交验单，并附上按规范要求的全部自检资料(自检合格后才允许报验)；监理工程师对报验工序进行检查验收，填写质量验收单。本道工序未经验收，下道工序不得进行;分项工程完工后，填报中间交工证书 (附上所有被包含工序的有关资料)，以证明该分项工程已达到交工条件。</w:t>
      </w:r>
    </w:p>
    <w:p w14:paraId="2695CF61">
      <w:pPr>
        <w:adjustRightInd w:val="0"/>
        <w:spacing w:before="11"/>
        <w:rPr>
          <w:rFonts w:hint="eastAsia" w:ascii="宋体" w:hAnsi="宋体" w:cs="Arial Unicode MS"/>
          <w:szCs w:val="21"/>
        </w:rPr>
      </w:pPr>
    </w:p>
    <w:p w14:paraId="5C417961">
      <w:pPr>
        <w:pStyle w:val="34"/>
        <w:tabs>
          <w:tab w:val="left" w:pos="1374"/>
        </w:tabs>
        <w:adjustRightInd w:val="0"/>
        <w:spacing w:line="371" w:lineRule="exact"/>
        <w:rPr>
          <w:rFonts w:hint="eastAsia"/>
          <w:sz w:val="21"/>
          <w:szCs w:val="21"/>
        </w:rPr>
      </w:pPr>
      <w:r>
        <w:rPr>
          <w:sz w:val="21"/>
          <w:szCs w:val="21"/>
        </w:rPr>
        <w:t>13.5工程隐蔽部位覆盖前的检查</w:t>
      </w:r>
    </w:p>
    <w:p w14:paraId="56DA6078">
      <w:pPr>
        <w:tabs>
          <w:tab w:val="left" w:pos="1914"/>
        </w:tabs>
        <w:adjustRightInd w:val="0"/>
        <w:spacing w:line="364" w:lineRule="exact"/>
        <w:rPr>
          <w:rFonts w:hint="eastAsia" w:ascii="宋体" w:hAnsi="宋体"/>
          <w:szCs w:val="21"/>
        </w:rPr>
      </w:pPr>
      <w:r>
        <w:rPr>
          <w:rFonts w:ascii="宋体" w:hAnsi="宋体" w:cs="Arial Unicode MS"/>
          <w:szCs w:val="21"/>
        </w:rPr>
        <w:t>13.5.1监理人对工程隐蔽部位进行检查的期限：</w:t>
      </w:r>
      <w:r>
        <w:rPr>
          <w:rFonts w:ascii="宋体" w:hAnsi="宋体"/>
          <w:szCs w:val="21"/>
          <w:u w:val="single"/>
        </w:rPr>
        <w:t xml:space="preserve"> </w:t>
      </w:r>
      <w:r>
        <w:rPr>
          <w:rFonts w:hint="eastAsia" w:ascii="宋体" w:hAnsi="宋体"/>
          <w:szCs w:val="21"/>
          <w:u w:val="single"/>
        </w:rPr>
        <w:t>收</w:t>
      </w:r>
      <w:r>
        <w:rPr>
          <w:rFonts w:ascii="宋体" w:hAnsi="宋体"/>
          <w:szCs w:val="21"/>
          <w:u w:val="single"/>
        </w:rPr>
        <w:t>到承包人的检查通知后12小时内</w:t>
      </w:r>
    </w:p>
    <w:p w14:paraId="12B3BA75">
      <w:pPr>
        <w:adjustRightInd w:val="0"/>
        <w:spacing w:before="14"/>
        <w:rPr>
          <w:rFonts w:hint="eastAsia" w:ascii="宋体" w:hAnsi="宋体" w:cs="Arial Unicode MS"/>
          <w:szCs w:val="21"/>
        </w:rPr>
      </w:pPr>
    </w:p>
    <w:p w14:paraId="1404CC56">
      <w:pPr>
        <w:pStyle w:val="3"/>
        <w:spacing w:line="439" w:lineRule="exact"/>
        <w:jc w:val="both"/>
        <w:rPr>
          <w:rFonts w:hint="eastAsia" w:hAnsi="宋体"/>
          <w:szCs w:val="32"/>
        </w:rPr>
      </w:pPr>
      <w:r>
        <w:rPr>
          <w:rFonts w:hAnsi="宋体"/>
          <w:szCs w:val="32"/>
        </w:rPr>
        <w:t>15.变更</w:t>
      </w:r>
    </w:p>
    <w:p w14:paraId="171FAAB4">
      <w:pPr>
        <w:pStyle w:val="34"/>
        <w:tabs>
          <w:tab w:val="left" w:pos="1374"/>
        </w:tabs>
        <w:adjustRightInd w:val="0"/>
        <w:rPr>
          <w:rFonts w:hint="eastAsia"/>
        </w:rPr>
      </w:pPr>
      <w:r>
        <w:t>15.1变更的范围和内容</w:t>
      </w:r>
    </w:p>
    <w:p w14:paraId="34E47C5B">
      <w:pPr>
        <w:adjustRightInd w:val="0"/>
        <w:spacing w:line="318" w:lineRule="exact"/>
        <w:rPr>
          <w:rFonts w:hint="eastAsia" w:ascii="宋体" w:hAnsi="宋体" w:cs="Arial Unicode MS"/>
          <w:szCs w:val="21"/>
        </w:rPr>
      </w:pPr>
      <w:r>
        <w:rPr>
          <w:rFonts w:ascii="宋体" w:hAnsi="宋体"/>
        </w:rPr>
        <mc:AlternateContent>
          <mc:Choice Requires="wpg">
            <w:drawing>
              <wp:anchor distT="0" distB="0" distL="114300" distR="114300" simplePos="0" relativeHeight="251676672" behindDoc="0" locked="0" layoutInCell="1" allowOverlap="1">
                <wp:simplePos x="0" y="0"/>
                <wp:positionH relativeFrom="page">
                  <wp:posOffset>542925</wp:posOffset>
                </wp:positionH>
                <wp:positionV relativeFrom="page">
                  <wp:posOffset>895350</wp:posOffset>
                </wp:positionV>
                <wp:extent cx="1270" cy="8905875"/>
                <wp:effectExtent l="0" t="0" r="0" b="0"/>
                <wp:wrapNone/>
                <wp:docPr id="41" name="组合 41"/>
                <wp:cNvGraphicFramePr/>
                <a:graphic xmlns:a="http://schemas.openxmlformats.org/drawingml/2006/main">
                  <a:graphicData uri="http://schemas.microsoft.com/office/word/2010/wordprocessingGroup">
                    <wpg:wgp>
                      <wpg:cNvGrpSpPr/>
                      <wpg:grpSpPr>
                        <a:xfrm>
                          <a:off x="0" y="0"/>
                          <a:ext cx="1270" cy="8905875"/>
                          <a:chOff x="855" y="1410"/>
                          <a:chExt cx="2" cy="14025"/>
                        </a:xfrm>
                      </wpg:grpSpPr>
                      <wps:wsp>
                        <wps:cNvPr id="40" name="任意多边形 40"/>
                        <wps:cNvSpPr/>
                        <wps:spPr>
                          <a:xfrm>
                            <a:off x="855" y="1410"/>
                            <a:ext cx="2" cy="14025"/>
                          </a:xfrm>
                          <a:custGeom>
                            <a:avLst/>
                            <a:gdLst/>
                            <a:ahLst/>
                            <a:cxnLst/>
                            <a:rect l="0" t="0" r="0" b="0"/>
                            <a:pathLst>
                              <a:path h="14025">
                                <a:moveTo>
                                  <a:pt x="0" y="0"/>
                                </a:moveTo>
                                <a:lnTo>
                                  <a:pt x="0" y="14025"/>
                                </a:lnTo>
                                <a:lnTo>
                                  <a:pt x="0" y="0"/>
                                </a:lnTo>
                                <a:close/>
                              </a:path>
                            </a:pathLst>
                          </a:custGeom>
                          <a:solidFill>
                            <a:srgbClr val="000000"/>
                          </a:solidFill>
                          <a:ln>
                            <a:noFill/>
                          </a:ln>
                        </wps:spPr>
                        <wps:bodyPr upright="1"/>
                      </wps:wsp>
                    </wpg:wgp>
                  </a:graphicData>
                </a:graphic>
              </wp:anchor>
            </w:drawing>
          </mc:Choice>
          <mc:Fallback>
            <w:pict>
              <v:group id="_x0000_s1026" o:spid="_x0000_s1026" o:spt="203" style="position:absolute;left:0pt;margin-left:42.75pt;margin-top:70.5pt;height:701.25pt;width:0.1pt;mso-position-horizontal-relative:page;mso-position-vertical-relative:page;z-index:251676672;mso-width-relative:page;mso-height-relative:page;" coordorigin="855,1410" coordsize="2,14025" o:gfxdata="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">
                <o:lock v:ext="edit" aspectratio="f"/>
                <v:shape id="_x0000_s1026" o:spid="_x0000_s1026" o:spt="100" style="position:absolute;left:855;top:1410;height:14025;width:2;" fillcolor="#000000" filled="t" stroked="f" coordsize="1,14025" o:gfxdata="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kyC/QugAAANsA&#10;AAAPAAAAAAAAAAEAIAAAACIAAABkcnMvZG93bnJldi54bWxQSwECFAAUAAAACACHTuJAMy8FnjsA&#10;AAA5AAAAEAAAAAAAAAABACAAAAAJAQAAZHJzL3NoYXBleG1sLnhtbFBLBQYAAAAABgAGAFsBAACz&#10;AwAAAAA=&#10;" path="m0,0l0,14025,0,0xe">
                  <v:fill on="t" focussize="0,0"/>
                  <v:stroke on="f"/>
                  <v:imagedata o:title=""/>
                  <o:lock v:ext="edit" aspectratio="f"/>
                </v:shape>
              </v:group>
            </w:pict>
          </mc:Fallback>
        </mc:AlternateContent>
      </w:r>
      <w:r>
        <w:rPr>
          <w:rFonts w:ascii="宋体" w:hAnsi="宋体" w:cs="Arial Unicode MS"/>
          <w:szCs w:val="21"/>
        </w:rPr>
        <w:t>15.1.1在履行合同中发生以下情形之一，应按照本条规定进行变更。</w:t>
      </w:r>
    </w:p>
    <w:p w14:paraId="3C83750B">
      <w:pPr>
        <w:adjustRightInd w:val="0"/>
        <w:spacing w:line="360" w:lineRule="exact"/>
        <w:rPr>
          <w:rFonts w:hint="eastAsia" w:ascii="宋体" w:hAnsi="宋体"/>
        </w:rPr>
      </w:pPr>
      <w:r>
        <w:rPr>
          <w:rFonts w:ascii="宋体" w:hAnsi="宋体" w:cs="Arial Unicode MS"/>
          <w:szCs w:val="21"/>
        </w:rPr>
        <w:t>（6）变更的其他情形：</w:t>
      </w:r>
      <w:r>
        <w:rPr>
          <w:rFonts w:ascii="宋体" w:hAnsi="宋体"/>
          <w:u w:val="single" w:color="0000FF"/>
        </w:rPr>
        <w:t>/</w:t>
      </w:r>
    </w:p>
    <w:p w14:paraId="1A2DF380">
      <w:pPr>
        <w:adjustRightInd w:val="0"/>
        <w:spacing w:before="11"/>
        <w:rPr>
          <w:rFonts w:hint="eastAsia" w:ascii="宋体" w:hAnsi="宋体" w:cs="Arial Unicode MS"/>
          <w:szCs w:val="21"/>
        </w:rPr>
      </w:pPr>
    </w:p>
    <w:p w14:paraId="6FE33A6E">
      <w:pPr>
        <w:pStyle w:val="34"/>
        <w:tabs>
          <w:tab w:val="left" w:pos="1374"/>
        </w:tabs>
        <w:adjustRightInd w:val="0"/>
        <w:spacing w:line="371" w:lineRule="exact"/>
        <w:rPr>
          <w:rFonts w:hint="eastAsia"/>
          <w:sz w:val="21"/>
          <w:szCs w:val="21"/>
        </w:rPr>
      </w:pPr>
      <w:r>
        <w:rPr>
          <w:sz w:val="21"/>
          <w:szCs w:val="21"/>
        </w:rPr>
        <w:t>15.3变更程序</w:t>
      </w:r>
    </w:p>
    <w:p w14:paraId="7B45925B">
      <w:pPr>
        <w:tabs>
          <w:tab w:val="left" w:pos="1914"/>
        </w:tabs>
        <w:adjustRightInd w:val="0"/>
        <w:spacing w:line="364" w:lineRule="exact"/>
        <w:rPr>
          <w:rFonts w:hint="eastAsia" w:ascii="宋体" w:hAnsi="宋体" w:cs="Arial Unicode MS"/>
          <w:szCs w:val="21"/>
        </w:rPr>
      </w:pPr>
      <w:r>
        <w:rPr>
          <w:rFonts w:ascii="宋体" w:hAnsi="宋体" w:cs="Arial Unicode MS"/>
          <w:szCs w:val="21"/>
        </w:rPr>
        <w:t>15.3.2变更估价</w:t>
      </w:r>
    </w:p>
    <w:p w14:paraId="370CABC3">
      <w:pPr>
        <w:adjustRightInd w:val="0"/>
        <w:spacing w:before="9"/>
        <w:rPr>
          <w:rFonts w:hint="eastAsia" w:ascii="宋体" w:hAnsi="宋体" w:cs="Arial Unicode MS"/>
          <w:szCs w:val="21"/>
        </w:rPr>
      </w:pPr>
      <w:r>
        <w:rPr>
          <w:rFonts w:hint="eastAsia" w:ascii="宋体" w:hAnsi="宋体" w:cs="Arial Unicode MS"/>
          <w:szCs w:val="21"/>
        </w:rPr>
        <w:t>（1）承包人提交变更报价书的期限：承包人收到变更指示或变更意向书后的14天内。未及时提交变更报价书视为变更不涉及调价。重大变更工作所涉及合同价款变更报告和确认的时限为:以政府部门认可的审计机构审定结果为准。</w:t>
      </w:r>
    </w:p>
    <w:p w14:paraId="7C2637AB">
      <w:pPr>
        <w:adjustRightInd w:val="0"/>
        <w:spacing w:before="9"/>
        <w:rPr>
          <w:rFonts w:hint="eastAsia" w:ascii="宋体" w:hAnsi="宋体" w:cs="Arial Unicode MS"/>
          <w:szCs w:val="21"/>
        </w:rPr>
      </w:pPr>
      <w:r>
        <w:rPr>
          <w:rFonts w:hint="eastAsia" w:ascii="宋体" w:hAnsi="宋体" w:cs="Arial Unicode MS"/>
          <w:szCs w:val="21"/>
        </w:rPr>
        <w:t>（3）监理人商定或确定变更价格的期限：  14天内。监理人收到变更报价及时审核，并向发包人汇报经发包人同意后通知承包人。监理人需和发包人协商，经发包人同意后，由监理人进行变更。</w:t>
      </w:r>
    </w:p>
    <w:p w14:paraId="6132A789">
      <w:pPr>
        <w:adjustRightInd w:val="0"/>
        <w:spacing w:before="9"/>
        <w:rPr>
          <w:rFonts w:hint="eastAsia" w:ascii="宋体" w:hAnsi="宋体" w:cs="Arial Unicode MS"/>
          <w:szCs w:val="21"/>
        </w:rPr>
      </w:pPr>
    </w:p>
    <w:p w14:paraId="6F521BE4">
      <w:pPr>
        <w:adjustRightInd w:val="0"/>
        <w:spacing w:before="9"/>
        <w:rPr>
          <w:rFonts w:hint="eastAsia" w:ascii="宋体" w:hAnsi="宋体" w:cs="Arial Unicode MS"/>
          <w:szCs w:val="21"/>
        </w:rPr>
      </w:pPr>
      <w:r>
        <w:rPr>
          <w:rFonts w:hint="eastAsia" w:ascii="宋体" w:hAnsi="宋体" w:cs="Arial Unicode MS"/>
          <w:szCs w:val="21"/>
        </w:rPr>
        <w:t>15.4变更的估价原则</w:t>
      </w:r>
    </w:p>
    <w:p w14:paraId="3C04F3F6">
      <w:pPr>
        <w:adjustRightInd w:val="0"/>
        <w:spacing w:before="9"/>
        <w:rPr>
          <w:rFonts w:hint="eastAsia" w:ascii="宋体" w:hAnsi="宋体" w:cs="Arial Unicode MS"/>
          <w:szCs w:val="21"/>
        </w:rPr>
      </w:pPr>
      <w:r>
        <w:rPr>
          <w:rFonts w:hint="eastAsia" w:ascii="宋体" w:hAnsi="宋体" w:cs="Arial Unicode MS"/>
          <w:szCs w:val="21"/>
        </w:rPr>
        <w:t>15.4.5 合同协议书约定采用单价合同形式时，因非承包人原因引起已标价工程量清单中列明的工 程量发生增减，且单个子目工程量变化幅度在 ±15 %以内（含）时，应执行已标价工程量清单中列明 的该子目的单价；单个子目工程量变化幅度在 ±15 %以外（不含），且导致分部分项工程费总额变化 幅度超过 ±3%时，由承包人提出并由监理人按第3.5款商定或确定新的单价，该子目按修正后的新的单 价计价。</w:t>
      </w:r>
    </w:p>
    <w:p w14:paraId="25100135">
      <w:pPr>
        <w:adjustRightInd w:val="0"/>
        <w:spacing w:before="9"/>
        <w:rPr>
          <w:rFonts w:hint="eastAsia" w:ascii="宋体" w:hAnsi="宋体" w:cs="Arial Unicode MS"/>
          <w:szCs w:val="21"/>
        </w:rPr>
      </w:pPr>
      <w:r>
        <w:rPr>
          <w:rFonts w:hint="eastAsia" w:ascii="宋体" w:hAnsi="宋体" w:cs="Arial Unicode MS"/>
          <w:szCs w:val="21"/>
        </w:rPr>
        <w:t>15.4.6因变更引起价格调整的其他处理方式：</w:t>
      </w:r>
    </w:p>
    <w:p w14:paraId="720B03C0">
      <w:pPr>
        <w:adjustRightInd w:val="0"/>
        <w:spacing w:before="9"/>
        <w:rPr>
          <w:rFonts w:hint="eastAsia" w:ascii="宋体" w:hAnsi="宋体" w:cs="Arial Unicode MS"/>
          <w:szCs w:val="21"/>
        </w:rPr>
      </w:pPr>
      <w:r>
        <w:rPr>
          <w:rFonts w:hint="eastAsia" w:ascii="宋体" w:hAnsi="宋体" w:cs="Arial Unicode MS"/>
          <w:szCs w:val="21"/>
        </w:rPr>
        <w:t>1.固定单价合同最终价款确定方式:依据清单签订的合同为固定单价合同。承包人报价书中所列单价为综合单价，该单价为不变价，在约定的工程量变化幅度之内均不调整。 2.因疫情常态化影响涉及的费用己包含在签约合同价中，结算时不再调整3.承包人应充分理解图纸及工程量清单中对应的内容，投标报价中视为己包含图纸涉及的全部内容。</w:t>
      </w:r>
    </w:p>
    <w:p w14:paraId="2B9BD11D">
      <w:pPr>
        <w:pStyle w:val="34"/>
        <w:tabs>
          <w:tab w:val="left" w:pos="1374"/>
        </w:tabs>
        <w:adjustRightInd w:val="0"/>
        <w:spacing w:line="371" w:lineRule="exact"/>
        <w:rPr>
          <w:rFonts w:hint="eastAsia"/>
          <w:sz w:val="21"/>
          <w:szCs w:val="21"/>
        </w:rPr>
      </w:pPr>
      <w:r>
        <w:rPr>
          <w:sz w:val="21"/>
          <w:szCs w:val="21"/>
        </w:rPr>
        <w:t>15.5承包人的合理化建议</w:t>
      </w:r>
    </w:p>
    <w:p w14:paraId="13B222D3">
      <w:pPr>
        <w:tabs>
          <w:tab w:val="left" w:pos="1914"/>
        </w:tabs>
        <w:adjustRightInd w:val="0"/>
        <w:spacing w:line="364" w:lineRule="exact"/>
        <w:rPr>
          <w:rFonts w:hint="eastAsia" w:ascii="宋体" w:hAnsi="宋体"/>
          <w:szCs w:val="21"/>
        </w:rPr>
      </w:pPr>
      <w:r>
        <w:rPr>
          <w:rFonts w:ascii="宋体" w:hAnsi="宋体" w:cs="Arial Unicode MS"/>
          <w:szCs w:val="21"/>
        </w:rPr>
        <w:t>15.5.2对承包人提出合理化建议的奖励方法：</w:t>
      </w:r>
      <w:r>
        <w:rPr>
          <w:rFonts w:ascii="宋体" w:hAnsi="宋体"/>
          <w:szCs w:val="21"/>
          <w:u w:val="single"/>
        </w:rPr>
        <w:t>/</w:t>
      </w:r>
    </w:p>
    <w:p w14:paraId="33EEB199">
      <w:pPr>
        <w:pStyle w:val="34"/>
        <w:tabs>
          <w:tab w:val="left" w:pos="1374"/>
        </w:tabs>
        <w:adjustRightInd w:val="0"/>
        <w:spacing w:line="371" w:lineRule="exact"/>
        <w:rPr>
          <w:rFonts w:hint="eastAsia"/>
          <w:sz w:val="21"/>
          <w:szCs w:val="21"/>
        </w:rPr>
      </w:pPr>
      <w:r>
        <w:rPr>
          <w:sz w:val="21"/>
          <w:szCs w:val="21"/>
        </w:rPr>
        <w:t>15.8暂估价</w:t>
      </w:r>
    </w:p>
    <w:p w14:paraId="67201638">
      <w:pPr>
        <w:tabs>
          <w:tab w:val="left" w:pos="1914"/>
        </w:tabs>
        <w:adjustRightInd w:val="0"/>
        <w:spacing w:line="318" w:lineRule="exact"/>
        <w:rPr>
          <w:rFonts w:hint="eastAsia" w:ascii="宋体" w:hAnsi="宋体" w:cs="Arial Unicode MS"/>
          <w:szCs w:val="21"/>
        </w:rPr>
      </w:pPr>
      <w:r>
        <w:rPr>
          <w:rFonts w:ascii="宋体" w:hAnsi="宋体"/>
          <w:szCs w:val="21"/>
        </w:rPr>
        <mc:AlternateContent>
          <mc:Choice Requires="wpg">
            <w:drawing>
              <wp:anchor distT="0" distB="0" distL="114300" distR="114300" simplePos="0" relativeHeight="251677696" behindDoc="0" locked="0" layoutInCell="1" allowOverlap="1">
                <wp:simplePos x="0" y="0"/>
                <wp:positionH relativeFrom="page">
                  <wp:posOffset>542925</wp:posOffset>
                </wp:positionH>
                <wp:positionV relativeFrom="page">
                  <wp:posOffset>895350</wp:posOffset>
                </wp:positionV>
                <wp:extent cx="1270" cy="8905875"/>
                <wp:effectExtent l="0" t="0" r="0" b="0"/>
                <wp:wrapNone/>
                <wp:docPr id="27" name="组合 27"/>
                <wp:cNvGraphicFramePr/>
                <a:graphic xmlns:a="http://schemas.openxmlformats.org/drawingml/2006/main">
                  <a:graphicData uri="http://schemas.microsoft.com/office/word/2010/wordprocessingGroup">
                    <wpg:wgp>
                      <wpg:cNvGrpSpPr/>
                      <wpg:grpSpPr>
                        <a:xfrm>
                          <a:off x="0" y="0"/>
                          <a:ext cx="1270" cy="8905875"/>
                          <a:chOff x="855" y="1410"/>
                          <a:chExt cx="2" cy="14025"/>
                        </a:xfrm>
                      </wpg:grpSpPr>
                      <wps:wsp>
                        <wps:cNvPr id="32" name="任意多边形 32"/>
                        <wps:cNvSpPr/>
                        <wps:spPr>
                          <a:xfrm>
                            <a:off x="855" y="1410"/>
                            <a:ext cx="2" cy="14025"/>
                          </a:xfrm>
                          <a:custGeom>
                            <a:avLst/>
                            <a:gdLst/>
                            <a:ahLst/>
                            <a:cxnLst/>
                            <a:rect l="0" t="0" r="0" b="0"/>
                            <a:pathLst>
                              <a:path h="14025">
                                <a:moveTo>
                                  <a:pt x="0" y="0"/>
                                </a:moveTo>
                                <a:lnTo>
                                  <a:pt x="0" y="14025"/>
                                </a:lnTo>
                                <a:lnTo>
                                  <a:pt x="0" y="0"/>
                                </a:lnTo>
                                <a:close/>
                              </a:path>
                            </a:pathLst>
                          </a:custGeom>
                          <a:solidFill>
                            <a:srgbClr val="000000"/>
                          </a:solidFill>
                          <a:ln>
                            <a:noFill/>
                          </a:ln>
                        </wps:spPr>
                        <wps:bodyPr upright="1"/>
                      </wps:wsp>
                    </wpg:wgp>
                  </a:graphicData>
                </a:graphic>
              </wp:anchor>
            </w:drawing>
          </mc:Choice>
          <mc:Fallback>
            <w:pict>
              <v:group id="_x0000_s1026" o:spid="_x0000_s1026" o:spt="203" style="position:absolute;left:0pt;margin-left:42.75pt;margin-top:70.5pt;height:701.25pt;width:0.1pt;mso-position-horizontal-relative:page;mso-position-vertical-relative:page;z-index:251677696;mso-width-relative:page;mso-height-relative:page;" coordorigin="855,1410" coordsize="2,14025" o:gfxdata="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AR6s6fZAAAACgEAAA8AAAAAAAAAAQAgAAAAIgAAAGRycy9kb3ducmV2LnhtbFBLAQIUABQA&#10;AAAIAIdO4kDD8GX8YQIAAHkFAAAOAAAAAAAAAAEAIAAAACgBAABkcnMvZTJvRG9jLnhtbFBLBQYA&#10;AAAABgAGAFkBAAD7BQAAAAA=&#10;">
                <o:lock v:ext="edit" aspectratio="f"/>
                <v:shape id="_x0000_s1026" o:spid="_x0000_s1026" o:spt="100" style="position:absolute;left:855;top:1410;height:14025;width:2;" fillcolor="#000000" filled="t" stroked="f" coordsize="1,14025" o:gfxdata="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I1BnQb4A&#10;AADbAAAADwAAAAAAAAABACAAAAAiAAAAZHJzL2Rvd25yZXYueG1sUEsBAhQAFAAAAAgAh07iQDMv&#10;BZ47AAAAOQAAABAAAAAAAAAAAQAgAAAADQEAAGRycy9zaGFwZXhtbC54bWxQSwUGAAAAAAYABgBb&#10;AQAAtwMAAAAA&#10;" path="m0,0l0,14025,0,0xe">
                  <v:fill on="t" focussize="0,0"/>
                  <v:stroke on="f"/>
                  <v:imagedata o:title=""/>
                  <o:lock v:ext="edit" aspectratio="f"/>
                </v:shape>
              </v:group>
            </w:pict>
          </mc:Fallback>
        </mc:AlternateContent>
      </w:r>
      <w:r>
        <w:rPr>
          <w:rFonts w:ascii="宋体" w:hAnsi="宋体" w:cs="Arial Unicode MS"/>
          <w:szCs w:val="21"/>
        </w:rPr>
        <w:t>15.8.1按合同约定应当由发包人和承包人采用招标方式选择专项供应商或专业分包人的：</w:t>
      </w:r>
    </w:p>
    <w:p w14:paraId="550141CD">
      <w:pPr>
        <w:adjustRightInd w:val="0"/>
        <w:spacing w:before="16" w:line="420" w:lineRule="exact"/>
        <w:rPr>
          <w:rFonts w:hint="eastAsia" w:ascii="宋体" w:hAnsi="宋体" w:cs="Arial Unicode MS"/>
          <w:szCs w:val="21"/>
        </w:rPr>
      </w:pPr>
      <w:r>
        <w:rPr>
          <w:rFonts w:ascii="宋体" w:hAnsi="宋体" w:cs="Arial Unicode MS"/>
          <w:szCs w:val="21"/>
        </w:rPr>
        <w:t>（4）承包人报送招标计划期限：</w:t>
      </w:r>
      <w:r>
        <w:rPr>
          <w:rFonts w:ascii="宋体" w:hAnsi="宋体" w:cs="Arial Unicode MS"/>
          <w:szCs w:val="21"/>
          <w:u w:val="single"/>
        </w:rPr>
        <w:t>另行商定;</w:t>
      </w:r>
      <w:r>
        <w:rPr>
          <w:rFonts w:ascii="宋体" w:hAnsi="宋体" w:cs="Arial Unicode MS"/>
          <w:szCs w:val="21"/>
        </w:rPr>
        <w:t xml:space="preserve"> 发包人审批招标工作计划时限：</w:t>
      </w:r>
      <w:r>
        <w:rPr>
          <w:rFonts w:ascii="宋体" w:hAnsi="宋体" w:cs="Arial Unicode MS"/>
          <w:szCs w:val="21"/>
          <w:u w:val="single"/>
        </w:rPr>
        <w:t>另行商定;</w:t>
      </w:r>
    </w:p>
    <w:p w14:paraId="2C463F0C">
      <w:pPr>
        <w:adjustRightInd w:val="0"/>
        <w:spacing w:line="420" w:lineRule="exact"/>
        <w:rPr>
          <w:rFonts w:hint="eastAsia" w:ascii="宋体" w:hAnsi="宋体" w:cs="Arial Unicode MS"/>
          <w:szCs w:val="21"/>
        </w:rPr>
      </w:pPr>
      <w:r>
        <w:rPr>
          <w:rFonts w:ascii="宋体" w:hAnsi="宋体" w:cs="Arial Unicode MS"/>
          <w:szCs w:val="21"/>
        </w:rPr>
        <w:t>（5）承包人报送相关文件时限：</w:t>
      </w:r>
      <w:r>
        <w:rPr>
          <w:rFonts w:ascii="宋体" w:hAnsi="宋体" w:cs="Arial Unicode MS"/>
          <w:szCs w:val="21"/>
          <w:u w:val="single"/>
        </w:rPr>
        <w:t>另行商定;</w:t>
      </w:r>
      <w:r>
        <w:rPr>
          <w:rFonts w:ascii="宋体" w:hAnsi="宋体" w:cs="Arial Unicode MS"/>
          <w:szCs w:val="21"/>
        </w:rPr>
        <w:t xml:space="preserve"> 发包人审批相关文件时限：</w:t>
      </w:r>
      <w:r>
        <w:rPr>
          <w:rFonts w:ascii="宋体" w:hAnsi="宋体" w:cs="Arial Unicode MS"/>
          <w:szCs w:val="21"/>
          <w:u w:val="single"/>
        </w:rPr>
        <w:t>另行商定;</w:t>
      </w:r>
    </w:p>
    <w:p w14:paraId="1DED8694">
      <w:pPr>
        <w:adjustRightInd w:val="0"/>
        <w:spacing w:line="420" w:lineRule="exact"/>
        <w:rPr>
          <w:rFonts w:hint="eastAsia" w:ascii="宋体" w:hAnsi="宋体" w:cs="Arial Unicode MS"/>
          <w:szCs w:val="21"/>
        </w:rPr>
      </w:pPr>
      <w:r>
        <w:rPr>
          <w:rFonts w:ascii="宋体" w:hAnsi="宋体" w:cs="Arial Unicode MS"/>
          <w:szCs w:val="21"/>
        </w:rPr>
        <w:t>（10）承包人申报合同文件时限：</w:t>
      </w:r>
      <w:r>
        <w:rPr>
          <w:rFonts w:ascii="宋体" w:hAnsi="宋体" w:cs="Arial Unicode MS"/>
          <w:szCs w:val="21"/>
          <w:u w:val="single"/>
        </w:rPr>
        <w:t xml:space="preserve">另行商定; </w:t>
      </w:r>
      <w:r>
        <w:rPr>
          <w:rFonts w:ascii="宋体" w:hAnsi="宋体" w:cs="Arial Unicode MS"/>
          <w:szCs w:val="21"/>
        </w:rPr>
        <w:t>发包人审批合同文件时限：</w:t>
      </w:r>
      <w:r>
        <w:rPr>
          <w:rFonts w:ascii="宋体" w:hAnsi="宋体" w:cs="Arial Unicode MS"/>
          <w:szCs w:val="21"/>
          <w:u w:val="single"/>
        </w:rPr>
        <w:t xml:space="preserve">另行商定; </w:t>
      </w:r>
      <w:r>
        <w:rPr>
          <w:rFonts w:ascii="宋体" w:hAnsi="宋体" w:cs="Arial Unicode MS"/>
          <w:szCs w:val="21"/>
        </w:rPr>
        <w:t>承包人报送正式签订合同副本时限：</w:t>
      </w:r>
      <w:r>
        <w:rPr>
          <w:rFonts w:ascii="宋体" w:hAnsi="宋体" w:cs="Arial Unicode MS"/>
          <w:szCs w:val="21"/>
          <w:u w:val="single"/>
        </w:rPr>
        <w:t>另行商定;</w:t>
      </w:r>
    </w:p>
    <w:p w14:paraId="3C509FBA">
      <w:pPr>
        <w:tabs>
          <w:tab w:val="left" w:pos="2094"/>
        </w:tabs>
        <w:adjustRightInd w:val="0"/>
        <w:spacing w:line="344" w:lineRule="exact"/>
        <w:rPr>
          <w:rFonts w:hint="eastAsia" w:ascii="宋体" w:hAnsi="宋体" w:cs="Arial Unicode MS"/>
          <w:szCs w:val="21"/>
        </w:rPr>
      </w:pPr>
      <w:r>
        <w:rPr>
          <w:rFonts w:ascii="宋体" w:hAnsi="宋体" w:cs="Arial Unicode MS"/>
          <w:szCs w:val="21"/>
        </w:rPr>
        <w:t>15.8.3发包人在工程量清单中给定暂估价的专业工程不属于依法必须招标的范围或者未达到依法必须招标的规模标准的，其最终价格的估价人为：</w:t>
      </w:r>
      <w:r>
        <w:rPr>
          <w:rFonts w:ascii="宋体" w:hAnsi="宋体" w:cs="Arial Unicode MS"/>
          <w:szCs w:val="21"/>
          <w:u w:val="single"/>
        </w:rPr>
        <w:t>/</w:t>
      </w:r>
      <w:r>
        <w:rPr>
          <w:rFonts w:ascii="宋体" w:hAnsi="宋体" w:cs="Arial Unicode MS"/>
          <w:szCs w:val="21"/>
        </w:rPr>
        <w:t>或者按照下列约定：</w:t>
      </w:r>
      <w:r>
        <w:rPr>
          <w:rFonts w:ascii="宋体" w:hAnsi="宋体" w:cs="Arial Unicode MS"/>
          <w:szCs w:val="21"/>
          <w:u w:val="single"/>
        </w:rPr>
        <w:t>/</w:t>
      </w:r>
    </w:p>
    <w:p w14:paraId="7C0C72BE">
      <w:pPr>
        <w:pStyle w:val="3"/>
        <w:spacing w:line="439" w:lineRule="exact"/>
        <w:jc w:val="both"/>
        <w:rPr>
          <w:rFonts w:hint="eastAsia" w:hAnsi="宋体"/>
          <w:szCs w:val="32"/>
        </w:rPr>
      </w:pPr>
      <w:r>
        <w:rPr>
          <w:rFonts w:hAnsi="宋体"/>
          <w:szCs w:val="32"/>
        </w:rPr>
        <w:t>16.价格调整</w:t>
      </w:r>
    </w:p>
    <w:p w14:paraId="049ACA81">
      <w:pPr>
        <w:pStyle w:val="34"/>
        <w:tabs>
          <w:tab w:val="left" w:pos="1374"/>
        </w:tabs>
        <w:adjustRightInd w:val="0"/>
        <w:rPr>
          <w:rFonts w:hint="eastAsia"/>
          <w:sz w:val="21"/>
          <w:szCs w:val="21"/>
        </w:rPr>
      </w:pPr>
      <w:r>
        <w:rPr>
          <w:sz w:val="21"/>
          <w:szCs w:val="21"/>
        </w:rPr>
        <w:t>16.1物价波动引起的价格调整</w:t>
      </w:r>
      <w:r>
        <w:rPr>
          <w:rFonts w:cs="Arial Unicode MS"/>
          <w:sz w:val="21"/>
          <w:szCs w:val="21"/>
        </w:rPr>
        <w:t>物价波动引起价格调整方法：</w:t>
      </w:r>
      <w:r>
        <w:rPr>
          <w:rFonts w:cs="Arial Unicode MS"/>
          <w:sz w:val="21"/>
          <w:szCs w:val="21"/>
          <w:u w:val="single"/>
        </w:rPr>
        <w:t>施工期间人工价格波动幅度超过±5%时，按照京建法</w:t>
      </w:r>
      <w:r>
        <w:rPr>
          <w:sz w:val="21"/>
          <w:szCs w:val="21"/>
          <w:u w:val="single"/>
        </w:rPr>
        <w:t>【2014】172号文确定的原则及方法，采用造价信息调整价格差额。</w:t>
      </w:r>
    </w:p>
    <w:p w14:paraId="4157647F">
      <w:pPr>
        <w:tabs>
          <w:tab w:val="left" w:pos="1914"/>
        </w:tabs>
        <w:adjustRightInd w:val="0"/>
        <w:spacing w:line="363" w:lineRule="exact"/>
        <w:rPr>
          <w:rFonts w:hint="eastAsia" w:ascii="宋体" w:hAnsi="宋体" w:cs="Arial Unicode MS"/>
          <w:szCs w:val="21"/>
        </w:rPr>
      </w:pPr>
      <w:r>
        <w:rPr>
          <w:rFonts w:ascii="宋体" w:hAnsi="宋体" w:cs="Arial Unicode MS"/>
          <w:szCs w:val="21"/>
        </w:rPr>
        <w:t>16.1.2采用造价信息调整价格差额</w:t>
      </w:r>
    </w:p>
    <w:p w14:paraId="50B7275D">
      <w:pPr>
        <w:tabs>
          <w:tab w:val="left" w:pos="2334"/>
        </w:tabs>
        <w:adjustRightInd w:val="0"/>
        <w:spacing w:before="2" w:line="235" w:lineRule="auto"/>
        <w:rPr>
          <w:rFonts w:hint="eastAsia" w:ascii="宋体" w:hAnsi="宋体" w:cs="Arial Unicode MS"/>
          <w:szCs w:val="21"/>
        </w:rPr>
      </w:pPr>
      <w:r>
        <w:rPr>
          <w:rFonts w:ascii="宋体" w:hAnsi="宋体" w:cs="Arial Unicode MS"/>
          <w:szCs w:val="21"/>
        </w:rPr>
        <w:t>16.1.2.1引起价格调整的物价波动风险范围及幅度 引起价格调整的物价波动风险范围：</w:t>
      </w:r>
      <w:r>
        <w:rPr>
          <w:rFonts w:ascii="宋体" w:hAnsi="宋体" w:cs="Arial Unicode MS"/>
          <w:szCs w:val="21"/>
          <w:u w:val="single"/>
        </w:rPr>
        <w:t>（1）施工期间人工价格波动在风险幅度范围内不作任</w:t>
      </w:r>
      <w:r>
        <w:rPr>
          <w:rFonts w:ascii="宋体" w:hAnsi="宋体"/>
          <w:szCs w:val="21"/>
          <w:u w:val="single"/>
        </w:rPr>
        <w:t>何调整。（2）除上述约定可以调整以外的材料、设备、机械等市场价格变动的全部风险均 不作任何调整 。</w:t>
      </w:r>
      <w:r>
        <w:rPr>
          <w:rFonts w:ascii="宋体" w:hAnsi="宋体" w:cs="Arial Unicode MS"/>
          <w:szCs w:val="21"/>
        </w:rPr>
        <w:t>引起价格调整的物价波动风险幅度：</w:t>
      </w:r>
      <w:r>
        <w:rPr>
          <w:rFonts w:ascii="宋体" w:hAnsi="宋体" w:cs="Arial Unicode MS"/>
          <w:szCs w:val="21"/>
          <w:u w:val="single"/>
        </w:rPr>
        <w:t>±5%</w:t>
      </w:r>
    </w:p>
    <w:p w14:paraId="1D6E02B7">
      <w:pPr>
        <w:tabs>
          <w:tab w:val="left" w:pos="2439"/>
        </w:tabs>
        <w:adjustRightInd w:val="0"/>
        <w:spacing w:line="364" w:lineRule="exact"/>
        <w:rPr>
          <w:rFonts w:hint="eastAsia" w:ascii="宋体" w:hAnsi="宋体" w:cs="Arial Unicode MS"/>
          <w:szCs w:val="21"/>
        </w:rPr>
      </w:pPr>
      <w:r>
        <w:rPr>
          <w:rFonts w:ascii="宋体" w:hAnsi="宋体" w:cs="Arial Unicode MS"/>
          <w:szCs w:val="21"/>
        </w:rPr>
        <w:t>16.1.2.2物价波动引起价格调整的风险幅度的计算方法</w:t>
      </w:r>
    </w:p>
    <w:p w14:paraId="206AD77C">
      <w:pPr>
        <w:adjustRightInd w:val="0"/>
        <w:spacing w:line="416" w:lineRule="exact"/>
        <w:rPr>
          <w:rFonts w:hint="eastAsia" w:ascii="宋体" w:hAnsi="宋体" w:cs="Arial Unicode MS"/>
          <w:szCs w:val="21"/>
        </w:rPr>
      </w:pPr>
      <w:r>
        <w:rPr>
          <w:rFonts w:ascii="宋体" w:hAnsi="宋体" w:cs="Arial Unicode MS"/>
          <w:szCs w:val="21"/>
        </w:rPr>
        <w:t>（1）投标报价基准期：</w:t>
      </w:r>
      <w:r>
        <w:rPr>
          <w:rFonts w:hint="eastAsia" w:ascii="宋体" w:hAnsi="宋体" w:cs="Arial Unicode MS"/>
          <w:szCs w:val="21"/>
          <w:u w:val="single"/>
        </w:rPr>
        <w:t xml:space="preserve">  2026 </w:t>
      </w:r>
      <w:r>
        <w:rPr>
          <w:rFonts w:ascii="宋体" w:hAnsi="宋体" w:cs="Arial Unicode MS"/>
          <w:szCs w:val="21"/>
        </w:rPr>
        <w:t>年</w:t>
      </w:r>
      <w:r>
        <w:rPr>
          <w:rFonts w:hint="eastAsia" w:ascii="宋体" w:hAnsi="宋体" w:cs="Arial Unicode MS"/>
          <w:szCs w:val="21"/>
          <w:u w:val="single"/>
        </w:rPr>
        <w:t xml:space="preserve">  2  </w:t>
      </w:r>
      <w:r>
        <w:rPr>
          <w:rFonts w:ascii="宋体" w:hAnsi="宋体" w:cs="Arial Unicode MS"/>
          <w:szCs w:val="21"/>
        </w:rPr>
        <w:t>月。</w:t>
      </w:r>
    </w:p>
    <w:p w14:paraId="3DD981F2">
      <w:pPr>
        <w:adjustRightInd w:val="0"/>
        <w:spacing w:line="364" w:lineRule="exact"/>
        <w:rPr>
          <w:rFonts w:hint="eastAsia" w:ascii="宋体" w:hAnsi="宋体"/>
          <w:szCs w:val="21"/>
        </w:rPr>
      </w:pPr>
      <w:r>
        <w:rPr>
          <w:rFonts w:ascii="宋体" w:hAnsi="宋体" w:cs="Arial Unicode MS"/>
          <w:szCs w:val="21"/>
        </w:rPr>
        <w:t>（2）《北京工程造价信息》中工程造价信息价没有的，基准价的确定方法：</w:t>
      </w:r>
      <w:r>
        <w:rPr>
          <w:rFonts w:ascii="宋体" w:hAnsi="宋体"/>
          <w:szCs w:val="21"/>
          <w:u w:val="single"/>
        </w:rPr>
        <w:t>按发包人、承包人共同确认的市场价格为准</w:t>
      </w:r>
    </w:p>
    <w:p w14:paraId="5C5AE8D8">
      <w:pPr>
        <w:adjustRightInd w:val="0"/>
        <w:spacing w:line="364" w:lineRule="exact"/>
        <w:rPr>
          <w:rFonts w:hint="eastAsia" w:ascii="宋体" w:hAnsi="宋体" w:cs="Arial Unicode MS"/>
          <w:szCs w:val="21"/>
        </w:rPr>
      </w:pPr>
      <w:r>
        <w:rPr>
          <w:rFonts w:ascii="宋体" w:hAnsi="宋体" w:cs="Arial Unicode MS"/>
          <w:szCs w:val="21"/>
        </w:rPr>
        <w:t>（3）合同履行期间价格的确定方法：</w:t>
      </w:r>
      <w:r>
        <w:rPr>
          <w:rFonts w:ascii="宋体" w:hAnsi="宋体"/>
          <w:szCs w:val="21"/>
          <w:u w:val="single"/>
        </w:rPr>
        <w:t>以本市建设工程造价管理机构发布的《北京工程造价信息》中的市场信息价格(以下简称造价信息价格)为依据,造价信息价格中有上、下限的,以下限为准。</w:t>
      </w:r>
    </w:p>
    <w:p w14:paraId="26A38EB2">
      <w:pPr>
        <w:adjustRightInd w:val="0"/>
        <w:spacing w:before="28" w:line="364" w:lineRule="exact"/>
        <w:rPr>
          <w:rFonts w:hint="eastAsia" w:ascii="宋体" w:hAnsi="宋体"/>
          <w:szCs w:val="21"/>
        </w:rPr>
      </w:pPr>
      <w:r>
        <w:rPr>
          <w:rFonts w:ascii="宋体" w:hAnsi="宋体" w:cs="Arial Unicode MS"/>
          <w:szCs w:val="21"/>
        </w:rPr>
        <w:t>（4）风险幅度的计算方法：</w:t>
      </w:r>
      <w:r>
        <w:rPr>
          <w:rFonts w:ascii="宋体" w:hAnsi="宋体"/>
          <w:szCs w:val="21"/>
          <w:u w:val="single"/>
        </w:rPr>
        <w:t>/</w:t>
      </w:r>
    </w:p>
    <w:p w14:paraId="6BA60F8A">
      <w:pPr>
        <w:tabs>
          <w:tab w:val="left" w:pos="2334"/>
        </w:tabs>
        <w:adjustRightInd w:val="0"/>
        <w:spacing w:line="364" w:lineRule="exact"/>
        <w:rPr>
          <w:rFonts w:hint="eastAsia" w:ascii="宋体" w:hAnsi="宋体" w:cs="Arial Unicode MS"/>
          <w:szCs w:val="21"/>
        </w:rPr>
      </w:pPr>
      <w:r>
        <w:rPr>
          <w:rFonts w:ascii="宋体" w:hAnsi="宋体" w:cs="Arial Unicode MS"/>
          <w:szCs w:val="21"/>
        </w:rPr>
        <w:t>16.1.2.3物价波动引起价格调整的方法</w:t>
      </w:r>
    </w:p>
    <w:p w14:paraId="5CAF08E8">
      <w:pPr>
        <w:adjustRightInd w:val="0"/>
        <w:spacing w:line="417" w:lineRule="exact"/>
        <w:rPr>
          <w:rFonts w:hint="eastAsia" w:ascii="宋体" w:hAnsi="宋体"/>
          <w:szCs w:val="21"/>
        </w:rPr>
      </w:pPr>
      <w:r>
        <w:rPr>
          <w:rFonts w:ascii="宋体" w:hAnsi="宋体" w:cs="Arial Unicode MS"/>
          <w:szCs w:val="21"/>
        </w:rPr>
        <w:t>（1）价格调整方法：</w:t>
      </w:r>
      <w:r>
        <w:rPr>
          <w:rFonts w:ascii="宋体" w:hAnsi="宋体" w:cs="Arial Unicode MS"/>
          <w:szCs w:val="21"/>
          <w:u w:val="single"/>
        </w:rPr>
        <w:t>（1）价格调整方法：</w:t>
      </w:r>
      <w:r>
        <w:rPr>
          <w:rFonts w:ascii="宋体" w:hAnsi="宋体"/>
          <w:szCs w:val="21"/>
          <w:u w:val="single"/>
        </w:rPr>
        <w:t>采用算数平均法：</w:t>
      </w:r>
    </w:p>
    <w:p w14:paraId="41F59C26">
      <w:pPr>
        <w:pStyle w:val="34"/>
        <w:tabs>
          <w:tab w:val="left" w:pos="2334"/>
        </w:tabs>
        <w:adjustRightInd w:val="0"/>
        <w:rPr>
          <w:rFonts w:hint="eastAsia"/>
          <w:sz w:val="21"/>
          <w:szCs w:val="21"/>
          <w:u w:val="single"/>
        </w:rPr>
      </w:pPr>
      <w:r>
        <w:rPr>
          <w:sz w:val="21"/>
          <w:szCs w:val="21"/>
          <w:u w:val="single"/>
        </w:rPr>
        <w:t>以施工期的造价信息价格算术平均价格计算施工期市场价，造价信息价格中有上、下限的， 以下限为准。</w:t>
      </w:r>
      <w:r>
        <w:rPr>
          <w:sz w:val="21"/>
          <w:szCs w:val="21"/>
          <w:u w:val="single"/>
        </w:rPr>
        <w:tab/>
      </w:r>
    </w:p>
    <w:p w14:paraId="06743EEA">
      <w:pPr>
        <w:pStyle w:val="34"/>
        <w:numPr>
          <w:ilvl w:val="0"/>
          <w:numId w:val="37"/>
        </w:numPr>
        <w:tabs>
          <w:tab w:val="left" w:pos="2334"/>
          <w:tab w:val="clear" w:pos="567"/>
        </w:tabs>
        <w:adjustRightInd w:val="0"/>
        <w:spacing w:before="0" w:line="240" w:lineRule="auto"/>
        <w:rPr>
          <w:rFonts w:hint="eastAsia"/>
          <w:sz w:val="21"/>
          <w:szCs w:val="21"/>
        </w:rPr>
      </w:pPr>
      <w:r>
        <w:rPr>
          <w:sz w:val="21"/>
          <w:szCs w:val="21"/>
          <w:u w:val="single"/>
        </w:rPr>
        <w:t>人工数量：为清单重计量后并经发包人确认的分部分项工程量清单中人工工日的消耗量。</w:t>
      </w:r>
      <w:r>
        <w:rPr>
          <w:sz w:val="21"/>
          <w:szCs w:val="21"/>
        </w:rPr>
        <w:t xml:space="preserve"> </w:t>
      </w:r>
    </w:p>
    <w:p w14:paraId="349E5A12">
      <w:pPr>
        <w:pStyle w:val="34"/>
        <w:numPr>
          <w:ilvl w:val="0"/>
          <w:numId w:val="37"/>
        </w:numPr>
        <w:tabs>
          <w:tab w:val="left" w:pos="2334"/>
          <w:tab w:val="clear" w:pos="567"/>
        </w:tabs>
        <w:adjustRightInd w:val="0"/>
        <w:spacing w:before="0" w:line="240" w:lineRule="auto"/>
        <w:rPr>
          <w:rFonts w:hint="eastAsia"/>
          <w:sz w:val="21"/>
          <w:szCs w:val="21"/>
        </w:rPr>
      </w:pPr>
      <w:r>
        <w:rPr>
          <w:sz w:val="21"/>
          <w:szCs w:val="21"/>
          <w:u w:val="single"/>
        </w:rPr>
        <w:t>各专业人工综合工日施工期：自各专业开工之日起至各专业完工止（具体以发包人及监理</w:t>
      </w:r>
      <w:r>
        <w:rPr>
          <w:sz w:val="21"/>
          <w:szCs w:val="21"/>
        </w:rPr>
        <w:t xml:space="preserve"> </w:t>
      </w:r>
      <w:r>
        <w:rPr>
          <w:sz w:val="21"/>
          <w:szCs w:val="21"/>
          <w:u w:val="single"/>
        </w:rPr>
        <w:t>工程师确认的时间为准）。</w:t>
      </w:r>
    </w:p>
    <w:p w14:paraId="39F22DD2">
      <w:pPr>
        <w:tabs>
          <w:tab w:val="left" w:pos="1914"/>
          <w:tab w:val="left" w:pos="2334"/>
        </w:tabs>
        <w:adjustRightInd w:val="0"/>
        <w:rPr>
          <w:rFonts w:hint="eastAsia" w:ascii="宋体" w:hAnsi="宋体" w:cs="Arial Unicode MS"/>
          <w:szCs w:val="21"/>
        </w:rPr>
      </w:pPr>
      <w:r>
        <w:rPr>
          <w:rFonts w:ascii="宋体" w:hAnsi="宋体" w:cs="Arial Unicode MS"/>
          <w:szCs w:val="21"/>
        </w:rPr>
        <w:t>16.1.2.4其他约定：</w:t>
      </w:r>
      <w:r>
        <w:rPr>
          <w:rFonts w:ascii="宋体" w:hAnsi="宋体" w:cs="Arial Unicode MS"/>
          <w:szCs w:val="21"/>
          <w:u w:val="single"/>
        </w:rPr>
        <w:t>/</w:t>
      </w:r>
      <w:r>
        <w:rPr>
          <w:rFonts w:ascii="宋体" w:hAnsi="宋体" w:cs="Arial Unicode MS"/>
          <w:szCs w:val="21"/>
        </w:rPr>
        <w:t xml:space="preserve"> </w:t>
      </w:r>
    </w:p>
    <w:p w14:paraId="1AD49D7E">
      <w:pPr>
        <w:tabs>
          <w:tab w:val="left" w:pos="1914"/>
          <w:tab w:val="left" w:pos="2334"/>
        </w:tabs>
        <w:adjustRightInd w:val="0"/>
        <w:rPr>
          <w:rFonts w:hint="eastAsia" w:ascii="宋体" w:hAnsi="宋体" w:cs="Arial Unicode MS"/>
          <w:szCs w:val="21"/>
        </w:rPr>
      </w:pPr>
      <w:r>
        <w:rPr>
          <w:rFonts w:ascii="宋体" w:hAnsi="宋体" w:cs="Arial Unicode MS"/>
          <w:szCs w:val="21"/>
        </w:rPr>
        <w:t>16.1.3其他价格调整方法</w:t>
      </w:r>
    </w:p>
    <w:p w14:paraId="69AABA32">
      <w:pPr>
        <w:pStyle w:val="34"/>
        <w:adjustRightInd w:val="0"/>
        <w:spacing w:before="12" w:line="420" w:lineRule="exact"/>
        <w:rPr>
          <w:rFonts w:hint="eastAsia"/>
          <w:sz w:val="21"/>
          <w:szCs w:val="21"/>
        </w:rPr>
      </w:pPr>
      <w:r>
        <w:rPr>
          <w:sz w:val="21"/>
          <w:szCs w:val="21"/>
          <w:u w:val="single"/>
        </w:rPr>
        <w:t>（1）承包人在编制投标报价时对合同文件、合同图纸的任何错误理解或自身的任何疏忽而造成的错误或失误；</w:t>
      </w:r>
    </w:p>
    <w:p w14:paraId="55B5FEAF">
      <w:pPr>
        <w:pStyle w:val="34"/>
        <w:adjustRightInd w:val="0"/>
        <w:spacing w:line="401" w:lineRule="exact"/>
        <w:rPr>
          <w:rFonts w:hint="eastAsia"/>
          <w:sz w:val="21"/>
          <w:szCs w:val="21"/>
        </w:rPr>
      </w:pPr>
      <w:r>
        <w:rPr>
          <w:sz w:val="21"/>
          <w:szCs w:val="21"/>
          <w:u w:val="single"/>
        </w:rPr>
        <w:t>（2）任何外汇与人民币汇率的变化；</w:t>
      </w:r>
    </w:p>
    <w:p w14:paraId="41F85657">
      <w:pPr>
        <w:pStyle w:val="34"/>
        <w:adjustRightInd w:val="0"/>
        <w:rPr>
          <w:rFonts w:hint="eastAsia"/>
          <w:sz w:val="21"/>
          <w:szCs w:val="21"/>
        </w:rPr>
      </w:pPr>
      <w:r>
        <w:rPr>
          <w:sz w:val="21"/>
          <w:szCs w:val="21"/>
          <w:u w:val="single"/>
        </w:rPr>
        <w:t>（3）除合同约定外本合同履约期内有关工作条件、工作时间或人工工资标准和其它与本工程雇佣劳动力相关的税费、政府收费或其它的在本工程使用的材料、货物、机械、 工程设备、施工设备价格或费用的变化或货币的贬升值；</w:t>
      </w:r>
    </w:p>
    <w:p w14:paraId="6F152E7B">
      <w:pPr>
        <w:pStyle w:val="34"/>
        <w:adjustRightInd w:val="0"/>
        <w:rPr>
          <w:rFonts w:hint="eastAsia"/>
          <w:sz w:val="21"/>
          <w:szCs w:val="21"/>
        </w:rPr>
      </w:pPr>
      <w:r>
        <w:rPr>
          <w:sz w:val="21"/>
          <w:szCs w:val="21"/>
          <w:u w:val="single"/>
        </w:rPr>
        <w:t>（4）合同价款中的各项取费，包括但不限于企业管理费、利润、税金的取费水平固定不变；</w:t>
      </w:r>
    </w:p>
    <w:p w14:paraId="1AA50D96">
      <w:pPr>
        <w:pStyle w:val="34"/>
        <w:adjustRightInd w:val="0"/>
        <w:rPr>
          <w:rFonts w:hint="eastAsia"/>
          <w:sz w:val="21"/>
          <w:szCs w:val="21"/>
        </w:rPr>
      </w:pPr>
      <w:r>
        <w:rPr>
          <w:sz w:val="21"/>
          <w:szCs w:val="21"/>
          <w:u w:val="single"/>
        </w:rPr>
        <w:t>（5）承包人应在投标时充分考虑人工、材料、机械等受疫情影响，不得再因疫情造成 的施工停工、效率降低及人工、材料、机械等价格上涨，而提出费用增加。</w:t>
      </w:r>
    </w:p>
    <w:p w14:paraId="4906F25B">
      <w:pPr>
        <w:pStyle w:val="34"/>
        <w:adjustRightInd w:val="0"/>
        <w:rPr>
          <w:rFonts w:hint="eastAsia"/>
          <w:sz w:val="21"/>
          <w:szCs w:val="21"/>
        </w:rPr>
      </w:pPr>
      <w:r>
        <w:rPr>
          <w:sz w:val="21"/>
          <w:szCs w:val="21"/>
          <w:u w:val="single"/>
        </w:rPr>
        <w:t>（6）合同约定的其他风险。 16.1.3.1合同文件约定的措施项目费风险范围：</w:t>
      </w:r>
    </w:p>
    <w:p w14:paraId="2A8C761C">
      <w:pPr>
        <w:pStyle w:val="34"/>
        <w:adjustRightInd w:val="0"/>
        <w:spacing w:line="420" w:lineRule="exact"/>
        <w:ind w:firstLine="210" w:firstLineChars="100"/>
        <w:rPr>
          <w:rFonts w:hint="eastAsia"/>
          <w:sz w:val="21"/>
          <w:szCs w:val="21"/>
        </w:rPr>
      </w:pPr>
      <w:r>
        <w:rPr>
          <w:sz w:val="21"/>
          <w:szCs w:val="21"/>
          <w:u w:val="single"/>
        </w:rPr>
        <w:t>（1）工程量清单中的措施费用（除可计量措施项目外），结算时不作任何调整；</w:t>
      </w:r>
    </w:p>
    <w:p w14:paraId="699BDCF9">
      <w:pPr>
        <w:pStyle w:val="34"/>
        <w:adjustRightInd w:val="0"/>
        <w:ind w:firstLine="210" w:firstLineChars="100"/>
        <w:rPr>
          <w:rFonts w:hint="eastAsia"/>
          <w:sz w:val="21"/>
          <w:szCs w:val="21"/>
          <w:u w:val="single"/>
        </w:rPr>
      </w:pPr>
      <w:r>
        <w:rPr>
          <w:sz w:val="21"/>
          <w:szCs w:val="21"/>
          <w:u w:val="single"/>
        </w:rPr>
        <w:t xml:space="preserve">（2）承包人应当对新型冠状病毒肺炎疫情有充分认识，做好常态化疫情防控工作，充分考虑因新冠肺炎疫情可能对施工期间的影响，并制定周密的防疫应对方案，疫情防控费用已包含在安全文明施工费中，除发包人提出特殊要求外，不再额外计取。 </w:t>
      </w:r>
    </w:p>
    <w:p w14:paraId="1B791D44">
      <w:pPr>
        <w:pStyle w:val="34"/>
        <w:adjustRightInd w:val="0"/>
        <w:rPr>
          <w:rFonts w:hint="eastAsia"/>
          <w:sz w:val="21"/>
          <w:szCs w:val="21"/>
        </w:rPr>
      </w:pPr>
      <w:r>
        <w:rPr>
          <w:sz w:val="21"/>
          <w:szCs w:val="21"/>
          <w:u w:val="single"/>
        </w:rPr>
        <w:t>16.1.3.2对承包人超出设计图纸（含设计变更）范围和因承包人原因造成返工的工程量，发包人不予计量。</w:t>
      </w:r>
    </w:p>
    <w:p w14:paraId="10648742">
      <w:pPr>
        <w:pStyle w:val="3"/>
        <w:spacing w:line="439" w:lineRule="exact"/>
        <w:jc w:val="both"/>
        <w:rPr>
          <w:rFonts w:hint="eastAsia" w:hAnsi="宋体"/>
          <w:szCs w:val="32"/>
        </w:rPr>
      </w:pPr>
      <w:r>
        <w:rPr>
          <w:rFonts w:hAnsi="宋体"/>
          <w:szCs w:val="32"/>
        </w:rPr>
        <w:t>17.计量与支付</w:t>
      </w:r>
    </w:p>
    <w:p w14:paraId="7BA5A260">
      <w:pPr>
        <w:pStyle w:val="34"/>
        <w:tabs>
          <w:tab w:val="left" w:pos="1374"/>
        </w:tabs>
        <w:adjustRightInd w:val="0"/>
        <w:rPr>
          <w:rFonts w:hint="eastAsia"/>
          <w:sz w:val="21"/>
          <w:szCs w:val="21"/>
        </w:rPr>
      </w:pPr>
      <w:r>
        <w:rPr>
          <w:sz w:val="21"/>
          <w:szCs w:val="21"/>
        </w:rPr>
        <w:t>17.1计量</w:t>
      </w:r>
    </w:p>
    <w:p w14:paraId="1C532DF2">
      <w:pPr>
        <w:tabs>
          <w:tab w:val="left" w:pos="1914"/>
        </w:tabs>
        <w:adjustRightInd w:val="0"/>
        <w:spacing w:line="364" w:lineRule="exact"/>
        <w:rPr>
          <w:rFonts w:hint="eastAsia" w:ascii="宋体" w:hAnsi="宋体" w:cs="Arial Unicode MS"/>
          <w:szCs w:val="21"/>
        </w:rPr>
      </w:pPr>
      <w:r>
        <w:rPr>
          <w:rFonts w:ascii="宋体" w:hAnsi="宋体" w:cs="Arial Unicode MS"/>
          <w:szCs w:val="21"/>
        </w:rPr>
        <w:t>17.1.3计量周期</w:t>
      </w:r>
    </w:p>
    <w:p w14:paraId="3E165423">
      <w:pPr>
        <w:adjustRightInd w:val="0"/>
        <w:spacing w:line="417" w:lineRule="exact"/>
        <w:rPr>
          <w:rFonts w:hint="eastAsia" w:ascii="宋体" w:hAnsi="宋体" w:cs="Arial Unicode MS"/>
          <w:szCs w:val="21"/>
        </w:rPr>
      </w:pPr>
      <w:r>
        <w:rPr>
          <w:rFonts w:ascii="宋体" w:hAnsi="宋体" w:cs="Arial Unicode MS"/>
          <w:szCs w:val="21"/>
        </w:rPr>
        <w:t>（1）每月</w:t>
      </w:r>
      <w:r>
        <w:rPr>
          <w:rFonts w:ascii="宋体" w:hAnsi="宋体" w:cs="Arial Unicode MS"/>
          <w:szCs w:val="21"/>
          <w:u w:val="single"/>
        </w:rPr>
        <w:t xml:space="preserve">25 </w:t>
      </w:r>
      <w:r>
        <w:rPr>
          <w:rFonts w:ascii="宋体" w:hAnsi="宋体" w:cs="Arial Unicode MS"/>
          <w:szCs w:val="21"/>
        </w:rPr>
        <w:t>日为当月计量截止日期（不含当日）和下月计量起始日期（含当日）。</w:t>
      </w:r>
    </w:p>
    <w:p w14:paraId="79A69788">
      <w:pPr>
        <w:adjustRightInd w:val="0"/>
        <w:spacing w:line="420" w:lineRule="exact"/>
        <w:rPr>
          <w:rFonts w:hint="eastAsia" w:ascii="宋体" w:hAnsi="宋体" w:cs="Arial Unicode MS"/>
          <w:szCs w:val="21"/>
        </w:rPr>
      </w:pPr>
      <w:r>
        <w:rPr>
          <w:rFonts w:ascii="宋体" w:hAnsi="宋体" w:cs="Arial Unicode MS"/>
          <w:szCs w:val="21"/>
        </w:rPr>
        <w:t>（2）本合同</w:t>
      </w:r>
      <w:r>
        <w:rPr>
          <w:rFonts w:ascii="宋体" w:hAnsi="宋体" w:cs="Arial Unicode MS"/>
          <w:szCs w:val="21"/>
          <w:u w:val="single"/>
        </w:rPr>
        <w:t>执行</w:t>
      </w:r>
      <w:r>
        <w:rPr>
          <w:rFonts w:ascii="宋体" w:hAnsi="宋体" w:cs="Arial Unicode MS"/>
          <w:szCs w:val="21"/>
        </w:rPr>
        <w:t>（执行（采用单价合同形式时）/不执行（采用总价合同形式时））单价子目已完</w:t>
      </w:r>
      <w:r>
        <w:rPr>
          <w:rFonts w:ascii="宋体" w:hAnsi="宋体"/>
          <w:szCs w:val="21"/>
        </w:rPr>
        <mc:AlternateContent>
          <mc:Choice Requires="wpg">
            <w:drawing>
              <wp:anchor distT="0" distB="0" distL="114300" distR="114300" simplePos="0" relativeHeight="251678720" behindDoc="0" locked="0" layoutInCell="1" allowOverlap="1">
                <wp:simplePos x="0" y="0"/>
                <wp:positionH relativeFrom="page">
                  <wp:posOffset>542925</wp:posOffset>
                </wp:positionH>
                <wp:positionV relativeFrom="page">
                  <wp:posOffset>895350</wp:posOffset>
                </wp:positionV>
                <wp:extent cx="1270" cy="8905875"/>
                <wp:effectExtent l="0" t="0" r="0" b="0"/>
                <wp:wrapNone/>
                <wp:docPr id="49" name="组合 49"/>
                <wp:cNvGraphicFramePr/>
                <a:graphic xmlns:a="http://schemas.openxmlformats.org/drawingml/2006/main">
                  <a:graphicData uri="http://schemas.microsoft.com/office/word/2010/wordprocessingGroup">
                    <wpg:wgp>
                      <wpg:cNvGrpSpPr/>
                      <wpg:grpSpPr>
                        <a:xfrm>
                          <a:off x="0" y="0"/>
                          <a:ext cx="1270" cy="8905875"/>
                          <a:chOff x="855" y="1410"/>
                          <a:chExt cx="2" cy="14025"/>
                        </a:xfrm>
                      </wpg:grpSpPr>
                      <wps:wsp>
                        <wps:cNvPr id="48" name="任意多边形 48"/>
                        <wps:cNvSpPr/>
                        <wps:spPr>
                          <a:xfrm>
                            <a:off x="855" y="1410"/>
                            <a:ext cx="2" cy="14025"/>
                          </a:xfrm>
                          <a:custGeom>
                            <a:avLst/>
                            <a:gdLst/>
                            <a:ahLst/>
                            <a:cxnLst/>
                            <a:rect l="0" t="0" r="0" b="0"/>
                            <a:pathLst>
                              <a:path h="14025">
                                <a:moveTo>
                                  <a:pt x="0" y="0"/>
                                </a:moveTo>
                                <a:lnTo>
                                  <a:pt x="0" y="14025"/>
                                </a:lnTo>
                                <a:lnTo>
                                  <a:pt x="0" y="0"/>
                                </a:lnTo>
                                <a:close/>
                              </a:path>
                            </a:pathLst>
                          </a:custGeom>
                          <a:solidFill>
                            <a:srgbClr val="000000"/>
                          </a:solidFill>
                          <a:ln>
                            <a:noFill/>
                          </a:ln>
                        </wps:spPr>
                        <wps:bodyPr upright="1"/>
                      </wps:wsp>
                    </wpg:wgp>
                  </a:graphicData>
                </a:graphic>
              </wp:anchor>
            </w:drawing>
          </mc:Choice>
          <mc:Fallback>
            <w:pict>
              <v:group id="_x0000_s1026" o:spid="_x0000_s1026" o:spt="203" style="position:absolute;left:0pt;margin-left:42.75pt;margin-top:70.5pt;height:701.25pt;width:0.1pt;mso-position-horizontal-relative:page;mso-position-vertical-relative:page;z-index:251678720;mso-width-relative:page;mso-height-relative:page;" coordorigin="855,1410" coordsize="2,14025" o:gfxdata="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">
                <o:lock v:ext="edit" aspectratio="f"/>
                <v:shape id="_x0000_s1026" o:spid="_x0000_s1026" o:spt="100" style="position:absolute;left:855;top:1410;height:14025;width:2;" fillcolor="#000000" filled="t" stroked="f" coordsize="1,14025" o:gfxdata="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aviPWugAAANsA&#10;AAAPAAAAAAAAAAEAIAAAACIAAABkcnMvZG93bnJldi54bWxQSwECFAAUAAAACACHTuJAMy8FnjsA&#10;AAA5AAAAEAAAAAAAAAABACAAAAAJAQAAZHJzL3NoYXBleG1sLnhtbFBLBQYAAAAABgAGAFsBAACz&#10;AwAAAAA=&#10;" path="m0,0l0,14025,0,0xe">
                  <v:fill on="t" focussize="0,0"/>
                  <v:stroke on="f"/>
                  <v:imagedata o:title=""/>
                  <o:lock v:ext="edit" aspectratio="f"/>
                </v:shape>
              </v:group>
            </w:pict>
          </mc:Fallback>
        </mc:AlternateContent>
      </w:r>
      <w:r>
        <w:rPr>
          <w:rFonts w:ascii="宋体" w:hAnsi="宋体" w:cs="Arial Unicode MS"/>
          <w:szCs w:val="21"/>
        </w:rPr>
        <w:t>成工程量按月计量。</w:t>
      </w:r>
    </w:p>
    <w:p w14:paraId="07102DED">
      <w:pPr>
        <w:tabs>
          <w:tab w:val="left" w:pos="1914"/>
        </w:tabs>
        <w:adjustRightInd w:val="0"/>
        <w:spacing w:before="51" w:line="376" w:lineRule="exact"/>
        <w:rPr>
          <w:rFonts w:hint="eastAsia" w:ascii="宋体" w:hAnsi="宋体" w:cs="Arial Unicode MS"/>
          <w:szCs w:val="21"/>
        </w:rPr>
      </w:pPr>
      <w:r>
        <w:rPr>
          <w:rFonts w:ascii="宋体" w:hAnsi="宋体" w:cs="Arial Unicode MS"/>
          <w:szCs w:val="21"/>
        </w:rPr>
        <w:t>（3）总价子目计量方式采用</w:t>
      </w:r>
      <w:r>
        <w:rPr>
          <w:rFonts w:ascii="宋体" w:hAnsi="宋体" w:cs="Arial Unicode MS"/>
          <w:szCs w:val="21"/>
          <w:u w:val="single"/>
        </w:rPr>
        <w:t>按实际完成工程量计量</w:t>
      </w:r>
      <w:r>
        <w:rPr>
          <w:rFonts w:ascii="宋体" w:hAnsi="宋体" w:cs="Arial Unicode MS"/>
          <w:szCs w:val="21"/>
        </w:rPr>
        <w:t xml:space="preserve">（支付分解报告/按实际完成工程量计量）。 </w:t>
      </w:r>
    </w:p>
    <w:p w14:paraId="12BE97C5">
      <w:pPr>
        <w:tabs>
          <w:tab w:val="left" w:pos="1914"/>
        </w:tabs>
        <w:adjustRightInd w:val="0"/>
        <w:spacing w:before="51" w:line="376" w:lineRule="exact"/>
        <w:rPr>
          <w:rFonts w:hint="eastAsia" w:ascii="宋体" w:hAnsi="宋体" w:cs="Arial Unicode MS"/>
          <w:szCs w:val="21"/>
        </w:rPr>
      </w:pPr>
      <w:r>
        <w:rPr>
          <w:rFonts w:ascii="宋体" w:hAnsi="宋体" w:cs="Arial Unicode MS"/>
          <w:szCs w:val="21"/>
        </w:rPr>
        <w:t>17.1.5总价子目的计量（适用于采用支付分解报告）</w:t>
      </w:r>
    </w:p>
    <w:p w14:paraId="34D11CA9">
      <w:pPr>
        <w:adjustRightInd w:val="0"/>
        <w:spacing w:line="338" w:lineRule="exact"/>
        <w:rPr>
          <w:rFonts w:hint="eastAsia" w:ascii="宋体" w:hAnsi="宋体"/>
          <w:szCs w:val="21"/>
        </w:rPr>
      </w:pPr>
      <w:r>
        <w:rPr>
          <w:rFonts w:ascii="宋体" w:hAnsi="宋体" w:cs="Arial Unicode MS"/>
          <w:szCs w:val="21"/>
        </w:rPr>
        <w:t>（1）采用支付分解报告计量方式的，总价子目的价格调整方法：</w:t>
      </w:r>
      <w:r>
        <w:rPr>
          <w:rFonts w:ascii="宋体" w:hAnsi="宋体"/>
          <w:szCs w:val="21"/>
          <w:u w:val="single"/>
        </w:rPr>
        <w:t>/</w:t>
      </w:r>
    </w:p>
    <w:p w14:paraId="55454CCB">
      <w:pPr>
        <w:tabs>
          <w:tab w:val="left" w:pos="1914"/>
        </w:tabs>
        <w:adjustRightInd w:val="0"/>
        <w:spacing w:line="363" w:lineRule="exact"/>
        <w:rPr>
          <w:rFonts w:hint="eastAsia" w:ascii="宋体" w:hAnsi="宋体" w:cs="Arial Unicode MS"/>
          <w:szCs w:val="21"/>
        </w:rPr>
      </w:pPr>
      <w:r>
        <w:rPr>
          <w:rFonts w:ascii="宋体" w:hAnsi="宋体" w:cs="Arial Unicode MS"/>
          <w:szCs w:val="21"/>
        </w:rPr>
        <w:t>17.1.5总价子目的计量（适用于采用按实际完成工程量计量）</w:t>
      </w:r>
    </w:p>
    <w:p w14:paraId="5E9FF9EF">
      <w:pPr>
        <w:adjustRightInd w:val="0"/>
        <w:spacing w:line="360" w:lineRule="exact"/>
        <w:rPr>
          <w:rFonts w:hint="eastAsia" w:ascii="宋体" w:hAnsi="宋体"/>
          <w:szCs w:val="21"/>
          <w:u w:val="single"/>
        </w:rPr>
      </w:pPr>
      <w:r>
        <w:rPr>
          <w:rFonts w:ascii="宋体" w:hAnsi="宋体" w:cs="Arial Unicode MS"/>
          <w:szCs w:val="21"/>
        </w:rPr>
        <w:t>（1）采用按实际完成工程量计量方式的,总价子目的价格调整方法：</w:t>
      </w:r>
      <w:r>
        <w:rPr>
          <w:rFonts w:hint="eastAsia" w:ascii="宋体" w:hAnsi="宋体"/>
          <w:szCs w:val="21"/>
          <w:u w:val="single"/>
        </w:rPr>
        <w:t>因承包人原因引起已标价工程量清单中某个子目工程变化幅度超过15%（不含），且发包或监理人认为该变化引起相关措施项目发生变化的，发包人或监理人要求承包人针对措施项目的变化；</w:t>
      </w:r>
    </w:p>
    <w:p w14:paraId="3A443F22">
      <w:pPr>
        <w:adjustRightInd w:val="0"/>
        <w:spacing w:before="9"/>
        <w:rPr>
          <w:rFonts w:hint="eastAsia" w:ascii="宋体" w:hAnsi="宋体" w:cs="Arial Unicode MS"/>
          <w:szCs w:val="21"/>
        </w:rPr>
      </w:pPr>
    </w:p>
    <w:p w14:paraId="6736D81C">
      <w:pPr>
        <w:pStyle w:val="34"/>
        <w:tabs>
          <w:tab w:val="left" w:pos="1374"/>
        </w:tabs>
        <w:adjustRightInd w:val="0"/>
        <w:spacing w:line="371" w:lineRule="exact"/>
        <w:rPr>
          <w:rFonts w:hint="eastAsia"/>
          <w:sz w:val="21"/>
          <w:szCs w:val="21"/>
        </w:rPr>
      </w:pPr>
      <w:r>
        <w:rPr>
          <w:sz w:val="21"/>
          <w:szCs w:val="21"/>
        </w:rPr>
        <w:t>17.2预付款</w:t>
      </w:r>
    </w:p>
    <w:p w14:paraId="3E0DA56E">
      <w:pPr>
        <w:adjustRightInd w:val="0"/>
        <w:spacing w:before="1"/>
        <w:rPr>
          <w:rFonts w:hint="eastAsia" w:ascii="宋体" w:hAnsi="宋体" w:cs="Arial Unicode MS"/>
          <w:szCs w:val="21"/>
        </w:rPr>
      </w:pPr>
    </w:p>
    <w:p w14:paraId="2C903F15">
      <w:pPr>
        <w:tabs>
          <w:tab w:val="left" w:pos="1914"/>
        </w:tabs>
        <w:adjustRightInd w:val="0"/>
        <w:spacing w:line="364" w:lineRule="exact"/>
        <w:rPr>
          <w:rFonts w:hint="eastAsia" w:ascii="宋体" w:hAnsi="宋体" w:cs="Arial Unicode MS"/>
          <w:szCs w:val="21"/>
        </w:rPr>
      </w:pPr>
      <w:r>
        <w:rPr>
          <w:rFonts w:ascii="宋体" w:hAnsi="宋体" w:cs="Arial Unicode MS"/>
          <w:szCs w:val="21"/>
        </w:rPr>
        <w:t>17.2.1预付款</w:t>
      </w:r>
    </w:p>
    <w:p w14:paraId="34D0E577">
      <w:pPr>
        <w:adjustRightInd w:val="0"/>
        <w:spacing w:before="2" w:line="235" w:lineRule="auto"/>
        <w:rPr>
          <w:rFonts w:hint="eastAsia" w:ascii="宋体" w:hAnsi="宋体" w:cs="Arial Unicode MS"/>
          <w:szCs w:val="21"/>
        </w:rPr>
      </w:pPr>
      <w:r>
        <w:rPr>
          <w:rFonts w:ascii="宋体" w:hAnsi="宋体" w:cs="Arial Unicode MS"/>
          <w:szCs w:val="21"/>
        </w:rPr>
        <w:t>（1）预付款额度预付款额度：</w:t>
      </w:r>
      <w:r>
        <w:rPr>
          <w:rFonts w:ascii="宋体" w:hAnsi="宋体" w:cs="Arial Unicode MS"/>
          <w:szCs w:val="21"/>
          <w:u w:val="single"/>
        </w:rPr>
        <w:t>签订合同后支付合同金额的</w:t>
      </w:r>
      <w:r>
        <w:rPr>
          <w:rFonts w:hint="eastAsia" w:ascii="宋体" w:hAnsi="宋体" w:cs="Arial Unicode MS"/>
          <w:szCs w:val="21"/>
          <w:u w:val="single"/>
        </w:rPr>
        <w:t>5</w:t>
      </w:r>
      <w:r>
        <w:rPr>
          <w:rFonts w:ascii="宋体" w:hAnsi="宋体" w:cs="Arial Unicode MS"/>
          <w:szCs w:val="21"/>
          <w:u w:val="single"/>
        </w:rPr>
        <w:t>0%；</w:t>
      </w:r>
    </w:p>
    <w:p w14:paraId="4CFFE218">
      <w:pPr>
        <w:pStyle w:val="34"/>
        <w:tabs>
          <w:tab w:val="left" w:pos="5214"/>
        </w:tabs>
        <w:adjustRightInd w:val="0"/>
        <w:rPr>
          <w:rFonts w:hint="eastAsia"/>
          <w:sz w:val="21"/>
          <w:szCs w:val="21"/>
        </w:rPr>
      </w:pPr>
      <w:r>
        <w:rPr>
          <w:sz w:val="21"/>
          <w:szCs w:val="21"/>
        </w:rPr>
        <w:t>其中：</w:t>
      </w:r>
      <w:r>
        <w:rPr>
          <w:sz w:val="21"/>
          <w:szCs w:val="21"/>
          <w:u w:val="single"/>
        </w:rPr>
        <w:t>预付款额度包含措施项目预付款，（包括农民工工伤保险费的100%，以及安全文明施工费，相关费用不再另行支付）；</w:t>
      </w:r>
    </w:p>
    <w:p w14:paraId="0F9180B9">
      <w:pPr>
        <w:adjustRightInd w:val="0"/>
        <w:spacing w:before="5" w:line="235" w:lineRule="auto"/>
        <w:rPr>
          <w:rFonts w:hint="eastAsia" w:ascii="宋体" w:hAnsi="宋体" w:cs="Arial Unicode MS"/>
          <w:szCs w:val="21"/>
        </w:rPr>
      </w:pPr>
      <w:r>
        <w:rPr>
          <w:rFonts w:ascii="宋体" w:hAnsi="宋体" w:cs="Arial Unicode MS"/>
          <w:szCs w:val="21"/>
        </w:rPr>
        <w:t>（2）预付办法预付款预付办法：</w:t>
      </w:r>
      <w:r>
        <w:rPr>
          <w:rFonts w:ascii="宋体" w:hAnsi="宋体" w:cs="Arial Unicode MS"/>
          <w:szCs w:val="21"/>
          <w:u w:val="single"/>
        </w:rPr>
        <w:t>合同正式签订后，发包人通过电汇或支票的形式一次性向承包人支付</w:t>
      </w:r>
      <w:r>
        <w:rPr>
          <w:rFonts w:ascii="宋体" w:hAnsi="宋体"/>
          <w:szCs w:val="21"/>
          <w:u w:val="single"/>
        </w:rPr>
        <w:t>预付款</w:t>
      </w:r>
      <w:r>
        <w:rPr>
          <w:rFonts w:ascii="宋体" w:hAnsi="宋体"/>
          <w:szCs w:val="21"/>
          <w:u w:val="single"/>
        </w:rPr>
        <w:tab/>
      </w:r>
      <w:r>
        <w:rPr>
          <w:rFonts w:ascii="宋体" w:hAnsi="宋体" w:cs="Arial Unicode MS"/>
          <w:szCs w:val="21"/>
        </w:rPr>
        <w:t>预付款的支付时间：</w:t>
      </w:r>
      <w:r>
        <w:rPr>
          <w:rFonts w:ascii="宋体" w:hAnsi="宋体" w:cs="Arial Unicode MS"/>
          <w:szCs w:val="21"/>
          <w:u w:val="single"/>
        </w:rPr>
        <w:t>本合同签订后30天内，不迟于施工正式进场后5天内；</w:t>
      </w:r>
    </w:p>
    <w:p w14:paraId="5C03F00E">
      <w:pPr>
        <w:adjustRightInd w:val="0"/>
        <w:spacing w:before="22" w:line="360" w:lineRule="exact"/>
        <w:rPr>
          <w:rFonts w:hint="eastAsia" w:ascii="宋体" w:hAnsi="宋体" w:cs="Arial Unicode MS"/>
          <w:szCs w:val="21"/>
        </w:rPr>
      </w:pPr>
      <w:r>
        <w:rPr>
          <w:rFonts w:ascii="宋体" w:hAnsi="宋体" w:cs="Arial Unicode MS"/>
          <w:szCs w:val="21"/>
        </w:rPr>
        <w:t xml:space="preserve">（3）安全文明施工费用预付额度及方式： </w:t>
      </w:r>
      <w:r>
        <w:rPr>
          <w:rFonts w:hint="eastAsia" w:ascii="宋体" w:hAnsi="宋体" w:cs="Arial Unicode MS"/>
          <w:szCs w:val="21"/>
        </w:rPr>
        <w:t>预付款中包含安全文明施工费</w:t>
      </w:r>
      <w:r>
        <w:rPr>
          <w:rFonts w:ascii="宋体" w:hAnsi="宋体" w:cs="Arial Unicode MS"/>
          <w:szCs w:val="21"/>
        </w:rPr>
        <w:t>。</w:t>
      </w:r>
    </w:p>
    <w:p w14:paraId="1E1D216E">
      <w:pPr>
        <w:tabs>
          <w:tab w:val="left" w:pos="1914"/>
        </w:tabs>
        <w:adjustRightInd w:val="0"/>
        <w:spacing w:line="341" w:lineRule="exact"/>
        <w:rPr>
          <w:rFonts w:hint="eastAsia" w:ascii="宋体" w:hAnsi="宋体" w:cs="Arial Unicode MS"/>
          <w:szCs w:val="21"/>
        </w:rPr>
      </w:pPr>
      <w:r>
        <w:rPr>
          <w:rFonts w:ascii="宋体" w:hAnsi="宋体" w:cs="Arial Unicode MS"/>
          <w:szCs w:val="21"/>
        </w:rPr>
        <w:t>17.2.2预付款的扣回与还清</w:t>
      </w:r>
    </w:p>
    <w:p w14:paraId="5E98325B">
      <w:pPr>
        <w:adjustRightInd w:val="0"/>
        <w:spacing w:line="417" w:lineRule="exact"/>
        <w:rPr>
          <w:rFonts w:hint="eastAsia" w:ascii="宋体" w:hAnsi="宋体" w:cs="Arial Unicode MS"/>
          <w:szCs w:val="21"/>
          <w:u w:val="single"/>
        </w:rPr>
      </w:pPr>
      <w:r>
        <w:rPr>
          <w:rFonts w:ascii="宋体" w:hAnsi="宋体" w:cs="Arial Unicode MS"/>
          <w:szCs w:val="21"/>
        </w:rPr>
        <w:t>预付款的扣回办法：</w:t>
      </w:r>
      <w:r>
        <w:rPr>
          <w:rFonts w:ascii="宋体" w:hAnsi="宋体" w:cs="Arial Unicode MS"/>
          <w:szCs w:val="21"/>
          <w:u w:val="single"/>
        </w:rPr>
        <w:t>/</w:t>
      </w:r>
    </w:p>
    <w:p w14:paraId="0FD0AC25">
      <w:pPr>
        <w:adjustRightInd w:val="0"/>
        <w:spacing w:line="417" w:lineRule="exact"/>
        <w:rPr>
          <w:rFonts w:hint="eastAsia" w:ascii="宋体" w:hAnsi="宋体"/>
          <w:szCs w:val="21"/>
        </w:rPr>
      </w:pPr>
      <w:r>
        <w:rPr>
          <w:rFonts w:ascii="宋体" w:hAnsi="宋体"/>
          <w:szCs w:val="21"/>
        </w:rPr>
        <mc:AlternateContent>
          <mc:Choice Requires="wpg">
            <w:drawing>
              <wp:anchor distT="0" distB="0" distL="114300" distR="114300" simplePos="0" relativeHeight="251679744" behindDoc="0" locked="0" layoutInCell="1" allowOverlap="1">
                <wp:simplePos x="0" y="0"/>
                <wp:positionH relativeFrom="page">
                  <wp:posOffset>542925</wp:posOffset>
                </wp:positionH>
                <wp:positionV relativeFrom="page">
                  <wp:posOffset>895350</wp:posOffset>
                </wp:positionV>
                <wp:extent cx="1270" cy="8905875"/>
                <wp:effectExtent l="0" t="0" r="0" b="0"/>
                <wp:wrapNone/>
                <wp:docPr id="33" name="组合 33"/>
                <wp:cNvGraphicFramePr/>
                <a:graphic xmlns:a="http://schemas.openxmlformats.org/drawingml/2006/main">
                  <a:graphicData uri="http://schemas.microsoft.com/office/word/2010/wordprocessingGroup">
                    <wpg:wgp>
                      <wpg:cNvGrpSpPr/>
                      <wpg:grpSpPr>
                        <a:xfrm>
                          <a:off x="0" y="0"/>
                          <a:ext cx="1270" cy="8905875"/>
                          <a:chOff x="855" y="1410"/>
                          <a:chExt cx="2" cy="14025"/>
                        </a:xfrm>
                      </wpg:grpSpPr>
                      <wps:wsp>
                        <wps:cNvPr id="34" name="任意多边形 34"/>
                        <wps:cNvSpPr/>
                        <wps:spPr>
                          <a:xfrm>
                            <a:off x="855" y="1410"/>
                            <a:ext cx="2" cy="14025"/>
                          </a:xfrm>
                          <a:custGeom>
                            <a:avLst/>
                            <a:gdLst/>
                            <a:ahLst/>
                            <a:cxnLst/>
                            <a:rect l="0" t="0" r="0" b="0"/>
                            <a:pathLst>
                              <a:path h="14025">
                                <a:moveTo>
                                  <a:pt x="0" y="0"/>
                                </a:moveTo>
                                <a:lnTo>
                                  <a:pt x="0" y="14025"/>
                                </a:lnTo>
                                <a:lnTo>
                                  <a:pt x="0" y="0"/>
                                </a:lnTo>
                                <a:close/>
                              </a:path>
                            </a:pathLst>
                          </a:custGeom>
                          <a:solidFill>
                            <a:srgbClr val="000000"/>
                          </a:solidFill>
                          <a:ln>
                            <a:noFill/>
                          </a:ln>
                        </wps:spPr>
                        <wps:bodyPr upright="1"/>
                      </wps:wsp>
                    </wpg:wgp>
                  </a:graphicData>
                </a:graphic>
              </wp:anchor>
            </w:drawing>
          </mc:Choice>
          <mc:Fallback>
            <w:pict>
              <v:group id="_x0000_s1026" o:spid="_x0000_s1026" o:spt="203" style="position:absolute;left:0pt;margin-left:42.75pt;margin-top:70.5pt;height:701.25pt;width:0.1pt;mso-position-horizontal-relative:page;mso-position-vertical-relative:page;z-index:251679744;mso-width-relative:page;mso-height-relative:page;" coordorigin="855,1410" coordsize="2,14025" o:gfxdata="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">
                <o:lock v:ext="edit" aspectratio="f"/>
                <v:shape id="_x0000_s1026" o:spid="_x0000_s1026" o:spt="100" style="position:absolute;left:855;top:1410;height:14025;width:2;" fillcolor="#000000" filled="t" stroked="f" coordsize="1,14025" o:gfxdata="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w/Varr4A&#10;AADbAAAADwAAAAAAAAABACAAAAAiAAAAZHJzL2Rvd25yZXYueG1sUEsBAhQAFAAAAAgAh07iQDMv&#10;BZ47AAAAOQAAABAAAAAAAAAAAQAgAAAADQEAAGRycy9zaGFwZXhtbC54bWxQSwUGAAAAAAYABgBb&#10;AQAAtwMAAAAA&#10;" path="m0,0l0,14025,0,0xe">
                  <v:fill on="t" focussize="0,0"/>
                  <v:stroke on="f"/>
                  <v:imagedata o:title=""/>
                  <o:lock v:ext="edit" aspectratio="f"/>
                </v:shape>
              </v:group>
            </w:pict>
          </mc:Fallback>
        </mc:AlternateContent>
      </w:r>
      <w:r>
        <w:rPr>
          <w:rFonts w:ascii="宋体" w:hAnsi="宋体"/>
          <w:szCs w:val="21"/>
        </w:rPr>
        <w:t>17.3工程进度付款</w:t>
      </w:r>
    </w:p>
    <w:p w14:paraId="5368CE2C">
      <w:pPr>
        <w:tabs>
          <w:tab w:val="left" w:pos="1914"/>
          <w:tab w:val="left" w:pos="5167"/>
        </w:tabs>
        <w:adjustRightInd w:val="0"/>
        <w:spacing w:line="406" w:lineRule="exact"/>
        <w:rPr>
          <w:rFonts w:hint="eastAsia" w:ascii="宋体" w:hAnsi="宋体" w:cs="Arial Unicode MS"/>
          <w:szCs w:val="21"/>
        </w:rPr>
      </w:pPr>
      <w:r>
        <w:rPr>
          <w:rFonts w:ascii="宋体" w:hAnsi="宋体" w:cs="Arial Unicode MS"/>
          <w:szCs w:val="21"/>
        </w:rPr>
        <w:t xml:space="preserve">17.3.2进度付款申请单 进度付款申请单的份数： </w:t>
      </w:r>
      <w:r>
        <w:rPr>
          <w:rFonts w:ascii="宋体" w:hAnsi="宋体" w:cs="Arial Unicode MS"/>
          <w:szCs w:val="21"/>
          <w:u w:val="single"/>
        </w:rPr>
        <w:t>一式捌份</w:t>
      </w:r>
      <w:r>
        <w:rPr>
          <w:rFonts w:ascii="宋体" w:hAnsi="宋体" w:cs="Arial Unicode MS"/>
          <w:szCs w:val="21"/>
          <w:u w:val="single"/>
        </w:rPr>
        <w:tab/>
      </w:r>
      <w:r>
        <w:rPr>
          <w:rFonts w:ascii="宋体" w:hAnsi="宋体" w:cs="Arial Unicode MS"/>
          <w:szCs w:val="21"/>
          <w:u w:val="single"/>
        </w:rPr>
        <w:t xml:space="preserve"> </w:t>
      </w:r>
    </w:p>
    <w:p w14:paraId="76BA59CE">
      <w:pPr>
        <w:adjustRightInd w:val="0"/>
        <w:spacing w:line="347" w:lineRule="exact"/>
        <w:rPr>
          <w:rFonts w:hint="eastAsia" w:ascii="宋体" w:hAnsi="宋体" w:cs="Arial Unicode MS"/>
          <w:szCs w:val="21"/>
        </w:rPr>
      </w:pPr>
      <w:r>
        <w:rPr>
          <w:rFonts w:ascii="宋体" w:hAnsi="宋体" w:cs="Arial Unicode MS"/>
          <w:szCs w:val="21"/>
        </w:rPr>
        <w:t>承包人报送监理人的进度付款申请单应包括下列内容：</w:t>
      </w:r>
    </w:p>
    <w:p w14:paraId="66141C49">
      <w:pPr>
        <w:adjustRightInd w:val="0"/>
        <w:spacing w:line="360" w:lineRule="exact"/>
        <w:rPr>
          <w:rFonts w:hint="eastAsia" w:ascii="宋体" w:hAnsi="宋体" w:cs="Arial Unicode MS"/>
          <w:szCs w:val="21"/>
        </w:rPr>
      </w:pPr>
      <w:r>
        <w:rPr>
          <w:rFonts w:ascii="宋体" w:hAnsi="宋体" w:cs="Arial Unicode MS"/>
          <w:szCs w:val="21"/>
        </w:rPr>
        <w:t>（6）根据合同应增加和（或）扣减的其他内容金额：</w:t>
      </w:r>
    </w:p>
    <w:p w14:paraId="2C8DFE74">
      <w:pPr>
        <w:pStyle w:val="34"/>
        <w:adjustRightInd w:val="0"/>
        <w:spacing w:line="417" w:lineRule="exact"/>
        <w:rPr>
          <w:rFonts w:hint="eastAsia"/>
          <w:sz w:val="21"/>
          <w:szCs w:val="21"/>
        </w:rPr>
      </w:pPr>
      <w:r>
        <w:rPr>
          <w:sz w:val="21"/>
          <w:szCs w:val="21"/>
          <w:u w:val="single"/>
        </w:rPr>
        <w:t>1、付款次数或编号</w:t>
      </w:r>
    </w:p>
    <w:p w14:paraId="5E676B20">
      <w:pPr>
        <w:pStyle w:val="34"/>
        <w:adjustRightInd w:val="0"/>
        <w:spacing w:line="420" w:lineRule="exact"/>
        <w:rPr>
          <w:rFonts w:hint="eastAsia"/>
          <w:sz w:val="21"/>
          <w:szCs w:val="21"/>
        </w:rPr>
      </w:pPr>
      <w:r>
        <w:rPr>
          <w:sz w:val="21"/>
          <w:szCs w:val="21"/>
          <w:u w:val="single"/>
        </w:rPr>
        <w:t>2、截止本次付款周期末已实施工程的价款;</w:t>
      </w:r>
    </w:p>
    <w:p w14:paraId="4085934D">
      <w:pPr>
        <w:pStyle w:val="34"/>
        <w:adjustRightInd w:val="0"/>
        <w:spacing w:line="420" w:lineRule="exact"/>
        <w:rPr>
          <w:rFonts w:hint="eastAsia"/>
          <w:sz w:val="21"/>
          <w:szCs w:val="21"/>
        </w:rPr>
      </w:pPr>
      <w:r>
        <w:rPr>
          <w:sz w:val="21"/>
          <w:szCs w:val="21"/>
          <w:u w:val="single"/>
        </w:rPr>
        <w:t>3、变更金额:</w:t>
      </w:r>
    </w:p>
    <w:p w14:paraId="5F70C14B">
      <w:pPr>
        <w:pStyle w:val="34"/>
        <w:adjustRightInd w:val="0"/>
        <w:spacing w:line="420" w:lineRule="exact"/>
        <w:rPr>
          <w:rFonts w:hint="eastAsia"/>
          <w:sz w:val="21"/>
          <w:szCs w:val="21"/>
        </w:rPr>
      </w:pPr>
      <w:r>
        <w:rPr>
          <w:sz w:val="21"/>
          <w:szCs w:val="21"/>
          <w:u w:val="single"/>
        </w:rPr>
        <w:t>4、索赔金额;</w:t>
      </w:r>
    </w:p>
    <w:p w14:paraId="03B44FAA">
      <w:pPr>
        <w:pStyle w:val="34"/>
        <w:adjustRightInd w:val="0"/>
        <w:spacing w:line="420" w:lineRule="exact"/>
        <w:rPr>
          <w:rFonts w:hint="eastAsia"/>
          <w:sz w:val="21"/>
          <w:szCs w:val="21"/>
        </w:rPr>
      </w:pPr>
      <w:r>
        <w:rPr>
          <w:sz w:val="21"/>
          <w:szCs w:val="21"/>
          <w:u w:val="single"/>
        </w:rPr>
        <w:t>5、本次应支付和预付款和(或)应扣减的返还预付款;</w:t>
      </w:r>
    </w:p>
    <w:p w14:paraId="3760D213">
      <w:pPr>
        <w:pStyle w:val="34"/>
        <w:adjustRightInd w:val="0"/>
        <w:spacing w:line="420" w:lineRule="exact"/>
        <w:rPr>
          <w:rFonts w:hint="eastAsia"/>
          <w:sz w:val="21"/>
          <w:szCs w:val="21"/>
        </w:rPr>
      </w:pPr>
      <w:r>
        <w:rPr>
          <w:sz w:val="21"/>
          <w:szCs w:val="21"/>
          <w:u w:val="single"/>
        </w:rPr>
        <w:t>6、本次扣减的质量保证金;</w:t>
      </w:r>
    </w:p>
    <w:p w14:paraId="1867E7EA">
      <w:pPr>
        <w:pStyle w:val="34"/>
        <w:adjustRightInd w:val="0"/>
        <w:spacing w:line="420" w:lineRule="exact"/>
        <w:rPr>
          <w:rFonts w:hint="eastAsia"/>
          <w:sz w:val="21"/>
          <w:szCs w:val="21"/>
          <w:u w:val="single"/>
        </w:rPr>
      </w:pPr>
      <w:r>
        <w:rPr>
          <w:sz w:val="21"/>
          <w:szCs w:val="21"/>
          <w:u w:val="single"/>
        </w:rPr>
        <w:t>7、根据合同应增加和扣减的其他金额</w:t>
      </w:r>
    </w:p>
    <w:p w14:paraId="6538BAA5">
      <w:pPr>
        <w:pStyle w:val="34"/>
        <w:adjustRightInd w:val="0"/>
        <w:spacing w:line="420" w:lineRule="exact"/>
        <w:rPr>
          <w:rFonts w:hint="eastAsia"/>
          <w:sz w:val="21"/>
          <w:szCs w:val="21"/>
        </w:rPr>
      </w:pPr>
      <w:r>
        <w:rPr>
          <w:rFonts w:cs="Arial Unicode MS"/>
          <w:sz w:val="21"/>
          <w:szCs w:val="21"/>
        </w:rPr>
        <w:t>（7）本次应付进度款：</w:t>
      </w:r>
      <w:r>
        <w:rPr>
          <w:sz w:val="21"/>
          <w:szCs w:val="21"/>
          <w:u w:val="single"/>
        </w:rPr>
        <w:t>/</w:t>
      </w:r>
    </w:p>
    <w:p w14:paraId="4C5D4673">
      <w:pPr>
        <w:tabs>
          <w:tab w:val="left" w:pos="1914"/>
        </w:tabs>
        <w:adjustRightInd w:val="0"/>
        <w:spacing w:line="364" w:lineRule="exact"/>
        <w:rPr>
          <w:rFonts w:hint="eastAsia" w:ascii="宋体" w:hAnsi="宋体" w:cs="Arial Unicode MS"/>
          <w:szCs w:val="21"/>
        </w:rPr>
      </w:pPr>
      <w:r>
        <w:rPr>
          <w:rFonts w:ascii="宋体" w:hAnsi="宋体" w:cs="Arial Unicode MS"/>
          <w:szCs w:val="21"/>
        </w:rPr>
        <w:t>17.3.3进度付款证书和支付时间</w:t>
      </w:r>
    </w:p>
    <w:p w14:paraId="316482F1">
      <w:pPr>
        <w:numPr>
          <w:ilvl w:val="0"/>
          <w:numId w:val="38"/>
        </w:numPr>
        <w:adjustRightInd w:val="0"/>
        <w:spacing w:before="51" w:line="376" w:lineRule="exact"/>
        <w:jc w:val="left"/>
        <w:rPr>
          <w:rFonts w:hint="eastAsia" w:ascii="宋体" w:hAnsi="宋体" w:cs="Arial Unicode MS"/>
          <w:szCs w:val="21"/>
        </w:rPr>
      </w:pPr>
      <w:r>
        <w:rPr>
          <w:rFonts w:ascii="宋体" w:hAnsi="宋体" w:cs="Arial Unicode MS"/>
          <w:szCs w:val="21"/>
        </w:rPr>
        <w:t>逾期付款违约金的计算标准：</w:t>
      </w:r>
      <w:r>
        <w:rPr>
          <w:rFonts w:ascii="宋体" w:hAnsi="宋体" w:cs="Arial Unicode MS"/>
          <w:szCs w:val="21"/>
          <w:u w:val="single"/>
        </w:rPr>
        <w:t>/</w:t>
      </w:r>
      <w:r>
        <w:rPr>
          <w:rFonts w:ascii="宋体" w:hAnsi="宋体" w:cs="Arial Unicode MS"/>
          <w:szCs w:val="21"/>
        </w:rPr>
        <w:t xml:space="preserve"> </w:t>
      </w:r>
    </w:p>
    <w:p w14:paraId="7800373B">
      <w:pPr>
        <w:numPr>
          <w:ilvl w:val="0"/>
          <w:numId w:val="38"/>
        </w:numPr>
        <w:adjustRightInd w:val="0"/>
        <w:spacing w:before="51" w:line="376" w:lineRule="exact"/>
        <w:jc w:val="left"/>
        <w:rPr>
          <w:rFonts w:hint="eastAsia" w:ascii="宋体" w:hAnsi="宋体"/>
          <w:szCs w:val="21"/>
        </w:rPr>
      </w:pPr>
      <w:r>
        <w:rPr>
          <w:rFonts w:ascii="宋体" w:hAnsi="宋体" w:cs="Arial Unicode MS"/>
          <w:szCs w:val="21"/>
        </w:rPr>
        <w:t>逾期付款违约金的计算方法：</w:t>
      </w:r>
      <w:r>
        <w:rPr>
          <w:rFonts w:ascii="宋体" w:hAnsi="宋体"/>
          <w:szCs w:val="21"/>
          <w:u w:val="single"/>
        </w:rPr>
        <w:t>/</w:t>
      </w:r>
    </w:p>
    <w:p w14:paraId="3B53D0EA">
      <w:pPr>
        <w:numPr>
          <w:ilvl w:val="0"/>
          <w:numId w:val="38"/>
        </w:numPr>
        <w:adjustRightInd w:val="0"/>
        <w:spacing w:line="364" w:lineRule="exact"/>
        <w:rPr>
          <w:rFonts w:hint="eastAsia" w:ascii="宋体" w:hAnsi="宋体" w:cs="Arial Unicode MS"/>
          <w:szCs w:val="21"/>
        </w:rPr>
      </w:pPr>
      <w:r>
        <w:rPr>
          <w:rFonts w:ascii="宋体" w:hAnsi="宋体" w:cs="Arial Unicode MS"/>
          <w:szCs w:val="21"/>
        </w:rPr>
        <w:t>进度付款涉及政府性资金的支付方法：</w:t>
      </w:r>
    </w:p>
    <w:p w14:paraId="67CAEC06">
      <w:pPr>
        <w:pStyle w:val="34"/>
        <w:tabs>
          <w:tab w:val="left" w:pos="1374"/>
        </w:tabs>
        <w:adjustRightInd w:val="0"/>
        <w:spacing w:line="371" w:lineRule="exact"/>
        <w:rPr>
          <w:sz w:val="21"/>
          <w:szCs w:val="18"/>
          <w:highlight w:val="none"/>
          <w:u w:val="single"/>
        </w:rPr>
      </w:pPr>
      <w:r>
        <w:rPr>
          <w:rFonts w:hint="eastAsia"/>
          <w:sz w:val="21"/>
          <w:szCs w:val="18"/>
          <w:highlight w:val="none"/>
          <w:u w:val="single"/>
        </w:rPr>
        <w:t>签订合同后支付合同金额的50%，工程竣工验收合格且完成财政评审后依据评审定案金额支付合同剩余尾款，本合同最终金额以财政评审定案金额为准。</w:t>
      </w:r>
    </w:p>
    <w:p w14:paraId="19826BDD">
      <w:pPr>
        <w:pStyle w:val="34"/>
        <w:tabs>
          <w:tab w:val="left" w:pos="1374"/>
        </w:tabs>
        <w:adjustRightInd w:val="0"/>
        <w:spacing w:line="371" w:lineRule="exact"/>
        <w:rPr>
          <w:rFonts w:hint="eastAsia"/>
          <w:sz w:val="21"/>
          <w:szCs w:val="18"/>
          <w:u w:val="single"/>
        </w:rPr>
      </w:pPr>
      <w:r>
        <w:rPr>
          <w:rFonts w:hint="eastAsia"/>
          <w:sz w:val="21"/>
          <w:szCs w:val="18"/>
          <w:u w:val="single"/>
        </w:rPr>
        <w:t>发包人支付尾款前，承包人应先向发包人提交工程评审定案金额3%的质保金保函，否则发包人有权拒绝付款且不承担任何责任。（政府投资或者以政府投资为主的建设项目纳入审计或评审项目计划的，发包人和承包人均负有配合、接受审计或评审机关审计或评审的义务，竣工结算应当依据审计或评审结论，办清竣工结算和竣工付款的时间按照相关规定执行）。</w:t>
      </w:r>
    </w:p>
    <w:p w14:paraId="3B70C25F">
      <w:pPr>
        <w:pStyle w:val="34"/>
        <w:tabs>
          <w:tab w:val="left" w:pos="1374"/>
        </w:tabs>
        <w:adjustRightInd w:val="0"/>
        <w:spacing w:line="371" w:lineRule="exact"/>
        <w:rPr>
          <w:rFonts w:hint="eastAsia"/>
          <w:sz w:val="21"/>
          <w:szCs w:val="21"/>
        </w:rPr>
      </w:pPr>
      <w:r>
        <w:rPr>
          <w:sz w:val="21"/>
          <w:szCs w:val="21"/>
        </w:rPr>
        <w:t>17.4质量保证金</w:t>
      </w:r>
    </w:p>
    <w:p w14:paraId="6FDD7C1E">
      <w:pPr>
        <w:adjustRightInd w:val="0"/>
        <w:spacing w:before="1"/>
        <w:rPr>
          <w:rFonts w:hint="eastAsia" w:ascii="宋体" w:hAnsi="宋体" w:cs="Arial Unicode MS"/>
          <w:szCs w:val="21"/>
        </w:rPr>
      </w:pPr>
    </w:p>
    <w:p w14:paraId="1EEF814A">
      <w:pPr>
        <w:tabs>
          <w:tab w:val="left" w:pos="1914"/>
        </w:tabs>
        <w:adjustRightInd w:val="0"/>
        <w:spacing w:line="364" w:lineRule="exact"/>
        <w:rPr>
          <w:rFonts w:hint="eastAsia" w:ascii="宋体" w:hAnsi="宋体" w:cs="Arial Unicode MS"/>
          <w:szCs w:val="21"/>
        </w:rPr>
      </w:pPr>
      <w:r>
        <w:rPr>
          <w:rFonts w:ascii="宋体" w:hAnsi="宋体" w:cs="Arial Unicode MS"/>
          <w:szCs w:val="21"/>
        </w:rPr>
        <w:t>17.4.1质量保证金处理</w:t>
      </w:r>
    </w:p>
    <w:p w14:paraId="653FA70F">
      <w:pPr>
        <w:adjustRightInd w:val="0"/>
        <w:spacing w:before="51" w:line="376" w:lineRule="exact"/>
        <w:rPr>
          <w:rFonts w:hint="eastAsia" w:ascii="宋体" w:hAnsi="宋体" w:cs="Arial Unicode MS"/>
          <w:szCs w:val="21"/>
        </w:rPr>
      </w:pPr>
      <w:r>
        <w:rPr>
          <w:rFonts w:ascii="宋体" w:hAnsi="宋体" w:cs="Arial Unicode MS"/>
          <w:szCs w:val="21"/>
        </w:rPr>
        <w:t>（3）质量保证金形式：</w:t>
      </w:r>
      <w:r>
        <w:rPr>
          <w:rFonts w:ascii="宋体" w:hAnsi="宋体" w:cs="Arial Unicode MS"/>
          <w:szCs w:val="21"/>
          <w:u w:val="single"/>
        </w:rPr>
        <w:t>采用银行保函担保或其他保函担保形式</w:t>
      </w:r>
      <w:r>
        <w:rPr>
          <w:rFonts w:ascii="宋体" w:hAnsi="宋体" w:cs="Arial Unicode MS"/>
          <w:szCs w:val="21"/>
        </w:rPr>
        <w:t>（采用银行保函担保或其他保 函担保形式╱采用扣留质量保证金）。质量保证金约定比例：</w:t>
      </w:r>
      <w:r>
        <w:rPr>
          <w:rFonts w:ascii="宋体" w:hAnsi="宋体" w:cs="Arial Unicode MS"/>
          <w:szCs w:val="21"/>
          <w:u w:val="single"/>
        </w:rPr>
        <w:t>须向</w:t>
      </w:r>
      <w:r>
        <w:rPr>
          <w:rFonts w:hint="eastAsia" w:ascii="宋体" w:hAnsi="宋体" w:cs="Arial Unicode MS"/>
          <w:szCs w:val="21"/>
          <w:u w:val="single"/>
        </w:rPr>
        <w:t>发包人</w:t>
      </w:r>
      <w:r>
        <w:rPr>
          <w:rFonts w:ascii="宋体" w:hAnsi="宋体" w:cs="Arial Unicode MS"/>
          <w:szCs w:val="21"/>
          <w:u w:val="single"/>
        </w:rPr>
        <w:t>交付工程评审定案金额3</w:t>
      </w:r>
      <w:r>
        <w:rPr>
          <w:rFonts w:ascii="宋体" w:hAnsi="宋体" w:cs="Arial Unicode MS"/>
          <w:szCs w:val="21"/>
        </w:rPr>
        <w:t>%</w:t>
      </w:r>
    </w:p>
    <w:p w14:paraId="55F8C69C">
      <w:pPr>
        <w:adjustRightInd w:val="0"/>
        <w:spacing w:line="395" w:lineRule="exact"/>
        <w:rPr>
          <w:rFonts w:hint="eastAsia" w:ascii="宋体" w:hAnsi="宋体"/>
          <w:szCs w:val="21"/>
        </w:rPr>
      </w:pPr>
      <w:r>
        <w:rPr>
          <w:rFonts w:ascii="宋体" w:hAnsi="宋体"/>
          <w:szCs w:val="21"/>
        </w:rPr>
        <mc:AlternateContent>
          <mc:Choice Requires="wpg">
            <w:drawing>
              <wp:anchor distT="0" distB="0" distL="114300" distR="114300" simplePos="0" relativeHeight="251681792" behindDoc="0" locked="0" layoutInCell="1" allowOverlap="1">
                <wp:simplePos x="0" y="0"/>
                <wp:positionH relativeFrom="page">
                  <wp:posOffset>542925</wp:posOffset>
                </wp:positionH>
                <wp:positionV relativeFrom="page">
                  <wp:posOffset>895350</wp:posOffset>
                </wp:positionV>
                <wp:extent cx="1270" cy="8905875"/>
                <wp:effectExtent l="0" t="0" r="0" b="0"/>
                <wp:wrapNone/>
                <wp:docPr id="35" name="组合 35"/>
                <wp:cNvGraphicFramePr/>
                <a:graphic xmlns:a="http://schemas.openxmlformats.org/drawingml/2006/main">
                  <a:graphicData uri="http://schemas.microsoft.com/office/word/2010/wordprocessingGroup">
                    <wpg:wgp>
                      <wpg:cNvGrpSpPr/>
                      <wpg:grpSpPr>
                        <a:xfrm>
                          <a:off x="0" y="0"/>
                          <a:ext cx="1270" cy="8905875"/>
                          <a:chOff x="855" y="1410"/>
                          <a:chExt cx="2" cy="14025"/>
                        </a:xfrm>
                      </wpg:grpSpPr>
                      <wps:wsp>
                        <wps:cNvPr id="52" name="任意多边形 52"/>
                        <wps:cNvSpPr/>
                        <wps:spPr>
                          <a:xfrm>
                            <a:off x="855" y="1410"/>
                            <a:ext cx="2" cy="14025"/>
                          </a:xfrm>
                          <a:custGeom>
                            <a:avLst/>
                            <a:gdLst/>
                            <a:ahLst/>
                            <a:cxnLst/>
                            <a:rect l="0" t="0" r="0" b="0"/>
                            <a:pathLst>
                              <a:path h="14025">
                                <a:moveTo>
                                  <a:pt x="0" y="0"/>
                                </a:moveTo>
                                <a:lnTo>
                                  <a:pt x="0" y="14025"/>
                                </a:lnTo>
                                <a:lnTo>
                                  <a:pt x="0" y="0"/>
                                </a:lnTo>
                                <a:close/>
                              </a:path>
                            </a:pathLst>
                          </a:custGeom>
                          <a:solidFill>
                            <a:srgbClr val="000000"/>
                          </a:solidFill>
                          <a:ln>
                            <a:noFill/>
                          </a:ln>
                        </wps:spPr>
                        <wps:bodyPr upright="1"/>
                      </wps:wsp>
                    </wpg:wgp>
                  </a:graphicData>
                </a:graphic>
              </wp:anchor>
            </w:drawing>
          </mc:Choice>
          <mc:Fallback>
            <w:pict>
              <v:group id="_x0000_s1026" o:spid="_x0000_s1026" o:spt="203" style="position:absolute;left:0pt;margin-left:42.75pt;margin-top:70.5pt;height:701.25pt;width:0.1pt;mso-position-horizontal-relative:page;mso-position-vertical-relative:page;z-index:251681792;mso-width-relative:page;mso-height-relative:page;" coordorigin="855,1410" coordsize="2,14025" o:gfxdata="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AR6s6fZAAAACgEAAA8AAAAAAAAAAQAgAAAAIgAAAGRycy9kb3ducmV2LnhtbFBLAQIUABQA&#10;AAAIAIdO4kD4lg2lYQIAAHkFAAAOAAAAAAAAAAEAIAAAACgBAABkcnMvZTJvRG9jLnhtbFBLBQYA&#10;AAAABgAGAFkBAAD7BQAAAAA=&#10;">
                <o:lock v:ext="edit" aspectratio="f"/>
                <v:shape id="_x0000_s1026" o:spid="_x0000_s1026" o:spt="100" style="position:absolute;left:855;top:1410;height:14025;width:2;" fillcolor="#000000" filled="t" stroked="f" coordsize="1,14025" o:gfxdata="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o+C4b4A&#10;AADbAAAADwAAAAAAAAABACAAAAAiAAAAZHJzL2Rvd25yZXYueG1sUEsBAhQAFAAAAAgAh07iQDMv&#10;BZ47AAAAOQAAABAAAAAAAAAAAQAgAAAADQEAAGRycy9zaGFwZXhtbC54bWxQSwUGAAAAAAYABgBb&#10;AQAAtwMAAAAA&#10;" path="m0,0l0,14025,0,0xe">
                  <v:fill on="t" focussize="0,0"/>
                  <v:stroke on="f"/>
                  <v:imagedata o:title=""/>
                  <o:lock v:ext="edit" aspectratio="f"/>
                </v:shape>
              </v:group>
            </w:pict>
          </mc:Fallback>
        </mc:AlternateContent>
      </w:r>
      <w:r>
        <w:rPr>
          <w:rFonts w:ascii="宋体" w:hAnsi="宋体"/>
          <w:szCs w:val="21"/>
        </w:rPr>
        <w:t>17.5</w:t>
      </w:r>
      <w:r>
        <w:rPr>
          <w:rFonts w:ascii="宋体" w:hAnsi="宋体"/>
          <w:szCs w:val="21"/>
        </w:rPr>
        <w:tab/>
      </w:r>
      <w:r>
        <w:rPr>
          <w:rFonts w:ascii="宋体" w:hAnsi="宋体"/>
          <w:szCs w:val="21"/>
        </w:rPr>
        <w:t>竣工结算</w:t>
      </w:r>
    </w:p>
    <w:p w14:paraId="43E8388C">
      <w:pPr>
        <w:adjustRightInd w:val="0"/>
        <w:spacing w:line="237" w:lineRule="auto"/>
        <w:rPr>
          <w:rFonts w:hint="eastAsia" w:ascii="宋体" w:hAnsi="宋体" w:cs="Arial Unicode MS"/>
          <w:szCs w:val="21"/>
        </w:rPr>
      </w:pPr>
      <w:r>
        <w:rPr>
          <w:rFonts w:ascii="宋体" w:hAnsi="宋体" w:cs="Arial Unicode MS"/>
          <w:szCs w:val="21"/>
        </w:rPr>
        <w:t>17.5.1 过程结算 本工程</w:t>
      </w:r>
      <w:r>
        <w:rPr>
          <w:rFonts w:ascii="宋体" w:hAnsi="宋体" w:cs="Arial Unicode MS"/>
          <w:szCs w:val="21"/>
          <w:u w:val="single"/>
        </w:rPr>
        <w:t>不进行</w:t>
      </w:r>
      <w:r>
        <w:rPr>
          <w:rFonts w:ascii="宋体" w:hAnsi="宋体" w:cs="Arial Unicode MS"/>
          <w:szCs w:val="21"/>
        </w:rPr>
        <w:t>（进行/不进行）过程结算。 过程结算的相关要求：</w:t>
      </w:r>
      <w:r>
        <w:rPr>
          <w:rFonts w:ascii="宋体" w:hAnsi="宋体" w:cs="Arial Unicode MS"/>
          <w:szCs w:val="21"/>
          <w:u w:val="single"/>
        </w:rPr>
        <w:t>/</w:t>
      </w:r>
    </w:p>
    <w:p w14:paraId="3ECE1F96">
      <w:pPr>
        <w:tabs>
          <w:tab w:val="left" w:pos="1914"/>
        </w:tabs>
        <w:adjustRightInd w:val="0"/>
        <w:spacing w:line="364" w:lineRule="exact"/>
        <w:rPr>
          <w:rFonts w:hint="eastAsia" w:ascii="宋体" w:hAnsi="宋体" w:cs="Arial Unicode MS"/>
          <w:szCs w:val="21"/>
        </w:rPr>
      </w:pPr>
      <w:r>
        <w:rPr>
          <w:rFonts w:ascii="宋体" w:hAnsi="宋体" w:cs="Arial Unicode MS"/>
          <w:szCs w:val="21"/>
        </w:rPr>
        <w:t>17.5.2竣工付款申请单</w:t>
      </w:r>
    </w:p>
    <w:p w14:paraId="049E9756">
      <w:pPr>
        <w:tabs>
          <w:tab w:val="left" w:pos="8317"/>
        </w:tabs>
        <w:adjustRightInd w:val="0"/>
        <w:spacing w:before="16" w:line="420" w:lineRule="exact"/>
        <w:rPr>
          <w:rFonts w:hint="eastAsia" w:ascii="宋体" w:hAnsi="宋体" w:cs="Arial Unicode MS"/>
          <w:szCs w:val="21"/>
        </w:rPr>
      </w:pPr>
      <w:r>
        <w:rPr>
          <w:rFonts w:ascii="宋体" w:hAnsi="宋体" w:cs="Arial Unicode MS"/>
          <w:szCs w:val="21"/>
        </w:rPr>
        <w:t>（1）承包人提交竣工付款申请单的份数：</w:t>
      </w:r>
      <w:r>
        <w:rPr>
          <w:rFonts w:ascii="宋体" w:hAnsi="宋体" w:cs="Arial Unicode MS"/>
          <w:szCs w:val="21"/>
          <w:u w:val="single"/>
        </w:rPr>
        <w:t xml:space="preserve">提交5份竣工付款申请单 </w:t>
      </w:r>
      <w:r>
        <w:rPr>
          <w:rFonts w:ascii="宋体" w:hAnsi="宋体" w:cs="Arial Unicode MS"/>
          <w:szCs w:val="21"/>
        </w:rPr>
        <w:t>承包人提交竣工付款申请单的期限：</w:t>
      </w:r>
      <w:r>
        <w:rPr>
          <w:rFonts w:ascii="宋体" w:hAnsi="宋体" w:cs="Arial Unicode MS"/>
          <w:szCs w:val="21"/>
          <w:u w:val="single"/>
        </w:rPr>
        <w:t>在工程接收证书颁发后14天内</w:t>
      </w:r>
      <w:r>
        <w:rPr>
          <w:rFonts w:ascii="宋体" w:hAnsi="宋体" w:cs="Arial Unicode MS"/>
          <w:szCs w:val="21"/>
          <w:u w:val="single"/>
        </w:rPr>
        <w:tab/>
      </w:r>
      <w:r>
        <w:rPr>
          <w:rFonts w:ascii="宋体" w:hAnsi="宋体" w:cs="Arial Unicode MS"/>
          <w:szCs w:val="21"/>
          <w:u w:val="single"/>
        </w:rPr>
        <w:t xml:space="preserve"> </w:t>
      </w:r>
    </w:p>
    <w:p w14:paraId="5320698D">
      <w:pPr>
        <w:adjustRightInd w:val="0"/>
        <w:spacing w:line="420" w:lineRule="exact"/>
        <w:rPr>
          <w:rFonts w:hint="eastAsia" w:ascii="宋体" w:hAnsi="宋体" w:cs="Arial Unicode MS"/>
          <w:szCs w:val="21"/>
        </w:rPr>
      </w:pPr>
      <w:r>
        <w:rPr>
          <w:rFonts w:ascii="宋体" w:hAnsi="宋体" w:cs="Arial Unicode MS"/>
          <w:szCs w:val="21"/>
        </w:rPr>
        <w:t>（2）竣工付款申请单的其他内容：</w:t>
      </w:r>
      <w:r>
        <w:rPr>
          <w:rFonts w:ascii="宋体" w:hAnsi="宋体" w:cs="Arial Unicode MS"/>
          <w:szCs w:val="21"/>
          <w:u w:val="single"/>
        </w:rPr>
        <w:t>竣工结算合同总价、已支付的工程价款、应扣回的预付 款、应扣留的质量保证金、应支付的竣工付款金额等</w:t>
      </w:r>
    </w:p>
    <w:p w14:paraId="1D7E1F9D">
      <w:pPr>
        <w:adjustRightInd w:val="0"/>
        <w:spacing w:before="9"/>
        <w:rPr>
          <w:rFonts w:hint="eastAsia" w:ascii="宋体" w:hAnsi="宋体" w:cs="Arial Unicode MS"/>
          <w:szCs w:val="21"/>
        </w:rPr>
      </w:pPr>
    </w:p>
    <w:p w14:paraId="0A8F9844">
      <w:pPr>
        <w:pStyle w:val="34"/>
        <w:tabs>
          <w:tab w:val="left" w:pos="1374"/>
        </w:tabs>
        <w:adjustRightInd w:val="0"/>
        <w:spacing w:line="371" w:lineRule="exact"/>
        <w:rPr>
          <w:rFonts w:hint="eastAsia"/>
          <w:sz w:val="21"/>
          <w:szCs w:val="21"/>
        </w:rPr>
      </w:pPr>
      <w:r>
        <w:rPr>
          <w:sz w:val="21"/>
          <w:szCs w:val="21"/>
        </w:rPr>
        <w:t>17.6最终结清</w:t>
      </w:r>
    </w:p>
    <w:p w14:paraId="41D10E18">
      <w:pPr>
        <w:adjustRightInd w:val="0"/>
        <w:spacing w:line="364" w:lineRule="exact"/>
        <w:rPr>
          <w:rFonts w:hint="eastAsia" w:ascii="宋体" w:hAnsi="宋体" w:cs="Arial Unicode MS"/>
          <w:szCs w:val="21"/>
        </w:rPr>
      </w:pPr>
      <w:r>
        <w:rPr>
          <w:rFonts w:ascii="宋体" w:hAnsi="宋体" w:cs="Arial Unicode MS"/>
          <w:szCs w:val="21"/>
        </w:rPr>
        <w:t>17.6.1最终结清申请单</w:t>
      </w:r>
    </w:p>
    <w:p w14:paraId="0C167AB3">
      <w:pPr>
        <w:tabs>
          <w:tab w:val="left" w:pos="7479"/>
        </w:tabs>
        <w:adjustRightInd w:val="0"/>
        <w:rPr>
          <w:rFonts w:hint="eastAsia" w:ascii="宋体" w:hAnsi="宋体"/>
          <w:szCs w:val="21"/>
        </w:rPr>
      </w:pPr>
      <w:r>
        <w:rPr>
          <w:rFonts w:ascii="宋体" w:hAnsi="宋体" w:cs="Arial Unicode MS"/>
          <w:szCs w:val="21"/>
        </w:rPr>
        <w:t>（1）承包人提交最终结清申请单的份数：</w:t>
      </w:r>
      <w:r>
        <w:rPr>
          <w:rFonts w:ascii="宋体" w:hAnsi="宋体" w:cs="Arial Unicode MS"/>
          <w:szCs w:val="21"/>
          <w:u w:val="single"/>
        </w:rPr>
        <w:t>提交5份最终结清申请</w:t>
      </w:r>
      <w:r>
        <w:rPr>
          <w:rFonts w:ascii="宋体" w:hAnsi="宋体" w:cs="Arial Unicode MS"/>
          <w:szCs w:val="21"/>
        </w:rPr>
        <w:t>承包人提交最终结清申请单的期限：</w:t>
      </w:r>
      <w:r>
        <w:rPr>
          <w:rFonts w:ascii="宋体" w:hAnsi="宋体" w:cs="Arial Unicode MS"/>
          <w:szCs w:val="21"/>
          <w:u w:val="single"/>
        </w:rPr>
        <w:t xml:space="preserve">缺陷责任期终止，证书签发后30日内 </w:t>
      </w:r>
      <w:r>
        <w:rPr>
          <w:rFonts w:ascii="宋体" w:hAnsi="宋体" w:cs="Arial Unicode MS"/>
          <w:szCs w:val="21"/>
        </w:rPr>
        <w:t>发包人向承包人</w:t>
      </w:r>
      <w:r>
        <w:rPr>
          <w:rFonts w:ascii="宋体" w:hAnsi="宋体" w:cs="Arial Unicode MS"/>
          <w:szCs w:val="21"/>
          <w:u w:val="single"/>
        </w:rPr>
        <w:t>不支付</w:t>
      </w:r>
      <w:r>
        <w:rPr>
          <w:rFonts w:ascii="宋体" w:hAnsi="宋体" w:cs="Arial Unicode MS"/>
          <w:szCs w:val="21"/>
        </w:rPr>
        <w:t>（支付/不支付）质量保证金利息。发包人向承包人支付质量保证金利息的，利息计算方法：</w:t>
      </w:r>
      <w:r>
        <w:rPr>
          <w:rFonts w:ascii="宋体" w:hAnsi="宋体"/>
          <w:szCs w:val="21"/>
          <w:u w:val="single"/>
        </w:rPr>
        <w:t>/</w:t>
      </w:r>
    </w:p>
    <w:p w14:paraId="556DDF8C">
      <w:pPr>
        <w:pStyle w:val="3"/>
        <w:spacing w:line="439" w:lineRule="exact"/>
        <w:jc w:val="both"/>
        <w:rPr>
          <w:rFonts w:hint="eastAsia" w:hAnsi="宋体"/>
          <w:szCs w:val="32"/>
        </w:rPr>
      </w:pPr>
      <w:r>
        <w:rPr>
          <w:rFonts w:hAnsi="宋体"/>
          <w:szCs w:val="32"/>
        </w:rPr>
        <w:t>18.竣工验收</w:t>
      </w:r>
    </w:p>
    <w:p w14:paraId="7325D260">
      <w:pPr>
        <w:pStyle w:val="34"/>
        <w:tabs>
          <w:tab w:val="left" w:pos="1374"/>
        </w:tabs>
        <w:adjustRightInd w:val="0"/>
        <w:rPr>
          <w:rFonts w:hint="eastAsia"/>
          <w:sz w:val="21"/>
          <w:szCs w:val="21"/>
        </w:rPr>
      </w:pPr>
      <w:r>
        <w:rPr>
          <w:sz w:val="21"/>
          <w:szCs w:val="21"/>
        </w:rPr>
        <w:t>18.2竣工验收申请报告</w:t>
      </w:r>
    </w:p>
    <w:p w14:paraId="0D04A8E2">
      <w:pPr>
        <w:adjustRightInd w:val="0"/>
        <w:spacing w:line="364" w:lineRule="exact"/>
        <w:rPr>
          <w:rFonts w:hint="eastAsia" w:ascii="宋体" w:hAnsi="宋体" w:cs="Arial Unicode MS"/>
          <w:szCs w:val="21"/>
        </w:rPr>
      </w:pPr>
      <w:r>
        <w:rPr>
          <w:rFonts w:ascii="宋体" w:hAnsi="宋体" w:cs="Arial Unicode MS"/>
          <w:szCs w:val="21"/>
        </w:rPr>
        <w:t>（2）承包人负责整理和提交的竣工验收资料具体内容：</w:t>
      </w:r>
    </w:p>
    <w:p w14:paraId="06CFB142">
      <w:pPr>
        <w:pStyle w:val="34"/>
        <w:tabs>
          <w:tab w:val="left" w:pos="1974"/>
          <w:tab w:val="left" w:pos="2364"/>
        </w:tabs>
        <w:adjustRightInd w:val="0"/>
        <w:spacing w:before="16" w:line="420" w:lineRule="exact"/>
        <w:rPr>
          <w:rFonts w:hint="eastAsia"/>
          <w:sz w:val="21"/>
          <w:szCs w:val="21"/>
        </w:rPr>
      </w:pPr>
      <w:r>
        <w:rPr>
          <w:sz w:val="21"/>
          <w:szCs w:val="21"/>
          <w:u w:val="single"/>
        </w:rPr>
        <w:t>竣工图纸、竣工验收申请、中间验收资料等（按城建档案管理机构的有关要求）</w:t>
      </w:r>
    </w:p>
    <w:p w14:paraId="68CFEB91">
      <w:pPr>
        <w:tabs>
          <w:tab w:val="left" w:pos="5814"/>
        </w:tabs>
        <w:adjustRightInd w:val="0"/>
        <w:spacing w:line="401" w:lineRule="exact"/>
        <w:rPr>
          <w:rFonts w:hint="eastAsia" w:ascii="宋体" w:hAnsi="宋体" w:cs="Arial Unicode MS"/>
          <w:szCs w:val="21"/>
        </w:rPr>
      </w:pPr>
      <w:r>
        <w:rPr>
          <w:rFonts w:ascii="宋体" w:hAnsi="宋体" w:cs="Arial Unicode MS"/>
          <w:szCs w:val="21"/>
        </w:rPr>
        <w:t>竣工验收资料的份数：</w:t>
      </w:r>
      <w:r>
        <w:rPr>
          <w:rFonts w:ascii="宋体" w:hAnsi="宋体" w:cs="Arial Unicode MS"/>
          <w:szCs w:val="21"/>
          <w:u w:val="single"/>
        </w:rPr>
        <w:t>4份以及电子文档1份</w:t>
      </w:r>
      <w:r>
        <w:rPr>
          <w:rFonts w:ascii="宋体" w:hAnsi="宋体" w:cs="Arial Unicode MS"/>
          <w:szCs w:val="21"/>
        </w:rPr>
        <w:t>竣工验收资料的费用支付方式：</w:t>
      </w:r>
      <w:r>
        <w:rPr>
          <w:rFonts w:hint="eastAsia" w:ascii="宋体" w:hAnsi="宋体" w:cs="Arial Unicode MS"/>
          <w:szCs w:val="21"/>
          <w:u w:val="single"/>
        </w:rPr>
        <w:t>由承包人承担，已含在合同价内。</w:t>
      </w:r>
    </w:p>
    <w:p w14:paraId="0B8D1B88">
      <w:pPr>
        <w:adjustRightInd w:val="0"/>
        <w:spacing w:before="11"/>
        <w:rPr>
          <w:rFonts w:hint="eastAsia" w:ascii="宋体" w:hAnsi="宋体" w:cs="Arial Unicode MS"/>
          <w:szCs w:val="21"/>
        </w:rPr>
      </w:pPr>
    </w:p>
    <w:p w14:paraId="3F65DB91">
      <w:pPr>
        <w:pStyle w:val="34"/>
        <w:tabs>
          <w:tab w:val="left" w:pos="1374"/>
        </w:tabs>
        <w:adjustRightInd w:val="0"/>
        <w:spacing w:line="371" w:lineRule="exact"/>
        <w:rPr>
          <w:rFonts w:hint="eastAsia"/>
          <w:sz w:val="21"/>
          <w:szCs w:val="21"/>
        </w:rPr>
      </w:pPr>
      <w:r>
        <w:rPr>
          <w:sz w:val="21"/>
          <w:szCs w:val="21"/>
        </w:rPr>
        <w:t>18.5施工期运行</w:t>
      </w:r>
    </w:p>
    <w:p w14:paraId="41A51521">
      <w:pPr>
        <w:tabs>
          <w:tab w:val="left" w:pos="1914"/>
        </w:tabs>
        <w:adjustRightInd w:val="0"/>
        <w:spacing w:line="364" w:lineRule="exact"/>
        <w:rPr>
          <w:rFonts w:hint="eastAsia" w:ascii="宋体" w:hAnsi="宋体"/>
          <w:szCs w:val="21"/>
        </w:rPr>
      </w:pPr>
      <w:r>
        <w:rPr>
          <w:rFonts w:ascii="宋体" w:hAnsi="宋体" w:cs="Arial Unicode MS"/>
          <w:szCs w:val="21"/>
        </w:rPr>
        <w:t>18.5.1需要施工期运行的单位工程或设备安装工程：</w:t>
      </w:r>
      <w:r>
        <w:rPr>
          <w:rFonts w:ascii="宋体" w:hAnsi="宋体"/>
          <w:szCs w:val="21"/>
          <w:u w:val="single"/>
        </w:rPr>
        <w:t>/</w:t>
      </w:r>
    </w:p>
    <w:p w14:paraId="75286974">
      <w:pPr>
        <w:pStyle w:val="34"/>
        <w:tabs>
          <w:tab w:val="left" w:pos="1374"/>
        </w:tabs>
        <w:adjustRightInd w:val="0"/>
        <w:spacing w:line="350" w:lineRule="exact"/>
        <w:rPr>
          <w:rFonts w:hint="eastAsia"/>
          <w:sz w:val="21"/>
          <w:szCs w:val="21"/>
        </w:rPr>
      </w:pPr>
      <w:r>
        <w:rPr>
          <w:sz w:val="21"/>
          <w:szCs w:val="21"/>
        </w:rPr>
        <w:t>18.8施工队伍的撤离</w:t>
      </w:r>
    </w:p>
    <w:p w14:paraId="2A627882">
      <w:pPr>
        <w:tabs>
          <w:tab w:val="left" w:pos="1914"/>
        </w:tabs>
        <w:adjustRightInd w:val="0"/>
        <w:spacing w:line="364" w:lineRule="exact"/>
        <w:rPr>
          <w:rFonts w:hint="eastAsia" w:ascii="宋体" w:hAnsi="宋体"/>
          <w:szCs w:val="21"/>
        </w:rPr>
      </w:pPr>
      <w:r>
        <w:rPr>
          <w:rFonts w:ascii="宋体" w:hAnsi="宋体" w:cs="Arial Unicode MS"/>
          <w:szCs w:val="21"/>
        </w:rPr>
        <w:t>18.8.3缺陷责任期满时，承包人在施工场地保留的人员和施工设备最终撤离的期限：</w:t>
      </w:r>
      <w:r>
        <w:rPr>
          <w:rFonts w:ascii="宋体" w:hAnsi="宋体"/>
          <w:szCs w:val="21"/>
          <w:u w:val="single"/>
        </w:rPr>
        <w:t>10天</w:t>
      </w:r>
    </w:p>
    <w:p w14:paraId="1EB5E653">
      <w:pPr>
        <w:pStyle w:val="34"/>
        <w:tabs>
          <w:tab w:val="left" w:pos="1374"/>
        </w:tabs>
        <w:adjustRightInd w:val="0"/>
        <w:spacing w:line="371" w:lineRule="exact"/>
        <w:rPr>
          <w:rFonts w:hint="eastAsia"/>
          <w:sz w:val="21"/>
          <w:szCs w:val="21"/>
        </w:rPr>
      </w:pPr>
      <w:r>
        <w:rPr>
          <w:sz w:val="21"/>
          <w:szCs w:val="21"/>
        </w:rPr>
        <w:t>18.9中间验收</w:t>
      </w:r>
    </w:p>
    <w:p w14:paraId="4351C27D">
      <w:pPr>
        <w:tabs>
          <w:tab w:val="left" w:pos="1914"/>
        </w:tabs>
        <w:adjustRightInd w:val="0"/>
        <w:spacing w:line="364" w:lineRule="exact"/>
        <w:rPr>
          <w:rFonts w:hint="eastAsia" w:ascii="宋体" w:hAnsi="宋体"/>
          <w:szCs w:val="21"/>
        </w:rPr>
      </w:pPr>
      <w:r>
        <w:rPr>
          <w:rFonts w:ascii="宋体" w:hAnsi="宋体" w:cs="Arial Unicode MS"/>
          <w:szCs w:val="21"/>
        </w:rPr>
        <w:t>18.9.1本工程需要进行中间验收的部位：</w:t>
      </w:r>
      <w:r>
        <w:rPr>
          <w:rFonts w:ascii="宋体" w:hAnsi="宋体"/>
          <w:szCs w:val="21"/>
          <w:u w:val="single"/>
        </w:rPr>
        <w:t>由发包</w:t>
      </w:r>
      <w:r>
        <w:rPr>
          <w:rFonts w:hint="eastAsia" w:ascii="宋体" w:hAnsi="宋体"/>
          <w:szCs w:val="21"/>
          <w:u w:val="single"/>
        </w:rPr>
        <w:t>人</w:t>
      </w:r>
      <w:r>
        <w:rPr>
          <w:rFonts w:ascii="宋体" w:hAnsi="宋体"/>
          <w:szCs w:val="21"/>
          <w:u w:val="single"/>
        </w:rPr>
        <w:t>及监理工程师根据工程实际施工情况确定。</w:t>
      </w:r>
    </w:p>
    <w:p w14:paraId="329F0210">
      <w:pPr>
        <w:tabs>
          <w:tab w:val="left" w:pos="1914"/>
          <w:tab w:val="left" w:pos="4584"/>
        </w:tabs>
        <w:adjustRightInd w:val="0"/>
        <w:spacing w:line="420" w:lineRule="exact"/>
        <w:rPr>
          <w:rFonts w:hint="eastAsia" w:ascii="宋体" w:hAnsi="宋体" w:cs="Arial Unicode MS"/>
          <w:szCs w:val="21"/>
        </w:rPr>
      </w:pPr>
      <w:r>
        <w:rPr>
          <w:rFonts w:ascii="宋体" w:hAnsi="宋体" w:cs="Arial Unicode MS"/>
          <w:szCs w:val="21"/>
        </w:rPr>
        <w:t>18.9.2验收不合格的，承包人在</w:t>
      </w:r>
      <w:r>
        <w:rPr>
          <w:rFonts w:ascii="宋体" w:hAnsi="宋体"/>
          <w:szCs w:val="21"/>
          <w:u w:val="single"/>
        </w:rPr>
        <w:t xml:space="preserve"> </w:t>
      </w:r>
      <w:r>
        <w:rPr>
          <w:rFonts w:ascii="宋体" w:hAnsi="宋体" w:cs="Arial Unicode MS"/>
          <w:szCs w:val="21"/>
          <w:u w:val="single"/>
        </w:rPr>
        <w:t>3天</w:t>
      </w:r>
      <w:r>
        <w:rPr>
          <w:rFonts w:ascii="宋体" w:hAnsi="宋体" w:cs="Arial Unicode MS"/>
          <w:szCs w:val="21"/>
        </w:rPr>
        <w:t>期限内进行修改后重新验收。</w:t>
      </w:r>
    </w:p>
    <w:p w14:paraId="191EF2B0">
      <w:pPr>
        <w:pStyle w:val="3"/>
        <w:jc w:val="both"/>
        <w:rPr>
          <w:rFonts w:hint="eastAsia" w:hAnsi="宋体"/>
          <w:szCs w:val="32"/>
        </w:rPr>
      </w:pPr>
      <w:r>
        <w:rPr>
          <w:rFonts w:hAnsi="宋体"/>
          <w:szCs w:val="32"/>
        </w:rPr>
        <w:t>19.缺陷责任与保修责任</w:t>
      </w:r>
    </w:p>
    <w:p w14:paraId="5350F95E">
      <w:pPr>
        <w:pStyle w:val="34"/>
        <w:tabs>
          <w:tab w:val="left" w:pos="1374"/>
        </w:tabs>
        <w:adjustRightInd w:val="0"/>
        <w:rPr>
          <w:rFonts w:hint="eastAsia"/>
        </w:rPr>
      </w:pPr>
      <w:r>
        <w:t>19.7保修责任</w:t>
      </w:r>
    </w:p>
    <w:p w14:paraId="647B6429">
      <w:pPr>
        <w:tabs>
          <w:tab w:val="left" w:pos="1914"/>
        </w:tabs>
        <w:adjustRightInd w:val="0"/>
        <w:rPr>
          <w:rFonts w:hint="eastAsia" w:ascii="宋体" w:hAnsi="宋体"/>
          <w:szCs w:val="21"/>
        </w:rPr>
      </w:pPr>
      <w:r>
        <w:rPr>
          <w:rFonts w:ascii="宋体" w:hAnsi="宋体" w:cs="Arial Unicode MS"/>
          <w:szCs w:val="21"/>
        </w:rPr>
        <w:t>19.7.1工程质量保修范围：</w:t>
      </w:r>
      <w:r>
        <w:rPr>
          <w:rFonts w:ascii="宋体" w:hAnsi="宋体" w:cs="Arial Unicode MS"/>
          <w:szCs w:val="21"/>
          <w:u w:val="single"/>
        </w:rPr>
        <w:t>施工合同约定的所有施工承包范围内工程质量保修责任</w:t>
      </w:r>
      <w:r>
        <w:rPr>
          <w:rFonts w:ascii="宋体" w:hAnsi="宋体" w:cs="Arial Unicode MS"/>
          <w:szCs w:val="21"/>
        </w:rPr>
        <w:t xml:space="preserve"> 工程质量保修期限：</w:t>
      </w:r>
      <w:r>
        <w:rPr>
          <w:rFonts w:ascii="宋体" w:hAnsi="宋体" w:cs="Arial Unicode MS"/>
          <w:szCs w:val="21"/>
          <w:u w:val="single"/>
        </w:rPr>
        <w:t>按《建设工程质量管理条例》规定及房屋建筑工程质量保修书期限执</w:t>
      </w:r>
      <w:r>
        <w:rPr>
          <w:rFonts w:ascii="宋体" w:hAnsi="宋体"/>
          <w:szCs w:val="21"/>
          <w:u w:val="single"/>
        </w:rPr>
        <w:t>行、其中：电气管线、给排水管道、设备安装和装修工程为2年。建设工程的保修期，自竣工验收合格之日起计算。</w:t>
      </w:r>
    </w:p>
    <w:p w14:paraId="6CBE7101">
      <w:pPr>
        <w:pStyle w:val="34"/>
        <w:tabs>
          <w:tab w:val="left" w:pos="1134"/>
        </w:tabs>
        <w:adjustRightInd w:val="0"/>
        <w:ind w:firstLine="420"/>
        <w:rPr>
          <w:rFonts w:hint="eastAsia"/>
          <w:sz w:val="21"/>
          <w:szCs w:val="21"/>
        </w:rPr>
      </w:pPr>
      <w:r>
        <w:rPr>
          <w:sz w:val="21"/>
          <w:szCs w:val="21"/>
        </w:rPr>
        <w:t>工程质量保修责任：</w:t>
      </w:r>
      <w:r>
        <w:rPr>
          <w:sz w:val="21"/>
          <w:szCs w:val="21"/>
          <w:u w:val="single"/>
        </w:rPr>
        <w:t>按《建设工程质量管理条例》规定及房屋建筑工程质量保修书期限执行</w:t>
      </w:r>
      <w:r>
        <w:rPr>
          <w:rFonts w:hint="eastAsia"/>
          <w:sz w:val="21"/>
          <w:szCs w:val="21"/>
          <w:u w:val="single"/>
        </w:rPr>
        <w:t>。</w:t>
      </w:r>
    </w:p>
    <w:p w14:paraId="610213B8">
      <w:pPr>
        <w:pStyle w:val="3"/>
        <w:spacing w:line="439" w:lineRule="exact"/>
        <w:jc w:val="both"/>
        <w:rPr>
          <w:rFonts w:hint="eastAsia" w:hAnsi="宋体"/>
          <w:szCs w:val="32"/>
        </w:rPr>
      </w:pPr>
      <w:r>
        <w:rPr>
          <w:rFonts w:hAnsi="宋体"/>
          <w:szCs w:val="32"/>
        </w:rPr>
        <w:t>20.保险</w:t>
      </w:r>
    </w:p>
    <w:p w14:paraId="27BB6A76">
      <w:pPr>
        <w:pStyle w:val="34"/>
        <w:tabs>
          <w:tab w:val="left" w:pos="1374"/>
        </w:tabs>
        <w:adjustRightInd w:val="0"/>
        <w:rPr>
          <w:rFonts w:hint="eastAsia"/>
        </w:rPr>
      </w:pPr>
      <w:r>
        <w:t>20.1工程保险</w:t>
      </w:r>
    </w:p>
    <w:p w14:paraId="5BF00AEE">
      <w:pPr>
        <w:adjustRightInd w:val="0"/>
        <w:spacing w:line="420" w:lineRule="exact"/>
        <w:rPr>
          <w:rFonts w:hint="eastAsia" w:ascii="宋体" w:hAnsi="宋体" w:cs="Arial Unicode MS"/>
          <w:szCs w:val="21"/>
        </w:rPr>
      </w:pPr>
      <w:r>
        <w:rPr>
          <w:rFonts w:ascii="宋体" w:hAnsi="宋体" w:cs="Arial Unicode MS"/>
          <w:szCs w:val="21"/>
        </w:rPr>
        <w:t>本工程</w:t>
      </w:r>
      <w:r>
        <w:rPr>
          <w:rFonts w:ascii="宋体" w:hAnsi="宋体" w:cs="Arial Unicode MS"/>
          <w:szCs w:val="21"/>
          <w:u w:val="single"/>
        </w:rPr>
        <w:t>不投保</w:t>
      </w:r>
      <w:r>
        <w:rPr>
          <w:rFonts w:ascii="宋体" w:hAnsi="宋体" w:cs="Arial Unicode MS"/>
          <w:szCs w:val="21"/>
        </w:rPr>
        <w:t>(投保/不投保)工程保险。投保工程保险时，险种为：</w:t>
      </w:r>
      <w:r>
        <w:rPr>
          <w:rFonts w:ascii="宋体" w:hAnsi="宋体" w:cs="Arial Unicode MS"/>
          <w:szCs w:val="21"/>
          <w:u w:val="single"/>
        </w:rPr>
        <w:t>/</w:t>
      </w:r>
      <w:r>
        <w:rPr>
          <w:rFonts w:ascii="宋体" w:hAnsi="宋体" w:cs="Arial Unicode MS"/>
          <w:szCs w:val="21"/>
        </w:rPr>
        <w:t>，并符合以下约定：</w:t>
      </w:r>
    </w:p>
    <w:p w14:paraId="22E0330A">
      <w:pPr>
        <w:adjustRightInd w:val="0"/>
        <w:spacing w:line="420" w:lineRule="exact"/>
        <w:rPr>
          <w:rFonts w:hint="eastAsia" w:ascii="宋体" w:hAnsi="宋体" w:cs="Arial Unicode MS"/>
          <w:szCs w:val="21"/>
        </w:rPr>
      </w:pPr>
      <w:r>
        <w:rPr>
          <w:rFonts w:ascii="宋体" w:hAnsi="宋体" w:cs="Arial Unicode MS"/>
          <w:szCs w:val="21"/>
        </w:rPr>
        <w:t>（1）投保人：</w:t>
      </w:r>
      <w:r>
        <w:rPr>
          <w:rFonts w:ascii="宋体" w:hAnsi="宋体" w:cs="Arial Unicode MS"/>
          <w:szCs w:val="21"/>
          <w:u w:val="single"/>
        </w:rPr>
        <w:t>/</w:t>
      </w:r>
    </w:p>
    <w:p w14:paraId="0E12D3AA">
      <w:pPr>
        <w:adjustRightInd w:val="0"/>
        <w:spacing w:line="420" w:lineRule="exact"/>
        <w:rPr>
          <w:rFonts w:hint="eastAsia" w:ascii="宋体" w:hAnsi="宋体" w:cs="Arial Unicode MS"/>
          <w:szCs w:val="21"/>
        </w:rPr>
      </w:pPr>
      <w:r>
        <w:rPr>
          <w:rFonts w:ascii="宋体" w:hAnsi="宋体" w:cs="Arial Unicode MS"/>
          <w:szCs w:val="21"/>
        </w:rPr>
        <w:t>（2）投保内容：</w:t>
      </w:r>
      <w:r>
        <w:rPr>
          <w:rFonts w:ascii="宋体" w:hAnsi="宋体" w:cs="Arial Unicode MS"/>
          <w:szCs w:val="21"/>
          <w:u w:val="single"/>
        </w:rPr>
        <w:t>/</w:t>
      </w:r>
    </w:p>
    <w:p w14:paraId="034EC9BF">
      <w:pPr>
        <w:adjustRightInd w:val="0"/>
        <w:spacing w:line="364" w:lineRule="exact"/>
        <w:rPr>
          <w:rFonts w:hint="eastAsia" w:ascii="宋体" w:hAnsi="宋体" w:cs="Arial Unicode MS"/>
          <w:szCs w:val="21"/>
        </w:rPr>
      </w:pPr>
      <w:r>
        <w:rPr>
          <w:rFonts w:ascii="宋体" w:hAnsi="宋体" w:cs="Arial Unicode MS"/>
          <w:szCs w:val="21"/>
        </w:rPr>
        <w:t>（3）保险费率：由投保人与合同双方同意的保险人商定。</w:t>
      </w:r>
    </w:p>
    <w:p w14:paraId="009E6594">
      <w:pPr>
        <w:adjustRightInd w:val="0"/>
        <w:spacing w:line="417" w:lineRule="exact"/>
        <w:rPr>
          <w:rFonts w:hint="eastAsia" w:ascii="宋体" w:hAnsi="宋体" w:cs="Arial Unicode MS"/>
          <w:szCs w:val="21"/>
        </w:rPr>
      </w:pPr>
      <w:r>
        <w:rPr>
          <w:rFonts w:ascii="宋体" w:hAnsi="宋体" w:cs="Arial Unicode MS"/>
          <w:szCs w:val="21"/>
        </w:rPr>
        <w:t>（4）保险金额：</w:t>
      </w:r>
      <w:r>
        <w:rPr>
          <w:rFonts w:ascii="宋体" w:hAnsi="宋体" w:cs="Arial Unicode MS"/>
          <w:szCs w:val="21"/>
          <w:u w:val="single"/>
        </w:rPr>
        <w:t>/</w:t>
      </w:r>
    </w:p>
    <w:p w14:paraId="57AB934B">
      <w:pPr>
        <w:adjustRightInd w:val="0"/>
        <w:spacing w:line="420" w:lineRule="exact"/>
        <w:rPr>
          <w:rFonts w:hint="eastAsia" w:ascii="宋体" w:hAnsi="宋体" w:cs="Arial Unicode MS"/>
          <w:szCs w:val="21"/>
        </w:rPr>
      </w:pPr>
      <w:r>
        <w:rPr>
          <w:rFonts w:ascii="宋体" w:hAnsi="宋体" w:cs="Arial Unicode MS"/>
          <w:szCs w:val="21"/>
        </w:rPr>
        <w:t>（5）保险期限：</w:t>
      </w:r>
      <w:r>
        <w:rPr>
          <w:rFonts w:ascii="宋体" w:hAnsi="宋体" w:cs="Arial Unicode MS"/>
          <w:szCs w:val="21"/>
          <w:u w:val="single"/>
        </w:rPr>
        <w:t>/</w:t>
      </w:r>
    </w:p>
    <w:p w14:paraId="6C3E7B61">
      <w:pPr>
        <w:pStyle w:val="34"/>
        <w:tabs>
          <w:tab w:val="left" w:pos="1374"/>
        </w:tabs>
        <w:adjustRightInd w:val="0"/>
        <w:spacing w:line="371" w:lineRule="exact"/>
        <w:rPr>
          <w:rFonts w:hint="eastAsia"/>
          <w:sz w:val="21"/>
          <w:szCs w:val="21"/>
        </w:rPr>
      </w:pPr>
      <w:r>
        <w:rPr>
          <w:sz w:val="21"/>
          <w:szCs w:val="21"/>
        </w:rPr>
        <w:t>20.4第三者责任险</w:t>
      </w:r>
    </w:p>
    <w:p w14:paraId="34102EDA">
      <w:pPr>
        <w:tabs>
          <w:tab w:val="left" w:pos="1914"/>
        </w:tabs>
        <w:adjustRightInd w:val="0"/>
        <w:spacing w:line="375" w:lineRule="exact"/>
        <w:rPr>
          <w:rFonts w:hint="eastAsia" w:ascii="宋体" w:hAnsi="宋体" w:cs="Arial Unicode MS"/>
          <w:szCs w:val="21"/>
        </w:rPr>
      </w:pPr>
      <w:r>
        <w:rPr>
          <w:rFonts w:ascii="宋体" w:hAnsi="宋体"/>
          <w:szCs w:val="21"/>
        </w:rPr>
        <mc:AlternateContent>
          <mc:Choice Requires="wpg">
            <w:drawing>
              <wp:anchor distT="0" distB="0" distL="114300" distR="114300" simplePos="0" relativeHeight="251682816" behindDoc="0" locked="0" layoutInCell="1" allowOverlap="1">
                <wp:simplePos x="0" y="0"/>
                <wp:positionH relativeFrom="page">
                  <wp:posOffset>542925</wp:posOffset>
                </wp:positionH>
                <wp:positionV relativeFrom="page">
                  <wp:posOffset>895350</wp:posOffset>
                </wp:positionV>
                <wp:extent cx="1270" cy="8905875"/>
                <wp:effectExtent l="0" t="0" r="0" b="0"/>
                <wp:wrapNone/>
                <wp:docPr id="53" name="组合 53"/>
                <wp:cNvGraphicFramePr/>
                <a:graphic xmlns:a="http://schemas.openxmlformats.org/drawingml/2006/main">
                  <a:graphicData uri="http://schemas.microsoft.com/office/word/2010/wordprocessingGroup">
                    <wpg:wgp>
                      <wpg:cNvGrpSpPr/>
                      <wpg:grpSpPr>
                        <a:xfrm>
                          <a:off x="0" y="0"/>
                          <a:ext cx="1270" cy="8905875"/>
                          <a:chOff x="855" y="1410"/>
                          <a:chExt cx="2" cy="14025"/>
                        </a:xfrm>
                      </wpg:grpSpPr>
                      <wps:wsp>
                        <wps:cNvPr id="54" name="任意多边形 54"/>
                        <wps:cNvSpPr/>
                        <wps:spPr>
                          <a:xfrm>
                            <a:off x="855" y="1410"/>
                            <a:ext cx="2" cy="14025"/>
                          </a:xfrm>
                          <a:custGeom>
                            <a:avLst/>
                            <a:gdLst/>
                            <a:ahLst/>
                            <a:cxnLst/>
                            <a:rect l="0" t="0" r="0" b="0"/>
                            <a:pathLst>
                              <a:path h="14025">
                                <a:moveTo>
                                  <a:pt x="0" y="0"/>
                                </a:moveTo>
                                <a:lnTo>
                                  <a:pt x="0" y="14025"/>
                                </a:lnTo>
                                <a:lnTo>
                                  <a:pt x="0" y="0"/>
                                </a:lnTo>
                                <a:close/>
                              </a:path>
                            </a:pathLst>
                          </a:custGeom>
                          <a:solidFill>
                            <a:srgbClr val="000000"/>
                          </a:solidFill>
                          <a:ln>
                            <a:noFill/>
                          </a:ln>
                        </wps:spPr>
                        <wps:bodyPr upright="1"/>
                      </wps:wsp>
                    </wpg:wgp>
                  </a:graphicData>
                </a:graphic>
              </wp:anchor>
            </w:drawing>
          </mc:Choice>
          <mc:Fallback>
            <w:pict>
              <v:group id="_x0000_s1026" o:spid="_x0000_s1026" o:spt="203" style="position:absolute;left:0pt;margin-left:42.75pt;margin-top:70.5pt;height:701.25pt;width:0.1pt;mso-position-horizontal-relative:page;mso-position-vertical-relative:page;z-index:251682816;mso-width-relative:page;mso-height-relative:page;" coordorigin="855,1410" coordsize="2,14025" o:gfxdata="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">
                <o:lock v:ext="edit" aspectratio="f"/>
                <v:shape id="_x0000_s1026" o:spid="_x0000_s1026" o:spt="100" style="position:absolute;left:855;top:1410;height:14025;width:2;" fillcolor="#000000" filled="t" stroked="f" coordsize="1,14025" o:gfxdata="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Hiq/Dr4A&#10;AADbAAAADwAAAAAAAAABACAAAAAiAAAAZHJzL2Rvd25yZXYueG1sUEsBAhQAFAAAAAgAh07iQDMv&#10;BZ47AAAAOQAAABAAAAAAAAAAAQAgAAAADQEAAGRycy9zaGFwZXhtbC54bWxQSwUGAAAAAAYABgBb&#10;AQAAtwMAAAAA&#10;" path="m0,0l0,14025,0,0xe">
                  <v:fill on="t" focussize="0,0"/>
                  <v:stroke on="f"/>
                  <v:imagedata o:title=""/>
                  <o:lock v:ext="edit" aspectratio="f"/>
                </v:shape>
              </v:group>
            </w:pict>
          </mc:Fallback>
        </mc:AlternateContent>
      </w:r>
      <w:r>
        <w:rPr>
          <w:rFonts w:ascii="宋体" w:hAnsi="宋体" w:cs="Arial Unicode MS"/>
          <w:szCs w:val="21"/>
        </w:rPr>
        <w:t>20.4.2保险金额：</w:t>
      </w:r>
      <w:r>
        <w:rPr>
          <w:rFonts w:ascii="宋体" w:hAnsi="宋体" w:cs="Arial Unicode MS"/>
          <w:szCs w:val="21"/>
          <w:u w:val="single"/>
        </w:rPr>
        <w:t>/</w:t>
      </w:r>
      <w:r>
        <w:rPr>
          <w:rFonts w:ascii="宋体" w:hAnsi="宋体" w:cs="Arial Unicode MS"/>
          <w:szCs w:val="21"/>
        </w:rPr>
        <w:t>，保险费率由承包人与发包人同意的保险人商定，相关保险费由</w:t>
      </w:r>
      <w:r>
        <w:rPr>
          <w:rFonts w:ascii="宋体" w:hAnsi="宋体" w:cs="Arial Unicode MS"/>
          <w:szCs w:val="21"/>
          <w:u w:val="single"/>
        </w:rPr>
        <w:t>/</w:t>
      </w:r>
      <w:r>
        <w:rPr>
          <w:rFonts w:ascii="宋体" w:hAnsi="宋体" w:cs="Arial Unicode MS"/>
          <w:szCs w:val="21"/>
        </w:rPr>
        <w:t>承担。</w:t>
      </w:r>
    </w:p>
    <w:p w14:paraId="6BE22959">
      <w:pPr>
        <w:pStyle w:val="34"/>
        <w:tabs>
          <w:tab w:val="left" w:pos="1374"/>
        </w:tabs>
        <w:adjustRightInd w:val="0"/>
        <w:rPr>
          <w:rFonts w:hint="eastAsia"/>
          <w:sz w:val="21"/>
          <w:szCs w:val="21"/>
        </w:rPr>
      </w:pPr>
      <w:r>
        <w:rPr>
          <w:sz w:val="21"/>
          <w:szCs w:val="21"/>
        </w:rPr>
        <w:t>20.5其他保险</w:t>
      </w:r>
    </w:p>
    <w:p w14:paraId="5E593876">
      <w:pPr>
        <w:adjustRightInd w:val="0"/>
        <w:spacing w:line="364" w:lineRule="exact"/>
        <w:rPr>
          <w:rFonts w:hint="eastAsia" w:ascii="宋体" w:hAnsi="宋体"/>
          <w:szCs w:val="21"/>
        </w:rPr>
      </w:pPr>
      <w:r>
        <w:rPr>
          <w:rFonts w:ascii="宋体" w:hAnsi="宋体" w:cs="Arial Unicode MS"/>
          <w:szCs w:val="21"/>
        </w:rPr>
        <w:t>承包人应为其施工设备、进场材料和工程设备等办理的保险：</w:t>
      </w:r>
      <w:r>
        <w:rPr>
          <w:rFonts w:ascii="宋体" w:hAnsi="宋体"/>
          <w:szCs w:val="21"/>
          <w:u w:val="single"/>
        </w:rPr>
        <w:t>由承包人自行承担 ，承包人应在整个施工期间必须为其现场机构雇用的从事危险作业 的职工办理意外伤害保险，投保人身意外伤害险，缴纳保险费，并要求其分包人也进行此项 保险，该保险费用已包含在合同价格中。</w:t>
      </w:r>
    </w:p>
    <w:p w14:paraId="1FD7EDE5">
      <w:pPr>
        <w:pStyle w:val="34"/>
        <w:tabs>
          <w:tab w:val="left" w:pos="1374"/>
        </w:tabs>
        <w:adjustRightInd w:val="0"/>
        <w:spacing w:line="371" w:lineRule="exact"/>
        <w:rPr>
          <w:rFonts w:hint="eastAsia"/>
          <w:sz w:val="21"/>
          <w:szCs w:val="21"/>
        </w:rPr>
      </w:pPr>
      <w:r>
        <w:rPr>
          <w:sz w:val="21"/>
          <w:szCs w:val="21"/>
        </w:rPr>
        <w:t>20.6对各项保险的一般要求</w:t>
      </w:r>
    </w:p>
    <w:p w14:paraId="39CE3AAA">
      <w:pPr>
        <w:tabs>
          <w:tab w:val="left" w:pos="1914"/>
          <w:tab w:val="left" w:pos="3234"/>
        </w:tabs>
        <w:adjustRightInd w:val="0"/>
        <w:spacing w:line="235" w:lineRule="auto"/>
        <w:rPr>
          <w:rFonts w:hint="eastAsia" w:ascii="宋体" w:hAnsi="宋体" w:cs="Arial Unicode MS"/>
          <w:szCs w:val="21"/>
        </w:rPr>
      </w:pPr>
      <w:r>
        <w:rPr>
          <w:rFonts w:ascii="宋体" w:hAnsi="宋体" w:cs="Arial Unicode MS"/>
          <w:szCs w:val="21"/>
        </w:rPr>
        <w:t xml:space="preserve">20.6.1保险凭证 承包人向发包人提交各项保险生效的证据和保险单副本的期限： </w:t>
      </w:r>
      <w:r>
        <w:rPr>
          <w:rFonts w:ascii="宋体" w:hAnsi="宋体" w:cs="Arial Unicode MS"/>
          <w:szCs w:val="21"/>
          <w:u w:val="single"/>
        </w:rPr>
        <w:t>合同签订后14日内</w:t>
      </w:r>
      <w:r>
        <w:rPr>
          <w:rFonts w:ascii="宋体" w:hAnsi="宋体" w:cs="Arial Unicode MS"/>
          <w:szCs w:val="21"/>
          <w:u w:val="single"/>
        </w:rPr>
        <w:tab/>
      </w:r>
    </w:p>
    <w:p w14:paraId="37AD68BF">
      <w:pPr>
        <w:tabs>
          <w:tab w:val="left" w:pos="1914"/>
        </w:tabs>
        <w:adjustRightInd w:val="0"/>
        <w:spacing w:before="23" w:line="360" w:lineRule="exact"/>
        <w:rPr>
          <w:rFonts w:hint="eastAsia" w:ascii="宋体" w:hAnsi="宋体"/>
          <w:szCs w:val="21"/>
        </w:rPr>
      </w:pPr>
      <w:r>
        <w:rPr>
          <w:rFonts w:ascii="宋体" w:hAnsi="宋体" w:cs="Arial Unicode MS"/>
          <w:szCs w:val="21"/>
        </w:rPr>
        <w:t>20.6.4保险金不足的补偿保险金不足以补偿损失时，承包人和发包人负责补偿的责任分摊：</w:t>
      </w:r>
      <w:r>
        <w:rPr>
          <w:rFonts w:ascii="宋体" w:hAnsi="宋体"/>
          <w:szCs w:val="21"/>
          <w:u w:val="single"/>
        </w:rPr>
        <w:t>/</w:t>
      </w:r>
    </w:p>
    <w:p w14:paraId="12982AD3">
      <w:pPr>
        <w:pStyle w:val="3"/>
        <w:spacing w:line="439" w:lineRule="exact"/>
        <w:jc w:val="both"/>
        <w:rPr>
          <w:rFonts w:hint="eastAsia" w:hAnsi="宋体"/>
          <w:szCs w:val="32"/>
        </w:rPr>
      </w:pPr>
      <w:r>
        <w:rPr>
          <w:rFonts w:hAnsi="宋体"/>
          <w:szCs w:val="32"/>
        </w:rPr>
        <w:t>21.不可抗力</w:t>
      </w:r>
    </w:p>
    <w:p w14:paraId="72AFA668">
      <w:pPr>
        <w:pStyle w:val="34"/>
        <w:tabs>
          <w:tab w:val="left" w:pos="1374"/>
        </w:tabs>
        <w:adjustRightInd w:val="0"/>
        <w:rPr>
          <w:rFonts w:hint="eastAsia"/>
          <w:sz w:val="21"/>
          <w:szCs w:val="21"/>
        </w:rPr>
      </w:pPr>
      <w:r>
        <w:rPr>
          <w:sz w:val="21"/>
          <w:szCs w:val="21"/>
        </w:rPr>
        <w:t>21.1不可抗力的确认</w:t>
      </w:r>
    </w:p>
    <w:p w14:paraId="578FE81A">
      <w:pPr>
        <w:tabs>
          <w:tab w:val="left" w:pos="1914"/>
        </w:tabs>
        <w:adjustRightInd w:val="0"/>
        <w:spacing w:line="237" w:lineRule="auto"/>
        <w:rPr>
          <w:rFonts w:hint="eastAsia" w:ascii="宋体" w:hAnsi="宋体" w:cs="Arial Unicode MS"/>
          <w:szCs w:val="21"/>
        </w:rPr>
      </w:pPr>
      <w:r>
        <w:rPr>
          <w:rFonts w:ascii="宋体" w:hAnsi="宋体" w:cs="Arial Unicode MS"/>
          <w:szCs w:val="21"/>
        </w:rPr>
        <w:t xml:space="preserve">21.1.1合同条款通用部分第21.1.1项约定的不可抗力以外的其他情形： </w:t>
      </w:r>
      <w:r>
        <w:rPr>
          <w:rFonts w:ascii="宋体" w:hAnsi="宋体" w:cs="Arial Unicode MS"/>
          <w:szCs w:val="21"/>
          <w:u w:val="single"/>
        </w:rPr>
        <w:t xml:space="preserve">征收、征用、禁令等政府行为和战争、罢工、骚乱、疫情等 </w:t>
      </w:r>
      <w:r>
        <w:rPr>
          <w:rFonts w:ascii="宋体" w:hAnsi="宋体" w:cs="Arial Unicode MS"/>
          <w:szCs w:val="21"/>
        </w:rPr>
        <w:t>不可抗力的等级范围约定：</w:t>
      </w:r>
    </w:p>
    <w:p w14:paraId="46C82541">
      <w:pPr>
        <w:pStyle w:val="34"/>
        <w:adjustRightInd w:val="0"/>
        <w:spacing w:before="12" w:line="420" w:lineRule="exact"/>
        <w:rPr>
          <w:rFonts w:hint="eastAsia"/>
          <w:sz w:val="21"/>
          <w:szCs w:val="21"/>
        </w:rPr>
      </w:pPr>
      <w:r>
        <w:rPr>
          <w:sz w:val="21"/>
          <w:szCs w:val="21"/>
          <w:u w:val="single"/>
        </w:rPr>
        <w:t>（1）烈度为7级以上的地震：（2）海啸、瘟疫、水灾、战争、动乱、空中飞行物体坠 落等不可避免且不能克服的自然灾害及社会性突发事件</w:t>
      </w:r>
    </w:p>
    <w:p w14:paraId="074A1977">
      <w:pPr>
        <w:pStyle w:val="3"/>
        <w:spacing w:line="439" w:lineRule="exact"/>
        <w:jc w:val="both"/>
        <w:rPr>
          <w:rFonts w:hint="eastAsia" w:hAnsi="宋体"/>
          <w:szCs w:val="32"/>
        </w:rPr>
      </w:pPr>
      <w:r>
        <w:rPr>
          <w:rFonts w:hAnsi="宋体"/>
          <w:szCs w:val="32"/>
        </w:rPr>
        <w:t>24.争议的解决</w:t>
      </w:r>
    </w:p>
    <w:p w14:paraId="40BF9E75">
      <w:pPr>
        <w:pStyle w:val="34"/>
        <w:tabs>
          <w:tab w:val="left" w:pos="1374"/>
        </w:tabs>
        <w:adjustRightInd w:val="0"/>
        <w:rPr>
          <w:rFonts w:hint="eastAsia"/>
        </w:rPr>
      </w:pPr>
      <w:r>
        <w:t>24.1争议的解决方式</w:t>
      </w:r>
    </w:p>
    <w:p w14:paraId="122EB923">
      <w:pPr>
        <w:adjustRightInd w:val="0"/>
        <w:spacing w:line="406" w:lineRule="exact"/>
        <w:rPr>
          <w:rFonts w:hint="eastAsia" w:ascii="宋体" w:hAnsi="宋体" w:cs="Arial Unicode MS"/>
          <w:szCs w:val="21"/>
        </w:rPr>
      </w:pPr>
      <w:r>
        <w:rPr>
          <w:rFonts w:ascii="宋体" w:hAnsi="宋体" w:cs="Arial Unicode MS"/>
          <w:szCs w:val="21"/>
        </w:rPr>
        <w:t>因本合同引起的或与本合同有关的任何争议，合同双方友好协商不成、不愿提请争议组评审或者不 愿接受争议评审组意见的，选择下列第</w:t>
      </w:r>
      <w:r>
        <w:rPr>
          <w:rFonts w:ascii="宋体" w:hAnsi="宋体" w:cs="Arial Unicode MS"/>
          <w:sz w:val="24"/>
          <w:u w:val="single"/>
        </w:rPr>
        <w:t>贰</w:t>
      </w:r>
      <w:r>
        <w:rPr>
          <w:rFonts w:ascii="宋体" w:hAnsi="宋体" w:cs="Arial Unicode MS"/>
          <w:szCs w:val="21"/>
        </w:rPr>
        <w:t>种方式解决：</w:t>
      </w:r>
      <w:r>
        <w:rPr>
          <w:rFonts w:ascii="宋体" w:hAnsi="宋体" w:cs="Arial Unicode MS"/>
          <w:szCs w:val="21"/>
          <w:u w:val="single" w:color="000000"/>
        </w:rPr>
        <w:t>（壹）</w:t>
      </w:r>
      <w:r>
        <w:rPr>
          <w:rFonts w:ascii="宋体" w:hAnsi="宋体" w:cs="Arial Unicode MS"/>
          <w:szCs w:val="21"/>
        </w:rPr>
        <w:t>提请</w:t>
      </w:r>
      <w:r>
        <w:rPr>
          <w:rFonts w:ascii="宋体" w:hAnsi="宋体" w:cs="Arial Unicode MS"/>
          <w:szCs w:val="21"/>
          <w:u w:val="single" w:color="0000FF"/>
        </w:rPr>
        <w:t>北京</w:t>
      </w:r>
      <w:r>
        <w:rPr>
          <w:rFonts w:ascii="宋体" w:hAnsi="宋体" w:cs="Arial Unicode MS"/>
          <w:szCs w:val="21"/>
        </w:rPr>
        <w:t>仲裁委员会按照该会仲裁规则进行仲裁，仲裁裁决是终局的，对合同双方均有约束力。</w:t>
      </w:r>
      <w:r>
        <w:rPr>
          <w:rFonts w:ascii="宋体" w:hAnsi="宋体"/>
        </w:rPr>
        <mc:AlternateContent>
          <mc:Choice Requires="wpg">
            <w:drawing>
              <wp:anchor distT="0" distB="0" distL="114300" distR="114300" simplePos="0" relativeHeight="251683840" behindDoc="0" locked="0" layoutInCell="1" allowOverlap="1">
                <wp:simplePos x="0" y="0"/>
                <wp:positionH relativeFrom="page">
                  <wp:posOffset>542925</wp:posOffset>
                </wp:positionH>
                <wp:positionV relativeFrom="page">
                  <wp:posOffset>895350</wp:posOffset>
                </wp:positionV>
                <wp:extent cx="1270" cy="8905875"/>
                <wp:effectExtent l="0" t="0" r="0" b="0"/>
                <wp:wrapNone/>
                <wp:docPr id="55" name="组合 55"/>
                <wp:cNvGraphicFramePr/>
                <a:graphic xmlns:a="http://schemas.openxmlformats.org/drawingml/2006/main">
                  <a:graphicData uri="http://schemas.microsoft.com/office/word/2010/wordprocessingGroup">
                    <wpg:wgp>
                      <wpg:cNvGrpSpPr/>
                      <wpg:grpSpPr>
                        <a:xfrm>
                          <a:off x="0" y="0"/>
                          <a:ext cx="1270" cy="8905875"/>
                          <a:chOff x="855" y="1410"/>
                          <a:chExt cx="2" cy="14025"/>
                        </a:xfrm>
                      </wpg:grpSpPr>
                      <wps:wsp>
                        <wps:cNvPr id="56" name="任意多边形 56"/>
                        <wps:cNvSpPr/>
                        <wps:spPr>
                          <a:xfrm>
                            <a:off x="855" y="1410"/>
                            <a:ext cx="2" cy="14025"/>
                          </a:xfrm>
                          <a:custGeom>
                            <a:avLst/>
                            <a:gdLst/>
                            <a:ahLst/>
                            <a:cxnLst/>
                            <a:rect l="0" t="0" r="0" b="0"/>
                            <a:pathLst>
                              <a:path h="14025">
                                <a:moveTo>
                                  <a:pt x="0" y="0"/>
                                </a:moveTo>
                                <a:lnTo>
                                  <a:pt x="0" y="14025"/>
                                </a:lnTo>
                                <a:lnTo>
                                  <a:pt x="0" y="0"/>
                                </a:lnTo>
                                <a:close/>
                              </a:path>
                            </a:pathLst>
                          </a:custGeom>
                          <a:solidFill>
                            <a:srgbClr val="000000"/>
                          </a:solidFill>
                          <a:ln>
                            <a:noFill/>
                          </a:ln>
                        </wps:spPr>
                        <wps:bodyPr upright="1"/>
                      </wps:wsp>
                    </wpg:wgp>
                  </a:graphicData>
                </a:graphic>
              </wp:anchor>
            </w:drawing>
          </mc:Choice>
          <mc:Fallback>
            <w:pict>
              <v:group id="_x0000_s1026" o:spid="_x0000_s1026" o:spt="203" style="position:absolute;left:0pt;margin-left:42.75pt;margin-top:70.5pt;height:701.25pt;width:0.1pt;mso-position-horizontal-relative:page;mso-position-vertical-relative:page;z-index:251683840;mso-width-relative:page;mso-height-relative:page;" coordorigin="855,1410" coordsize="2,14025" o:gfxdata="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">
                <o:lock v:ext="edit" aspectratio="f"/>
                <v:shape id="_x0000_s1026" o:spid="_x0000_s1026" o:spt="100" style="position:absolute;left:855;top:1410;height:14025;width:2;" fillcolor="#000000" filled="t" stroked="f" coordsize="1,14025" o:gfxdata="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BtITivQAA&#10;ANsAAAAPAAAAAAAAAAEAIAAAACIAAABkcnMvZG93bnJldi54bWxQSwECFAAUAAAACACHTuJAMy8F&#10;njsAAAA5AAAAEAAAAAAAAAABACAAAAAMAQAAZHJzL3NoYXBleG1sLnhtbFBLBQYAAAAABgAGAFsB&#10;AAC2AwAAAAA=&#10;" path="m0,0l0,14025,0,0xe">
                  <v:fill on="t" focussize="0,0"/>
                  <v:stroke on="f"/>
                  <v:imagedata o:title=""/>
                  <o:lock v:ext="edit" aspectratio="f"/>
                </v:shape>
              </v:group>
            </w:pict>
          </mc:Fallback>
        </mc:AlternateContent>
      </w:r>
      <w:r>
        <w:rPr>
          <w:rFonts w:ascii="宋体" w:hAnsi="宋体" w:cs="Arial Unicode MS"/>
          <w:szCs w:val="21"/>
          <w:u w:val="single" w:color="000000"/>
        </w:rPr>
        <w:t>（贰）</w:t>
      </w:r>
      <w:r>
        <w:rPr>
          <w:rFonts w:ascii="宋体" w:hAnsi="宋体" w:cs="Arial Unicode MS"/>
          <w:szCs w:val="21"/>
        </w:rPr>
        <w:t>向</w:t>
      </w:r>
      <w:r>
        <w:rPr>
          <w:rFonts w:hint="eastAsia" w:ascii="宋体" w:hAnsi="宋体" w:cs="Arial Unicode MS"/>
          <w:szCs w:val="21"/>
        </w:rPr>
        <w:t>工程所在地</w:t>
      </w:r>
      <w:r>
        <w:rPr>
          <w:rFonts w:ascii="宋体" w:hAnsi="宋体" w:cs="Arial Unicode MS"/>
          <w:szCs w:val="21"/>
        </w:rPr>
        <w:t>有管辖权的人民法院提起诉讼。</w:t>
      </w:r>
    </w:p>
    <w:p w14:paraId="258123E5">
      <w:pPr>
        <w:pStyle w:val="34"/>
        <w:tabs>
          <w:tab w:val="left" w:pos="1374"/>
        </w:tabs>
        <w:adjustRightInd w:val="0"/>
        <w:rPr>
          <w:rFonts w:hint="eastAsia"/>
        </w:rPr>
      </w:pPr>
      <w:r>
        <w:t>24.3争议评审</w:t>
      </w:r>
    </w:p>
    <w:p w14:paraId="664ADA29">
      <w:pPr>
        <w:tabs>
          <w:tab w:val="left" w:pos="1914"/>
        </w:tabs>
        <w:adjustRightInd w:val="0"/>
        <w:spacing w:line="364" w:lineRule="exact"/>
        <w:rPr>
          <w:rFonts w:hint="eastAsia" w:ascii="宋体" w:hAnsi="宋体"/>
        </w:rPr>
      </w:pPr>
      <w:r>
        <w:rPr>
          <w:rFonts w:ascii="宋体" w:hAnsi="宋体" w:cs="Arial Unicode MS"/>
          <w:szCs w:val="21"/>
        </w:rPr>
        <w:t>24.3.4争议评审组邀请合同双方代表人和有关人员举行调查会的期限：</w:t>
      </w:r>
      <w:r>
        <w:rPr>
          <w:rFonts w:ascii="宋体" w:hAnsi="宋体"/>
          <w:u w:val="single"/>
        </w:rPr>
        <w:t>争议评审组在收到合同双方报告后7日内。</w:t>
      </w:r>
    </w:p>
    <w:p w14:paraId="60A04C28">
      <w:pPr>
        <w:tabs>
          <w:tab w:val="left" w:pos="1914"/>
        </w:tabs>
        <w:adjustRightInd w:val="0"/>
        <w:spacing w:line="364" w:lineRule="exact"/>
        <w:rPr>
          <w:rFonts w:hint="eastAsia" w:ascii="宋体" w:hAnsi="宋体"/>
        </w:rPr>
      </w:pPr>
      <w:r>
        <w:rPr>
          <w:rFonts w:ascii="宋体" w:hAnsi="宋体" w:cs="Arial Unicode MS"/>
          <w:szCs w:val="21"/>
        </w:rPr>
        <w:t>24.3.5争议评审组在调查会后作出争议评审意见的期限：</w:t>
      </w:r>
      <w:r>
        <w:rPr>
          <w:rFonts w:ascii="宋体" w:hAnsi="宋体"/>
          <w:u w:val="single"/>
        </w:rPr>
        <w:t>在调查会结束后14天内</w:t>
      </w:r>
    </w:p>
    <w:p w14:paraId="00967EA4">
      <w:pPr>
        <w:rPr>
          <w:rFonts w:hint="eastAsia" w:ascii="宋体" w:hAnsi="宋体"/>
        </w:rPr>
      </w:pPr>
    </w:p>
    <w:p w14:paraId="28850078">
      <w:pPr>
        <w:rPr>
          <w:rFonts w:hint="eastAsia" w:ascii="宋体" w:hAnsi="宋体"/>
        </w:rPr>
        <w:sectPr>
          <w:headerReference r:id="rId18" w:type="default"/>
          <w:pgSz w:w="11900" w:h="16840"/>
          <w:pgMar w:top="1361" w:right="1361" w:bottom="1361" w:left="1361" w:header="720" w:footer="720" w:gutter="0"/>
          <w:cols w:space="720" w:num="1"/>
        </w:sectPr>
      </w:pPr>
    </w:p>
    <w:p w14:paraId="116FB97D">
      <w:pPr>
        <w:pStyle w:val="4"/>
        <w:rPr>
          <w:rFonts w:hint="eastAsia" w:ascii="宋体" w:hAnsi="宋体" w:eastAsia="宋体"/>
        </w:rPr>
      </w:pPr>
      <w:r>
        <w:rPr>
          <w:rFonts w:ascii="宋体" w:hAnsi="宋体" w:eastAsia="宋体"/>
        </w:rPr>
        <w:t>房屋建筑工程质量保修书</w:t>
      </w:r>
    </w:p>
    <w:p w14:paraId="062BB0BD">
      <w:pPr>
        <w:adjustRightInd w:val="0"/>
        <w:spacing w:before="15"/>
        <w:rPr>
          <w:rFonts w:hint="eastAsia" w:ascii="宋体" w:hAnsi="宋体" w:cs="Arial Unicode MS"/>
        </w:rPr>
      </w:pPr>
    </w:p>
    <w:p w14:paraId="552806F5">
      <w:pPr>
        <w:tabs>
          <w:tab w:val="left" w:pos="2229"/>
        </w:tabs>
        <w:adjustRightInd w:val="0"/>
        <w:spacing w:line="417" w:lineRule="exact"/>
        <w:ind w:firstLine="840" w:firstLineChars="400"/>
        <w:rPr>
          <w:rFonts w:hint="eastAsia" w:ascii="宋体" w:hAnsi="宋体" w:cs="Arial Unicode MS"/>
          <w:szCs w:val="21"/>
        </w:rPr>
      </w:pPr>
      <w:r>
        <w:rPr>
          <w:rFonts w:ascii="宋体" w:hAnsi="宋体" w:cs="Arial Unicode MS"/>
          <w:szCs w:val="21"/>
        </w:rPr>
        <w:t>发包人：</w:t>
      </w:r>
      <w:r>
        <w:rPr>
          <w:rFonts w:ascii="宋体" w:hAnsi="宋体" w:cs="Arial Unicode MS"/>
          <w:szCs w:val="21"/>
          <w:u w:val="single"/>
        </w:rPr>
        <w:t>北京市朝阳区人民政府香河园街道办事处</w:t>
      </w:r>
    </w:p>
    <w:p w14:paraId="7B9FC15A">
      <w:pPr>
        <w:spacing w:line="440" w:lineRule="exact"/>
        <w:ind w:firstLine="840" w:firstLineChars="400"/>
        <w:rPr>
          <w:rFonts w:hint="eastAsia" w:ascii="宋体" w:hAnsi="宋体"/>
          <w:szCs w:val="21"/>
        </w:rPr>
      </w:pPr>
      <w:r>
        <w:rPr>
          <w:rFonts w:ascii="宋体" w:hAnsi="宋体" w:cs="Arial Unicode MS"/>
          <w:szCs w:val="21"/>
        </w:rPr>
        <w:t>承包人：</w:t>
      </w:r>
      <w:r>
        <w:rPr>
          <w:rFonts w:hint="eastAsia" w:ascii="宋体" w:hAnsi="宋体" w:cs="Arial Unicode MS"/>
          <w:szCs w:val="21"/>
          <w:u w:val="single"/>
        </w:rPr>
        <w:t xml:space="preserve">                   </w:t>
      </w:r>
    </w:p>
    <w:p w14:paraId="3AC981D9">
      <w:pPr>
        <w:adjustRightInd w:val="0"/>
        <w:spacing w:line="20" w:lineRule="exact"/>
        <w:ind w:left="1127"/>
        <w:rPr>
          <w:rFonts w:hint="eastAsia" w:ascii="宋体" w:hAnsi="宋体"/>
          <w:sz w:val="2"/>
          <w:szCs w:val="2"/>
        </w:rPr>
      </w:pPr>
    </w:p>
    <w:p w14:paraId="5F8727E3">
      <w:pPr>
        <w:tabs>
          <w:tab w:val="left" w:pos="6429"/>
        </w:tabs>
        <w:adjustRightInd w:val="0"/>
        <w:spacing w:before="37" w:line="360" w:lineRule="exact"/>
        <w:ind w:left="655" w:firstLine="420"/>
        <w:rPr>
          <w:rFonts w:hint="eastAsia" w:ascii="宋体" w:hAnsi="宋体" w:cs="Arial Unicode MS"/>
          <w:szCs w:val="21"/>
        </w:rPr>
      </w:pPr>
      <w:r>
        <w:rPr>
          <w:rFonts w:ascii="宋体" w:hAnsi="宋体" w:cs="Arial Unicode MS"/>
          <w:szCs w:val="21"/>
        </w:rPr>
        <w:t>发包人、承包人根据《中华人民共和国建筑法》、《建设工程质量管理条例》和《房屋建筑工程质量保修办法》，经协商一致，对</w:t>
      </w:r>
      <w:r>
        <w:rPr>
          <w:rFonts w:ascii="宋体" w:hAnsi="宋体"/>
          <w:szCs w:val="21"/>
          <w:u w:val="single" w:color="000000"/>
        </w:rPr>
        <w:t xml:space="preserve"> </w:t>
      </w:r>
      <w:r>
        <w:rPr>
          <w:rFonts w:hint="eastAsia" w:ascii="宋体" w:hAnsi="宋体"/>
          <w:szCs w:val="21"/>
          <w:u w:val="single" w:color="000000"/>
        </w:rPr>
        <w:t>2026年香河园街道重点楼防水改造项目工程</w:t>
      </w:r>
      <w:r>
        <w:rPr>
          <w:rFonts w:ascii="宋体" w:hAnsi="宋体" w:cs="Arial Unicode MS"/>
          <w:szCs w:val="21"/>
        </w:rPr>
        <w:t>（工程名称）签订保修书。</w:t>
      </w:r>
    </w:p>
    <w:p w14:paraId="5F12294C">
      <w:pPr>
        <w:adjustRightInd w:val="0"/>
        <w:spacing w:line="360" w:lineRule="exact"/>
        <w:ind w:left="1075"/>
        <w:rPr>
          <w:rFonts w:hint="eastAsia" w:ascii="宋体" w:hAnsi="宋体" w:cs="Arial Unicode MS"/>
          <w:szCs w:val="21"/>
          <w:u w:val="single"/>
        </w:rPr>
      </w:pPr>
      <w:r>
        <w:rPr>
          <w:rFonts w:ascii="宋体" w:hAnsi="宋体" w:cs="Arial Unicode MS"/>
          <w:szCs w:val="21"/>
        </w:rPr>
        <w:t>一、工程保修范围和内容 承包人在保修期内，按照有关法律、法规、规章的管理规定和双方约定，承担本工程保修责任。 保修责任范围包括地基基础工程、主体结构工程，屋面防水工程、有防水要求的卫生间、房间和外墙面的防渗漏，供热与供冷系统，电气管线、给排水管道、设备安装和装修工程，以及双方约定的其他 项目。具体保修的内容，双方约定如下：</w:t>
      </w:r>
      <w:r>
        <w:rPr>
          <w:rFonts w:hint="eastAsia" w:ascii="宋体" w:hAnsi="宋体" w:cs="Arial Unicode MS"/>
          <w:szCs w:val="21"/>
          <w:u w:val="single"/>
        </w:rPr>
        <w:t xml:space="preserve">                。</w:t>
      </w:r>
    </w:p>
    <w:p w14:paraId="56C72FC9">
      <w:pPr>
        <w:tabs>
          <w:tab w:val="left" w:pos="2859"/>
          <w:tab w:val="left" w:pos="5589"/>
          <w:tab w:val="left" w:pos="7689"/>
        </w:tabs>
        <w:adjustRightInd w:val="0"/>
        <w:spacing w:before="37" w:line="360" w:lineRule="exact"/>
        <w:ind w:left="1075" w:hanging="420"/>
        <w:rPr>
          <w:rFonts w:hint="eastAsia" w:ascii="宋体" w:hAnsi="宋体" w:cs="Arial Unicode MS"/>
          <w:szCs w:val="21"/>
        </w:rPr>
      </w:pPr>
      <w:r>
        <w:rPr>
          <w:rFonts w:ascii="宋体" w:hAnsi="宋体" w:cs="Arial Unicode MS"/>
          <w:szCs w:val="21"/>
        </w:rPr>
        <w:t>二、保修期 双方根据《建设工程质量管理条例》及有关规定，约定本工程的保修期如下：</w:t>
      </w:r>
      <w:r>
        <w:rPr>
          <w:rFonts w:hint="eastAsia" w:ascii="宋体" w:hAnsi="宋体" w:cs="Arial Unicode MS"/>
          <w:szCs w:val="21"/>
        </w:rPr>
        <w:t xml:space="preserve">保修期 双方根据《建设工程质量管理条例》及有关规定，约定本工程的保修期如下： </w:t>
      </w:r>
    </w:p>
    <w:p w14:paraId="3281106E">
      <w:pPr>
        <w:tabs>
          <w:tab w:val="left" w:pos="2859"/>
          <w:tab w:val="left" w:pos="5589"/>
          <w:tab w:val="left" w:pos="7689"/>
        </w:tabs>
        <w:adjustRightInd w:val="0"/>
        <w:spacing w:before="37" w:line="360" w:lineRule="exact"/>
        <w:ind w:left="1075" w:hanging="420"/>
        <w:rPr>
          <w:rFonts w:hint="eastAsia" w:ascii="宋体" w:hAnsi="宋体" w:cs="Arial Unicode MS"/>
          <w:szCs w:val="21"/>
        </w:rPr>
      </w:pPr>
      <w:r>
        <w:rPr>
          <w:rFonts w:hint="eastAsia" w:ascii="宋体" w:hAnsi="宋体" w:cs="Arial Unicode MS"/>
          <w:szCs w:val="21"/>
        </w:rPr>
        <w:t>地基基础工程和主体结构工程为设计文件规定的该工程合理使用年限；</w:t>
      </w:r>
    </w:p>
    <w:p w14:paraId="1C6020B5">
      <w:pPr>
        <w:tabs>
          <w:tab w:val="left" w:pos="2859"/>
          <w:tab w:val="left" w:pos="5589"/>
          <w:tab w:val="left" w:pos="7689"/>
        </w:tabs>
        <w:adjustRightInd w:val="0"/>
        <w:spacing w:before="37" w:line="360" w:lineRule="exact"/>
        <w:ind w:left="1075" w:hanging="420"/>
        <w:rPr>
          <w:rFonts w:hint="eastAsia" w:ascii="宋体" w:hAnsi="宋体" w:cs="Arial Unicode MS"/>
          <w:szCs w:val="21"/>
        </w:rPr>
      </w:pPr>
      <w:r>
        <w:rPr>
          <w:rFonts w:hint="eastAsia" w:ascii="宋体" w:hAnsi="宋体" w:cs="Arial Unicode MS"/>
          <w:szCs w:val="21"/>
        </w:rPr>
        <w:t xml:space="preserve">屋面防水工程、有防水要求的卫生间、房间和外墙面的防渗漏为 </w:t>
      </w:r>
      <w:r>
        <w:rPr>
          <w:rFonts w:hint="eastAsia" w:ascii="宋体" w:hAnsi="宋体" w:cs="Arial Unicode MS"/>
          <w:szCs w:val="21"/>
          <w:u w:val="single"/>
        </w:rPr>
        <w:t xml:space="preserve">5 </w:t>
      </w:r>
      <w:r>
        <w:rPr>
          <w:rFonts w:hint="eastAsia" w:ascii="宋体" w:hAnsi="宋体" w:cs="Arial Unicode MS"/>
          <w:szCs w:val="21"/>
        </w:rPr>
        <w:t>年；</w:t>
      </w:r>
    </w:p>
    <w:p w14:paraId="2ED383F1">
      <w:pPr>
        <w:tabs>
          <w:tab w:val="left" w:pos="2859"/>
          <w:tab w:val="left" w:pos="5589"/>
          <w:tab w:val="left" w:pos="7689"/>
        </w:tabs>
        <w:adjustRightInd w:val="0"/>
        <w:spacing w:before="37" w:line="360" w:lineRule="exact"/>
        <w:ind w:left="1075" w:hanging="420"/>
        <w:rPr>
          <w:rFonts w:hint="eastAsia" w:ascii="宋体" w:hAnsi="宋体" w:cs="Arial Unicode MS"/>
          <w:szCs w:val="21"/>
        </w:rPr>
      </w:pPr>
      <w:r>
        <w:rPr>
          <w:rFonts w:hint="eastAsia" w:ascii="宋体" w:hAnsi="宋体" w:cs="Arial Unicode MS"/>
          <w:szCs w:val="21"/>
        </w:rPr>
        <w:t>外窗工程为</w:t>
      </w:r>
      <w:r>
        <w:rPr>
          <w:rFonts w:hint="eastAsia" w:ascii="宋体" w:hAnsi="宋体" w:cs="Arial Unicode MS"/>
          <w:szCs w:val="21"/>
          <w:u w:val="single"/>
        </w:rPr>
        <w:t>2</w:t>
      </w:r>
      <w:r>
        <w:rPr>
          <w:rFonts w:hint="eastAsia" w:ascii="宋体" w:hAnsi="宋体" w:cs="Arial Unicode MS"/>
          <w:szCs w:val="21"/>
        </w:rPr>
        <w:t xml:space="preserve"> 年，外窗防渗漏为</w:t>
      </w:r>
      <w:r>
        <w:rPr>
          <w:rFonts w:hint="eastAsia" w:ascii="宋体" w:hAnsi="宋体" w:cs="Arial Unicode MS"/>
          <w:szCs w:val="21"/>
          <w:u w:val="single"/>
        </w:rPr>
        <w:t xml:space="preserve"> 5 </w:t>
      </w:r>
      <w:r>
        <w:rPr>
          <w:rFonts w:hint="eastAsia" w:ascii="宋体" w:hAnsi="宋体" w:cs="Arial Unicode MS"/>
          <w:szCs w:val="21"/>
        </w:rPr>
        <w:t>年；</w:t>
      </w:r>
    </w:p>
    <w:p w14:paraId="03797345">
      <w:pPr>
        <w:tabs>
          <w:tab w:val="left" w:pos="2859"/>
          <w:tab w:val="left" w:pos="5589"/>
          <w:tab w:val="left" w:pos="7689"/>
        </w:tabs>
        <w:adjustRightInd w:val="0"/>
        <w:spacing w:before="37" w:line="360" w:lineRule="exact"/>
        <w:ind w:left="1075" w:hanging="420"/>
        <w:rPr>
          <w:rFonts w:hint="eastAsia" w:ascii="宋体" w:hAnsi="宋体" w:cs="Arial Unicode MS"/>
          <w:szCs w:val="21"/>
        </w:rPr>
      </w:pPr>
      <w:r>
        <w:rPr>
          <w:rFonts w:hint="eastAsia" w:ascii="宋体" w:hAnsi="宋体" w:cs="Arial Unicode MS"/>
          <w:szCs w:val="21"/>
        </w:rPr>
        <w:t>装修工程为</w:t>
      </w:r>
      <w:r>
        <w:rPr>
          <w:rFonts w:hint="eastAsia" w:ascii="宋体" w:hAnsi="宋体" w:cs="Arial Unicode MS"/>
          <w:szCs w:val="21"/>
          <w:u w:val="single"/>
        </w:rPr>
        <w:t xml:space="preserve"> 2 </w:t>
      </w:r>
      <w:r>
        <w:rPr>
          <w:rFonts w:hint="eastAsia" w:ascii="宋体" w:hAnsi="宋体" w:cs="Arial Unicode MS"/>
          <w:szCs w:val="21"/>
        </w:rPr>
        <w:t>年； 电气管线、给排水管道、设备安装工程为</w:t>
      </w:r>
      <w:r>
        <w:rPr>
          <w:rFonts w:hint="eastAsia" w:ascii="宋体" w:hAnsi="宋体" w:cs="Arial Unicode MS"/>
          <w:szCs w:val="21"/>
          <w:u w:val="single"/>
        </w:rPr>
        <w:t>2</w:t>
      </w:r>
      <w:r>
        <w:rPr>
          <w:rFonts w:hint="eastAsia" w:ascii="宋体" w:hAnsi="宋体" w:cs="Arial Unicode MS"/>
          <w:szCs w:val="21"/>
        </w:rPr>
        <w:t xml:space="preserve">年； </w:t>
      </w:r>
    </w:p>
    <w:p w14:paraId="6547D2D0">
      <w:pPr>
        <w:tabs>
          <w:tab w:val="left" w:pos="2859"/>
          <w:tab w:val="left" w:pos="5589"/>
          <w:tab w:val="left" w:pos="7689"/>
        </w:tabs>
        <w:adjustRightInd w:val="0"/>
        <w:spacing w:before="37" w:line="360" w:lineRule="exact"/>
        <w:ind w:left="1075" w:hanging="420"/>
        <w:rPr>
          <w:rFonts w:hint="eastAsia" w:ascii="宋体" w:hAnsi="宋体" w:cs="Arial Unicode MS"/>
          <w:szCs w:val="21"/>
        </w:rPr>
      </w:pPr>
      <w:r>
        <w:rPr>
          <w:rFonts w:hint="eastAsia" w:ascii="宋体" w:hAnsi="宋体" w:cs="Arial Unicode MS"/>
          <w:szCs w:val="21"/>
        </w:rPr>
        <w:t>供热与供冷系统为</w:t>
      </w:r>
      <w:r>
        <w:rPr>
          <w:rFonts w:hint="eastAsia" w:ascii="宋体" w:hAnsi="宋体" w:cs="Arial Unicode MS"/>
          <w:szCs w:val="21"/>
          <w:u w:val="single"/>
        </w:rPr>
        <w:t>2</w:t>
      </w:r>
      <w:r>
        <w:rPr>
          <w:rFonts w:hint="eastAsia" w:ascii="宋体" w:hAnsi="宋体" w:cs="Arial Unicode MS"/>
          <w:szCs w:val="21"/>
        </w:rPr>
        <w:t xml:space="preserve">个采暖期、供冷期； </w:t>
      </w:r>
    </w:p>
    <w:p w14:paraId="0F6F70F9">
      <w:pPr>
        <w:tabs>
          <w:tab w:val="left" w:pos="2859"/>
          <w:tab w:val="left" w:pos="5589"/>
          <w:tab w:val="left" w:pos="7689"/>
        </w:tabs>
        <w:adjustRightInd w:val="0"/>
        <w:spacing w:before="37" w:line="360" w:lineRule="exact"/>
        <w:ind w:left="1075" w:hanging="420"/>
        <w:rPr>
          <w:rFonts w:hint="eastAsia" w:ascii="宋体" w:hAnsi="宋体" w:cs="Arial Unicode MS"/>
          <w:szCs w:val="21"/>
        </w:rPr>
      </w:pPr>
      <w:r>
        <w:rPr>
          <w:rFonts w:hint="eastAsia" w:ascii="宋体" w:hAnsi="宋体" w:cs="Arial Unicode MS"/>
          <w:szCs w:val="21"/>
        </w:rPr>
        <w:t xml:space="preserve">住宅小区内的给排水设施、道路等配套工程为2年； </w:t>
      </w:r>
    </w:p>
    <w:p w14:paraId="414DBA27">
      <w:pPr>
        <w:tabs>
          <w:tab w:val="left" w:pos="2859"/>
          <w:tab w:val="left" w:pos="5589"/>
          <w:tab w:val="left" w:pos="7689"/>
        </w:tabs>
        <w:adjustRightInd w:val="0"/>
        <w:spacing w:before="37" w:line="360" w:lineRule="exact"/>
        <w:ind w:left="1075" w:hanging="420"/>
        <w:rPr>
          <w:rFonts w:hint="eastAsia" w:ascii="宋体" w:hAnsi="宋体" w:cs="Arial Unicode MS"/>
          <w:szCs w:val="21"/>
        </w:rPr>
      </w:pPr>
      <w:r>
        <w:rPr>
          <w:rFonts w:hint="eastAsia" w:ascii="宋体" w:hAnsi="宋体" w:cs="Arial Unicode MS"/>
          <w:szCs w:val="21"/>
        </w:rPr>
        <w:t>其他项目保修期限约定如下：</w:t>
      </w:r>
      <w:r>
        <w:rPr>
          <w:rFonts w:hint="eastAsia" w:ascii="宋体" w:hAnsi="宋体" w:cs="Arial Unicode MS"/>
          <w:szCs w:val="21"/>
          <w:u w:val="single"/>
        </w:rPr>
        <w:t xml:space="preserve">   防水项目5年、其他项目2年   </w:t>
      </w:r>
      <w:r>
        <w:rPr>
          <w:rFonts w:hint="eastAsia" w:ascii="宋体" w:hAnsi="宋体" w:cs="Arial Unicode MS"/>
          <w:szCs w:val="21"/>
        </w:rPr>
        <w:t xml:space="preserve">。 </w:t>
      </w:r>
    </w:p>
    <w:p w14:paraId="5DEB3EC3">
      <w:pPr>
        <w:tabs>
          <w:tab w:val="left" w:pos="2859"/>
          <w:tab w:val="left" w:pos="5589"/>
          <w:tab w:val="left" w:pos="7689"/>
        </w:tabs>
        <w:adjustRightInd w:val="0"/>
        <w:spacing w:before="37" w:line="360" w:lineRule="exact"/>
        <w:ind w:left="1075" w:hanging="420"/>
        <w:rPr>
          <w:rFonts w:hint="eastAsia" w:ascii="宋体" w:hAnsi="宋体" w:cs="Arial Unicode MS"/>
          <w:szCs w:val="21"/>
        </w:rPr>
      </w:pPr>
      <w:r>
        <w:rPr>
          <w:rFonts w:ascii="宋体" w:hAnsi="宋体" w:cs="Arial Unicode MS"/>
          <w:szCs w:val="21"/>
        </w:rPr>
        <w:t>三、保修责任</w:t>
      </w:r>
    </w:p>
    <w:p w14:paraId="24D39B74">
      <w:pPr>
        <w:tabs>
          <w:tab w:val="left" w:pos="2859"/>
          <w:tab w:val="left" w:pos="5589"/>
          <w:tab w:val="left" w:pos="7689"/>
        </w:tabs>
        <w:adjustRightInd w:val="0"/>
        <w:spacing w:before="37" w:line="360" w:lineRule="exact"/>
        <w:ind w:left="1075" w:hanging="420"/>
        <w:rPr>
          <w:rFonts w:hint="eastAsia" w:ascii="宋体" w:hAnsi="宋体" w:cs="Arial Unicode MS"/>
          <w:szCs w:val="21"/>
        </w:rPr>
      </w:pPr>
      <w:r>
        <w:rPr>
          <w:rFonts w:ascii="宋体" w:hAnsi="宋体" w:cs="Arial Unicode MS"/>
          <w:szCs w:val="21"/>
        </w:rPr>
        <w:t xml:space="preserve"> 1、属于责任范围、内容的项目，承包人应当在接到保修通知之日起7天内派人保修。承包人不在约定期限内派人保修的，发包人可以委托他人修理。</w:t>
      </w:r>
    </w:p>
    <w:p w14:paraId="64FF7819">
      <w:pPr>
        <w:tabs>
          <w:tab w:val="left" w:pos="2859"/>
          <w:tab w:val="left" w:pos="5589"/>
          <w:tab w:val="left" w:pos="7689"/>
        </w:tabs>
        <w:adjustRightInd w:val="0"/>
        <w:spacing w:before="37" w:line="360" w:lineRule="exact"/>
        <w:ind w:left="1075" w:hanging="420"/>
        <w:rPr>
          <w:rFonts w:hint="eastAsia" w:ascii="宋体" w:hAnsi="宋体" w:cs="Arial Unicode MS"/>
          <w:szCs w:val="21"/>
        </w:rPr>
      </w:pPr>
      <w:r>
        <w:rPr>
          <w:rFonts w:ascii="宋体" w:hAnsi="宋体"/>
        </w:rPr>
        <mc:AlternateContent>
          <mc:Choice Requires="wpg">
            <w:drawing>
              <wp:anchor distT="0" distB="0" distL="114300" distR="114300" simplePos="0" relativeHeight="251684864" behindDoc="0" locked="0" layoutInCell="1" allowOverlap="1">
                <wp:simplePos x="0" y="0"/>
                <wp:positionH relativeFrom="page">
                  <wp:posOffset>542925</wp:posOffset>
                </wp:positionH>
                <wp:positionV relativeFrom="page">
                  <wp:posOffset>895350</wp:posOffset>
                </wp:positionV>
                <wp:extent cx="1270" cy="8905875"/>
                <wp:effectExtent l="0" t="0" r="0" b="0"/>
                <wp:wrapNone/>
                <wp:docPr id="72" name="组合 72"/>
                <wp:cNvGraphicFramePr/>
                <a:graphic xmlns:a="http://schemas.openxmlformats.org/drawingml/2006/main">
                  <a:graphicData uri="http://schemas.microsoft.com/office/word/2010/wordprocessingGroup">
                    <wpg:wgp>
                      <wpg:cNvGrpSpPr/>
                      <wpg:grpSpPr>
                        <a:xfrm>
                          <a:off x="0" y="0"/>
                          <a:ext cx="1270" cy="8905875"/>
                          <a:chOff x="855" y="1410"/>
                          <a:chExt cx="2" cy="14025"/>
                        </a:xfrm>
                      </wpg:grpSpPr>
                      <wps:wsp>
                        <wps:cNvPr id="71" name="任意多边形 71"/>
                        <wps:cNvSpPr/>
                        <wps:spPr>
                          <a:xfrm>
                            <a:off x="855" y="1410"/>
                            <a:ext cx="2" cy="14025"/>
                          </a:xfrm>
                          <a:custGeom>
                            <a:avLst/>
                            <a:gdLst/>
                            <a:ahLst/>
                            <a:cxnLst/>
                            <a:rect l="0" t="0" r="0" b="0"/>
                            <a:pathLst>
                              <a:path h="14025">
                                <a:moveTo>
                                  <a:pt x="0" y="0"/>
                                </a:moveTo>
                                <a:lnTo>
                                  <a:pt x="0" y="14025"/>
                                </a:lnTo>
                                <a:lnTo>
                                  <a:pt x="0" y="0"/>
                                </a:lnTo>
                                <a:close/>
                              </a:path>
                            </a:pathLst>
                          </a:custGeom>
                          <a:solidFill>
                            <a:srgbClr val="000000"/>
                          </a:solidFill>
                          <a:ln>
                            <a:noFill/>
                          </a:ln>
                        </wps:spPr>
                        <wps:bodyPr upright="1"/>
                      </wps:wsp>
                    </wpg:wgp>
                  </a:graphicData>
                </a:graphic>
              </wp:anchor>
            </w:drawing>
          </mc:Choice>
          <mc:Fallback>
            <w:pict>
              <v:group id="_x0000_s1026" o:spid="_x0000_s1026" o:spt="203" style="position:absolute;left:0pt;margin-left:42.75pt;margin-top:70.5pt;height:701.25pt;width:0.1pt;mso-position-horizontal-relative:page;mso-position-vertical-relative:page;z-index:251684864;mso-width-relative:page;mso-height-relative:page;" coordorigin="855,1410" coordsize="2,14025" o:gfxdata="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">
                <o:lock v:ext="edit" aspectratio="f"/>
                <v:shape id="_x0000_s1026" o:spid="_x0000_s1026" o:spt="100" style="position:absolute;left:855;top:1410;height:14025;width:2;" fillcolor="#000000" filled="t" stroked="f" coordsize="1,14025" o:gfxdata="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XoQPa8AAAA&#10;2wAAAA8AAAAAAAAAAQAgAAAAIgAAAGRycy9kb3ducmV2LnhtbFBLAQIUABQAAAAIAIdO4kAzLwWe&#10;OwAAADkAAAAQAAAAAAAAAAEAIAAAAAsBAABkcnMvc2hhcGV4bWwueG1sUEsFBgAAAAAGAAYAWwEA&#10;ALUDAAAAAA==&#10;" path="m0,0l0,14025,0,0xe">
                  <v:fill on="t" focussize="0,0"/>
                  <v:stroke on="f"/>
                  <v:imagedata o:title=""/>
                  <o:lock v:ext="edit" aspectratio="f"/>
                </v:shape>
              </v:group>
            </w:pict>
          </mc:Fallback>
        </mc:AlternateContent>
      </w:r>
      <w:r>
        <w:rPr>
          <w:rFonts w:ascii="宋体" w:hAnsi="宋体" w:cs="Arial Unicode MS"/>
          <w:szCs w:val="21"/>
        </w:rPr>
        <w:t>2、发生紧急抢修事故的，承包人在接到事故通知后，应当立即到达事故现场抢修。</w:t>
      </w:r>
    </w:p>
    <w:p w14:paraId="37AF3172">
      <w:pPr>
        <w:adjustRightInd w:val="0"/>
        <w:spacing w:before="19" w:line="360" w:lineRule="exact"/>
        <w:ind w:left="655"/>
        <w:rPr>
          <w:rFonts w:hint="eastAsia" w:ascii="宋体" w:hAnsi="宋体" w:cs="Arial Unicode MS"/>
          <w:szCs w:val="21"/>
        </w:rPr>
      </w:pPr>
      <w:r>
        <w:rPr>
          <w:rFonts w:hint="eastAsia" w:ascii="宋体" w:hAnsi="宋体" w:cs="Arial Unicode MS"/>
          <w:szCs w:val="21"/>
        </w:rPr>
        <w:t>3、承包人未在上述约定期限内派人保修的，发包人可以委托他人修理，所需费用由承包人承担。因此给发包人造成损失的，由承包人负责赔偿。</w:t>
      </w:r>
    </w:p>
    <w:p w14:paraId="5708BE80">
      <w:pPr>
        <w:adjustRightInd w:val="0"/>
        <w:spacing w:before="19" w:line="360" w:lineRule="exact"/>
        <w:ind w:left="655"/>
        <w:rPr>
          <w:rFonts w:hint="eastAsia" w:ascii="宋体" w:hAnsi="宋体" w:cs="Arial Unicode MS"/>
          <w:szCs w:val="21"/>
        </w:rPr>
      </w:pPr>
      <w:r>
        <w:rPr>
          <w:rFonts w:hint="eastAsia" w:ascii="宋体" w:hAnsi="宋体" w:cs="Arial Unicode MS"/>
          <w:szCs w:val="21"/>
        </w:rPr>
        <w:t>4、对于涉及结构安全的质量问题，应当按照《房屋建筑工程质量保修办法》的规定，立即向当地建设行政主管部门报告，采取安全防范措施；由原设计人或者具有相应资质等级的设计人提出保修方案， 承包人实施保修。</w:t>
      </w:r>
    </w:p>
    <w:p w14:paraId="05811769">
      <w:pPr>
        <w:adjustRightInd w:val="0"/>
        <w:spacing w:before="19" w:line="360" w:lineRule="exact"/>
        <w:ind w:left="655"/>
        <w:rPr>
          <w:rFonts w:hint="eastAsia" w:ascii="宋体" w:hAnsi="宋体" w:cs="Arial Unicode MS"/>
          <w:szCs w:val="21"/>
        </w:rPr>
      </w:pPr>
      <w:r>
        <w:rPr>
          <w:rFonts w:hint="eastAsia" w:ascii="宋体" w:hAnsi="宋体" w:cs="Arial Unicode MS"/>
          <w:szCs w:val="21"/>
        </w:rPr>
        <w:t xml:space="preserve">5、质量保修完成后，由发包人组织验收。 </w:t>
      </w:r>
      <w:r>
        <w:rPr>
          <w:rFonts w:ascii="宋体" w:hAnsi="宋体" w:cs="Arial Unicode MS"/>
          <w:szCs w:val="21"/>
        </w:rPr>
        <w:t xml:space="preserve"> </w:t>
      </w:r>
    </w:p>
    <w:p w14:paraId="446BC1A1">
      <w:pPr>
        <w:adjustRightInd w:val="0"/>
        <w:spacing w:before="19" w:line="360" w:lineRule="exact"/>
        <w:ind w:left="655"/>
        <w:rPr>
          <w:rFonts w:hint="eastAsia" w:ascii="宋体" w:hAnsi="宋体" w:cs="Arial Unicode MS"/>
          <w:szCs w:val="21"/>
        </w:rPr>
      </w:pPr>
      <w:r>
        <w:rPr>
          <w:rFonts w:ascii="宋体" w:hAnsi="宋体" w:cs="Arial Unicode MS"/>
          <w:szCs w:val="21"/>
        </w:rPr>
        <w:t xml:space="preserve">四、保修费用 </w:t>
      </w:r>
    </w:p>
    <w:p w14:paraId="74F016F3">
      <w:pPr>
        <w:adjustRightInd w:val="0"/>
        <w:spacing w:before="19" w:line="360" w:lineRule="exact"/>
        <w:ind w:left="655"/>
        <w:rPr>
          <w:rFonts w:hint="eastAsia" w:ascii="宋体" w:hAnsi="宋体" w:cs="Arial Unicode MS"/>
          <w:szCs w:val="21"/>
        </w:rPr>
      </w:pPr>
      <w:r>
        <w:rPr>
          <w:rFonts w:ascii="宋体" w:hAnsi="宋体" w:cs="Arial Unicode MS"/>
          <w:szCs w:val="21"/>
        </w:rPr>
        <w:t xml:space="preserve">保修费用由造成质量缺陷的责任方承担。 </w:t>
      </w:r>
    </w:p>
    <w:p w14:paraId="39AD63D6">
      <w:pPr>
        <w:adjustRightInd w:val="0"/>
        <w:spacing w:before="19" w:line="360" w:lineRule="exact"/>
        <w:ind w:left="655"/>
        <w:rPr>
          <w:rFonts w:hint="eastAsia" w:ascii="宋体" w:hAnsi="宋体" w:cs="Arial Unicode MS"/>
          <w:szCs w:val="21"/>
        </w:rPr>
      </w:pPr>
      <w:r>
        <w:rPr>
          <w:rFonts w:ascii="宋体" w:hAnsi="宋体" w:cs="Arial Unicode MS"/>
          <w:szCs w:val="21"/>
        </w:rPr>
        <w:t xml:space="preserve">五、其 他 </w:t>
      </w:r>
    </w:p>
    <w:p w14:paraId="4BDBD073">
      <w:pPr>
        <w:adjustRightInd w:val="0"/>
        <w:spacing w:before="19" w:line="360" w:lineRule="exact"/>
        <w:ind w:left="655"/>
        <w:rPr>
          <w:rFonts w:hint="eastAsia" w:ascii="宋体" w:hAnsi="宋体" w:cs="Arial Unicode MS"/>
          <w:szCs w:val="21"/>
        </w:rPr>
      </w:pPr>
      <w:r>
        <w:rPr>
          <w:rFonts w:ascii="宋体" w:hAnsi="宋体" w:cs="Arial Unicode MS"/>
          <w:szCs w:val="21"/>
        </w:rPr>
        <w:t>双方约定的其他工程保修责任事项：</w:t>
      </w:r>
      <w:r>
        <w:rPr>
          <w:rFonts w:ascii="宋体" w:hAnsi="宋体"/>
          <w:color w:val="000000"/>
          <w:sz w:val="24"/>
          <w:u w:val="single"/>
        </w:rPr>
        <w:t xml:space="preserve">    </w:t>
      </w:r>
      <w:r>
        <w:rPr>
          <w:rFonts w:hint="eastAsia" w:ascii="宋体" w:hAnsi="宋体"/>
          <w:color w:val="000000"/>
          <w:sz w:val="24"/>
          <w:u w:val="single"/>
        </w:rPr>
        <w:t xml:space="preserve">       </w:t>
      </w:r>
      <w:r>
        <w:rPr>
          <w:rFonts w:hint="eastAsia" w:ascii="宋体" w:hAnsi="宋体"/>
          <w:color w:val="000000"/>
          <w:sz w:val="24"/>
          <w:u w:val="none"/>
        </w:rPr>
        <w:t>。</w:t>
      </w:r>
      <w:r>
        <w:rPr>
          <w:rFonts w:ascii="宋体" w:hAnsi="宋体"/>
          <w:color w:val="000000"/>
          <w:sz w:val="24"/>
          <w:u w:val="none"/>
        </w:rPr>
        <w:t xml:space="preserve"> </w:t>
      </w:r>
    </w:p>
    <w:p w14:paraId="4AD89F19">
      <w:pPr>
        <w:adjustRightInd w:val="0"/>
        <w:spacing w:before="5"/>
        <w:rPr>
          <w:rFonts w:hint="eastAsia" w:ascii="宋体" w:hAnsi="宋体" w:cs="Arial Unicode MS"/>
          <w:sz w:val="17"/>
          <w:szCs w:val="17"/>
        </w:rPr>
      </w:pPr>
    </w:p>
    <w:p w14:paraId="735C5B52">
      <w:pPr>
        <w:adjustRightInd w:val="0"/>
        <w:spacing w:line="20" w:lineRule="exact"/>
        <w:ind w:left="647"/>
        <w:rPr>
          <w:rFonts w:hint="eastAsia" w:ascii="宋体" w:hAnsi="宋体" w:cs="Arial Unicode MS"/>
          <w:sz w:val="2"/>
          <w:szCs w:val="2"/>
        </w:rPr>
      </w:pPr>
    </w:p>
    <w:p w14:paraId="39283F71">
      <w:pPr>
        <w:tabs>
          <w:tab w:val="left" w:pos="8739"/>
        </w:tabs>
        <w:adjustRightInd w:val="0"/>
        <w:spacing w:before="37" w:line="360" w:lineRule="exact"/>
        <w:ind w:left="655"/>
        <w:rPr>
          <w:rFonts w:hint="eastAsia" w:ascii="宋体" w:hAnsi="宋体" w:cs="Arial Unicode MS"/>
          <w:szCs w:val="21"/>
        </w:rPr>
      </w:pPr>
      <w:r>
        <w:rPr>
          <w:rFonts w:ascii="宋体" w:hAnsi="宋体" w:cs="Arial Unicode MS"/>
          <w:szCs w:val="21"/>
        </w:rPr>
        <w:t>本工程保修书，由施工合同发包人、承包人双方在竣工验收前共同签署，作为施工合同附件，其有效期限至保修期满。</w:t>
      </w:r>
    </w:p>
    <w:p w14:paraId="5816A632">
      <w:pPr>
        <w:adjustRightInd w:val="0"/>
        <w:spacing w:line="360" w:lineRule="exact"/>
        <w:rPr>
          <w:rFonts w:hint="eastAsia" w:ascii="宋体" w:hAnsi="宋体"/>
          <w:color w:val="FF0000"/>
          <w:szCs w:val="21"/>
        </w:rPr>
      </w:pPr>
    </w:p>
    <w:p w14:paraId="77F2A553">
      <w:pPr>
        <w:tabs>
          <w:tab w:val="left" w:pos="3384"/>
          <w:tab w:val="left" w:pos="4168"/>
          <w:tab w:val="left" w:pos="4539"/>
          <w:tab w:val="left" w:pos="8214"/>
          <w:tab w:val="left" w:pos="8893"/>
        </w:tabs>
        <w:adjustRightInd w:val="0"/>
        <w:spacing w:line="360" w:lineRule="exact"/>
        <w:ind w:left="655"/>
        <w:rPr>
          <w:rFonts w:hint="eastAsia" w:ascii="宋体" w:hAnsi="宋体" w:cs="Arial Unicode MS"/>
          <w:szCs w:val="21"/>
          <w:u w:val="single"/>
        </w:rPr>
      </w:pPr>
      <w:r>
        <w:rPr>
          <w:rFonts w:ascii="宋体" w:hAnsi="宋体" w:cs="Arial Unicode MS"/>
          <w:szCs w:val="21"/>
        </w:rPr>
        <w:t>发包人：</w:t>
      </w:r>
      <w:r>
        <w:rPr>
          <w:rFonts w:ascii="宋体" w:hAnsi="宋体" w:cs="Arial Unicode MS"/>
          <w:szCs w:val="21"/>
          <w:u w:val="single"/>
        </w:rPr>
        <w:t>北京市朝阳区人民政府</w:t>
      </w:r>
      <w:r>
        <w:rPr>
          <w:rFonts w:ascii="宋体" w:hAnsi="宋体" w:cs="Arial Unicode MS"/>
          <w:szCs w:val="21"/>
        </w:rPr>
        <w:t>（公章）</w:t>
      </w:r>
      <w:r>
        <w:rPr>
          <w:rFonts w:ascii="宋体" w:hAnsi="宋体" w:cs="Arial Unicode MS"/>
          <w:szCs w:val="21"/>
        </w:rPr>
        <w:tab/>
      </w:r>
      <w:r>
        <w:rPr>
          <w:rFonts w:ascii="宋体" w:hAnsi="宋体" w:cs="Arial Unicode MS"/>
          <w:szCs w:val="21"/>
        </w:rPr>
        <w:t>承包人：</w:t>
      </w:r>
      <w:r>
        <w:rPr>
          <w:rFonts w:ascii="宋体" w:hAnsi="宋体" w:cs="Arial Unicode MS"/>
          <w:szCs w:val="21"/>
          <w:u w:val="single"/>
        </w:rPr>
        <w:t>（公章）</w:t>
      </w:r>
    </w:p>
    <w:p w14:paraId="32BD6733">
      <w:pPr>
        <w:ind w:firstLine="1470" w:firstLineChars="700"/>
        <w:rPr>
          <w:rFonts w:hint="eastAsia" w:ascii="宋体" w:hAnsi="宋体" w:cs="Arial Unicode MS"/>
          <w:szCs w:val="21"/>
        </w:rPr>
      </w:pPr>
      <w:r>
        <w:rPr>
          <w:rFonts w:ascii="宋体" w:hAnsi="宋体" w:cs="Arial Unicode MS"/>
          <w:szCs w:val="21"/>
          <w:u w:val="single"/>
        </w:rPr>
        <w:t>香河园街道办事处</w:t>
      </w:r>
    </w:p>
    <w:p w14:paraId="272CE7B8">
      <w:pPr>
        <w:ind w:firstLine="630" w:firstLineChars="300"/>
        <w:jc w:val="left"/>
        <w:rPr>
          <w:rFonts w:hint="eastAsia" w:ascii="仿宋" w:hAnsi="仿宋" w:eastAsia="仿宋"/>
          <w:color w:val="000000" w:themeColor="text1"/>
          <w:sz w:val="24"/>
          <w14:textFill>
            <w14:solidFill>
              <w14:schemeClr w14:val="tx1"/>
            </w14:solidFill>
          </w14:textFill>
        </w:rPr>
      </w:pPr>
      <w:r>
        <w:rPr>
          <w:rFonts w:ascii="宋体" w:hAnsi="宋体" w:cs="Arial Unicode MS"/>
          <w:szCs w:val="21"/>
        </w:rPr>
        <w:t>法定地址：</w:t>
      </w:r>
      <w:r>
        <w:rPr>
          <w:rFonts w:hint="eastAsia" w:ascii="宋体" w:hAnsi="宋体"/>
          <w:szCs w:val="21"/>
          <w:u w:val="single" w:color="000000"/>
        </w:rPr>
        <w:t xml:space="preserve">北京市朝阳区西坝河南里26号楼 </w:t>
      </w:r>
      <w:r>
        <w:rPr>
          <w:rFonts w:ascii="宋体" w:hAnsi="宋体" w:cs="Arial Unicode MS"/>
          <w:szCs w:val="21"/>
        </w:rPr>
        <w:t>法定地址：</w:t>
      </w:r>
      <w:r>
        <w:rPr>
          <w:rFonts w:hint="eastAsia" w:ascii="宋体" w:hAnsi="宋体"/>
          <w:szCs w:val="21"/>
        </w:rPr>
        <w:t xml:space="preserve">                   </w:t>
      </w:r>
      <w:r>
        <w:rPr>
          <w:rFonts w:hint="eastAsia" w:ascii="仿宋" w:hAnsi="仿宋" w:eastAsia="仿宋"/>
          <w:color w:val="000000" w:themeColor="text1"/>
          <w:sz w:val="24"/>
          <w14:textFill>
            <w14:solidFill>
              <w14:schemeClr w14:val="tx1"/>
            </w14:solidFill>
          </w14:textFill>
        </w:rPr>
        <w:t xml:space="preserve">                  </w:t>
      </w:r>
    </w:p>
    <w:p w14:paraId="00C24FAB">
      <w:pPr>
        <w:tabs>
          <w:tab w:val="left" w:pos="3384"/>
          <w:tab w:val="left" w:pos="4168"/>
          <w:tab w:val="left" w:pos="4539"/>
          <w:tab w:val="left" w:pos="8214"/>
          <w:tab w:val="left" w:pos="8893"/>
        </w:tabs>
        <w:adjustRightInd w:val="0"/>
        <w:spacing w:line="360" w:lineRule="exact"/>
        <w:ind w:left="655"/>
        <w:rPr>
          <w:rFonts w:hint="eastAsia" w:ascii="宋体" w:hAnsi="宋体" w:cs="Arial Unicode MS"/>
          <w:szCs w:val="21"/>
        </w:rPr>
      </w:pPr>
      <w:r>
        <w:rPr>
          <w:rFonts w:ascii="宋体" w:hAnsi="宋体" w:cs="Arial Unicode MS"/>
          <w:szCs w:val="21"/>
        </w:rPr>
        <w:t>法定代表人或其</w:t>
      </w:r>
      <w:r>
        <w:rPr>
          <w:rFonts w:ascii="宋体" w:hAnsi="宋体" w:cs="Arial Unicode MS"/>
          <w:szCs w:val="21"/>
        </w:rPr>
        <w:tab/>
      </w:r>
      <w:r>
        <w:rPr>
          <w:rFonts w:ascii="宋体" w:hAnsi="宋体" w:cs="Arial Unicode MS"/>
          <w:szCs w:val="21"/>
        </w:rPr>
        <w:tab/>
      </w:r>
      <w:r>
        <w:rPr>
          <w:rFonts w:ascii="宋体" w:hAnsi="宋体" w:cs="Arial Unicode MS"/>
          <w:szCs w:val="21"/>
        </w:rPr>
        <w:tab/>
      </w:r>
      <w:r>
        <w:rPr>
          <w:rFonts w:ascii="宋体" w:hAnsi="宋体" w:cs="Arial Unicode MS"/>
          <w:szCs w:val="21"/>
        </w:rPr>
        <w:t>法定代表人或其</w:t>
      </w:r>
    </w:p>
    <w:p w14:paraId="39771416">
      <w:pPr>
        <w:tabs>
          <w:tab w:val="left" w:pos="3489"/>
          <w:tab w:val="left" w:pos="4539"/>
          <w:tab w:val="left" w:pos="4695"/>
          <w:tab w:val="left" w:pos="8214"/>
          <w:tab w:val="left" w:pos="8788"/>
          <w:tab w:val="left" w:pos="8893"/>
        </w:tabs>
        <w:adjustRightInd w:val="0"/>
        <w:spacing w:line="360" w:lineRule="exact"/>
        <w:ind w:left="655"/>
        <w:rPr>
          <w:rFonts w:hint="eastAsia" w:ascii="宋体" w:hAnsi="宋体" w:cs="Arial Unicode MS"/>
          <w:szCs w:val="21"/>
        </w:rPr>
      </w:pPr>
      <w:r>
        <w:rPr>
          <w:rFonts w:ascii="宋体" w:hAnsi="宋体" w:cs="Arial Unicode MS"/>
          <w:szCs w:val="21"/>
        </w:rPr>
        <w:t>委托代理人：</w:t>
      </w:r>
      <w:r>
        <w:rPr>
          <w:rFonts w:ascii="宋体" w:hAnsi="宋体"/>
          <w:szCs w:val="21"/>
          <w:u w:val="single" w:color="000000"/>
        </w:rPr>
        <w:t xml:space="preserve"> </w:t>
      </w:r>
      <w:r>
        <w:rPr>
          <w:rFonts w:hint="eastAsia" w:ascii="宋体" w:hAnsi="宋体"/>
          <w:szCs w:val="21"/>
          <w:u w:val="single" w:color="000000"/>
        </w:rPr>
        <w:t xml:space="preserve">          </w:t>
      </w:r>
      <w:r>
        <w:rPr>
          <w:rFonts w:ascii="宋体" w:hAnsi="宋体" w:cs="Arial Unicode MS"/>
          <w:szCs w:val="21"/>
        </w:rPr>
        <w:t>（签字）</w:t>
      </w:r>
      <w:r>
        <w:rPr>
          <w:rFonts w:ascii="宋体" w:hAnsi="宋体" w:cs="Arial Unicode MS"/>
          <w:szCs w:val="21"/>
        </w:rPr>
        <w:tab/>
      </w:r>
      <w:r>
        <w:rPr>
          <w:rFonts w:ascii="宋体" w:hAnsi="宋体" w:cs="Arial Unicode MS"/>
          <w:szCs w:val="21"/>
        </w:rPr>
        <w:t>委托代理人：</w:t>
      </w:r>
      <w:r>
        <w:rPr>
          <w:rFonts w:hint="eastAsia" w:ascii="宋体" w:hAnsi="宋体" w:cs="Arial Unicode MS"/>
          <w:szCs w:val="21"/>
          <w:u w:val="single"/>
        </w:rPr>
        <w:t xml:space="preserve">                 </w:t>
      </w:r>
      <w:r>
        <w:rPr>
          <w:rFonts w:ascii="宋体" w:hAnsi="宋体" w:cs="Arial Unicode MS"/>
          <w:szCs w:val="21"/>
        </w:rPr>
        <w:t xml:space="preserve">（签字） </w:t>
      </w:r>
    </w:p>
    <w:p w14:paraId="284A55FA">
      <w:pPr>
        <w:tabs>
          <w:tab w:val="left" w:pos="3489"/>
          <w:tab w:val="left" w:pos="4273"/>
          <w:tab w:val="left" w:pos="4539"/>
          <w:tab w:val="left" w:pos="8214"/>
        </w:tabs>
        <w:adjustRightInd w:val="0"/>
        <w:spacing w:line="360" w:lineRule="exact"/>
        <w:ind w:left="655"/>
        <w:rPr>
          <w:rFonts w:hint="eastAsia" w:ascii="宋体" w:hAnsi="宋体"/>
          <w:szCs w:val="21"/>
        </w:rPr>
      </w:pPr>
      <w:r>
        <w:rPr>
          <w:rFonts w:ascii="宋体" w:hAnsi="宋体" w:cs="Arial Unicode MS"/>
          <w:szCs w:val="21"/>
        </w:rPr>
        <w:t>电话：</w:t>
      </w:r>
      <w:r>
        <w:rPr>
          <w:rFonts w:ascii="宋体" w:hAnsi="宋体"/>
          <w:szCs w:val="21"/>
          <w:u w:val="single" w:color="000000"/>
        </w:rPr>
        <w:tab/>
      </w:r>
      <w:r>
        <w:rPr>
          <w:rFonts w:ascii="宋体" w:hAnsi="宋体"/>
          <w:szCs w:val="21"/>
        </w:rPr>
        <w:tab/>
      </w:r>
      <w:r>
        <w:rPr>
          <w:rFonts w:hint="eastAsia" w:ascii="宋体" w:hAnsi="宋体"/>
          <w:szCs w:val="21"/>
        </w:rPr>
        <w:t xml:space="preserve">   </w:t>
      </w:r>
      <w:r>
        <w:rPr>
          <w:rFonts w:ascii="宋体" w:hAnsi="宋体" w:cs="Arial Unicode MS"/>
          <w:szCs w:val="21"/>
        </w:rPr>
        <w:t>电话：</w:t>
      </w:r>
      <w:r>
        <w:rPr>
          <w:rFonts w:hint="eastAsia" w:ascii="宋体" w:hAnsi="宋体"/>
          <w:szCs w:val="21"/>
          <w:u w:val="single"/>
        </w:rPr>
        <w:t xml:space="preserve">                 </w:t>
      </w:r>
    </w:p>
    <w:p w14:paraId="46D12FC9">
      <w:pPr>
        <w:tabs>
          <w:tab w:val="left" w:pos="3489"/>
          <w:tab w:val="left" w:pos="4273"/>
          <w:tab w:val="left" w:pos="4539"/>
          <w:tab w:val="left" w:pos="8220"/>
        </w:tabs>
        <w:adjustRightInd w:val="0"/>
        <w:spacing w:line="360" w:lineRule="exact"/>
        <w:ind w:left="655"/>
        <w:rPr>
          <w:rFonts w:hint="eastAsia" w:ascii="宋体" w:hAnsi="宋体"/>
          <w:szCs w:val="21"/>
        </w:rPr>
      </w:pPr>
      <w:r>
        <w:rPr>
          <w:rFonts w:ascii="宋体" w:hAnsi="宋体" w:cs="Arial Unicode MS"/>
          <w:szCs w:val="21"/>
        </w:rPr>
        <w:t>传真：</w:t>
      </w:r>
      <w:r>
        <w:rPr>
          <w:rFonts w:ascii="宋体" w:hAnsi="宋体"/>
          <w:szCs w:val="21"/>
          <w:u w:val="single" w:color="000000"/>
        </w:rPr>
        <w:tab/>
      </w:r>
      <w:r>
        <w:rPr>
          <w:rFonts w:ascii="宋体" w:hAnsi="宋体"/>
          <w:szCs w:val="21"/>
        </w:rPr>
        <w:tab/>
      </w:r>
      <w:r>
        <w:rPr>
          <w:rFonts w:hint="eastAsia" w:ascii="宋体" w:hAnsi="宋体"/>
          <w:szCs w:val="21"/>
        </w:rPr>
        <w:t xml:space="preserve">   </w:t>
      </w:r>
      <w:r>
        <w:rPr>
          <w:rFonts w:ascii="宋体" w:hAnsi="宋体" w:cs="Arial Unicode MS"/>
          <w:szCs w:val="21"/>
        </w:rPr>
        <w:t>传真：</w:t>
      </w:r>
      <w:r>
        <w:rPr>
          <w:rFonts w:hint="eastAsia" w:ascii="宋体" w:hAnsi="宋体"/>
          <w:szCs w:val="21"/>
          <w:u w:val="single"/>
        </w:rPr>
        <w:t xml:space="preserve">                 </w:t>
      </w:r>
    </w:p>
    <w:p w14:paraId="6223154C">
      <w:pPr>
        <w:tabs>
          <w:tab w:val="left" w:pos="3489"/>
          <w:tab w:val="left" w:pos="4273"/>
          <w:tab w:val="left" w:pos="4539"/>
          <w:tab w:val="left" w:pos="8214"/>
          <w:tab w:val="left" w:pos="8893"/>
        </w:tabs>
        <w:adjustRightInd w:val="0"/>
        <w:spacing w:line="360" w:lineRule="exact"/>
        <w:ind w:left="655"/>
        <w:rPr>
          <w:rFonts w:hint="eastAsia" w:ascii="宋体" w:hAnsi="宋体"/>
          <w:szCs w:val="21"/>
        </w:rPr>
      </w:pPr>
      <w:r>
        <w:rPr>
          <w:rFonts w:ascii="宋体" w:hAnsi="宋体" w:cs="Arial Unicode MS"/>
          <w:szCs w:val="21"/>
        </w:rPr>
        <w:t>电子邮箱：</w:t>
      </w:r>
      <w:r>
        <w:rPr>
          <w:rFonts w:ascii="宋体" w:hAnsi="宋体"/>
          <w:szCs w:val="21"/>
          <w:u w:val="single" w:color="000000"/>
        </w:rPr>
        <w:t xml:space="preserve"> </w:t>
      </w:r>
      <w:r>
        <w:rPr>
          <w:rFonts w:ascii="宋体" w:hAnsi="宋体"/>
          <w:szCs w:val="21"/>
          <w:u w:val="single" w:color="000000"/>
        </w:rPr>
        <w:tab/>
      </w:r>
      <w:r>
        <w:rPr>
          <w:rFonts w:ascii="宋体" w:hAnsi="宋体"/>
          <w:szCs w:val="21"/>
          <w:u w:val="single" w:color="000000"/>
        </w:rPr>
        <w:tab/>
      </w:r>
      <w:r>
        <w:rPr>
          <w:rFonts w:ascii="宋体" w:hAnsi="宋体"/>
          <w:szCs w:val="21"/>
        </w:rPr>
        <w:tab/>
      </w:r>
      <w:r>
        <w:rPr>
          <w:rFonts w:hint="eastAsia" w:ascii="宋体" w:hAnsi="宋体"/>
          <w:szCs w:val="21"/>
        </w:rPr>
        <w:t xml:space="preserve"> </w:t>
      </w:r>
      <w:r>
        <w:rPr>
          <w:rFonts w:ascii="宋体" w:hAnsi="宋体" w:cs="Arial Unicode MS"/>
          <w:szCs w:val="21"/>
        </w:rPr>
        <w:t>电子邮箱：</w:t>
      </w:r>
      <w:r>
        <w:rPr>
          <w:rFonts w:hint="eastAsia" w:ascii="宋体" w:hAnsi="宋体" w:cs="Arial Unicode MS"/>
          <w:szCs w:val="21"/>
          <w:u w:val="single"/>
        </w:rPr>
        <w:t xml:space="preserve">                    </w:t>
      </w:r>
    </w:p>
    <w:p w14:paraId="76F4F84C">
      <w:pPr>
        <w:spacing w:line="440" w:lineRule="exact"/>
        <w:ind w:firstLine="630" w:firstLineChars="300"/>
        <w:rPr>
          <w:rFonts w:hint="eastAsia" w:ascii="宋体" w:hAnsi="宋体"/>
          <w:szCs w:val="21"/>
          <w:u w:val="single"/>
        </w:rPr>
      </w:pPr>
      <w:r>
        <w:rPr>
          <w:rFonts w:ascii="宋体" w:hAnsi="宋体" w:cs="Arial Unicode MS"/>
          <w:szCs w:val="21"/>
        </w:rPr>
        <w:t>开户银行：</w:t>
      </w:r>
      <w:r>
        <w:rPr>
          <w:rFonts w:hint="eastAsia" w:ascii="宋体" w:hAnsi="宋体"/>
          <w:szCs w:val="21"/>
          <w:u w:val="single" w:color="000000"/>
        </w:rPr>
        <w:t xml:space="preserve">                     </w:t>
      </w:r>
      <w:r>
        <w:rPr>
          <w:rFonts w:hint="eastAsia" w:ascii="宋体" w:hAnsi="宋体"/>
          <w:szCs w:val="21"/>
        </w:rPr>
        <w:t xml:space="preserve">       </w:t>
      </w:r>
      <w:r>
        <w:rPr>
          <w:rFonts w:ascii="宋体" w:hAnsi="宋体" w:cs="Arial Unicode MS"/>
          <w:szCs w:val="21"/>
        </w:rPr>
        <w:t>开户银行：</w:t>
      </w:r>
      <w:r>
        <w:rPr>
          <w:rFonts w:hint="eastAsia" w:ascii="宋体" w:hAnsi="宋体"/>
          <w:szCs w:val="21"/>
          <w:u w:val="single"/>
        </w:rPr>
        <w:t xml:space="preserve">                   </w:t>
      </w:r>
    </w:p>
    <w:p w14:paraId="2EE666D5">
      <w:pPr>
        <w:snapToGrid w:val="0"/>
        <w:spacing w:line="360" w:lineRule="auto"/>
        <w:ind w:firstLine="1890" w:firstLineChars="900"/>
        <w:rPr>
          <w:rFonts w:hint="eastAsia" w:ascii="仿宋" w:hAnsi="仿宋" w:eastAsia="仿宋"/>
          <w:color w:val="000000" w:themeColor="text1"/>
          <w:sz w:val="24"/>
          <w:u w:val="single"/>
          <w14:textFill>
            <w14:solidFill>
              <w14:schemeClr w14:val="tx1"/>
            </w14:solidFill>
          </w14:textFill>
        </w:rPr>
      </w:pPr>
      <w:r>
        <w:rPr>
          <w:rFonts w:hint="eastAsia" w:ascii="宋体" w:hAnsi="宋体"/>
          <w:szCs w:val="21"/>
          <w:u w:val="single" w:color="000000"/>
        </w:rPr>
        <w:t xml:space="preserve">                    </w:t>
      </w:r>
      <w:r>
        <w:rPr>
          <w:rFonts w:ascii="宋体" w:hAnsi="宋体"/>
          <w:szCs w:val="21"/>
        </w:rPr>
        <w:tab/>
      </w:r>
      <w:r>
        <w:rPr>
          <w:rFonts w:hint="eastAsia" w:ascii="宋体" w:hAnsi="宋体"/>
          <w:szCs w:val="21"/>
        </w:rPr>
        <w:t xml:space="preserve">        </w:t>
      </w:r>
      <w:r>
        <w:rPr>
          <w:rFonts w:hint="eastAsia" w:ascii="宋体" w:hAnsi="宋体"/>
          <w:szCs w:val="21"/>
          <w:u w:val="single"/>
        </w:rPr>
        <w:t xml:space="preserve">                     </w:t>
      </w:r>
      <w:r>
        <w:rPr>
          <w:rFonts w:hint="eastAsia" w:ascii="宋体" w:hAnsi="宋体"/>
          <w:szCs w:val="21"/>
        </w:rPr>
        <w:t xml:space="preserve"> </w:t>
      </w:r>
    </w:p>
    <w:p w14:paraId="5803D085">
      <w:pPr>
        <w:snapToGrid w:val="0"/>
        <w:spacing w:line="360" w:lineRule="auto"/>
        <w:ind w:firstLine="630" w:firstLineChars="300"/>
        <w:rPr>
          <w:rStyle w:val="1256"/>
          <w:rFonts w:hint="eastAsia" w:ascii="仿宋" w:hAnsi="仿宋" w:eastAsia="仿宋"/>
          <w:color w:val="000000" w:themeColor="text1"/>
          <w:sz w:val="24"/>
          <w14:textFill>
            <w14:solidFill>
              <w14:schemeClr w14:val="tx1"/>
            </w14:solidFill>
          </w14:textFill>
        </w:rPr>
      </w:pPr>
      <w:r>
        <w:rPr>
          <w:rFonts w:ascii="宋体" w:hAnsi="宋体" w:cs="Arial Unicode MS"/>
          <w:szCs w:val="21"/>
        </w:rPr>
        <w:t>帐号：</w:t>
      </w:r>
      <w:r>
        <w:rPr>
          <w:rFonts w:ascii="宋体" w:hAnsi="宋体"/>
          <w:szCs w:val="21"/>
          <w:u w:val="single" w:color="000000"/>
        </w:rPr>
        <w:t xml:space="preserve"> </w:t>
      </w:r>
      <w:r>
        <w:rPr>
          <w:rFonts w:hint="eastAsia" w:ascii="宋体" w:hAnsi="宋体"/>
          <w:szCs w:val="21"/>
          <w:u w:val="single" w:color="000000"/>
        </w:rPr>
        <w:t xml:space="preserve">               </w:t>
      </w:r>
      <w:r>
        <w:rPr>
          <w:rFonts w:ascii="宋体" w:hAnsi="宋体"/>
          <w:szCs w:val="21"/>
        </w:rPr>
        <w:tab/>
      </w:r>
      <w:r>
        <w:rPr>
          <w:rFonts w:hint="eastAsia" w:ascii="宋体" w:hAnsi="宋体"/>
          <w:szCs w:val="21"/>
        </w:rPr>
        <w:t xml:space="preserve">            </w:t>
      </w:r>
      <w:r>
        <w:rPr>
          <w:rFonts w:ascii="宋体" w:hAnsi="宋体" w:cs="Arial Unicode MS"/>
          <w:szCs w:val="21"/>
        </w:rPr>
        <w:t>帐</w:t>
      </w:r>
      <w:r>
        <w:rPr>
          <w:rFonts w:hint="eastAsia" w:ascii="宋体" w:hAnsi="宋体" w:cs="Arial Unicode MS"/>
          <w:szCs w:val="21"/>
        </w:rPr>
        <w:t xml:space="preserve">   </w:t>
      </w:r>
      <w:r>
        <w:rPr>
          <w:rFonts w:ascii="宋体" w:hAnsi="宋体" w:cs="Arial Unicode MS"/>
          <w:szCs w:val="21"/>
        </w:rPr>
        <w:t>号：</w:t>
      </w:r>
      <w:r>
        <w:rPr>
          <w:rFonts w:hint="eastAsia" w:ascii="宋体" w:hAnsi="宋体"/>
          <w:szCs w:val="21"/>
          <w:u w:val="single"/>
        </w:rPr>
        <w:t xml:space="preserve">                  </w:t>
      </w:r>
    </w:p>
    <w:p w14:paraId="256361AC">
      <w:pPr>
        <w:tabs>
          <w:tab w:val="left" w:pos="3489"/>
          <w:tab w:val="left" w:pos="4273"/>
          <w:tab w:val="left" w:pos="4650"/>
          <w:tab w:val="left" w:pos="8214"/>
        </w:tabs>
        <w:adjustRightInd w:val="0"/>
        <w:spacing w:line="360" w:lineRule="exact"/>
        <w:ind w:left="655"/>
        <w:rPr>
          <w:rFonts w:hint="eastAsia" w:ascii="宋体" w:hAnsi="宋体"/>
          <w:szCs w:val="21"/>
          <w:u w:val="single" w:color="000000"/>
        </w:rPr>
      </w:pPr>
      <w:r>
        <w:rPr>
          <w:rFonts w:ascii="宋体" w:hAnsi="宋体" w:cs="Arial Unicode MS"/>
          <w:szCs w:val="21"/>
        </w:rPr>
        <w:t>邮政编码：</w:t>
      </w:r>
      <w:r>
        <w:rPr>
          <w:rFonts w:ascii="宋体" w:hAnsi="宋体"/>
          <w:szCs w:val="21"/>
          <w:u w:val="single" w:color="000000"/>
        </w:rPr>
        <w:tab/>
      </w:r>
      <w:r>
        <w:rPr>
          <w:rFonts w:ascii="宋体" w:hAnsi="宋体"/>
          <w:szCs w:val="21"/>
        </w:rPr>
        <w:tab/>
      </w:r>
      <w:r>
        <w:rPr>
          <w:rFonts w:hint="eastAsia" w:ascii="宋体" w:hAnsi="宋体"/>
          <w:szCs w:val="21"/>
        </w:rPr>
        <w:t xml:space="preserve">    </w:t>
      </w:r>
      <w:r>
        <w:rPr>
          <w:rFonts w:ascii="宋体" w:hAnsi="宋体" w:cs="Arial Unicode MS"/>
          <w:szCs w:val="21"/>
        </w:rPr>
        <w:t>邮政编码：</w:t>
      </w:r>
      <w:r>
        <w:rPr>
          <w:rFonts w:ascii="宋体" w:hAnsi="宋体"/>
          <w:szCs w:val="21"/>
          <w:u w:val="single" w:color="000000"/>
        </w:rPr>
        <w:t xml:space="preserve"> </w:t>
      </w:r>
      <w:r>
        <w:rPr>
          <w:rFonts w:hint="eastAsia" w:ascii="宋体" w:hAnsi="宋体"/>
          <w:szCs w:val="21"/>
          <w:u w:val="single" w:color="000000"/>
        </w:rPr>
        <w:t xml:space="preserve">                 </w:t>
      </w:r>
    </w:p>
    <w:p w14:paraId="70A6D7C7">
      <w:pPr>
        <w:tabs>
          <w:tab w:val="left" w:pos="8739"/>
        </w:tabs>
        <w:adjustRightInd w:val="0"/>
        <w:spacing w:before="37" w:line="360" w:lineRule="exact"/>
        <w:ind w:left="655"/>
        <w:rPr>
          <w:rFonts w:hint="eastAsia" w:ascii="宋体" w:hAnsi="宋体" w:cs="Arial Unicode MS"/>
          <w:b w:val="0"/>
          <w:bCs/>
          <w:szCs w:val="21"/>
        </w:rPr>
      </w:pPr>
    </w:p>
    <w:p w14:paraId="4BB0D465">
      <w:pPr>
        <w:tabs>
          <w:tab w:val="left" w:pos="8739"/>
        </w:tabs>
        <w:adjustRightInd w:val="0"/>
        <w:spacing w:before="37" w:line="360" w:lineRule="exact"/>
        <w:ind w:left="655"/>
        <w:rPr>
          <w:rFonts w:hint="eastAsia" w:ascii="宋体" w:hAnsi="宋体" w:cs="Arial Unicode MS"/>
          <w:sz w:val="21"/>
          <w:szCs w:val="21"/>
        </w:rPr>
      </w:pPr>
    </w:p>
    <w:p w14:paraId="59D0FE22">
      <w:pPr>
        <w:tabs>
          <w:tab w:val="left" w:pos="8739"/>
        </w:tabs>
        <w:adjustRightInd w:val="0"/>
        <w:spacing w:before="37" w:line="360" w:lineRule="exact"/>
        <w:ind w:left="655"/>
        <w:rPr>
          <w:rFonts w:hint="eastAsia" w:ascii="宋体" w:hAnsi="宋体" w:cs="Arial Unicode MS"/>
          <w:b w:val="0"/>
          <w:bCs/>
          <w:szCs w:val="21"/>
        </w:rPr>
      </w:pPr>
    </w:p>
    <w:p w14:paraId="41B23737">
      <w:pPr>
        <w:tabs>
          <w:tab w:val="left" w:pos="8739"/>
        </w:tabs>
        <w:adjustRightInd w:val="0"/>
        <w:spacing w:before="37" w:line="360" w:lineRule="exact"/>
        <w:ind w:left="655"/>
        <w:rPr>
          <w:rFonts w:hint="eastAsia" w:ascii="宋体" w:hAnsi="宋体" w:cs="Arial Unicode MS"/>
          <w:sz w:val="21"/>
          <w:szCs w:val="21"/>
        </w:rPr>
      </w:pPr>
    </w:p>
    <w:p w14:paraId="6CFD2327">
      <w:pPr>
        <w:tabs>
          <w:tab w:val="left" w:pos="8739"/>
        </w:tabs>
        <w:adjustRightInd w:val="0"/>
        <w:spacing w:before="37" w:line="360" w:lineRule="exact"/>
        <w:ind w:left="655"/>
        <w:rPr>
          <w:rFonts w:hint="eastAsia" w:ascii="宋体" w:hAnsi="宋体" w:cs="Arial Unicode MS"/>
          <w:sz w:val="21"/>
          <w:szCs w:val="21"/>
        </w:rPr>
      </w:pPr>
    </w:p>
    <w:p w14:paraId="463A77C5">
      <w:pPr>
        <w:tabs>
          <w:tab w:val="left" w:pos="8739"/>
        </w:tabs>
        <w:adjustRightInd w:val="0"/>
        <w:spacing w:before="37" w:line="360" w:lineRule="exact"/>
        <w:ind w:left="655"/>
        <w:rPr>
          <w:rFonts w:hint="eastAsia" w:ascii="宋体" w:hAnsi="宋体" w:cs="Arial Unicode MS"/>
          <w:b w:val="0"/>
          <w:bCs/>
          <w:szCs w:val="21"/>
        </w:rPr>
      </w:pPr>
    </w:p>
    <w:p w14:paraId="4C1189EC">
      <w:pPr>
        <w:pStyle w:val="3"/>
        <w:rPr>
          <w:rFonts w:hint="eastAsia" w:hAnsi="宋体"/>
          <w:b w:val="0"/>
          <w:bCs/>
          <w:szCs w:val="32"/>
        </w:rPr>
        <w:sectPr>
          <w:pgSz w:w="11900" w:h="16840"/>
          <w:pgMar w:top="1361" w:right="1134" w:bottom="1361" w:left="1361" w:header="720" w:footer="720" w:gutter="0"/>
          <w:cols w:space="720" w:num="1"/>
        </w:sectPr>
      </w:pPr>
    </w:p>
    <w:p w14:paraId="57E4F5E7">
      <w:pPr>
        <w:pStyle w:val="4"/>
        <w:rPr>
          <w:rFonts w:hint="eastAsia" w:ascii="宋体" w:hAnsi="宋体" w:eastAsia="宋体" w:cs="Arial Unicode MS"/>
          <w:b w:val="0"/>
          <w:bCs/>
          <w:sz w:val="44"/>
          <w:szCs w:val="44"/>
        </w:rPr>
      </w:pPr>
      <w:r>
        <w:rPr>
          <w:rFonts w:ascii="宋体" w:hAnsi="宋体" w:eastAsia="宋体"/>
          <w:b w:val="0"/>
          <w:bCs/>
          <w:szCs w:val="32"/>
        </w:rPr>
        <mc:AlternateContent>
          <mc:Choice Requires="wpg">
            <w:drawing>
              <wp:anchor distT="0" distB="0" distL="114300" distR="114300" simplePos="0" relativeHeight="251685888" behindDoc="0" locked="0" layoutInCell="1" allowOverlap="1">
                <wp:simplePos x="0" y="0"/>
                <wp:positionH relativeFrom="page">
                  <wp:posOffset>542925</wp:posOffset>
                </wp:positionH>
                <wp:positionV relativeFrom="page">
                  <wp:posOffset>895350</wp:posOffset>
                </wp:positionV>
                <wp:extent cx="1270" cy="8905875"/>
                <wp:effectExtent l="0" t="0" r="0" b="0"/>
                <wp:wrapNone/>
                <wp:docPr id="58" name="组合 58"/>
                <wp:cNvGraphicFramePr/>
                <a:graphic xmlns:a="http://schemas.openxmlformats.org/drawingml/2006/main">
                  <a:graphicData uri="http://schemas.microsoft.com/office/word/2010/wordprocessingGroup">
                    <wpg:wgp>
                      <wpg:cNvGrpSpPr/>
                      <wpg:grpSpPr>
                        <a:xfrm>
                          <a:off x="0" y="0"/>
                          <a:ext cx="1270" cy="8905875"/>
                          <a:chOff x="855" y="1410"/>
                          <a:chExt cx="2" cy="14025"/>
                        </a:xfrm>
                      </wpg:grpSpPr>
                      <wps:wsp>
                        <wps:cNvPr id="57" name="任意多边形 57"/>
                        <wps:cNvSpPr/>
                        <wps:spPr>
                          <a:xfrm>
                            <a:off x="855" y="1410"/>
                            <a:ext cx="2" cy="14025"/>
                          </a:xfrm>
                          <a:custGeom>
                            <a:avLst/>
                            <a:gdLst/>
                            <a:ahLst/>
                            <a:cxnLst/>
                            <a:rect l="0" t="0" r="0" b="0"/>
                            <a:pathLst>
                              <a:path h="14025">
                                <a:moveTo>
                                  <a:pt x="0" y="0"/>
                                </a:moveTo>
                                <a:lnTo>
                                  <a:pt x="0" y="14025"/>
                                </a:lnTo>
                                <a:lnTo>
                                  <a:pt x="0" y="0"/>
                                </a:lnTo>
                                <a:close/>
                              </a:path>
                            </a:pathLst>
                          </a:custGeom>
                          <a:solidFill>
                            <a:srgbClr val="000000"/>
                          </a:solidFill>
                          <a:ln>
                            <a:noFill/>
                          </a:ln>
                        </wps:spPr>
                        <wps:bodyPr upright="1"/>
                      </wps:wsp>
                    </wpg:wgp>
                  </a:graphicData>
                </a:graphic>
              </wp:anchor>
            </w:drawing>
          </mc:Choice>
          <mc:Fallback>
            <w:pict>
              <v:group id="_x0000_s1026" o:spid="_x0000_s1026" o:spt="203" style="position:absolute;left:0pt;margin-left:42.75pt;margin-top:70.5pt;height:701.25pt;width:0.1pt;mso-position-horizontal-relative:page;mso-position-vertical-relative:page;z-index:251685888;mso-width-relative:page;mso-height-relative:page;" coordorigin="855,1410" coordsize="2,14025" o:gfxdata="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">
                <o:lock v:ext="edit" aspectratio="f"/>
                <v:shape id="_x0000_s1026" o:spid="_x0000_s1026" o:spt="100" style="position:absolute;left:855;top:1410;height:14025;width:2;" fillcolor="#000000" filled="t" stroked="f" coordsize="1,14025" o:gfxdata="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7vgheb4A&#10;AADbAAAADwAAAAAAAAABACAAAAAiAAAAZHJzL2Rvd25yZXYueG1sUEsBAhQAFAAAAAgAh07iQDMv&#10;BZ47AAAAOQAAABAAAAAAAAAAAQAgAAAADQEAAGRycy9zaGFwZXhtbC54bWxQSwUGAAAAAAYABgBb&#10;AQAAtwMAAAAA&#10;" path="m0,0l0,14025,0,0xe">
                  <v:fill on="t" focussize="0,0"/>
                  <v:stroke on="f"/>
                  <v:imagedata o:title=""/>
                  <o:lock v:ext="edit" aspectratio="f"/>
                </v:shape>
              </v:group>
            </w:pict>
          </mc:Fallback>
        </mc:AlternateContent>
      </w:r>
      <w:r>
        <w:rPr>
          <w:rFonts w:hint="eastAsia" w:ascii="宋体" w:hAnsi="宋体" w:eastAsia="宋体" w:cs="Arial Unicode MS"/>
          <w:b w:val="0"/>
          <w:bCs/>
          <w:sz w:val="44"/>
          <w:szCs w:val="44"/>
        </w:rPr>
        <w:t>建设工程廉政责任书</w:t>
      </w:r>
    </w:p>
    <w:p w14:paraId="05BA9097">
      <w:pPr>
        <w:tabs>
          <w:tab w:val="left" w:pos="2229"/>
        </w:tabs>
        <w:adjustRightInd w:val="0"/>
        <w:spacing w:line="420" w:lineRule="exact"/>
        <w:rPr>
          <w:rFonts w:hint="eastAsia" w:ascii="宋体" w:hAnsi="宋体" w:cs="Arial Unicode MS"/>
          <w:szCs w:val="21"/>
        </w:rPr>
      </w:pPr>
      <w:r>
        <w:rPr>
          <w:rFonts w:ascii="宋体" w:hAnsi="宋体" w:cs="Arial Unicode MS"/>
          <w:szCs w:val="21"/>
        </w:rPr>
        <w:t>发包人：</w:t>
      </w:r>
      <w:r>
        <w:rPr>
          <w:rFonts w:ascii="宋体" w:hAnsi="宋体" w:cs="Arial Unicode MS"/>
          <w:szCs w:val="21"/>
          <w:u w:val="single"/>
        </w:rPr>
        <w:t>北京市朝阳区人民政府香河园街道办事处</w:t>
      </w:r>
    </w:p>
    <w:p w14:paraId="61499305">
      <w:pPr>
        <w:tabs>
          <w:tab w:val="left" w:pos="2229"/>
        </w:tabs>
        <w:adjustRightInd w:val="0"/>
        <w:spacing w:line="420" w:lineRule="exact"/>
        <w:rPr>
          <w:rFonts w:hint="eastAsia" w:ascii="宋体" w:hAnsi="宋体"/>
          <w:sz w:val="20"/>
          <w:szCs w:val="20"/>
        </w:rPr>
      </w:pPr>
      <w:r>
        <w:rPr>
          <w:rFonts w:ascii="宋体" w:hAnsi="宋体" w:cs="Arial Unicode MS"/>
          <w:szCs w:val="21"/>
        </w:rPr>
        <w:t>承包人：</w:t>
      </w:r>
      <w:r>
        <w:rPr>
          <w:rFonts w:hint="eastAsia" w:ascii="宋体" w:hAnsi="宋体" w:cs="Arial Unicode MS"/>
          <w:szCs w:val="21"/>
          <w:u w:val="single"/>
        </w:rPr>
        <w:t xml:space="preserve">                        </w:t>
      </w:r>
    </w:p>
    <w:p w14:paraId="5E9A206C">
      <w:pPr>
        <w:adjustRightInd w:val="0"/>
        <w:spacing w:before="130" w:line="360" w:lineRule="exact"/>
        <w:ind w:firstLine="630" w:firstLineChars="300"/>
        <w:rPr>
          <w:rFonts w:hint="eastAsia" w:ascii="宋体" w:hAnsi="宋体" w:cs="Arial Unicode MS"/>
          <w:szCs w:val="21"/>
        </w:rPr>
      </w:pPr>
      <w:r>
        <w:rPr>
          <w:rFonts w:ascii="宋体" w:hAnsi="宋体" w:cs="Arial Unicode MS"/>
          <w:szCs w:val="21"/>
        </w:rPr>
        <w:t>为加强建设工程廉政建设，规范建设工程各项活动中发包人承包人双方的行为，防止谋取不正当利 益的违法违纪现象的发生，保护国家、集体和当事人的合法权益，根据国家有关工程建设的法律法规和 廉政建设的有关规定，订立本廉政责任书。</w:t>
      </w:r>
    </w:p>
    <w:p w14:paraId="59DAC7DE">
      <w:pPr>
        <w:adjustRightInd w:val="0"/>
        <w:spacing w:line="341" w:lineRule="exact"/>
        <w:ind w:firstLine="630" w:firstLineChars="300"/>
        <w:rPr>
          <w:rFonts w:hint="eastAsia" w:ascii="宋体" w:hAnsi="宋体" w:cs="Arial Unicode MS"/>
          <w:szCs w:val="21"/>
        </w:rPr>
      </w:pPr>
      <w:r>
        <w:rPr>
          <w:rFonts w:ascii="宋体" w:hAnsi="宋体" w:cs="Arial Unicode MS"/>
          <w:szCs w:val="21"/>
        </w:rPr>
        <w:t>一、双方的责任</w:t>
      </w:r>
    </w:p>
    <w:p w14:paraId="39327A6C">
      <w:pPr>
        <w:adjustRightInd w:val="0"/>
        <w:spacing w:line="360" w:lineRule="exact"/>
        <w:ind w:firstLine="630" w:firstLineChars="300"/>
        <w:rPr>
          <w:rFonts w:hint="eastAsia" w:ascii="宋体" w:hAnsi="宋体" w:cs="Arial Unicode MS"/>
          <w:szCs w:val="21"/>
        </w:rPr>
      </w:pPr>
      <w:r>
        <w:rPr>
          <w:rFonts w:ascii="宋体" w:hAnsi="宋体" w:cs="Arial Unicode MS"/>
          <w:szCs w:val="21"/>
        </w:rPr>
        <w:t>1.1  应严格遵守国家关于建设工程的有关法律、法规，相关政策，以及廉政建设的各项规定。</w:t>
      </w:r>
    </w:p>
    <w:p w14:paraId="608F54DA">
      <w:pPr>
        <w:adjustRightInd w:val="0"/>
        <w:spacing w:line="360" w:lineRule="exact"/>
        <w:ind w:firstLine="630" w:firstLineChars="300"/>
        <w:rPr>
          <w:rFonts w:hint="eastAsia" w:ascii="宋体" w:hAnsi="宋体" w:cs="Arial Unicode MS"/>
          <w:szCs w:val="21"/>
        </w:rPr>
      </w:pPr>
      <w:r>
        <w:rPr>
          <w:rFonts w:ascii="宋体" w:hAnsi="宋体" w:cs="Arial Unicode MS"/>
          <w:szCs w:val="21"/>
        </w:rPr>
        <w:t>1.2  严格执行建设工程合同文件，自觉按合同办事。</w:t>
      </w:r>
    </w:p>
    <w:p w14:paraId="75B7244E">
      <w:pPr>
        <w:adjustRightInd w:val="0"/>
        <w:spacing w:line="360" w:lineRule="exact"/>
        <w:ind w:firstLine="630" w:firstLineChars="300"/>
        <w:rPr>
          <w:rFonts w:hint="eastAsia" w:ascii="宋体" w:hAnsi="宋体" w:cs="Arial Unicode MS"/>
          <w:szCs w:val="21"/>
        </w:rPr>
      </w:pPr>
      <w:r>
        <w:rPr>
          <w:rFonts w:ascii="宋体" w:hAnsi="宋体" w:cs="Arial Unicode MS"/>
          <w:szCs w:val="21"/>
        </w:rPr>
        <w:t>1.</w:t>
      </w:r>
      <w:r>
        <w:rPr>
          <w:rFonts w:hint="eastAsia" w:ascii="宋体" w:hAnsi="宋体" w:cs="Arial Unicode MS"/>
          <w:szCs w:val="21"/>
        </w:rPr>
        <w:t>3</w:t>
      </w:r>
      <w:r>
        <w:rPr>
          <w:rFonts w:ascii="宋体" w:hAnsi="宋体" w:cs="Arial Unicode MS"/>
          <w:szCs w:val="21"/>
        </w:rPr>
        <w:t xml:space="preserve">  各项活动必须坚持公开、公平、公正、诚信、透明的原则（除法律法规另有规定者外），不得为获取不正当的利益，损害国家、集体和对方利益，不得违反建设工程管理的规章制度。</w:t>
      </w:r>
    </w:p>
    <w:p w14:paraId="0DF8C0DF">
      <w:pPr>
        <w:adjustRightInd w:val="0"/>
        <w:spacing w:line="360" w:lineRule="exact"/>
        <w:ind w:firstLine="630" w:firstLineChars="300"/>
        <w:rPr>
          <w:rFonts w:hint="eastAsia" w:ascii="宋体" w:hAnsi="宋体" w:cs="Arial Unicode MS"/>
          <w:szCs w:val="21"/>
        </w:rPr>
      </w:pPr>
      <w:r>
        <w:rPr>
          <w:rFonts w:ascii="宋体" w:hAnsi="宋体" w:cs="Arial Unicode MS"/>
          <w:szCs w:val="21"/>
        </w:rPr>
        <w:t>1.</w:t>
      </w:r>
      <w:r>
        <w:rPr>
          <w:rFonts w:hint="eastAsia" w:ascii="宋体" w:hAnsi="宋体" w:cs="Arial Unicode MS"/>
          <w:szCs w:val="21"/>
        </w:rPr>
        <w:t>4</w:t>
      </w:r>
      <w:r>
        <w:rPr>
          <w:rFonts w:ascii="宋体" w:hAnsi="宋体" w:cs="Arial Unicode MS"/>
          <w:szCs w:val="21"/>
        </w:rPr>
        <w:t xml:space="preserve">  发现对方在业务活动中有违规、违纪、违法行为的，应及时提醒对方，情节严重的，应向其上级主管部门或纪检监察、司法等有关机关举报。</w:t>
      </w:r>
    </w:p>
    <w:p w14:paraId="1B0BDA4B">
      <w:pPr>
        <w:adjustRightInd w:val="0"/>
        <w:spacing w:line="360" w:lineRule="exact"/>
        <w:ind w:firstLine="630" w:firstLineChars="300"/>
        <w:rPr>
          <w:rFonts w:hint="eastAsia" w:ascii="宋体" w:hAnsi="宋体" w:cs="Arial Unicode MS"/>
          <w:szCs w:val="21"/>
        </w:rPr>
      </w:pPr>
      <w:r>
        <w:rPr>
          <w:rFonts w:ascii="宋体" w:hAnsi="宋体" w:cs="Arial Unicode MS"/>
          <w:szCs w:val="21"/>
        </w:rPr>
        <w:t xml:space="preserve">二、发包人责任 </w:t>
      </w:r>
    </w:p>
    <w:p w14:paraId="30C23A53">
      <w:pPr>
        <w:adjustRightInd w:val="0"/>
        <w:spacing w:line="360" w:lineRule="exact"/>
        <w:ind w:firstLine="630" w:firstLineChars="300"/>
        <w:rPr>
          <w:rFonts w:hint="eastAsia" w:ascii="宋体" w:hAnsi="宋体" w:cs="Arial Unicode MS"/>
          <w:szCs w:val="21"/>
        </w:rPr>
      </w:pPr>
      <w:r>
        <w:rPr>
          <w:rFonts w:ascii="宋体" w:hAnsi="宋体" w:cs="Arial Unicode MS"/>
          <w:szCs w:val="21"/>
        </w:rPr>
        <w:t>发包人的领导和从事该建设工程项目的工作人员，在工程建设的事前、事中、事后应遵守以下规定：</w:t>
      </w:r>
    </w:p>
    <w:p w14:paraId="26445C25">
      <w:pPr>
        <w:adjustRightInd w:val="0"/>
        <w:spacing w:line="360" w:lineRule="exact"/>
        <w:ind w:firstLine="630" w:firstLineChars="300"/>
        <w:rPr>
          <w:rFonts w:hint="eastAsia" w:ascii="宋体" w:hAnsi="宋体" w:cs="Arial Unicode MS"/>
          <w:szCs w:val="21"/>
        </w:rPr>
      </w:pPr>
      <w:r>
        <w:rPr>
          <w:rFonts w:ascii="宋体" w:hAnsi="宋体" w:cs="Arial Unicode MS"/>
          <w:szCs w:val="21"/>
        </w:rPr>
        <w:t>2.1不得向承包人和相关单位索要或接受回扣、礼金、有价证券、贵重物品和好处费、感谢费等。</w:t>
      </w:r>
    </w:p>
    <w:p w14:paraId="278FB0B0">
      <w:pPr>
        <w:adjustRightInd w:val="0"/>
        <w:spacing w:line="360" w:lineRule="exact"/>
        <w:ind w:firstLine="630" w:firstLineChars="300"/>
        <w:rPr>
          <w:rFonts w:hint="eastAsia" w:ascii="宋体" w:hAnsi="宋体" w:cs="Arial Unicode MS"/>
          <w:szCs w:val="21"/>
        </w:rPr>
      </w:pPr>
      <w:r>
        <w:rPr>
          <w:rFonts w:ascii="宋体" w:hAnsi="宋体" w:cs="Arial Unicode MS"/>
          <w:szCs w:val="21"/>
        </w:rPr>
        <w:t>2.2  不得在承包人和相关单位报销任何应由发包人或个人支付的费用。</w:t>
      </w:r>
    </w:p>
    <w:p w14:paraId="4E7A2116">
      <w:pPr>
        <w:adjustRightInd w:val="0"/>
        <w:spacing w:line="360" w:lineRule="exact"/>
        <w:ind w:firstLine="630" w:firstLineChars="300"/>
        <w:rPr>
          <w:rFonts w:hint="eastAsia" w:ascii="宋体" w:hAnsi="宋体" w:cs="Arial Unicode MS"/>
          <w:szCs w:val="21"/>
        </w:rPr>
      </w:pPr>
      <w:r>
        <w:rPr>
          <w:rFonts w:ascii="宋体" w:hAnsi="宋体" w:cs="Arial Unicode MS"/>
          <w:szCs w:val="21"/>
        </w:rPr>
        <w:t>2</w:t>
      </w:r>
      <w:r>
        <w:rPr>
          <w:rFonts w:hint="eastAsia" w:ascii="宋体" w:hAnsi="宋体" w:cs="Arial Unicode MS"/>
          <w:szCs w:val="21"/>
        </w:rPr>
        <w:t>.3</w:t>
      </w:r>
      <w:r>
        <w:rPr>
          <w:rFonts w:ascii="宋体" w:hAnsi="宋体" w:cs="Arial Unicode MS"/>
          <w:szCs w:val="21"/>
        </w:rPr>
        <w:t xml:space="preserve">  不得要求、暗示或接受承包人和相关单位为个人装修住房、婚丧嫁娶、配偶子女的工作安排以及出国（境）、旅游等提供方便。</w:t>
      </w:r>
    </w:p>
    <w:p w14:paraId="3E5417F8">
      <w:pPr>
        <w:adjustRightInd w:val="0"/>
        <w:spacing w:line="360" w:lineRule="exact"/>
        <w:ind w:firstLine="630" w:firstLineChars="300"/>
        <w:rPr>
          <w:rFonts w:hint="eastAsia" w:ascii="宋体" w:hAnsi="宋体" w:cs="Arial Unicode MS"/>
          <w:szCs w:val="21"/>
        </w:rPr>
      </w:pPr>
      <w:r>
        <w:rPr>
          <w:rFonts w:ascii="宋体" w:hAnsi="宋体" w:cs="Arial Unicode MS"/>
          <w:szCs w:val="21"/>
        </w:rPr>
        <w:t>2.4  不得参加有可能影响公正执行公务的承包人和相关单位的宴请、健身、娱乐等活动。</w:t>
      </w:r>
    </w:p>
    <w:p w14:paraId="3B2849CE">
      <w:pPr>
        <w:adjustRightInd w:val="0"/>
        <w:spacing w:line="360" w:lineRule="exact"/>
        <w:ind w:firstLine="630" w:firstLineChars="300"/>
        <w:rPr>
          <w:rFonts w:hint="eastAsia" w:ascii="宋体" w:hAnsi="宋体" w:cs="Arial Unicode MS"/>
          <w:szCs w:val="21"/>
        </w:rPr>
      </w:pPr>
      <w:r>
        <w:rPr>
          <w:rFonts w:ascii="宋体" w:hAnsi="宋体" w:cs="Arial Unicode MS"/>
          <w:szCs w:val="21"/>
        </w:rPr>
        <w:t>2</w:t>
      </w:r>
      <w:r>
        <w:rPr>
          <w:rFonts w:hint="eastAsia" w:ascii="宋体" w:hAnsi="宋体" w:cs="Arial Unicode MS"/>
          <w:szCs w:val="21"/>
        </w:rPr>
        <w:t>.5</w:t>
      </w:r>
      <w:r>
        <w:rPr>
          <w:rFonts w:ascii="宋体" w:hAnsi="宋体" w:cs="Arial Unicode MS"/>
          <w:szCs w:val="21"/>
        </w:rPr>
        <w:t>不得向承包人和相关单位介绍或为配偶、子女、亲属参与同发包人工程建设管理合同有关的业 务活动；不得以任何理由要求承包人和相关单位使用某种产品、材料和设备。</w:t>
      </w:r>
    </w:p>
    <w:p w14:paraId="13A42CF8">
      <w:pPr>
        <w:adjustRightInd w:val="0"/>
        <w:spacing w:line="360" w:lineRule="exact"/>
        <w:ind w:firstLine="630" w:firstLineChars="300"/>
        <w:rPr>
          <w:rFonts w:hint="eastAsia" w:ascii="宋体" w:hAnsi="宋体" w:cs="Arial Unicode MS"/>
          <w:szCs w:val="21"/>
        </w:rPr>
      </w:pPr>
      <w:r>
        <w:rPr>
          <w:rFonts w:ascii="宋体" w:hAnsi="宋体" w:cs="Arial Unicode MS"/>
          <w:szCs w:val="21"/>
        </w:rPr>
        <w:t>三、承包人责任 应与发包人保持正常的业务交往，按照有关法律法规和程序开展业务工作，严格执行工程建设的有关方针、政策，执行工程建设强制性标准，并遵守以下规定：</w:t>
      </w:r>
    </w:p>
    <w:p w14:paraId="1C5DE45D">
      <w:pPr>
        <w:adjustRightInd w:val="0"/>
        <w:spacing w:line="360" w:lineRule="exact"/>
        <w:ind w:firstLine="630" w:firstLineChars="300"/>
        <w:rPr>
          <w:rFonts w:hint="eastAsia" w:ascii="宋体" w:hAnsi="宋体" w:cs="Arial Unicode MS"/>
          <w:szCs w:val="21"/>
        </w:rPr>
      </w:pPr>
      <w:r>
        <w:rPr>
          <w:rFonts w:hint="eastAsia" w:ascii="宋体" w:hAnsi="宋体" w:cs="Arial Unicode MS"/>
          <w:szCs w:val="21"/>
        </w:rPr>
        <w:t>3.1</w:t>
      </w:r>
      <w:r>
        <w:rPr>
          <w:rFonts w:ascii="宋体" w:hAnsi="宋体" w:cs="Arial Unicode MS"/>
          <w:szCs w:val="21"/>
        </w:rPr>
        <w:t>不得以任何理由向发包人及其工作人员索要、接受或赠送礼金、有价证券、贵重物品及回扣、 好处费、感谢费等。</w:t>
      </w:r>
    </w:p>
    <w:p w14:paraId="590E7516">
      <w:pPr>
        <w:adjustRightInd w:val="0"/>
        <w:spacing w:line="360" w:lineRule="exact"/>
        <w:ind w:firstLine="630" w:firstLineChars="300"/>
        <w:rPr>
          <w:rFonts w:hint="eastAsia" w:ascii="宋体" w:hAnsi="宋体" w:cs="Arial Unicode MS"/>
          <w:szCs w:val="21"/>
        </w:rPr>
      </w:pPr>
      <w:r>
        <w:rPr>
          <w:rFonts w:ascii="宋体" w:hAnsi="宋体" w:cs="Arial Unicode MS"/>
          <w:szCs w:val="21"/>
        </w:rPr>
        <w:t>3.2不得以任何理由为发包人和相关单位报销应由对方或个人支付的费用。</w:t>
      </w:r>
    </w:p>
    <w:p w14:paraId="1AAEBAC4">
      <w:pPr>
        <w:adjustRightInd w:val="0"/>
        <w:spacing w:line="360" w:lineRule="exact"/>
        <w:ind w:firstLine="630" w:firstLineChars="300"/>
        <w:rPr>
          <w:rFonts w:hint="eastAsia" w:ascii="宋体" w:hAnsi="宋体" w:cs="Arial Unicode MS"/>
          <w:szCs w:val="21"/>
        </w:rPr>
      </w:pPr>
      <w:r>
        <w:rPr>
          <w:rFonts w:ascii="宋体" w:hAnsi="宋体" w:cs="Arial Unicode MS"/>
          <w:szCs w:val="21"/>
        </w:rPr>
        <w:t xml:space="preserve">3.3不得接受或暗示为发包人、相关单位或个人装修住房、婚丧嫁娶、配偶子女的工作安排以及出国（境）、旅游等提供方便。 </w:t>
      </w:r>
    </w:p>
    <w:p w14:paraId="3C3FA8A7">
      <w:pPr>
        <w:adjustRightInd w:val="0"/>
        <w:spacing w:line="360" w:lineRule="exact"/>
        <w:ind w:firstLine="630" w:firstLineChars="300"/>
        <w:rPr>
          <w:rFonts w:hint="eastAsia" w:ascii="宋体" w:hAnsi="宋体" w:cs="Arial Unicode MS"/>
          <w:szCs w:val="21"/>
        </w:rPr>
      </w:pPr>
      <w:r>
        <w:rPr>
          <w:rFonts w:ascii="宋体" w:hAnsi="宋体" w:cs="Arial Unicode MS"/>
          <w:szCs w:val="21"/>
        </w:rPr>
        <w:t>3.4不得以任何理由为发包人、相关单位或个人组织有可能影响公正执行公务的宴请、健身、娱乐等活动。</w:t>
      </w:r>
    </w:p>
    <w:p w14:paraId="7135D207">
      <w:pPr>
        <w:adjustRightInd w:val="0"/>
        <w:spacing w:line="345" w:lineRule="exact"/>
        <w:rPr>
          <w:rFonts w:hint="eastAsia" w:ascii="宋体" w:hAnsi="宋体" w:cs="Arial Unicode MS"/>
          <w:szCs w:val="21"/>
        </w:rPr>
        <w:sectPr>
          <w:pgSz w:w="11900" w:h="16840"/>
          <w:pgMar w:top="1361" w:right="1361" w:bottom="1361" w:left="1361" w:header="720" w:footer="720" w:gutter="0"/>
          <w:cols w:space="720" w:num="1"/>
        </w:sectPr>
      </w:pPr>
    </w:p>
    <w:p w14:paraId="38C73BB2">
      <w:pPr>
        <w:adjustRightInd w:val="0"/>
        <w:spacing w:line="323" w:lineRule="exact"/>
        <w:ind w:left="1075"/>
        <w:rPr>
          <w:rFonts w:hint="eastAsia" w:ascii="宋体" w:hAnsi="宋体" w:cs="Arial Unicode MS"/>
          <w:szCs w:val="21"/>
        </w:rPr>
      </w:pPr>
      <w:r>
        <w:rPr>
          <w:rFonts w:ascii="宋体" w:hAnsi="宋体"/>
        </w:rPr>
        <mc:AlternateContent>
          <mc:Choice Requires="wpg">
            <w:drawing>
              <wp:anchor distT="0" distB="0" distL="114300" distR="114300" simplePos="0" relativeHeight="251686912" behindDoc="0" locked="0" layoutInCell="1" allowOverlap="1">
                <wp:simplePos x="0" y="0"/>
                <wp:positionH relativeFrom="page">
                  <wp:posOffset>542925</wp:posOffset>
                </wp:positionH>
                <wp:positionV relativeFrom="paragraph">
                  <wp:posOffset>19050</wp:posOffset>
                </wp:positionV>
                <wp:extent cx="1270" cy="5248275"/>
                <wp:effectExtent l="0" t="0" r="0" b="0"/>
                <wp:wrapNone/>
                <wp:docPr id="59" name="组合 59"/>
                <wp:cNvGraphicFramePr/>
                <a:graphic xmlns:a="http://schemas.openxmlformats.org/drawingml/2006/main">
                  <a:graphicData uri="http://schemas.microsoft.com/office/word/2010/wordprocessingGroup">
                    <wpg:wgp>
                      <wpg:cNvGrpSpPr/>
                      <wpg:grpSpPr>
                        <a:xfrm>
                          <a:off x="0" y="0"/>
                          <a:ext cx="1270" cy="5248275"/>
                          <a:chOff x="855" y="30"/>
                          <a:chExt cx="2" cy="8265"/>
                        </a:xfrm>
                      </wpg:grpSpPr>
                      <wps:wsp>
                        <wps:cNvPr id="60" name="任意多边形 60"/>
                        <wps:cNvSpPr/>
                        <wps:spPr>
                          <a:xfrm>
                            <a:off x="855" y="30"/>
                            <a:ext cx="2" cy="8265"/>
                          </a:xfrm>
                          <a:custGeom>
                            <a:avLst/>
                            <a:gdLst/>
                            <a:ahLst/>
                            <a:cxnLst/>
                            <a:rect l="0" t="0" r="0" b="0"/>
                            <a:pathLst>
                              <a:path h="8265">
                                <a:moveTo>
                                  <a:pt x="0" y="0"/>
                                </a:moveTo>
                                <a:lnTo>
                                  <a:pt x="0" y="8265"/>
                                </a:lnTo>
                                <a:lnTo>
                                  <a:pt x="0" y="0"/>
                                </a:lnTo>
                                <a:close/>
                              </a:path>
                            </a:pathLst>
                          </a:custGeom>
                          <a:solidFill>
                            <a:srgbClr val="000000"/>
                          </a:solidFill>
                          <a:ln>
                            <a:noFill/>
                          </a:ln>
                        </wps:spPr>
                        <wps:bodyPr upright="1"/>
                      </wps:wsp>
                    </wpg:wgp>
                  </a:graphicData>
                </a:graphic>
              </wp:anchor>
            </w:drawing>
          </mc:Choice>
          <mc:Fallback>
            <w:pict>
              <v:group id="_x0000_s1026" o:spid="_x0000_s1026" o:spt="203" style="position:absolute;left:0pt;margin-left:42.75pt;margin-top:1.5pt;height:413.25pt;width:0.1pt;mso-position-horizontal-relative:page;z-index:251686912;mso-width-relative:page;mso-height-relative:page;" coordorigin="855,30" coordsize="2,8265" o:gfxdata="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">
                <o:lock v:ext="edit" aspectratio="f"/>
                <v:shape id="_x0000_s1026" o:spid="_x0000_s1026" o:spt="100" style="position:absolute;left:855;top:30;height:8265;width:2;" fillcolor="#000000" filled="t" stroked="f" coordsize="1,8265" o:gfxdata="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IL6RN7gAAADbAAAA&#10;DwAAAAAAAAABACAAAAAiAAAAZHJzL2Rvd25yZXYueG1sUEsBAhQAFAAAAAgAh07iQDMvBZ47AAAA&#10;OQAAABAAAAAAAAAAAQAgAAAABwEAAGRycy9zaGFwZXhtbC54bWxQSwUGAAAAAAYABgBbAQAAsQMA&#10;AAAA&#10;" path="m0,0l0,8265,0,0xe">
                  <v:fill on="t" focussize="0,0"/>
                  <v:stroke on="f"/>
                  <v:imagedata o:title=""/>
                  <o:lock v:ext="edit" aspectratio="f"/>
                </v:shape>
              </v:group>
            </w:pict>
          </mc:Fallback>
        </mc:AlternateContent>
      </w:r>
      <w:r>
        <w:rPr>
          <w:rFonts w:ascii="宋体" w:hAnsi="宋体" w:cs="Arial Unicode MS"/>
          <w:szCs w:val="21"/>
        </w:rPr>
        <w:t>四、违约责任</w:t>
      </w:r>
    </w:p>
    <w:p w14:paraId="4E49FDE5">
      <w:pPr>
        <w:adjustRightInd w:val="0"/>
        <w:spacing w:before="19" w:line="360" w:lineRule="exact"/>
        <w:ind w:left="655" w:firstLine="420"/>
        <w:rPr>
          <w:rFonts w:hint="eastAsia" w:ascii="宋体" w:hAnsi="宋体" w:cs="Arial Unicode MS"/>
          <w:szCs w:val="21"/>
        </w:rPr>
      </w:pPr>
      <w:r>
        <w:rPr>
          <w:rFonts w:ascii="宋体" w:hAnsi="宋体" w:cs="Arial Unicode MS"/>
          <w:szCs w:val="21"/>
        </w:rPr>
        <w:t>4.1发包人工作人员有违反本责任书第一、二条责任行为的，依据有关法律、法规给予处理；涉嫌犯 罪的，移交司法机关追究刑事责任；给承包人单位造成经济损失的，应予以赔偿。</w:t>
      </w:r>
    </w:p>
    <w:p w14:paraId="079E190E">
      <w:pPr>
        <w:adjustRightInd w:val="0"/>
        <w:spacing w:line="360" w:lineRule="exact"/>
        <w:ind w:left="655" w:firstLine="420"/>
        <w:rPr>
          <w:rFonts w:hint="eastAsia" w:ascii="宋体" w:hAnsi="宋体" w:cs="Arial Unicode MS"/>
          <w:szCs w:val="21"/>
        </w:rPr>
      </w:pPr>
      <w:r>
        <w:rPr>
          <w:rFonts w:ascii="宋体" w:hAnsi="宋体" w:cs="Arial Unicode MS"/>
          <w:szCs w:val="21"/>
        </w:rPr>
        <w:t>4</w:t>
      </w:r>
      <w:r>
        <w:rPr>
          <w:rFonts w:hint="eastAsia" w:ascii="宋体" w:hAnsi="宋体" w:cs="Arial Unicode MS"/>
          <w:szCs w:val="21"/>
        </w:rPr>
        <w:t>.2</w:t>
      </w:r>
      <w:r>
        <w:rPr>
          <w:rFonts w:ascii="宋体" w:hAnsi="宋体" w:cs="Arial Unicode MS"/>
          <w:szCs w:val="21"/>
        </w:rPr>
        <w:t>承包人工作人员有违反本责任书第一、三条责任行为的，依据有关法律法规处理；涉嫌犯罪 的，移交司法机关追究刑事责任；给发包人单位造成经济损失的，应予以赔偿。</w:t>
      </w:r>
    </w:p>
    <w:p w14:paraId="5733DFEA">
      <w:pPr>
        <w:adjustRightInd w:val="0"/>
        <w:spacing w:line="360" w:lineRule="exact"/>
        <w:ind w:left="655" w:firstLine="420"/>
        <w:rPr>
          <w:rFonts w:hint="eastAsia" w:ascii="宋体" w:hAnsi="宋体" w:cs="Arial Unicode MS"/>
          <w:szCs w:val="21"/>
        </w:rPr>
      </w:pPr>
      <w:r>
        <w:rPr>
          <w:rFonts w:ascii="宋体" w:hAnsi="宋体" w:cs="Arial Unicode MS"/>
          <w:szCs w:val="21"/>
        </w:rPr>
        <w:t>4</w:t>
      </w:r>
      <w:r>
        <w:rPr>
          <w:rFonts w:hint="eastAsia" w:ascii="宋体" w:hAnsi="宋体" w:cs="Arial Unicode MS"/>
          <w:szCs w:val="21"/>
        </w:rPr>
        <w:t>.3</w:t>
      </w:r>
      <w:r>
        <w:rPr>
          <w:rFonts w:ascii="宋体" w:hAnsi="宋体" w:cs="Arial Unicode MS"/>
          <w:szCs w:val="21"/>
        </w:rPr>
        <w:t>本责任书作为建设工程合同的组成部分，与建设工程合同具有同等法律效力。经双方签署后立 即生效。</w:t>
      </w:r>
    </w:p>
    <w:p w14:paraId="7C21E5D3">
      <w:pPr>
        <w:adjustRightInd w:val="0"/>
        <w:spacing w:line="360" w:lineRule="exact"/>
        <w:ind w:left="1075"/>
        <w:rPr>
          <w:rFonts w:hint="eastAsia" w:ascii="宋体" w:hAnsi="宋体" w:cs="Arial Unicode MS"/>
          <w:szCs w:val="21"/>
        </w:rPr>
      </w:pPr>
      <w:r>
        <w:rPr>
          <w:rFonts w:ascii="宋体" w:hAnsi="宋体" w:cs="Arial Unicode MS"/>
          <w:szCs w:val="21"/>
        </w:rPr>
        <w:t xml:space="preserve">五、责任书有效期 </w:t>
      </w:r>
    </w:p>
    <w:p w14:paraId="3B7ADD58">
      <w:pPr>
        <w:adjustRightInd w:val="0"/>
        <w:spacing w:line="360" w:lineRule="exact"/>
        <w:ind w:left="1075"/>
        <w:rPr>
          <w:rFonts w:hint="eastAsia" w:ascii="宋体" w:hAnsi="宋体" w:cs="Arial Unicode MS"/>
          <w:szCs w:val="21"/>
        </w:rPr>
      </w:pPr>
      <w:r>
        <w:rPr>
          <w:rFonts w:ascii="宋体" w:hAnsi="宋体" w:cs="Arial Unicode MS"/>
          <w:szCs w:val="21"/>
        </w:rPr>
        <w:t xml:space="preserve">本责任书的有效期为双方签署之日起至该工程项目竣工验收合格时止。 </w:t>
      </w:r>
    </w:p>
    <w:p w14:paraId="738A3F06">
      <w:pPr>
        <w:adjustRightInd w:val="0"/>
        <w:spacing w:line="360" w:lineRule="exact"/>
        <w:ind w:left="1075"/>
        <w:rPr>
          <w:rFonts w:hint="eastAsia" w:ascii="宋体" w:hAnsi="宋体" w:cs="Arial Unicode MS"/>
          <w:szCs w:val="21"/>
        </w:rPr>
      </w:pPr>
      <w:r>
        <w:rPr>
          <w:rFonts w:ascii="宋体" w:hAnsi="宋体" w:cs="Arial Unicode MS"/>
          <w:szCs w:val="21"/>
        </w:rPr>
        <w:t xml:space="preserve">六、责任书份数 </w:t>
      </w:r>
    </w:p>
    <w:p w14:paraId="19A0C304">
      <w:pPr>
        <w:adjustRightInd w:val="0"/>
        <w:spacing w:line="360" w:lineRule="exact"/>
        <w:ind w:left="1075"/>
        <w:rPr>
          <w:rFonts w:hint="eastAsia" w:ascii="宋体" w:hAnsi="宋体" w:cs="Arial Unicode MS"/>
          <w:szCs w:val="21"/>
        </w:rPr>
      </w:pPr>
      <w:r>
        <w:rPr>
          <w:rFonts w:ascii="宋体" w:hAnsi="宋体" w:cs="Arial Unicode MS"/>
          <w:szCs w:val="21"/>
        </w:rPr>
        <w:t>本责任书一式二份，发包人承包人各执一份，具有同等效力。</w:t>
      </w:r>
    </w:p>
    <w:p w14:paraId="4766316A">
      <w:pPr>
        <w:adjustRightInd w:val="0"/>
        <w:spacing w:before="9"/>
        <w:rPr>
          <w:rFonts w:hint="eastAsia" w:ascii="宋体" w:hAnsi="宋体" w:cs="Arial Unicode MS"/>
          <w:sz w:val="20"/>
          <w:szCs w:val="20"/>
        </w:rPr>
      </w:pPr>
    </w:p>
    <w:p w14:paraId="36829BDB">
      <w:pPr>
        <w:tabs>
          <w:tab w:val="left" w:pos="3384"/>
          <w:tab w:val="left" w:pos="4168"/>
          <w:tab w:val="left" w:pos="4539"/>
          <w:tab w:val="left" w:pos="8214"/>
          <w:tab w:val="left" w:pos="8893"/>
        </w:tabs>
        <w:adjustRightInd w:val="0"/>
        <w:spacing w:line="360" w:lineRule="exact"/>
        <w:ind w:left="655"/>
        <w:rPr>
          <w:rFonts w:hint="eastAsia" w:ascii="宋体" w:hAnsi="宋体" w:cs="Arial Unicode MS"/>
          <w:szCs w:val="21"/>
          <w:u w:val="single"/>
        </w:rPr>
      </w:pPr>
      <w:r>
        <w:rPr>
          <w:rFonts w:ascii="宋体" w:hAnsi="宋体" w:cs="Arial Unicode MS"/>
          <w:szCs w:val="21"/>
        </w:rPr>
        <w:t>发包人：</w:t>
      </w:r>
      <w:r>
        <w:rPr>
          <w:rFonts w:ascii="宋体" w:hAnsi="宋体" w:cs="Arial Unicode MS"/>
          <w:szCs w:val="21"/>
          <w:u w:val="single"/>
        </w:rPr>
        <w:t>北京市朝阳区人民政府</w:t>
      </w:r>
      <w:r>
        <w:rPr>
          <w:rFonts w:ascii="宋体" w:hAnsi="宋体" w:cs="Arial Unicode MS"/>
          <w:szCs w:val="21"/>
        </w:rPr>
        <w:t>（公章）</w:t>
      </w:r>
      <w:r>
        <w:rPr>
          <w:rFonts w:ascii="宋体" w:hAnsi="宋体" w:cs="Arial Unicode MS"/>
          <w:szCs w:val="21"/>
        </w:rPr>
        <w:tab/>
      </w:r>
      <w:r>
        <w:rPr>
          <w:rFonts w:ascii="宋体" w:hAnsi="宋体" w:cs="Arial Unicode MS"/>
          <w:szCs w:val="21"/>
        </w:rPr>
        <w:t>承包人：</w:t>
      </w:r>
      <w:r>
        <w:rPr>
          <w:rFonts w:hint="eastAsia" w:ascii="宋体" w:hAnsi="宋体"/>
          <w:szCs w:val="21"/>
          <w:u w:val="single"/>
        </w:rPr>
        <w:t xml:space="preserve">                </w:t>
      </w:r>
    </w:p>
    <w:p w14:paraId="4BA1ED0F">
      <w:pPr>
        <w:ind w:firstLine="1470" w:firstLineChars="700"/>
        <w:rPr>
          <w:rFonts w:hint="eastAsia" w:ascii="宋体" w:hAnsi="宋体" w:cs="Arial Unicode MS"/>
          <w:szCs w:val="21"/>
        </w:rPr>
      </w:pPr>
      <w:r>
        <w:rPr>
          <w:rFonts w:ascii="宋体" w:hAnsi="宋体" w:cs="Arial Unicode MS"/>
          <w:szCs w:val="21"/>
          <w:u w:val="single"/>
        </w:rPr>
        <w:t>香河园街道办事处</w:t>
      </w:r>
    </w:p>
    <w:p w14:paraId="1E1043C0">
      <w:pPr>
        <w:ind w:left="2310" w:leftChars="300" w:hanging="1680" w:hangingChars="800"/>
        <w:rPr>
          <w:rFonts w:hint="eastAsia" w:ascii="宋体" w:hAnsi="宋体"/>
          <w:szCs w:val="21"/>
          <w:u w:val="single"/>
        </w:rPr>
      </w:pPr>
      <w:r>
        <w:rPr>
          <w:rFonts w:ascii="宋体" w:hAnsi="宋体" w:cs="Arial Unicode MS"/>
          <w:szCs w:val="21"/>
        </w:rPr>
        <w:t>法定地址：</w:t>
      </w:r>
      <w:r>
        <w:rPr>
          <w:rFonts w:hint="eastAsia" w:ascii="宋体" w:hAnsi="宋体"/>
          <w:szCs w:val="21"/>
          <w:u w:val="single" w:color="000000"/>
        </w:rPr>
        <w:t xml:space="preserve">北京市朝阳区西坝河南里26号楼 </w:t>
      </w:r>
      <w:r>
        <w:rPr>
          <w:rFonts w:ascii="宋体" w:hAnsi="宋体" w:cs="Arial Unicode MS"/>
          <w:szCs w:val="21"/>
        </w:rPr>
        <w:t>法定地址：</w:t>
      </w:r>
      <w:r>
        <w:rPr>
          <w:rFonts w:hint="eastAsia" w:ascii="宋体" w:hAnsi="宋体"/>
          <w:szCs w:val="21"/>
          <w:u w:val="single"/>
        </w:rPr>
        <w:t xml:space="preserve">                </w:t>
      </w:r>
    </w:p>
    <w:p w14:paraId="7103D46B">
      <w:pPr>
        <w:ind w:left="5880" w:leftChars="2800"/>
        <w:rPr>
          <w:rFonts w:hint="eastAsia" w:ascii="仿宋" w:hAnsi="仿宋" w:eastAsia="仿宋"/>
          <w:color w:val="000000" w:themeColor="text1"/>
          <w:sz w:val="24"/>
          <w14:textFill>
            <w14:solidFill>
              <w14:schemeClr w14:val="tx1"/>
            </w14:solidFill>
          </w14:textFill>
        </w:rPr>
      </w:pPr>
      <w:r>
        <w:rPr>
          <w:rFonts w:hint="eastAsia" w:ascii="宋体" w:hAnsi="宋体"/>
          <w:szCs w:val="21"/>
          <w:u w:val="single"/>
        </w:rPr>
        <w:t xml:space="preserve">                </w:t>
      </w:r>
      <w:r>
        <w:rPr>
          <w:rFonts w:hint="eastAsia" w:ascii="宋体" w:hAnsi="宋体"/>
          <w:szCs w:val="21"/>
        </w:rPr>
        <w:t xml:space="preserve">                   </w:t>
      </w:r>
      <w:r>
        <w:rPr>
          <w:rFonts w:hint="eastAsia" w:ascii="仿宋" w:hAnsi="仿宋" w:eastAsia="仿宋"/>
          <w:color w:val="000000" w:themeColor="text1"/>
          <w:sz w:val="24"/>
          <w14:textFill>
            <w14:solidFill>
              <w14:schemeClr w14:val="tx1"/>
            </w14:solidFill>
          </w14:textFill>
        </w:rPr>
        <w:t xml:space="preserve">                  </w:t>
      </w:r>
    </w:p>
    <w:p w14:paraId="3AF90B80">
      <w:pPr>
        <w:tabs>
          <w:tab w:val="left" w:pos="3384"/>
          <w:tab w:val="left" w:pos="4168"/>
          <w:tab w:val="left" w:pos="4539"/>
          <w:tab w:val="left" w:pos="8214"/>
          <w:tab w:val="left" w:pos="8893"/>
        </w:tabs>
        <w:adjustRightInd w:val="0"/>
        <w:spacing w:line="360" w:lineRule="exact"/>
        <w:ind w:left="655"/>
        <w:rPr>
          <w:rFonts w:hint="eastAsia" w:ascii="宋体" w:hAnsi="宋体" w:cs="Arial Unicode MS"/>
          <w:szCs w:val="21"/>
        </w:rPr>
      </w:pPr>
      <w:r>
        <w:rPr>
          <w:rFonts w:ascii="宋体" w:hAnsi="宋体" w:cs="Arial Unicode MS"/>
          <w:szCs w:val="21"/>
        </w:rPr>
        <w:t>法定代表人或其</w:t>
      </w:r>
      <w:r>
        <w:rPr>
          <w:rFonts w:ascii="宋体" w:hAnsi="宋体" w:cs="Arial Unicode MS"/>
          <w:szCs w:val="21"/>
        </w:rPr>
        <w:tab/>
      </w:r>
      <w:r>
        <w:rPr>
          <w:rFonts w:ascii="宋体" w:hAnsi="宋体" w:cs="Arial Unicode MS"/>
          <w:szCs w:val="21"/>
        </w:rPr>
        <w:tab/>
      </w:r>
      <w:r>
        <w:rPr>
          <w:rFonts w:ascii="宋体" w:hAnsi="宋体" w:cs="Arial Unicode MS"/>
          <w:szCs w:val="21"/>
        </w:rPr>
        <w:tab/>
      </w:r>
      <w:r>
        <w:rPr>
          <w:rFonts w:ascii="宋体" w:hAnsi="宋体" w:cs="Arial Unicode MS"/>
          <w:szCs w:val="21"/>
        </w:rPr>
        <w:t>法定代表人或其</w:t>
      </w:r>
    </w:p>
    <w:p w14:paraId="7F3B0670">
      <w:pPr>
        <w:tabs>
          <w:tab w:val="left" w:pos="3489"/>
          <w:tab w:val="left" w:pos="4539"/>
          <w:tab w:val="left" w:pos="4695"/>
          <w:tab w:val="left" w:pos="8214"/>
          <w:tab w:val="left" w:pos="8788"/>
          <w:tab w:val="left" w:pos="8893"/>
        </w:tabs>
        <w:adjustRightInd w:val="0"/>
        <w:spacing w:line="360" w:lineRule="exact"/>
        <w:ind w:left="655"/>
        <w:rPr>
          <w:rFonts w:hint="eastAsia" w:ascii="宋体" w:hAnsi="宋体" w:cs="Arial Unicode MS"/>
          <w:szCs w:val="21"/>
        </w:rPr>
      </w:pPr>
      <w:r>
        <w:rPr>
          <w:rFonts w:ascii="宋体" w:hAnsi="宋体" w:cs="Arial Unicode MS"/>
          <w:szCs w:val="21"/>
        </w:rPr>
        <w:t>委托代理人：</w:t>
      </w:r>
      <w:r>
        <w:rPr>
          <w:rFonts w:ascii="宋体" w:hAnsi="宋体"/>
          <w:szCs w:val="21"/>
          <w:u w:val="single" w:color="000000"/>
        </w:rPr>
        <w:t xml:space="preserve"> </w:t>
      </w:r>
      <w:r>
        <w:rPr>
          <w:rFonts w:hint="eastAsia" w:ascii="宋体" w:hAnsi="宋体"/>
          <w:szCs w:val="21"/>
          <w:u w:val="single" w:color="000000"/>
        </w:rPr>
        <w:t xml:space="preserve">          </w:t>
      </w:r>
      <w:r>
        <w:rPr>
          <w:rFonts w:ascii="宋体" w:hAnsi="宋体" w:cs="Arial Unicode MS"/>
          <w:szCs w:val="21"/>
        </w:rPr>
        <w:t>（签字）</w:t>
      </w:r>
      <w:r>
        <w:rPr>
          <w:rFonts w:ascii="宋体" w:hAnsi="宋体" w:cs="Arial Unicode MS"/>
          <w:szCs w:val="21"/>
        </w:rPr>
        <w:tab/>
      </w:r>
      <w:r>
        <w:rPr>
          <w:rFonts w:ascii="宋体" w:hAnsi="宋体" w:cs="Arial Unicode MS"/>
          <w:szCs w:val="21"/>
        </w:rPr>
        <w:t>委托代理人：</w:t>
      </w:r>
      <w:r>
        <w:rPr>
          <w:rFonts w:hint="eastAsia" w:ascii="宋体" w:hAnsi="宋体" w:cs="Arial Unicode MS"/>
          <w:szCs w:val="21"/>
          <w:u w:val="single"/>
        </w:rPr>
        <w:t xml:space="preserve">                 </w:t>
      </w:r>
      <w:r>
        <w:rPr>
          <w:rFonts w:ascii="宋体" w:hAnsi="宋体" w:cs="Arial Unicode MS"/>
          <w:szCs w:val="21"/>
        </w:rPr>
        <w:t xml:space="preserve">（签字） </w:t>
      </w:r>
    </w:p>
    <w:p w14:paraId="1672E7D5">
      <w:pPr>
        <w:tabs>
          <w:tab w:val="left" w:pos="3489"/>
          <w:tab w:val="left" w:pos="4273"/>
          <w:tab w:val="left" w:pos="4539"/>
          <w:tab w:val="left" w:pos="8214"/>
        </w:tabs>
        <w:adjustRightInd w:val="0"/>
        <w:spacing w:line="360" w:lineRule="exact"/>
        <w:ind w:left="655"/>
        <w:rPr>
          <w:rFonts w:hint="eastAsia" w:ascii="宋体" w:hAnsi="宋体"/>
          <w:szCs w:val="21"/>
        </w:rPr>
      </w:pPr>
      <w:r>
        <w:rPr>
          <w:rFonts w:ascii="宋体" w:hAnsi="宋体" w:cs="Arial Unicode MS"/>
          <w:szCs w:val="21"/>
        </w:rPr>
        <w:t>电话：</w:t>
      </w:r>
      <w:r>
        <w:rPr>
          <w:rFonts w:hint="eastAsia" w:ascii="宋体" w:hAnsi="宋体" w:cs="Arial Unicode MS"/>
          <w:szCs w:val="21"/>
          <w:u w:val="single"/>
        </w:rPr>
        <w:t xml:space="preserve">                   </w:t>
      </w:r>
      <w:r>
        <w:rPr>
          <w:rFonts w:ascii="宋体" w:hAnsi="宋体"/>
          <w:szCs w:val="21"/>
        </w:rPr>
        <w:tab/>
      </w:r>
      <w:r>
        <w:rPr>
          <w:rFonts w:hint="eastAsia" w:ascii="宋体" w:hAnsi="宋体"/>
          <w:szCs w:val="21"/>
        </w:rPr>
        <w:t xml:space="preserve">         </w:t>
      </w:r>
      <w:r>
        <w:rPr>
          <w:rFonts w:ascii="宋体" w:hAnsi="宋体" w:cs="Arial Unicode MS"/>
          <w:szCs w:val="21"/>
        </w:rPr>
        <w:t>电话：</w:t>
      </w:r>
      <w:r>
        <w:rPr>
          <w:rFonts w:hint="eastAsia" w:ascii="宋体" w:hAnsi="宋体" w:cs="Arial Unicode MS"/>
          <w:szCs w:val="21"/>
          <w:u w:val="single"/>
        </w:rPr>
        <w:t xml:space="preserve">                 </w:t>
      </w:r>
    </w:p>
    <w:p w14:paraId="513494A5">
      <w:pPr>
        <w:tabs>
          <w:tab w:val="left" w:pos="3489"/>
          <w:tab w:val="left" w:pos="4273"/>
          <w:tab w:val="left" w:pos="4539"/>
          <w:tab w:val="left" w:pos="8220"/>
        </w:tabs>
        <w:adjustRightInd w:val="0"/>
        <w:spacing w:line="360" w:lineRule="exact"/>
        <w:ind w:left="655"/>
        <w:rPr>
          <w:rFonts w:hint="eastAsia" w:ascii="宋体" w:hAnsi="宋体"/>
          <w:szCs w:val="21"/>
        </w:rPr>
      </w:pPr>
      <w:r>
        <w:rPr>
          <w:rFonts w:ascii="宋体" w:hAnsi="宋体" w:cs="Arial Unicode MS"/>
          <w:szCs w:val="21"/>
        </w:rPr>
        <w:t>传真：</w:t>
      </w:r>
      <w:r>
        <w:rPr>
          <w:rFonts w:hint="eastAsia" w:ascii="宋体" w:hAnsi="宋体" w:cs="Arial Unicode MS"/>
          <w:szCs w:val="21"/>
          <w:u w:val="single"/>
        </w:rPr>
        <w:t xml:space="preserve">                   </w:t>
      </w:r>
      <w:r>
        <w:rPr>
          <w:rFonts w:ascii="宋体" w:hAnsi="宋体"/>
          <w:szCs w:val="21"/>
        </w:rPr>
        <w:tab/>
      </w:r>
      <w:r>
        <w:rPr>
          <w:rFonts w:hint="eastAsia" w:ascii="宋体" w:hAnsi="宋体"/>
          <w:szCs w:val="21"/>
        </w:rPr>
        <w:t xml:space="preserve">         </w:t>
      </w:r>
      <w:r>
        <w:rPr>
          <w:rFonts w:ascii="宋体" w:hAnsi="宋体" w:cs="Arial Unicode MS"/>
          <w:szCs w:val="21"/>
        </w:rPr>
        <w:t>传真：</w:t>
      </w:r>
      <w:r>
        <w:rPr>
          <w:rFonts w:hint="eastAsia" w:ascii="宋体" w:hAnsi="宋体" w:cs="Arial Unicode MS"/>
          <w:szCs w:val="21"/>
          <w:u w:val="single"/>
        </w:rPr>
        <w:t xml:space="preserve">                 </w:t>
      </w:r>
    </w:p>
    <w:p w14:paraId="6937559B">
      <w:pPr>
        <w:tabs>
          <w:tab w:val="left" w:pos="3489"/>
          <w:tab w:val="left" w:pos="3850"/>
          <w:tab w:val="left" w:pos="4330"/>
          <w:tab w:val="left" w:pos="8214"/>
          <w:tab w:val="left" w:pos="8893"/>
        </w:tabs>
        <w:adjustRightInd w:val="0"/>
        <w:spacing w:line="360" w:lineRule="exact"/>
        <w:ind w:left="655"/>
        <w:rPr>
          <w:rFonts w:hint="eastAsia" w:ascii="宋体" w:hAnsi="宋体"/>
          <w:szCs w:val="21"/>
        </w:rPr>
      </w:pPr>
      <w:r>
        <w:rPr>
          <w:rFonts w:ascii="宋体" w:hAnsi="宋体" w:cs="Arial Unicode MS"/>
          <w:szCs w:val="21"/>
        </w:rPr>
        <w:t>电子邮箱：</w:t>
      </w:r>
      <w:r>
        <w:rPr>
          <w:rFonts w:ascii="宋体" w:hAnsi="宋体"/>
          <w:szCs w:val="21"/>
          <w:u w:val="single" w:color="000000"/>
        </w:rPr>
        <w:t xml:space="preserve"> </w:t>
      </w:r>
      <w:r>
        <w:rPr>
          <w:rFonts w:ascii="宋体" w:hAnsi="宋体"/>
          <w:szCs w:val="21"/>
          <w:u w:val="single" w:color="000000"/>
        </w:rPr>
        <w:tab/>
      </w:r>
      <w:r>
        <w:rPr>
          <w:rFonts w:ascii="宋体" w:hAnsi="宋体"/>
          <w:szCs w:val="21"/>
          <w:u w:val="single" w:color="000000"/>
        </w:rPr>
        <w:tab/>
      </w:r>
      <w:r>
        <w:rPr>
          <w:rFonts w:ascii="宋体" w:hAnsi="宋体"/>
          <w:szCs w:val="21"/>
        </w:rPr>
        <w:tab/>
      </w:r>
      <w:r>
        <w:rPr>
          <w:rFonts w:hint="eastAsia" w:ascii="宋体" w:hAnsi="宋体"/>
          <w:szCs w:val="21"/>
        </w:rPr>
        <w:t xml:space="preserve"> </w:t>
      </w:r>
      <w:r>
        <w:rPr>
          <w:rFonts w:ascii="宋体" w:hAnsi="宋体" w:cs="Arial Unicode MS"/>
          <w:szCs w:val="21"/>
        </w:rPr>
        <w:t>电子邮箱：</w:t>
      </w:r>
      <w:r>
        <w:rPr>
          <w:rFonts w:hint="eastAsia" w:ascii="宋体" w:hAnsi="宋体" w:cs="Arial Unicode MS"/>
          <w:szCs w:val="21"/>
          <w:u w:val="single"/>
        </w:rPr>
        <w:t xml:space="preserve">                 </w:t>
      </w:r>
    </w:p>
    <w:p w14:paraId="0ADC0915">
      <w:pPr>
        <w:spacing w:line="440" w:lineRule="exact"/>
        <w:ind w:firstLine="630" w:firstLineChars="300"/>
        <w:rPr>
          <w:rFonts w:hint="eastAsia" w:ascii="宋体" w:hAnsi="宋体"/>
          <w:szCs w:val="21"/>
          <w:u w:val="single"/>
        </w:rPr>
      </w:pPr>
      <w:r>
        <w:rPr>
          <w:rFonts w:ascii="宋体" w:hAnsi="宋体" w:cs="Arial Unicode MS"/>
          <w:szCs w:val="21"/>
        </w:rPr>
        <w:t>开户银行：</w:t>
      </w:r>
      <w:r>
        <w:rPr>
          <w:rFonts w:ascii="宋体" w:hAnsi="宋体"/>
          <w:szCs w:val="21"/>
          <w:u w:val="single" w:color="000000"/>
        </w:rPr>
        <w:t xml:space="preserve"> </w:t>
      </w:r>
      <w:r>
        <w:rPr>
          <w:rFonts w:hint="eastAsia" w:ascii="宋体" w:hAnsi="宋体" w:cs="Arial Unicode MS"/>
          <w:szCs w:val="21"/>
          <w:u w:val="single"/>
        </w:rPr>
        <w:t xml:space="preserve">                 </w:t>
      </w:r>
      <w:r>
        <w:rPr>
          <w:rFonts w:hint="eastAsia" w:ascii="宋体" w:hAnsi="宋体"/>
          <w:szCs w:val="21"/>
        </w:rPr>
        <w:t xml:space="preserve">        </w:t>
      </w:r>
      <w:r>
        <w:rPr>
          <w:rFonts w:ascii="宋体" w:hAnsi="宋体" w:cs="Arial Unicode MS"/>
          <w:szCs w:val="21"/>
        </w:rPr>
        <w:t>开户银行：</w:t>
      </w:r>
      <w:r>
        <w:rPr>
          <w:rFonts w:hint="eastAsia" w:ascii="宋体" w:hAnsi="宋体" w:cs="Arial Unicode MS"/>
          <w:szCs w:val="21"/>
          <w:u w:val="single"/>
        </w:rPr>
        <w:t xml:space="preserve">                 </w:t>
      </w:r>
    </w:p>
    <w:p w14:paraId="36552214">
      <w:pPr>
        <w:snapToGrid w:val="0"/>
        <w:spacing w:line="360" w:lineRule="auto"/>
        <w:ind w:firstLine="1890" w:firstLineChars="900"/>
        <w:rPr>
          <w:rFonts w:hint="eastAsia" w:ascii="仿宋" w:hAnsi="仿宋" w:eastAsia="仿宋"/>
          <w:color w:val="000000" w:themeColor="text1"/>
          <w:sz w:val="24"/>
          <w:u w:val="single"/>
          <w14:textFill>
            <w14:solidFill>
              <w14:schemeClr w14:val="tx1"/>
            </w14:solidFill>
          </w14:textFill>
        </w:rPr>
      </w:pPr>
      <w:r>
        <w:rPr>
          <w:rFonts w:hint="eastAsia" w:ascii="宋体" w:hAnsi="宋体" w:cs="Arial Unicode MS"/>
          <w:szCs w:val="21"/>
          <w:u w:val="single"/>
        </w:rPr>
        <w:t xml:space="preserve">               </w:t>
      </w:r>
      <w:r>
        <w:rPr>
          <w:rFonts w:hint="eastAsia" w:ascii="宋体" w:hAnsi="宋体"/>
          <w:szCs w:val="21"/>
          <w:u w:val="single" w:color="000000"/>
        </w:rPr>
        <w:t xml:space="preserve">      </w:t>
      </w:r>
      <w:r>
        <w:rPr>
          <w:rFonts w:ascii="宋体" w:hAnsi="宋体"/>
          <w:szCs w:val="21"/>
        </w:rPr>
        <w:tab/>
      </w:r>
      <w:r>
        <w:rPr>
          <w:rFonts w:hint="eastAsia" w:ascii="宋体" w:hAnsi="宋体"/>
          <w:szCs w:val="21"/>
        </w:rPr>
        <w:t xml:space="preserve">        </w:t>
      </w:r>
      <w:r>
        <w:rPr>
          <w:rFonts w:hint="eastAsia" w:ascii="宋体" w:hAnsi="宋体" w:cs="Arial Unicode MS"/>
          <w:szCs w:val="21"/>
          <w:u w:val="single"/>
        </w:rPr>
        <w:t xml:space="preserve">                 </w:t>
      </w:r>
    </w:p>
    <w:p w14:paraId="7B091C9F">
      <w:pPr>
        <w:snapToGrid w:val="0"/>
        <w:spacing w:line="360" w:lineRule="auto"/>
        <w:ind w:firstLine="630" w:firstLineChars="300"/>
        <w:rPr>
          <w:rStyle w:val="1256"/>
          <w:rFonts w:hint="eastAsia" w:ascii="仿宋" w:hAnsi="仿宋" w:eastAsia="仿宋"/>
          <w:color w:val="000000" w:themeColor="text1"/>
          <w:sz w:val="24"/>
          <w14:textFill>
            <w14:solidFill>
              <w14:schemeClr w14:val="tx1"/>
            </w14:solidFill>
          </w14:textFill>
        </w:rPr>
      </w:pPr>
      <w:r>
        <w:rPr>
          <w:rFonts w:ascii="宋体" w:hAnsi="宋体" w:cs="Arial Unicode MS"/>
          <w:szCs w:val="21"/>
        </w:rPr>
        <w:t>帐号：</w:t>
      </w:r>
      <w:r>
        <w:rPr>
          <w:rFonts w:ascii="宋体" w:hAnsi="宋体"/>
          <w:szCs w:val="21"/>
          <w:u w:val="single" w:color="000000"/>
        </w:rPr>
        <w:t xml:space="preserve"> </w:t>
      </w:r>
      <w:r>
        <w:rPr>
          <w:rFonts w:hint="eastAsia" w:ascii="宋体" w:hAnsi="宋体" w:cs="Arial Unicode MS"/>
          <w:szCs w:val="21"/>
          <w:u w:val="single"/>
        </w:rPr>
        <w:t xml:space="preserve">                 </w:t>
      </w:r>
      <w:r>
        <w:rPr>
          <w:rFonts w:hint="eastAsia" w:ascii="宋体" w:hAnsi="宋体"/>
          <w:szCs w:val="21"/>
          <w:u w:val="single" w:color="000000"/>
        </w:rPr>
        <w:t xml:space="preserve">    </w:t>
      </w:r>
      <w:r>
        <w:rPr>
          <w:rFonts w:ascii="宋体" w:hAnsi="宋体"/>
          <w:szCs w:val="21"/>
        </w:rPr>
        <w:tab/>
      </w:r>
      <w:r>
        <w:rPr>
          <w:rFonts w:hint="eastAsia" w:ascii="宋体" w:hAnsi="宋体"/>
          <w:szCs w:val="21"/>
        </w:rPr>
        <w:t xml:space="preserve">       </w:t>
      </w:r>
      <w:r>
        <w:rPr>
          <w:rFonts w:ascii="宋体" w:hAnsi="宋体" w:cs="Arial Unicode MS"/>
          <w:szCs w:val="21"/>
        </w:rPr>
        <w:t>帐</w:t>
      </w:r>
      <w:r>
        <w:rPr>
          <w:rFonts w:hint="eastAsia" w:ascii="宋体" w:hAnsi="宋体" w:cs="Arial Unicode MS"/>
          <w:szCs w:val="21"/>
        </w:rPr>
        <w:t xml:space="preserve">   </w:t>
      </w:r>
      <w:r>
        <w:rPr>
          <w:rFonts w:ascii="宋体" w:hAnsi="宋体" w:cs="Arial Unicode MS"/>
          <w:szCs w:val="21"/>
        </w:rPr>
        <w:t>号：</w:t>
      </w:r>
      <w:r>
        <w:rPr>
          <w:rFonts w:hint="eastAsia" w:ascii="宋体" w:hAnsi="宋体"/>
          <w:szCs w:val="21"/>
          <w:u w:val="single"/>
        </w:rPr>
        <w:t xml:space="preserve"> </w:t>
      </w:r>
      <w:r>
        <w:rPr>
          <w:rFonts w:hint="eastAsia" w:ascii="宋体" w:hAnsi="宋体" w:cs="Arial Unicode MS"/>
          <w:szCs w:val="21"/>
          <w:u w:val="single"/>
        </w:rPr>
        <w:t xml:space="preserve">                 </w:t>
      </w:r>
    </w:p>
    <w:p w14:paraId="279C0B48">
      <w:pPr>
        <w:tabs>
          <w:tab w:val="left" w:pos="3489"/>
          <w:tab w:val="left" w:pos="3850"/>
          <w:tab w:val="left" w:pos="4440"/>
          <w:tab w:val="left" w:pos="8214"/>
        </w:tabs>
        <w:adjustRightInd w:val="0"/>
        <w:spacing w:line="360" w:lineRule="exact"/>
        <w:ind w:left="655"/>
        <w:rPr>
          <w:rFonts w:hint="eastAsia" w:ascii="宋体" w:hAnsi="宋体"/>
          <w:szCs w:val="21"/>
          <w:u w:val="single" w:color="000000"/>
        </w:rPr>
      </w:pPr>
      <w:r>
        <w:rPr>
          <w:rFonts w:ascii="宋体" w:hAnsi="宋体" w:cs="Arial Unicode MS"/>
          <w:szCs w:val="21"/>
        </w:rPr>
        <w:t>邮政编码：</w:t>
      </w:r>
      <w:r>
        <w:rPr>
          <w:rFonts w:hint="eastAsia" w:ascii="宋体" w:hAnsi="宋体" w:cs="Arial Unicode MS"/>
          <w:szCs w:val="21"/>
          <w:u w:val="single"/>
        </w:rPr>
        <w:t xml:space="preserve">                 </w:t>
      </w:r>
      <w:r>
        <w:rPr>
          <w:rFonts w:ascii="宋体" w:hAnsi="宋体"/>
          <w:szCs w:val="21"/>
          <w:u w:val="single" w:color="000000"/>
        </w:rPr>
        <w:tab/>
      </w:r>
      <w:r>
        <w:rPr>
          <w:rFonts w:ascii="宋体" w:hAnsi="宋体"/>
          <w:szCs w:val="21"/>
        </w:rPr>
        <w:tab/>
      </w:r>
      <w:r>
        <w:rPr>
          <w:rFonts w:ascii="宋体" w:hAnsi="宋体" w:cs="Arial Unicode MS"/>
          <w:szCs w:val="21"/>
        </w:rPr>
        <w:t>邮政编码：</w:t>
      </w:r>
      <w:r>
        <w:rPr>
          <w:rFonts w:hint="eastAsia" w:ascii="宋体" w:hAnsi="宋体" w:cs="Arial Unicode MS"/>
          <w:szCs w:val="21"/>
          <w:u w:val="single"/>
        </w:rPr>
        <w:t xml:space="preserve">                 </w:t>
      </w:r>
    </w:p>
    <w:p w14:paraId="28698507">
      <w:pPr>
        <w:adjustRightInd w:val="0"/>
        <w:spacing w:line="360" w:lineRule="exact"/>
        <w:rPr>
          <w:rFonts w:hint="eastAsia" w:ascii="宋体" w:hAnsi="宋体"/>
          <w:szCs w:val="21"/>
        </w:rPr>
      </w:pPr>
    </w:p>
    <w:p w14:paraId="73211609">
      <w:pPr>
        <w:tabs>
          <w:tab w:val="left" w:pos="3489"/>
          <w:tab w:val="left" w:pos="4273"/>
          <w:tab w:val="left" w:pos="4539"/>
          <w:tab w:val="left" w:pos="8214"/>
          <w:tab w:val="left" w:pos="8683"/>
          <w:tab w:val="left" w:pos="8893"/>
        </w:tabs>
        <w:adjustRightInd w:val="0"/>
        <w:spacing w:line="360" w:lineRule="exact"/>
        <w:ind w:left="655"/>
        <w:rPr>
          <w:rFonts w:hint="eastAsia" w:ascii="宋体" w:hAnsi="宋体" w:cs="Arial Unicode MS"/>
          <w:szCs w:val="21"/>
        </w:rPr>
      </w:pPr>
      <w:r>
        <w:rPr>
          <w:rFonts w:ascii="宋体" w:hAnsi="宋体" w:cs="Arial Unicode MS"/>
          <w:szCs w:val="21"/>
        </w:rPr>
        <w:t>监督单位：</w:t>
      </w:r>
      <w:r>
        <w:rPr>
          <w:rFonts w:ascii="宋体" w:hAnsi="宋体"/>
          <w:szCs w:val="21"/>
          <w:u w:val="single" w:color="000000"/>
        </w:rPr>
        <w:t xml:space="preserve"> </w:t>
      </w:r>
      <w:r>
        <w:rPr>
          <w:rFonts w:ascii="宋体" w:hAnsi="宋体"/>
          <w:szCs w:val="21"/>
          <w:u w:val="single" w:color="000000"/>
        </w:rPr>
        <w:tab/>
      </w:r>
      <w:r>
        <w:rPr>
          <w:rFonts w:ascii="宋体" w:hAnsi="宋体" w:cs="Arial Unicode MS"/>
          <w:szCs w:val="21"/>
        </w:rPr>
        <w:t xml:space="preserve">（盖章） </w:t>
      </w:r>
      <w:r>
        <w:rPr>
          <w:rFonts w:hint="eastAsia" w:ascii="宋体" w:hAnsi="宋体" w:cs="Arial Unicode MS"/>
          <w:szCs w:val="21"/>
        </w:rPr>
        <w:t xml:space="preserve">  </w:t>
      </w:r>
      <w:r>
        <w:rPr>
          <w:rFonts w:ascii="宋体" w:hAnsi="宋体" w:cs="Arial Unicode MS"/>
          <w:szCs w:val="21"/>
        </w:rPr>
        <w:t>监督单位：</w:t>
      </w:r>
      <w:r>
        <w:rPr>
          <w:rFonts w:ascii="宋体" w:hAnsi="宋体"/>
          <w:szCs w:val="21"/>
          <w:u w:val="single" w:color="000000"/>
        </w:rPr>
        <w:t xml:space="preserve"> </w:t>
      </w:r>
      <w:r>
        <w:rPr>
          <w:rFonts w:hint="eastAsia" w:ascii="宋体" w:hAnsi="宋体"/>
          <w:szCs w:val="21"/>
          <w:u w:val="single" w:color="000000"/>
        </w:rPr>
        <w:t xml:space="preserve">                   </w:t>
      </w:r>
      <w:r>
        <w:rPr>
          <w:rFonts w:ascii="宋体" w:hAnsi="宋体" w:cs="Arial Unicode MS"/>
          <w:szCs w:val="21"/>
        </w:rPr>
        <w:t>（盖章）</w:t>
      </w:r>
    </w:p>
    <w:p w14:paraId="575755D3">
      <w:pPr>
        <w:tabs>
          <w:tab w:val="left" w:pos="3489"/>
          <w:tab w:val="left" w:pos="4273"/>
          <w:tab w:val="left" w:pos="4539"/>
          <w:tab w:val="left" w:pos="8214"/>
          <w:tab w:val="left" w:pos="8683"/>
          <w:tab w:val="left" w:pos="8893"/>
        </w:tabs>
        <w:adjustRightInd w:val="0"/>
        <w:spacing w:line="360" w:lineRule="exact"/>
        <w:ind w:left="655"/>
        <w:rPr>
          <w:rFonts w:hint="eastAsia" w:ascii="宋体" w:hAnsi="宋体" w:cs="Arial Unicode MS"/>
          <w:szCs w:val="21"/>
        </w:rPr>
      </w:pPr>
    </w:p>
    <w:p w14:paraId="4C84518C">
      <w:pPr>
        <w:tabs>
          <w:tab w:val="left" w:pos="3489"/>
          <w:tab w:val="left" w:pos="4273"/>
          <w:tab w:val="left" w:pos="4539"/>
          <w:tab w:val="left" w:pos="8214"/>
          <w:tab w:val="left" w:pos="8683"/>
          <w:tab w:val="left" w:pos="8893"/>
        </w:tabs>
        <w:adjustRightInd w:val="0"/>
        <w:spacing w:line="360" w:lineRule="exact"/>
        <w:ind w:left="655"/>
        <w:rPr>
          <w:rFonts w:hint="eastAsia" w:ascii="宋体" w:hAnsi="宋体" w:cs="Arial Unicode MS"/>
          <w:szCs w:val="21"/>
        </w:rPr>
      </w:pPr>
    </w:p>
    <w:p w14:paraId="0B395628">
      <w:pPr>
        <w:tabs>
          <w:tab w:val="left" w:pos="3489"/>
          <w:tab w:val="left" w:pos="4273"/>
          <w:tab w:val="left" w:pos="4539"/>
          <w:tab w:val="left" w:pos="8214"/>
          <w:tab w:val="left" w:pos="8683"/>
          <w:tab w:val="left" w:pos="8893"/>
        </w:tabs>
        <w:adjustRightInd w:val="0"/>
        <w:spacing w:line="360" w:lineRule="exact"/>
        <w:rPr>
          <w:rFonts w:hint="eastAsia" w:ascii="宋体" w:hAnsi="宋体" w:cs="Arial Unicode MS"/>
          <w:szCs w:val="21"/>
        </w:rPr>
      </w:pPr>
    </w:p>
    <w:p w14:paraId="31AAFE65">
      <w:pPr>
        <w:tabs>
          <w:tab w:val="left" w:pos="3489"/>
          <w:tab w:val="left" w:pos="4273"/>
          <w:tab w:val="left" w:pos="4539"/>
          <w:tab w:val="left" w:pos="8214"/>
          <w:tab w:val="left" w:pos="8683"/>
          <w:tab w:val="left" w:pos="8893"/>
        </w:tabs>
        <w:adjustRightInd w:val="0"/>
        <w:spacing w:line="360" w:lineRule="exact"/>
        <w:rPr>
          <w:rFonts w:hint="eastAsia" w:ascii="宋体" w:hAnsi="宋体" w:cs="Arial Unicode MS"/>
          <w:szCs w:val="21"/>
        </w:rPr>
      </w:pPr>
    </w:p>
    <w:p w14:paraId="07EE3592">
      <w:pPr>
        <w:rPr>
          <w:rFonts w:hint="eastAsia" w:ascii="宋体" w:hAnsi="宋体"/>
        </w:rPr>
      </w:pPr>
      <w:r>
        <w:rPr>
          <w:rFonts w:hint="eastAsia" w:ascii="宋体" w:hAnsi="宋体"/>
        </w:rPr>
        <w:t xml:space="preserve"> </w:t>
      </w:r>
    </w:p>
    <w:p w14:paraId="0120361A">
      <w:pPr>
        <w:adjustRightInd w:val="0"/>
        <w:snapToGrid w:val="0"/>
        <w:spacing w:line="360" w:lineRule="auto"/>
        <w:ind w:firstLine="420" w:firstLineChars="200"/>
        <w:jc w:val="left"/>
        <w:rPr>
          <w:rFonts w:hint="eastAsia" w:asciiTheme="minorEastAsia" w:hAnsiTheme="minorEastAsia" w:eastAsiaTheme="minorEastAsia"/>
        </w:rPr>
      </w:pPr>
    </w:p>
    <w:p w14:paraId="4BC82CCE">
      <w:pPr>
        <w:adjustRightInd w:val="0"/>
        <w:snapToGrid w:val="0"/>
        <w:spacing w:line="360" w:lineRule="auto"/>
        <w:ind w:firstLine="420" w:firstLineChars="200"/>
        <w:jc w:val="left"/>
        <w:rPr>
          <w:rFonts w:hint="eastAsia" w:asciiTheme="minorEastAsia" w:hAnsiTheme="minorEastAsia" w:eastAsiaTheme="minorEastAsia"/>
        </w:rPr>
      </w:pPr>
    </w:p>
    <w:p w14:paraId="596BBEDD">
      <w:pPr>
        <w:adjustRightInd w:val="0"/>
        <w:snapToGrid w:val="0"/>
        <w:spacing w:line="360" w:lineRule="auto"/>
        <w:ind w:firstLine="420" w:firstLineChars="200"/>
        <w:jc w:val="left"/>
        <w:rPr>
          <w:rFonts w:hint="eastAsia" w:asciiTheme="minorEastAsia" w:hAnsiTheme="minorEastAsia" w:eastAsiaTheme="minorEastAsia"/>
        </w:rPr>
      </w:pPr>
    </w:p>
    <w:p w14:paraId="15861C66">
      <w:pPr>
        <w:adjustRightInd w:val="0"/>
        <w:snapToGrid w:val="0"/>
        <w:spacing w:line="360" w:lineRule="auto"/>
        <w:ind w:firstLine="420" w:firstLineChars="200"/>
        <w:jc w:val="left"/>
        <w:rPr>
          <w:rFonts w:hint="eastAsia" w:asciiTheme="minorEastAsia" w:hAnsiTheme="minorEastAsia" w:eastAsiaTheme="minorEastAsia"/>
        </w:rPr>
      </w:pPr>
    </w:p>
    <w:p w14:paraId="54FC2F0C">
      <w:pPr>
        <w:rPr>
          <w:rFonts w:hint="eastAsia" w:ascii="宋体" w:hAnsi="宋体" w:cs="仿宋"/>
          <w:b/>
          <w:sz w:val="36"/>
          <w:szCs w:val="36"/>
        </w:rPr>
      </w:pPr>
    </w:p>
    <w:p w14:paraId="7A1FC34D">
      <w:pPr>
        <w:widowControl/>
        <w:jc w:val="left"/>
        <w:rPr>
          <w:rFonts w:hint="eastAsia" w:ascii="宋体" w:hAnsi="宋体" w:cs="仿宋"/>
          <w:b/>
          <w:sz w:val="36"/>
          <w:szCs w:val="36"/>
        </w:rPr>
      </w:pPr>
      <w:r>
        <w:rPr>
          <w:rFonts w:hint="eastAsia" w:ascii="宋体" w:hAnsi="宋体" w:cs="仿宋"/>
          <w:b/>
          <w:sz w:val="36"/>
          <w:szCs w:val="36"/>
        </w:rPr>
        <w:br w:type="page"/>
      </w:r>
    </w:p>
    <w:p w14:paraId="69A5CFD3">
      <w:pPr>
        <w:spacing w:line="360" w:lineRule="auto"/>
        <w:jc w:val="center"/>
        <w:outlineLvl w:val="0"/>
        <w:rPr>
          <w:rFonts w:hint="eastAsia" w:ascii="宋体" w:hAnsi="宋体" w:cs="仿宋"/>
          <w:b/>
          <w:sz w:val="36"/>
          <w:szCs w:val="36"/>
        </w:rPr>
      </w:pPr>
      <w:r>
        <w:rPr>
          <w:rFonts w:hint="eastAsia" w:ascii="宋体" w:hAnsi="宋体" w:cs="仿宋"/>
          <w:b/>
          <w:sz w:val="36"/>
          <w:szCs w:val="36"/>
        </w:rPr>
        <w:t xml:space="preserve">第六章 </w:t>
      </w:r>
      <w:bookmarkStart w:id="2246" w:name="_Hlk203498041"/>
      <w:r>
        <w:rPr>
          <w:rFonts w:hint="eastAsia" w:ascii="宋体" w:hAnsi="宋体" w:cs="仿宋"/>
          <w:b/>
          <w:sz w:val="36"/>
          <w:szCs w:val="36"/>
        </w:rPr>
        <w:t xml:space="preserve"> 响应文件格式</w:t>
      </w:r>
      <w:bookmarkEnd w:id="580"/>
      <w:bookmarkEnd w:id="581"/>
    </w:p>
    <w:p w14:paraId="1922C425">
      <w:pPr>
        <w:tabs>
          <w:tab w:val="left" w:pos="900"/>
          <w:tab w:val="left" w:pos="1980"/>
        </w:tabs>
        <w:snapToGrid w:val="0"/>
        <w:spacing w:line="360" w:lineRule="auto"/>
        <w:ind w:left="142"/>
        <w:rPr>
          <w:rFonts w:hint="eastAsia" w:ascii="宋体" w:hAnsi="宋体" w:cs="仿宋"/>
          <w:b/>
          <w:kern w:val="0"/>
          <w:sz w:val="24"/>
        </w:rPr>
      </w:pPr>
    </w:p>
    <w:p w14:paraId="65CB87E5">
      <w:pPr>
        <w:tabs>
          <w:tab w:val="left" w:pos="900"/>
          <w:tab w:val="left" w:pos="1980"/>
        </w:tabs>
        <w:snapToGrid w:val="0"/>
        <w:spacing w:line="360" w:lineRule="auto"/>
        <w:ind w:left="142"/>
        <w:rPr>
          <w:rFonts w:hint="eastAsia" w:ascii="宋体" w:hAnsi="宋体" w:cs="仿宋"/>
          <w:b/>
          <w:kern w:val="0"/>
          <w:sz w:val="24"/>
        </w:rPr>
      </w:pPr>
    </w:p>
    <w:p w14:paraId="4C294ED5">
      <w:pPr>
        <w:tabs>
          <w:tab w:val="left" w:pos="900"/>
          <w:tab w:val="left" w:pos="1980"/>
        </w:tabs>
        <w:snapToGrid w:val="0"/>
        <w:spacing w:line="360" w:lineRule="auto"/>
        <w:ind w:left="142"/>
        <w:rPr>
          <w:rFonts w:hint="eastAsia" w:ascii="宋体" w:hAnsi="宋体" w:cs="仿宋"/>
          <w:b/>
          <w:kern w:val="0"/>
          <w:sz w:val="24"/>
        </w:rPr>
      </w:pPr>
      <w:r>
        <w:rPr>
          <w:rFonts w:hint="eastAsia" w:ascii="宋体" w:hAnsi="宋体" w:cs="仿宋"/>
          <w:b/>
          <w:kern w:val="0"/>
          <w:sz w:val="24"/>
        </w:rPr>
        <w:t>供应商编制文件须知</w:t>
      </w:r>
    </w:p>
    <w:p w14:paraId="67C217C5">
      <w:pPr>
        <w:tabs>
          <w:tab w:val="left" w:pos="900"/>
          <w:tab w:val="left" w:pos="1980"/>
        </w:tabs>
        <w:snapToGrid w:val="0"/>
        <w:spacing w:line="360" w:lineRule="auto"/>
        <w:ind w:left="142"/>
        <w:rPr>
          <w:rFonts w:hint="eastAsia" w:ascii="宋体" w:hAnsi="宋体" w:cs="仿宋"/>
          <w:sz w:val="24"/>
        </w:rPr>
      </w:pPr>
      <w:r>
        <w:rPr>
          <w:rFonts w:hint="eastAsia" w:ascii="宋体" w:hAnsi="宋体" w:cs="仿宋"/>
          <w:sz w:val="24"/>
        </w:rPr>
        <w:t>1、供应商按照本部分的顺序编制响应文件，编制中涉及格式资料的，应按照本部分提供的内容和格式（所有表格的格式可扩展）填写提交。</w:t>
      </w:r>
    </w:p>
    <w:p w14:paraId="1C16CAF8">
      <w:pPr>
        <w:tabs>
          <w:tab w:val="left" w:pos="900"/>
          <w:tab w:val="left" w:pos="1980"/>
        </w:tabs>
        <w:snapToGrid w:val="0"/>
        <w:spacing w:line="360" w:lineRule="auto"/>
        <w:ind w:left="142"/>
        <w:rPr>
          <w:rFonts w:hint="eastAsia" w:ascii="宋体" w:hAnsi="宋体" w:cs="仿宋"/>
          <w:kern w:val="0"/>
          <w:sz w:val="24"/>
        </w:rPr>
      </w:pPr>
      <w:r>
        <w:rPr>
          <w:rFonts w:hint="eastAsia" w:ascii="宋体" w:hAnsi="宋体" w:cs="仿宋"/>
          <w:sz w:val="24"/>
        </w:rPr>
        <w:t>2、</w:t>
      </w:r>
      <w:r>
        <w:rPr>
          <w:rFonts w:hint="eastAsia" w:ascii="宋体" w:hAnsi="宋体" w:cs="仿宋"/>
          <w:kern w:val="0"/>
          <w:sz w:val="24"/>
        </w:rPr>
        <w:t>对于竞争性磋商文件中标记了“实质性格式”文件的，供应商</w:t>
      </w:r>
      <w:r>
        <w:rPr>
          <w:rFonts w:hint="eastAsia" w:ascii="宋体" w:hAnsi="宋体" w:cs="仿宋"/>
          <w:sz w:val="24"/>
        </w:rPr>
        <w:t>不得改变格式中给定的文字所表达的含义，不得删减格式中的实质性内容，不得自行添加与格式中给定的文字内容相矛盾的内容，不实质性响应，</w:t>
      </w:r>
      <w:r>
        <w:rPr>
          <w:rFonts w:hint="eastAsia" w:ascii="宋体" w:hAnsi="宋体" w:cs="仿宋"/>
          <w:b/>
          <w:kern w:val="0"/>
          <w:sz w:val="24"/>
        </w:rPr>
        <w:t>否则响应无效</w:t>
      </w:r>
      <w:r>
        <w:rPr>
          <w:rFonts w:hint="eastAsia" w:ascii="宋体" w:hAnsi="宋体" w:cs="仿宋"/>
          <w:kern w:val="0"/>
          <w:sz w:val="24"/>
        </w:rPr>
        <w:t>。未标记“实质性格式”的文件和竞争性磋商文件未提供格式的内容，可由供应商自行编写。</w:t>
      </w:r>
    </w:p>
    <w:p w14:paraId="31753CE0">
      <w:pPr>
        <w:tabs>
          <w:tab w:val="left" w:pos="900"/>
          <w:tab w:val="left" w:pos="1980"/>
        </w:tabs>
        <w:snapToGrid w:val="0"/>
        <w:spacing w:line="360" w:lineRule="auto"/>
        <w:ind w:left="142"/>
        <w:rPr>
          <w:rFonts w:hint="eastAsia" w:ascii="宋体" w:hAnsi="宋体" w:cs="仿宋"/>
          <w:sz w:val="24"/>
        </w:rPr>
      </w:pPr>
      <w:r>
        <w:rPr>
          <w:rFonts w:hint="eastAsia" w:ascii="宋体" w:hAnsi="宋体" w:cs="仿宋"/>
          <w:sz w:val="24"/>
        </w:rPr>
        <w:t>3、全部声明和问题的回答及所附材料必须是真实的、准确的和完整的。</w:t>
      </w:r>
    </w:p>
    <w:p w14:paraId="79AD1A5D">
      <w:pPr>
        <w:tabs>
          <w:tab w:val="left" w:pos="900"/>
          <w:tab w:val="left" w:pos="1980"/>
        </w:tabs>
        <w:snapToGrid w:val="0"/>
        <w:spacing w:line="360" w:lineRule="auto"/>
        <w:ind w:left="142"/>
        <w:rPr>
          <w:rFonts w:hint="eastAsia" w:ascii="宋体" w:hAnsi="宋体" w:cs="仿宋"/>
          <w:sz w:val="24"/>
        </w:rPr>
      </w:pPr>
    </w:p>
    <w:p w14:paraId="00D95C72">
      <w:pPr>
        <w:widowControl/>
        <w:jc w:val="left"/>
        <w:rPr>
          <w:rFonts w:hint="eastAsia" w:ascii="宋体" w:hAnsi="宋体" w:cs="仿宋"/>
          <w:sz w:val="24"/>
        </w:rPr>
      </w:pPr>
      <w:r>
        <w:rPr>
          <w:rFonts w:hint="eastAsia" w:ascii="宋体" w:hAnsi="宋体" w:cs="仿宋"/>
          <w:sz w:val="24"/>
        </w:rPr>
        <w:br w:type="page"/>
      </w:r>
    </w:p>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p w14:paraId="2DBC423A">
      <w:pPr>
        <w:rPr>
          <w:rFonts w:hint="eastAsia" w:ascii="宋体" w:hAnsi="宋体" w:cs="仿宋"/>
          <w:b/>
          <w:spacing w:val="20"/>
          <w:szCs w:val="21"/>
        </w:rPr>
      </w:pPr>
    </w:p>
    <w:p w14:paraId="2A45897C">
      <w:pPr>
        <w:spacing w:line="360" w:lineRule="auto"/>
        <w:jc w:val="center"/>
        <w:rPr>
          <w:rFonts w:hint="eastAsia" w:ascii="宋体" w:hAnsi="宋体" w:cs="仿宋"/>
          <w:b/>
          <w:sz w:val="36"/>
          <w:szCs w:val="36"/>
        </w:rPr>
      </w:pPr>
    </w:p>
    <w:p w14:paraId="48B813EE">
      <w:pPr>
        <w:spacing w:line="360" w:lineRule="auto"/>
        <w:jc w:val="center"/>
        <w:rPr>
          <w:rFonts w:hint="eastAsia" w:ascii="宋体" w:hAnsi="宋体" w:cs="仿宋"/>
          <w:b/>
          <w:sz w:val="36"/>
          <w:szCs w:val="36"/>
        </w:rPr>
      </w:pPr>
    </w:p>
    <w:p w14:paraId="58E1644B">
      <w:pPr>
        <w:spacing w:line="360" w:lineRule="auto"/>
        <w:jc w:val="center"/>
        <w:rPr>
          <w:rFonts w:hint="eastAsia" w:ascii="宋体" w:hAnsi="宋体" w:cs="宋体"/>
          <w:b/>
          <w:sz w:val="84"/>
          <w:szCs w:val="84"/>
        </w:rPr>
      </w:pPr>
      <w:r>
        <w:rPr>
          <w:rFonts w:hint="eastAsia" w:ascii="宋体" w:hAnsi="宋体" w:cs="宋体"/>
          <w:b/>
          <w:sz w:val="84"/>
          <w:szCs w:val="84"/>
        </w:rPr>
        <w:t xml:space="preserve">响 应 文 件   </w:t>
      </w:r>
    </w:p>
    <w:p w14:paraId="59D176B3">
      <w:pPr>
        <w:spacing w:line="360" w:lineRule="auto"/>
        <w:jc w:val="center"/>
        <w:rPr>
          <w:rFonts w:hint="eastAsia" w:ascii="宋体" w:hAnsi="宋体" w:cs="仿宋"/>
          <w:b/>
          <w:sz w:val="36"/>
          <w:szCs w:val="36"/>
        </w:rPr>
      </w:pPr>
    </w:p>
    <w:p w14:paraId="53C3889E">
      <w:pPr>
        <w:spacing w:line="360" w:lineRule="auto"/>
        <w:jc w:val="center"/>
        <w:rPr>
          <w:rFonts w:hint="eastAsia" w:ascii="宋体" w:hAnsi="宋体" w:cs="宋体"/>
          <w:b/>
          <w:sz w:val="44"/>
          <w:szCs w:val="44"/>
        </w:rPr>
      </w:pPr>
    </w:p>
    <w:p w14:paraId="0F5CFC34">
      <w:pPr>
        <w:pStyle w:val="5"/>
      </w:pPr>
    </w:p>
    <w:p w14:paraId="7D441275">
      <w:pPr>
        <w:pStyle w:val="5"/>
      </w:pPr>
    </w:p>
    <w:p w14:paraId="3784FBDB"/>
    <w:p w14:paraId="03BEC306">
      <w:pPr>
        <w:spacing w:line="360" w:lineRule="auto"/>
        <w:ind w:firstLine="723" w:firstLineChars="200"/>
        <w:rPr>
          <w:rFonts w:hint="eastAsia" w:ascii="宋体" w:hAnsi="宋体" w:cs="宋体"/>
          <w:b/>
          <w:sz w:val="36"/>
          <w:szCs w:val="36"/>
        </w:rPr>
      </w:pPr>
      <w:r>
        <w:rPr>
          <w:rFonts w:hint="eastAsia" w:ascii="宋体" w:hAnsi="宋体" w:cs="宋体"/>
          <w:b/>
          <w:sz w:val="36"/>
          <w:szCs w:val="36"/>
        </w:rPr>
        <w:t>项目名称：</w:t>
      </w:r>
      <w:r>
        <w:rPr>
          <w:rFonts w:ascii="宋体" w:hAnsi="宋体" w:cs="宋体"/>
          <w:b/>
          <w:sz w:val="36"/>
          <w:szCs w:val="36"/>
        </w:rPr>
        <w:t xml:space="preserve"> </w:t>
      </w:r>
    </w:p>
    <w:p w14:paraId="484C7513">
      <w:pPr>
        <w:spacing w:line="360" w:lineRule="auto"/>
        <w:ind w:firstLine="723" w:firstLineChars="200"/>
        <w:rPr>
          <w:sz w:val="36"/>
          <w:szCs w:val="36"/>
        </w:rPr>
      </w:pPr>
      <w:r>
        <w:rPr>
          <w:rFonts w:hint="eastAsia" w:ascii="宋体" w:hAnsi="宋体" w:cs="宋体"/>
          <w:b/>
          <w:sz w:val="36"/>
          <w:szCs w:val="36"/>
        </w:rPr>
        <w:t>项目编号：</w:t>
      </w:r>
    </w:p>
    <w:p w14:paraId="38344713">
      <w:pPr>
        <w:spacing w:line="360" w:lineRule="auto"/>
        <w:jc w:val="center"/>
        <w:rPr>
          <w:rFonts w:hint="eastAsia" w:ascii="宋体" w:hAnsi="宋体" w:cs="宋体"/>
          <w:b/>
          <w:sz w:val="40"/>
          <w:szCs w:val="40"/>
        </w:rPr>
      </w:pPr>
      <w:bookmarkStart w:id="2247" w:name="_Toc22826"/>
    </w:p>
    <w:bookmarkEnd w:id="2247"/>
    <w:p w14:paraId="48977054">
      <w:pPr>
        <w:spacing w:line="360" w:lineRule="auto"/>
        <w:jc w:val="center"/>
        <w:rPr>
          <w:rFonts w:hint="eastAsia" w:ascii="宋体" w:hAnsi="宋体" w:cs="宋体"/>
          <w:b/>
          <w:sz w:val="56"/>
        </w:rPr>
      </w:pPr>
    </w:p>
    <w:p w14:paraId="74BD2AD7">
      <w:pPr>
        <w:pStyle w:val="5"/>
      </w:pPr>
    </w:p>
    <w:p w14:paraId="182182A1"/>
    <w:p w14:paraId="589D0C2A"/>
    <w:p w14:paraId="1BE89182">
      <w:pPr>
        <w:pStyle w:val="5"/>
      </w:pPr>
    </w:p>
    <w:p w14:paraId="4422F16E"/>
    <w:p w14:paraId="0B94F490">
      <w:pPr>
        <w:rPr>
          <w:rFonts w:hint="eastAsia" w:ascii="宋体" w:hAnsi="宋体"/>
        </w:rPr>
      </w:pPr>
    </w:p>
    <w:p w14:paraId="6C76E57E">
      <w:pPr>
        <w:spacing w:line="360" w:lineRule="auto"/>
        <w:ind w:firstLine="560" w:firstLineChars="200"/>
        <w:rPr>
          <w:rFonts w:hint="eastAsia" w:ascii="宋体" w:hAnsi="宋体"/>
          <w:sz w:val="28"/>
          <w:szCs w:val="28"/>
        </w:rPr>
      </w:pPr>
      <w:r>
        <w:rPr>
          <w:rFonts w:ascii="宋体" w:hAnsi="宋体"/>
          <w:sz w:val="28"/>
          <w:szCs w:val="28"/>
        </w:rPr>
        <w:t xml:space="preserve">                     </w:t>
      </w:r>
      <w:r>
        <w:rPr>
          <w:rFonts w:hint="eastAsia" w:ascii="宋体" w:hAnsi="宋体"/>
          <w:sz w:val="28"/>
          <w:szCs w:val="28"/>
        </w:rPr>
        <w:t xml:space="preserve"> </w:t>
      </w:r>
    </w:p>
    <w:p w14:paraId="284F00EB">
      <w:pPr>
        <w:spacing w:line="360" w:lineRule="auto"/>
        <w:ind w:firstLine="723" w:firstLineChars="200"/>
        <w:rPr>
          <w:rFonts w:hint="eastAsia" w:ascii="宋体" w:hAnsi="宋体"/>
          <w:b/>
          <w:bCs/>
          <w:sz w:val="36"/>
          <w:szCs w:val="36"/>
        </w:rPr>
      </w:pPr>
      <w:r>
        <w:rPr>
          <w:rFonts w:hint="eastAsia" w:ascii="宋体" w:hAnsi="宋体"/>
          <w:b/>
          <w:bCs/>
          <w:sz w:val="36"/>
          <w:szCs w:val="36"/>
        </w:rPr>
        <w:t>供应商名称（加盖公章）：</w:t>
      </w:r>
    </w:p>
    <w:p w14:paraId="79E311CE">
      <w:pPr>
        <w:ind w:firstLine="480" w:firstLineChars="200"/>
        <w:rPr>
          <w:rFonts w:hint="eastAsia" w:ascii="宋体" w:hAnsi="宋体" w:cs="宋体"/>
          <w:sz w:val="24"/>
        </w:rPr>
        <w:sectPr>
          <w:pgSz w:w="11905" w:h="16838"/>
          <w:pgMar w:top="1247" w:right="1361" w:bottom="1247" w:left="1361" w:header="851" w:footer="850" w:gutter="0"/>
          <w:cols w:space="0" w:num="1"/>
          <w:docGrid w:linePitch="462" w:charSpace="0"/>
        </w:sectPr>
      </w:pPr>
      <w:r>
        <w:rPr>
          <w:rFonts w:hint="eastAsia" w:ascii="宋体" w:hAnsi="宋体" w:cs="宋体"/>
          <w:sz w:val="24"/>
        </w:rPr>
        <w:br w:type="page"/>
      </w:r>
    </w:p>
    <w:p w14:paraId="172F1542">
      <w:pPr>
        <w:tabs>
          <w:tab w:val="left" w:pos="360"/>
        </w:tabs>
        <w:snapToGrid w:val="0"/>
        <w:spacing w:line="360" w:lineRule="auto"/>
        <w:jc w:val="left"/>
        <w:outlineLvl w:val="1"/>
        <w:rPr>
          <w:rFonts w:hint="eastAsia" w:ascii="宋体" w:hAnsi="宋体" w:cs="仿宋"/>
          <w:sz w:val="28"/>
          <w:szCs w:val="28"/>
        </w:rPr>
      </w:pPr>
      <w:r>
        <w:rPr>
          <w:rFonts w:hint="eastAsia" w:ascii="宋体" w:hAnsi="宋体" w:cs="仿宋"/>
          <w:sz w:val="28"/>
          <w:szCs w:val="28"/>
        </w:rPr>
        <w:t>1、满足《中华人民共和国政府采购法》第二十二条规定</w:t>
      </w:r>
    </w:p>
    <w:p w14:paraId="044F3D8D">
      <w:pPr>
        <w:spacing w:line="360" w:lineRule="auto"/>
        <w:jc w:val="left"/>
        <w:outlineLvl w:val="2"/>
        <w:rPr>
          <w:rFonts w:hint="eastAsia" w:ascii="宋体" w:hAnsi="宋体" w:cs="仿宋"/>
          <w:sz w:val="28"/>
          <w:szCs w:val="28"/>
        </w:rPr>
      </w:pPr>
      <w:r>
        <w:rPr>
          <w:rFonts w:hint="eastAsia" w:ascii="宋体" w:hAnsi="宋体" w:cs="仿宋"/>
          <w:sz w:val="28"/>
          <w:szCs w:val="28"/>
        </w:rPr>
        <w:t>1-1营业执照等证明文件</w:t>
      </w:r>
    </w:p>
    <w:p w14:paraId="6EF90304">
      <w:pPr>
        <w:tabs>
          <w:tab w:val="left" w:pos="1080"/>
        </w:tabs>
        <w:snapToGrid w:val="0"/>
        <w:rPr>
          <w:rFonts w:hint="eastAsia" w:ascii="宋体" w:hAnsi="宋体" w:cs="仿宋"/>
          <w:sz w:val="24"/>
        </w:rPr>
      </w:pPr>
      <w:r>
        <w:rPr>
          <w:rFonts w:hint="eastAsia" w:ascii="宋体" w:hAnsi="宋体" w:cs="仿宋"/>
          <w:sz w:val="24"/>
        </w:rPr>
        <w:br w:type="page"/>
      </w:r>
    </w:p>
    <w:p w14:paraId="61F5A484">
      <w:pPr>
        <w:spacing w:line="360" w:lineRule="auto"/>
        <w:jc w:val="left"/>
        <w:outlineLvl w:val="2"/>
        <w:rPr>
          <w:rFonts w:hint="eastAsia" w:ascii="宋体" w:hAnsi="宋体" w:cs="仿宋"/>
          <w:sz w:val="28"/>
          <w:szCs w:val="28"/>
        </w:rPr>
      </w:pPr>
      <w:r>
        <w:rPr>
          <w:rFonts w:hint="eastAsia" w:ascii="宋体" w:hAnsi="宋体" w:cs="仿宋"/>
          <w:sz w:val="28"/>
          <w:szCs w:val="28"/>
        </w:rPr>
        <w:t>1-2供应商资格声明书</w:t>
      </w:r>
    </w:p>
    <w:p w14:paraId="27B543BB">
      <w:pPr>
        <w:jc w:val="center"/>
        <w:rPr>
          <w:rFonts w:hint="eastAsia" w:ascii="宋体" w:hAnsi="宋体" w:cs="仿宋"/>
          <w:b/>
          <w:sz w:val="36"/>
          <w:szCs w:val="36"/>
        </w:rPr>
      </w:pPr>
      <w:bookmarkStart w:id="2248" w:name="OLE_LINK38"/>
      <w:r>
        <w:rPr>
          <w:rFonts w:hint="eastAsia" w:ascii="宋体" w:hAnsi="宋体" w:cs="仿宋"/>
          <w:b/>
          <w:sz w:val="36"/>
          <w:szCs w:val="36"/>
        </w:rPr>
        <w:t>供应商资格声明书</w:t>
      </w:r>
      <w:bookmarkEnd w:id="2248"/>
    </w:p>
    <w:p w14:paraId="6FF4265C">
      <w:pPr>
        <w:tabs>
          <w:tab w:val="left" w:pos="5580"/>
        </w:tabs>
        <w:spacing w:line="360" w:lineRule="auto"/>
        <w:rPr>
          <w:rFonts w:hint="eastAsia" w:ascii="宋体" w:hAnsi="宋体" w:cs="仿宋"/>
          <w:sz w:val="24"/>
        </w:rPr>
      </w:pPr>
    </w:p>
    <w:p w14:paraId="047097EE">
      <w:pPr>
        <w:tabs>
          <w:tab w:val="left" w:pos="5580"/>
        </w:tabs>
        <w:spacing w:line="360" w:lineRule="auto"/>
        <w:rPr>
          <w:rFonts w:hint="eastAsia" w:ascii="宋体" w:hAnsi="宋体" w:cs="仿宋"/>
          <w:sz w:val="24"/>
        </w:rPr>
      </w:pPr>
      <w:r>
        <w:rPr>
          <w:rFonts w:hint="eastAsia" w:ascii="宋体" w:hAnsi="宋体" w:cs="仿宋"/>
          <w:sz w:val="24"/>
        </w:rPr>
        <w:t>致：</w:t>
      </w:r>
      <w:r>
        <w:rPr>
          <w:rFonts w:hint="eastAsia" w:ascii="宋体" w:hAnsi="宋体" w:cs="仿宋"/>
          <w:sz w:val="24"/>
          <w:u w:val="single"/>
        </w:rPr>
        <w:t>采购人或采购代理机构</w:t>
      </w:r>
    </w:p>
    <w:p w14:paraId="6E81265A">
      <w:pPr>
        <w:spacing w:line="360" w:lineRule="auto"/>
        <w:ind w:firstLine="480" w:firstLineChars="200"/>
        <w:rPr>
          <w:rFonts w:hint="eastAsia" w:ascii="宋体" w:hAnsi="宋体" w:cs="仿宋"/>
          <w:sz w:val="24"/>
        </w:rPr>
      </w:pPr>
      <w:r>
        <w:rPr>
          <w:rFonts w:hint="eastAsia" w:ascii="宋体" w:hAnsi="宋体" w:cs="仿宋"/>
          <w:sz w:val="24"/>
        </w:rPr>
        <w:t>在参与本次项目磋商中，我单位承诺：</w:t>
      </w:r>
    </w:p>
    <w:p w14:paraId="6BA940EE">
      <w:pPr>
        <w:numPr>
          <w:ilvl w:val="0"/>
          <w:numId w:val="39"/>
        </w:numPr>
        <w:spacing w:line="360" w:lineRule="auto"/>
        <w:ind w:left="1134"/>
        <w:rPr>
          <w:rFonts w:hint="eastAsia" w:ascii="宋体" w:hAnsi="宋体" w:cs="仿宋"/>
          <w:sz w:val="24"/>
          <w:szCs w:val="22"/>
        </w:rPr>
      </w:pPr>
      <w:r>
        <w:rPr>
          <w:rFonts w:hint="eastAsia" w:ascii="宋体" w:hAnsi="宋体" w:cs="仿宋"/>
          <w:sz w:val="24"/>
          <w:szCs w:val="22"/>
        </w:rPr>
        <w:t>具有良好的商业信誉和健全的财务会计制度；</w:t>
      </w:r>
    </w:p>
    <w:p w14:paraId="572CDC93">
      <w:pPr>
        <w:numPr>
          <w:ilvl w:val="0"/>
          <w:numId w:val="39"/>
        </w:numPr>
        <w:spacing w:line="360" w:lineRule="auto"/>
        <w:ind w:left="1134"/>
        <w:rPr>
          <w:rFonts w:hint="eastAsia" w:ascii="宋体" w:hAnsi="宋体" w:cs="仿宋"/>
          <w:sz w:val="24"/>
          <w:szCs w:val="22"/>
        </w:rPr>
      </w:pPr>
      <w:r>
        <w:rPr>
          <w:rFonts w:hint="eastAsia" w:ascii="宋体" w:hAnsi="宋体" w:cs="仿宋"/>
          <w:sz w:val="24"/>
          <w:szCs w:val="22"/>
        </w:rPr>
        <w:t>具有履行合同所必需的设备和专业技术能力；</w:t>
      </w:r>
    </w:p>
    <w:p w14:paraId="6F16E5D1">
      <w:pPr>
        <w:numPr>
          <w:ilvl w:val="0"/>
          <w:numId w:val="39"/>
        </w:numPr>
        <w:spacing w:line="360" w:lineRule="auto"/>
        <w:ind w:left="1134"/>
        <w:rPr>
          <w:rFonts w:hint="eastAsia" w:ascii="宋体" w:hAnsi="宋体" w:cs="仿宋"/>
          <w:sz w:val="24"/>
          <w:szCs w:val="22"/>
        </w:rPr>
      </w:pPr>
      <w:r>
        <w:rPr>
          <w:rFonts w:hint="eastAsia" w:ascii="宋体" w:hAnsi="宋体" w:cs="仿宋"/>
          <w:sz w:val="24"/>
          <w:szCs w:val="22"/>
        </w:rPr>
        <w:t>有依法缴纳税收和社会保障资金的良好记录；</w:t>
      </w:r>
    </w:p>
    <w:p w14:paraId="5C7B6AC6">
      <w:pPr>
        <w:numPr>
          <w:ilvl w:val="0"/>
          <w:numId w:val="39"/>
        </w:numPr>
        <w:spacing w:line="360" w:lineRule="auto"/>
        <w:ind w:left="1134"/>
        <w:rPr>
          <w:rFonts w:hint="eastAsia" w:ascii="宋体" w:hAnsi="宋体" w:cs="仿宋"/>
          <w:sz w:val="24"/>
          <w:szCs w:val="22"/>
        </w:rPr>
      </w:pPr>
      <w:r>
        <w:rPr>
          <w:rFonts w:hint="eastAsia" w:ascii="宋体" w:hAnsi="宋体" w:cs="仿宋"/>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05BC24D8">
      <w:pPr>
        <w:numPr>
          <w:ilvl w:val="0"/>
          <w:numId w:val="39"/>
        </w:numPr>
        <w:spacing w:line="360" w:lineRule="auto"/>
        <w:ind w:left="1134"/>
        <w:rPr>
          <w:rFonts w:hint="eastAsia" w:ascii="宋体" w:hAnsi="宋体" w:cs="仿宋"/>
          <w:sz w:val="24"/>
          <w:szCs w:val="22"/>
        </w:rPr>
      </w:pPr>
      <w:r>
        <w:rPr>
          <w:rFonts w:hint="eastAsia" w:ascii="宋体" w:hAnsi="宋体" w:cs="仿宋"/>
          <w:sz w:val="24"/>
          <w:szCs w:val="22"/>
        </w:rPr>
        <w:t>我单位不属于政府采购法律、行政法规规定的公益一类事业单位，或使用事业编制且由财政拨款保障的群团组织（仅适用于政府购买服务项目）；</w:t>
      </w:r>
    </w:p>
    <w:p w14:paraId="1DDE3010">
      <w:pPr>
        <w:numPr>
          <w:ilvl w:val="0"/>
          <w:numId w:val="39"/>
        </w:numPr>
        <w:spacing w:line="360" w:lineRule="auto"/>
        <w:ind w:left="1134"/>
        <w:rPr>
          <w:rFonts w:hint="eastAsia" w:ascii="宋体" w:hAnsi="宋体" w:cs="仿宋"/>
          <w:sz w:val="24"/>
          <w:szCs w:val="22"/>
        </w:rPr>
      </w:pPr>
      <w:r>
        <w:rPr>
          <w:rFonts w:hint="eastAsia" w:ascii="宋体" w:hAnsi="宋体" w:cs="仿宋"/>
          <w:sz w:val="24"/>
          <w:szCs w:val="22"/>
        </w:rPr>
        <w:t>我单位不存在为采购项目提供整体设计、规范编制或者项目管理、监理、检测等服务后，再参加该采购项目的其他采购活动的情形（单一来源采购项目除外）；</w:t>
      </w:r>
    </w:p>
    <w:p w14:paraId="6FE69520">
      <w:pPr>
        <w:numPr>
          <w:ilvl w:val="0"/>
          <w:numId w:val="39"/>
        </w:numPr>
        <w:spacing w:line="360" w:lineRule="auto"/>
        <w:ind w:left="1134"/>
        <w:rPr>
          <w:rFonts w:hint="eastAsia" w:ascii="宋体" w:hAnsi="宋体" w:cs="仿宋"/>
          <w:sz w:val="24"/>
          <w:szCs w:val="22"/>
        </w:rPr>
      </w:pPr>
      <w:r>
        <w:rPr>
          <w:rFonts w:hint="eastAsia" w:ascii="宋体" w:hAnsi="宋体" w:cs="仿宋"/>
          <w:sz w:val="24"/>
          <w:szCs w:val="22"/>
        </w:rPr>
        <w:t>与我单位存在“单位负责人为同一人或者存在直接控股、管理关系”的其他法人单位信息如下（如有，不论其是否参加同一合同项下的政府采购活动均须填写）：</w:t>
      </w:r>
    </w:p>
    <w:tbl>
      <w:tblPr>
        <w:tblStyle w:val="88"/>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50"/>
        <w:gridCol w:w="4574"/>
        <w:gridCol w:w="3685"/>
      </w:tblGrid>
      <w:tr w14:paraId="124EF6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7BF3D91E">
            <w:pPr>
              <w:jc w:val="center"/>
              <w:rPr>
                <w:rFonts w:hint="eastAsia" w:ascii="宋体" w:hAnsi="宋体" w:cs="仿宋"/>
                <w:sz w:val="24"/>
              </w:rPr>
            </w:pPr>
            <w:r>
              <w:rPr>
                <w:rFonts w:hint="eastAsia" w:ascii="宋体" w:hAnsi="宋体" w:cs="仿宋"/>
                <w:sz w:val="24"/>
              </w:rPr>
              <w:t>序号</w:t>
            </w:r>
          </w:p>
        </w:tc>
        <w:tc>
          <w:tcPr>
            <w:tcW w:w="4574" w:type="dxa"/>
            <w:vAlign w:val="center"/>
          </w:tcPr>
          <w:p w14:paraId="54DD54B3">
            <w:pPr>
              <w:jc w:val="center"/>
              <w:rPr>
                <w:rFonts w:hint="eastAsia" w:ascii="宋体" w:hAnsi="宋体" w:cs="仿宋"/>
                <w:sz w:val="24"/>
              </w:rPr>
            </w:pPr>
            <w:r>
              <w:rPr>
                <w:rFonts w:hint="eastAsia" w:ascii="宋体" w:hAnsi="宋体" w:cs="仿宋"/>
                <w:sz w:val="24"/>
              </w:rPr>
              <w:t>单位名称</w:t>
            </w:r>
          </w:p>
        </w:tc>
        <w:tc>
          <w:tcPr>
            <w:tcW w:w="3685" w:type="dxa"/>
            <w:vAlign w:val="center"/>
          </w:tcPr>
          <w:p w14:paraId="4A073A28">
            <w:pPr>
              <w:jc w:val="center"/>
              <w:rPr>
                <w:rFonts w:hint="eastAsia" w:ascii="宋体" w:hAnsi="宋体" w:cs="仿宋"/>
                <w:sz w:val="24"/>
              </w:rPr>
            </w:pPr>
            <w:r>
              <w:rPr>
                <w:rFonts w:hint="eastAsia" w:ascii="宋体" w:hAnsi="宋体" w:cs="仿宋"/>
                <w:sz w:val="24"/>
              </w:rPr>
              <w:t>相互关系</w:t>
            </w:r>
          </w:p>
        </w:tc>
      </w:tr>
      <w:tr w14:paraId="5453A2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7A4B1B9E">
            <w:pPr>
              <w:jc w:val="center"/>
              <w:rPr>
                <w:rFonts w:hint="eastAsia" w:ascii="宋体" w:hAnsi="宋体" w:cs="仿宋"/>
                <w:sz w:val="24"/>
              </w:rPr>
            </w:pPr>
            <w:r>
              <w:rPr>
                <w:rFonts w:hint="eastAsia" w:ascii="宋体" w:hAnsi="宋体" w:cs="仿宋"/>
                <w:sz w:val="24"/>
              </w:rPr>
              <w:t>1</w:t>
            </w:r>
          </w:p>
        </w:tc>
        <w:tc>
          <w:tcPr>
            <w:tcW w:w="4574" w:type="dxa"/>
            <w:vAlign w:val="center"/>
          </w:tcPr>
          <w:p w14:paraId="2E6F7915">
            <w:pPr>
              <w:jc w:val="center"/>
              <w:rPr>
                <w:rFonts w:hint="eastAsia" w:ascii="宋体" w:hAnsi="宋体" w:cs="仿宋"/>
                <w:sz w:val="24"/>
              </w:rPr>
            </w:pPr>
          </w:p>
        </w:tc>
        <w:tc>
          <w:tcPr>
            <w:tcW w:w="3685" w:type="dxa"/>
            <w:vAlign w:val="center"/>
          </w:tcPr>
          <w:p w14:paraId="0584D7B3">
            <w:pPr>
              <w:jc w:val="center"/>
              <w:rPr>
                <w:rFonts w:hint="eastAsia" w:ascii="宋体" w:hAnsi="宋体" w:cs="仿宋"/>
                <w:sz w:val="24"/>
              </w:rPr>
            </w:pPr>
          </w:p>
        </w:tc>
      </w:tr>
      <w:tr w14:paraId="25260C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279E4114">
            <w:pPr>
              <w:jc w:val="center"/>
              <w:rPr>
                <w:rFonts w:hint="eastAsia" w:ascii="宋体" w:hAnsi="宋体" w:cs="仿宋"/>
                <w:sz w:val="24"/>
              </w:rPr>
            </w:pPr>
            <w:r>
              <w:rPr>
                <w:rFonts w:hint="eastAsia" w:ascii="宋体" w:hAnsi="宋体" w:cs="仿宋"/>
                <w:sz w:val="24"/>
              </w:rPr>
              <w:t>2</w:t>
            </w:r>
          </w:p>
        </w:tc>
        <w:tc>
          <w:tcPr>
            <w:tcW w:w="4574" w:type="dxa"/>
            <w:vAlign w:val="center"/>
          </w:tcPr>
          <w:p w14:paraId="7D337414">
            <w:pPr>
              <w:jc w:val="center"/>
              <w:rPr>
                <w:rFonts w:hint="eastAsia" w:ascii="宋体" w:hAnsi="宋体" w:cs="仿宋"/>
                <w:sz w:val="24"/>
              </w:rPr>
            </w:pPr>
          </w:p>
        </w:tc>
        <w:tc>
          <w:tcPr>
            <w:tcW w:w="3685" w:type="dxa"/>
            <w:vAlign w:val="center"/>
          </w:tcPr>
          <w:p w14:paraId="39F91EF9">
            <w:pPr>
              <w:jc w:val="center"/>
              <w:rPr>
                <w:rFonts w:hint="eastAsia" w:ascii="宋体" w:hAnsi="宋体" w:cs="仿宋"/>
                <w:sz w:val="24"/>
              </w:rPr>
            </w:pPr>
          </w:p>
        </w:tc>
      </w:tr>
      <w:tr w14:paraId="214714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3FAB0C86">
            <w:pPr>
              <w:jc w:val="center"/>
              <w:rPr>
                <w:rFonts w:hint="eastAsia" w:ascii="宋体" w:hAnsi="宋体" w:cs="仿宋"/>
                <w:sz w:val="24"/>
              </w:rPr>
            </w:pPr>
            <w:r>
              <w:rPr>
                <w:rFonts w:hint="eastAsia" w:ascii="宋体" w:hAnsi="宋体" w:cs="仿宋"/>
                <w:sz w:val="24"/>
              </w:rPr>
              <w:t>…</w:t>
            </w:r>
          </w:p>
        </w:tc>
        <w:tc>
          <w:tcPr>
            <w:tcW w:w="4574" w:type="dxa"/>
            <w:vAlign w:val="center"/>
          </w:tcPr>
          <w:p w14:paraId="200C4AAC">
            <w:pPr>
              <w:jc w:val="center"/>
              <w:rPr>
                <w:rFonts w:hint="eastAsia" w:ascii="宋体" w:hAnsi="宋体" w:cs="仿宋"/>
                <w:sz w:val="24"/>
              </w:rPr>
            </w:pPr>
          </w:p>
        </w:tc>
        <w:tc>
          <w:tcPr>
            <w:tcW w:w="3685" w:type="dxa"/>
            <w:vAlign w:val="center"/>
          </w:tcPr>
          <w:p w14:paraId="129961BC">
            <w:pPr>
              <w:jc w:val="center"/>
              <w:rPr>
                <w:rFonts w:hint="eastAsia" w:ascii="宋体" w:hAnsi="宋体" w:cs="仿宋"/>
                <w:sz w:val="24"/>
              </w:rPr>
            </w:pPr>
          </w:p>
        </w:tc>
      </w:tr>
    </w:tbl>
    <w:p w14:paraId="3EDA389B">
      <w:pPr>
        <w:rPr>
          <w:rFonts w:hint="eastAsia" w:ascii="宋体" w:hAnsi="宋体" w:cs="仿宋"/>
        </w:rPr>
      </w:pPr>
    </w:p>
    <w:p w14:paraId="54BA5704">
      <w:pPr>
        <w:ind w:firstLine="480" w:firstLineChars="200"/>
        <w:rPr>
          <w:rFonts w:hint="eastAsia" w:ascii="宋体" w:hAnsi="宋体" w:cs="仿宋"/>
          <w:sz w:val="24"/>
          <w:szCs w:val="22"/>
        </w:rPr>
      </w:pPr>
      <w:r>
        <w:rPr>
          <w:rFonts w:hint="eastAsia" w:ascii="宋体" w:hAnsi="宋体" w:cs="仿宋"/>
          <w:sz w:val="24"/>
        </w:rPr>
        <w:t>上述声明真实有效，否则我方负全部责任。</w:t>
      </w:r>
    </w:p>
    <w:p w14:paraId="0BA923F3">
      <w:pPr>
        <w:spacing w:line="360" w:lineRule="auto"/>
        <w:rPr>
          <w:rFonts w:hint="eastAsia" w:ascii="宋体" w:hAnsi="宋体" w:cs="仿宋"/>
          <w:sz w:val="24"/>
        </w:rPr>
      </w:pPr>
    </w:p>
    <w:p w14:paraId="72D4DF8A">
      <w:pPr>
        <w:autoSpaceDE w:val="0"/>
        <w:autoSpaceDN w:val="0"/>
        <w:adjustRightInd w:val="0"/>
        <w:snapToGrid w:val="0"/>
        <w:spacing w:before="25" w:line="360" w:lineRule="auto"/>
        <w:ind w:right="360"/>
        <w:jc w:val="right"/>
        <w:rPr>
          <w:rFonts w:hint="eastAsia" w:ascii="宋体" w:hAnsi="宋体" w:cs="仿宋"/>
          <w:sz w:val="24"/>
          <w:lang w:val="zh-CN"/>
        </w:rPr>
      </w:pPr>
      <w:r>
        <w:rPr>
          <w:rFonts w:hint="eastAsia" w:ascii="宋体" w:hAnsi="宋体" w:cs="仿宋"/>
          <w:sz w:val="24"/>
        </w:rPr>
        <w:t>供应商名称（加盖公章）</w:t>
      </w:r>
      <w:r>
        <w:rPr>
          <w:rFonts w:hint="eastAsia" w:ascii="宋体" w:hAnsi="宋体" w:cs="仿宋"/>
          <w:sz w:val="24"/>
          <w:lang w:val="zh-CN"/>
        </w:rPr>
        <w:t>：</w:t>
      </w:r>
      <w:r>
        <w:rPr>
          <w:rFonts w:hint="eastAsia" w:ascii="宋体" w:hAnsi="宋体" w:cs="仿宋"/>
          <w:sz w:val="24"/>
        </w:rPr>
        <w:t>______</w:t>
      </w:r>
    </w:p>
    <w:p w14:paraId="6B90AF29">
      <w:pPr>
        <w:spacing w:line="360" w:lineRule="auto"/>
        <w:ind w:right="360" w:firstLine="480"/>
        <w:jc w:val="right"/>
        <w:rPr>
          <w:rFonts w:hint="eastAsia" w:ascii="宋体" w:hAnsi="宋体" w:cs="仿宋"/>
          <w:sz w:val="24"/>
        </w:rPr>
      </w:pPr>
      <w:r>
        <w:rPr>
          <w:rFonts w:hint="eastAsia" w:ascii="宋体" w:hAnsi="宋体" w:cs="仿宋"/>
          <w:sz w:val="24"/>
          <w:szCs w:val="20"/>
        </w:rPr>
        <w:t xml:space="preserve">日期：____年____月____日   </w:t>
      </w:r>
    </w:p>
    <w:p w14:paraId="289CA5D1">
      <w:pPr>
        <w:spacing w:line="360" w:lineRule="auto"/>
        <w:rPr>
          <w:rFonts w:hint="eastAsia" w:ascii="宋体" w:hAnsi="宋体" w:cs="仿宋"/>
          <w:sz w:val="24"/>
        </w:rPr>
      </w:pPr>
      <w:r>
        <w:rPr>
          <w:rFonts w:hint="eastAsia" w:ascii="宋体" w:hAnsi="宋体" w:cs="仿宋"/>
          <w:sz w:val="24"/>
        </w:rPr>
        <w:t>说明：供应商承诺不实的，依据《政府采购法》第七十七条“提供虚假材料谋取中标、成交的”有关规定予以处理。</w:t>
      </w:r>
    </w:p>
    <w:p w14:paraId="1C920863">
      <w:pPr>
        <w:tabs>
          <w:tab w:val="left" w:pos="5580"/>
        </w:tabs>
        <w:spacing w:line="360" w:lineRule="auto"/>
        <w:rPr>
          <w:rFonts w:hint="eastAsia" w:ascii="宋体" w:hAnsi="宋体" w:cs="仿宋"/>
          <w:sz w:val="24"/>
        </w:rPr>
        <w:sectPr>
          <w:pgSz w:w="11905" w:h="16838"/>
          <w:pgMar w:top="1247" w:right="1361" w:bottom="1247" w:left="1361" w:header="851" w:footer="992" w:gutter="0"/>
          <w:cols w:space="0" w:num="1"/>
          <w:docGrid w:linePitch="462" w:charSpace="0"/>
        </w:sectPr>
      </w:pPr>
    </w:p>
    <w:p w14:paraId="2958800E">
      <w:pPr>
        <w:tabs>
          <w:tab w:val="left" w:pos="0"/>
        </w:tabs>
        <w:snapToGrid w:val="0"/>
        <w:spacing w:line="360" w:lineRule="auto"/>
        <w:jc w:val="left"/>
        <w:outlineLvl w:val="1"/>
        <w:rPr>
          <w:rFonts w:hint="eastAsia" w:ascii="宋体" w:hAnsi="宋体" w:cs="仿宋"/>
          <w:sz w:val="28"/>
          <w:szCs w:val="28"/>
        </w:rPr>
      </w:pPr>
      <w:r>
        <w:rPr>
          <w:rFonts w:hint="eastAsia" w:ascii="宋体" w:hAnsi="宋体" w:cs="仿宋"/>
          <w:sz w:val="28"/>
          <w:szCs w:val="28"/>
        </w:rPr>
        <w:t>2、落实政府采购政策需满足的资格要求</w:t>
      </w:r>
    </w:p>
    <w:p w14:paraId="43355481">
      <w:pPr>
        <w:spacing w:line="360" w:lineRule="auto"/>
        <w:outlineLvl w:val="2"/>
        <w:rPr>
          <w:rFonts w:hint="eastAsia" w:ascii="宋体" w:hAnsi="宋体" w:cs="宋体"/>
          <w:i/>
          <w:iCs/>
          <w:color w:val="4F81BD" w:themeColor="accent1"/>
          <w:sz w:val="28"/>
          <w:szCs w:val="28"/>
          <w14:textFill>
            <w14:solidFill>
              <w14:schemeClr w14:val="accent1"/>
            </w14:solidFill>
          </w14:textFill>
        </w:rPr>
      </w:pPr>
      <w:r>
        <w:rPr>
          <w:rFonts w:hint="eastAsia" w:ascii="宋体" w:hAnsi="宋体" w:cs="宋体"/>
          <w:sz w:val="28"/>
          <w:szCs w:val="28"/>
        </w:rPr>
        <w:t>2-1中小企业政策证明文件</w:t>
      </w:r>
      <w:bookmarkStart w:id="2249" w:name="_Hlk146868686"/>
    </w:p>
    <w:p w14:paraId="6FF7B446">
      <w:pPr>
        <w:tabs>
          <w:tab w:val="left" w:pos="5580"/>
        </w:tabs>
        <w:spacing w:line="360" w:lineRule="auto"/>
        <w:rPr>
          <w:rFonts w:hint="eastAsia" w:asciiTheme="minorEastAsia" w:hAnsiTheme="minorEastAsia" w:eastAsiaTheme="minorEastAsia"/>
          <w:b/>
          <w:bCs/>
          <w:sz w:val="24"/>
        </w:rPr>
      </w:pPr>
      <w:r>
        <w:rPr>
          <w:rFonts w:hint="eastAsia" w:asciiTheme="minorEastAsia" w:hAnsiTheme="minorEastAsia" w:eastAsiaTheme="minorEastAsia"/>
          <w:b/>
          <w:bCs/>
          <w:sz w:val="24"/>
        </w:rPr>
        <w:t>说明：</w:t>
      </w:r>
    </w:p>
    <w:p w14:paraId="0CCBD25A">
      <w:pPr>
        <w:tabs>
          <w:tab w:val="left" w:pos="5580"/>
        </w:tabs>
        <w:spacing w:line="360" w:lineRule="auto"/>
        <w:ind w:firstLine="480" w:firstLineChars="200"/>
        <w:jc w:val="left"/>
        <w:rPr>
          <w:rFonts w:hint="eastAsia" w:asciiTheme="minorEastAsia" w:hAnsiTheme="minorEastAsia" w:eastAsiaTheme="minorEastAsia"/>
          <w:sz w:val="24"/>
        </w:rPr>
      </w:pPr>
      <w:r>
        <w:rPr>
          <w:rFonts w:hint="eastAsia" w:asciiTheme="minorEastAsia" w:hAnsiTheme="minorEastAsia" w:eastAsiaTheme="minorEastAsia"/>
          <w:sz w:val="24"/>
        </w:rPr>
        <w:t>（1）如本项目（包）不专门面向中小企业预留采购份额，供应商无须提供《中小企业声明函》或《残疾人福利性单位声明函》或由省级以上监狱管理局、戒毒管理局（含新疆生产建设兵团）出具的属于监狱企业的证明文件；当供应商拟享受中小企业扶持政策时，仍应提供上述证明文件，否则不享受相关中小企业扶持政策。</w:t>
      </w:r>
    </w:p>
    <w:p w14:paraId="02516FFC">
      <w:pPr>
        <w:tabs>
          <w:tab w:val="left" w:pos="5580"/>
        </w:tabs>
        <w:spacing w:line="360" w:lineRule="auto"/>
        <w:ind w:firstLine="480" w:firstLineChars="200"/>
        <w:jc w:val="left"/>
        <w:rPr>
          <w:rFonts w:hint="eastAsia" w:asciiTheme="minorEastAsia" w:hAnsiTheme="minorEastAsia" w:eastAsiaTheme="minorEastAsia"/>
          <w:sz w:val="24"/>
        </w:rPr>
      </w:pPr>
      <w:r>
        <w:rPr>
          <w:rFonts w:hint="eastAsia" w:asciiTheme="minorEastAsia" w:hAnsiTheme="minorEastAsia" w:eastAsiaTheme="minorEastAsia"/>
          <w:sz w:val="24"/>
        </w:rPr>
        <w:t>（2）如本项目（包）专门面向中小企业采购，响应文件中须提供《中小企业声明函》或《残疾人福利性单位声明函》，或提供由省级以上监狱管理局、戒毒管理局（含新疆生产建设兵团）出具的属于监狱企业的证明文件。</w:t>
      </w:r>
    </w:p>
    <w:p w14:paraId="0941CD40">
      <w:pPr>
        <w:tabs>
          <w:tab w:val="left" w:pos="5580"/>
        </w:tabs>
        <w:spacing w:line="360" w:lineRule="auto"/>
        <w:ind w:firstLine="480" w:firstLineChars="200"/>
        <w:jc w:val="left"/>
        <w:rPr>
          <w:rFonts w:hint="eastAsia" w:asciiTheme="minorEastAsia" w:hAnsiTheme="minorEastAsia" w:eastAsiaTheme="minorEastAsia"/>
          <w:sz w:val="24"/>
        </w:rPr>
      </w:pPr>
      <w:r>
        <w:rPr>
          <w:rFonts w:hint="eastAsia" w:asciiTheme="minorEastAsia" w:hAnsiTheme="minorEastAsia" w:eastAsiaTheme="minorEastAsia"/>
          <w:sz w:val="24"/>
        </w:rPr>
        <w:t>（3）如本项目（包）预留部分采购项目预算专门面向中小企业采购，且要求获得采购合同的供应商将采购项目中的一定比例分包给一家或者多家中小企业或要求供应商以联合体形式参加采购活动，响应文件中须提供《中小企业声明函》或《残疾人福利性单位声明函》或由省级以上监狱管理局、戒毒管理局（含新疆生产建设兵团）出具的属于监狱企业的证明文件。</w:t>
      </w:r>
    </w:p>
    <w:p w14:paraId="3C6BB44B">
      <w:pPr>
        <w:tabs>
          <w:tab w:val="left" w:pos="5580"/>
        </w:tabs>
        <w:spacing w:line="360" w:lineRule="auto"/>
        <w:ind w:firstLine="480" w:firstLineChars="200"/>
        <w:jc w:val="left"/>
        <w:rPr>
          <w:rFonts w:hint="eastAsia" w:asciiTheme="minorEastAsia" w:hAnsiTheme="minorEastAsia" w:eastAsiaTheme="minorEastAsia"/>
          <w:sz w:val="24"/>
        </w:rPr>
      </w:pPr>
      <w:r>
        <w:rPr>
          <w:rFonts w:hint="eastAsia" w:asciiTheme="minorEastAsia" w:hAnsiTheme="minorEastAsia" w:eastAsiaTheme="minorEastAsia"/>
          <w:sz w:val="24"/>
        </w:rPr>
        <w:t>（4）中小企业声明函填写注意事项</w:t>
      </w:r>
    </w:p>
    <w:p w14:paraId="0AF079E1">
      <w:pPr>
        <w:tabs>
          <w:tab w:val="left" w:pos="5580"/>
        </w:tabs>
        <w:spacing w:line="360" w:lineRule="auto"/>
        <w:ind w:firstLine="480" w:firstLineChars="200"/>
        <w:jc w:val="left"/>
        <w:rPr>
          <w:rFonts w:hint="eastAsia" w:asciiTheme="minorEastAsia" w:hAnsiTheme="minorEastAsia" w:eastAsiaTheme="minorEastAsia"/>
          <w:sz w:val="24"/>
        </w:rPr>
      </w:pPr>
      <w:r>
        <w:rPr>
          <w:rFonts w:hint="eastAsia" w:asciiTheme="minorEastAsia" w:hAnsiTheme="minorEastAsia" w:eastAsiaTheme="minorEastAsia"/>
          <w:sz w:val="24"/>
        </w:rPr>
        <w:t>1）《中小企业声明函》由参加政府采购活动的供应商出具。联合体参与的，《中小企业声明函》可由牵头人出具。</w:t>
      </w:r>
    </w:p>
    <w:p w14:paraId="468072B9">
      <w:pPr>
        <w:tabs>
          <w:tab w:val="left" w:pos="5580"/>
        </w:tabs>
        <w:spacing w:line="360" w:lineRule="auto"/>
        <w:ind w:firstLine="480" w:firstLineChars="200"/>
        <w:jc w:val="left"/>
        <w:rPr>
          <w:rFonts w:hint="eastAsia" w:asciiTheme="minorEastAsia" w:hAnsiTheme="minorEastAsia" w:eastAsiaTheme="minorEastAsia"/>
          <w:sz w:val="24"/>
        </w:rPr>
      </w:pPr>
      <w:r>
        <w:rPr>
          <w:rFonts w:hint="eastAsia" w:asciiTheme="minorEastAsia" w:hAnsiTheme="minorEastAsia" w:eastAsiaTheme="minorEastAsia"/>
          <w:sz w:val="24"/>
        </w:rPr>
        <w:t>2）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48BDEFB5">
      <w:pPr>
        <w:tabs>
          <w:tab w:val="left" w:pos="5580"/>
        </w:tabs>
        <w:spacing w:line="360" w:lineRule="auto"/>
        <w:ind w:firstLine="480" w:firstLineChars="200"/>
        <w:jc w:val="left"/>
        <w:rPr>
          <w:rFonts w:hint="eastAsia" w:asciiTheme="minorEastAsia" w:hAnsiTheme="minorEastAsia" w:eastAsiaTheme="minorEastAsia"/>
          <w:sz w:val="24"/>
        </w:rPr>
      </w:pPr>
      <w:r>
        <w:rPr>
          <w:rFonts w:hint="eastAsia" w:asciiTheme="minorEastAsia" w:hAnsiTheme="minorEastAsia" w:eastAsiaTheme="minorEastAsia"/>
          <w:sz w:val="24"/>
        </w:rPr>
        <w:t>3）对于多标的采购项目，供应商应充分、准确地了解所提供货物的制造企业、提供服务的承接企业信息。对相关情况了解不清楚的，不建议填报本声明函。</w:t>
      </w:r>
    </w:p>
    <w:p w14:paraId="39A1DE0D">
      <w:pPr>
        <w:tabs>
          <w:tab w:val="left" w:pos="5580"/>
        </w:tabs>
        <w:spacing w:line="360" w:lineRule="auto"/>
        <w:ind w:firstLine="480" w:firstLineChars="200"/>
        <w:jc w:val="left"/>
        <w:rPr>
          <w:rFonts w:hint="eastAsia" w:asciiTheme="minorEastAsia" w:hAnsiTheme="minorEastAsia" w:eastAsiaTheme="minorEastAsia"/>
          <w:sz w:val="24"/>
        </w:rPr>
      </w:pPr>
      <w:r>
        <w:rPr>
          <w:rFonts w:hint="eastAsia" w:asciiTheme="minorEastAsia" w:hAnsiTheme="minorEastAsia" w:eastAsiaTheme="minorEastAsia"/>
          <w:sz w:val="24"/>
        </w:rPr>
        <w:t>（5）温馨提示：为方便广大中小企业识别企业规模类型，工业和信息化部组织开发了中小企业规模类型自测小程序，在国务院客户端和工业和信息化部网站上均有链接，供应商填写所属的行业和指标数据可自动生成企业规模类型测试结果。本项目中小企业划分标准所属行业详见第二章《供应商须知资料表》，如在该程序中未找到本项目文件规定的中小企业划分标准所属行业，则按照《关于印发中小企业划型标准规定的通知（工信部联企业﹝2011﹞300号）》及《金融业企业划型标准规定》（〔2015〕309 号）等国务院批准的中小企业划分标准执行</w:t>
      </w:r>
    </w:p>
    <w:bookmarkEnd w:id="2249"/>
    <w:p w14:paraId="11D076C3">
      <w:pPr>
        <w:tabs>
          <w:tab w:val="left" w:pos="5580"/>
        </w:tabs>
        <w:spacing w:line="360" w:lineRule="auto"/>
        <w:jc w:val="left"/>
        <w:rPr>
          <w:rFonts w:hint="eastAsia" w:ascii="宋体" w:hAnsi="宋体" w:cs="仿宋"/>
          <w:sz w:val="24"/>
        </w:rPr>
      </w:pPr>
      <w:bookmarkStart w:id="2250" w:name="_Hlk203602091"/>
      <w:r>
        <w:rPr>
          <w:rFonts w:hint="eastAsia" w:ascii="宋体" w:hAnsi="宋体" w:cs="仿宋"/>
          <w:sz w:val="24"/>
        </w:rPr>
        <w:t>2-1-1 中小企业证明文件</w:t>
      </w:r>
    </w:p>
    <w:bookmarkEnd w:id="2250"/>
    <w:p w14:paraId="0568C8BF">
      <w:pPr>
        <w:spacing w:before="240" w:beforeLines="100" w:line="360" w:lineRule="auto"/>
        <w:jc w:val="center"/>
        <w:rPr>
          <w:rFonts w:hint="eastAsia" w:ascii="宋体" w:hAnsi="宋体" w:cs="仿宋"/>
          <w:b/>
          <w:bCs/>
          <w:sz w:val="30"/>
          <w:szCs w:val="30"/>
        </w:rPr>
      </w:pPr>
      <w:r>
        <w:rPr>
          <w:rFonts w:hint="eastAsia" w:ascii="宋体" w:hAnsi="宋体" w:cs="仿宋"/>
          <w:b/>
          <w:bCs/>
          <w:sz w:val="30"/>
          <w:szCs w:val="30"/>
        </w:rPr>
        <w:t>中小企业声明函（工程）格式</w:t>
      </w:r>
    </w:p>
    <w:p w14:paraId="1FE9F9D1">
      <w:pPr>
        <w:spacing w:line="360" w:lineRule="auto"/>
        <w:ind w:firstLine="504"/>
        <w:rPr>
          <w:rFonts w:hint="eastAsia" w:ascii="宋体" w:hAnsi="宋体" w:cs="仿宋"/>
          <w:spacing w:val="6"/>
          <w:sz w:val="24"/>
        </w:rPr>
      </w:pPr>
      <w:r>
        <w:rPr>
          <w:rFonts w:hint="eastAsia" w:ascii="宋体" w:hAnsi="宋体" w:cs="仿宋"/>
          <w:spacing w:val="6"/>
          <w:sz w:val="24"/>
        </w:rPr>
        <w:t>本公司（联合体）郑重声明，根据《政府采购促进中小企业发展管理办法》（财库﹝2020﹞46 号）的规定，本公司（联合体）参加</w:t>
      </w:r>
      <w:r>
        <w:rPr>
          <w:rFonts w:hint="eastAsia" w:ascii="宋体" w:hAnsi="宋体" w:cs="仿宋"/>
          <w:spacing w:val="6"/>
          <w:sz w:val="24"/>
          <w:u w:val="single"/>
        </w:rPr>
        <w:t>（单位名称）</w:t>
      </w:r>
      <w:r>
        <w:rPr>
          <w:rFonts w:hint="eastAsia" w:ascii="宋体" w:hAnsi="宋体" w:cs="仿宋"/>
          <w:spacing w:val="6"/>
          <w:sz w:val="24"/>
        </w:rPr>
        <w:t>的</w:t>
      </w:r>
      <w:r>
        <w:rPr>
          <w:rFonts w:hint="eastAsia" w:ascii="宋体" w:hAnsi="宋体" w:cs="仿宋"/>
          <w:spacing w:val="6"/>
          <w:sz w:val="24"/>
          <w:u w:val="single"/>
        </w:rPr>
        <w:t>（项目名称）</w:t>
      </w:r>
      <w:r>
        <w:rPr>
          <w:rFonts w:hint="eastAsia" w:ascii="宋体" w:hAnsi="宋体" w:cs="仿宋"/>
          <w:spacing w:val="6"/>
          <w:sz w:val="24"/>
        </w:rPr>
        <w:t>采购活动，工程的施工单位全部为符合政策要求的企业（或者：服务全部由符合政策要求的中小企业承接）。相关企业（含联合体中的中小企业、签订分包意向协议的中小企业）的具体情况如下：</w:t>
      </w:r>
    </w:p>
    <w:p w14:paraId="6E2183C4">
      <w:pPr>
        <w:spacing w:line="360" w:lineRule="auto"/>
        <w:ind w:firstLine="504"/>
        <w:rPr>
          <w:rFonts w:hint="eastAsia" w:ascii="宋体" w:hAnsi="宋体" w:cs="宋体"/>
          <w:spacing w:val="6"/>
          <w:sz w:val="24"/>
        </w:rPr>
      </w:pPr>
      <w:r>
        <w:rPr>
          <w:rFonts w:hint="eastAsia" w:ascii="宋体" w:hAnsi="宋体" w:cs="宋体"/>
          <w:spacing w:val="6"/>
          <w:sz w:val="24"/>
        </w:rPr>
        <w:t>1.</w:t>
      </w:r>
      <w:r>
        <w:rPr>
          <w:rFonts w:hint="eastAsia" w:ascii="宋体" w:hAnsi="宋体" w:cs="宋体"/>
          <w:spacing w:val="6"/>
          <w:sz w:val="24"/>
          <w:u w:val="single"/>
        </w:rPr>
        <w:t>（标的名称）</w:t>
      </w:r>
      <w:r>
        <w:rPr>
          <w:rFonts w:hint="eastAsia" w:ascii="宋体" w:hAnsi="宋体" w:cs="宋体"/>
          <w:spacing w:val="6"/>
          <w:sz w:val="24"/>
        </w:rPr>
        <w:t>，属于</w:t>
      </w:r>
      <w:r>
        <w:rPr>
          <w:rFonts w:hint="eastAsia" w:ascii="宋体" w:hAnsi="宋体" w:cs="宋体"/>
          <w:spacing w:val="6"/>
          <w:sz w:val="24"/>
          <w:u w:val="single"/>
        </w:rPr>
        <w:t>（采购文件中明确的所属行业）</w:t>
      </w:r>
      <w:r>
        <w:rPr>
          <w:rFonts w:hint="eastAsia" w:ascii="宋体" w:hAnsi="宋体" w:cs="宋体"/>
          <w:spacing w:val="6"/>
          <w:sz w:val="24"/>
        </w:rPr>
        <w:t>行业；承建（承接）企业为</w:t>
      </w:r>
      <w:r>
        <w:rPr>
          <w:rFonts w:hint="eastAsia" w:ascii="宋体" w:hAnsi="宋体" w:cs="宋体"/>
          <w:spacing w:val="6"/>
          <w:sz w:val="24"/>
          <w:u w:val="single"/>
        </w:rPr>
        <w:t>（企业名称）</w:t>
      </w:r>
      <w:r>
        <w:rPr>
          <w:rFonts w:hint="eastAsia" w:ascii="宋体" w:hAnsi="宋体" w:cs="宋体"/>
          <w:spacing w:val="6"/>
          <w:sz w:val="24"/>
        </w:rPr>
        <w:t>，从业人员</w:t>
      </w:r>
      <w:r>
        <w:rPr>
          <w:rFonts w:hint="eastAsia" w:ascii="宋体" w:hAnsi="宋体" w:cs="宋体"/>
          <w:spacing w:val="6"/>
          <w:sz w:val="24"/>
          <w:u w:val="single"/>
        </w:rPr>
        <w:t xml:space="preserve">      </w:t>
      </w:r>
      <w:r>
        <w:rPr>
          <w:rFonts w:hint="eastAsia" w:ascii="宋体" w:hAnsi="宋体" w:cs="宋体"/>
          <w:spacing w:val="6"/>
          <w:sz w:val="24"/>
        </w:rPr>
        <w:t>人，营业收入为</w:t>
      </w:r>
      <w:r>
        <w:rPr>
          <w:rFonts w:hint="eastAsia" w:ascii="宋体" w:hAnsi="宋体" w:cs="宋体"/>
          <w:spacing w:val="6"/>
          <w:sz w:val="24"/>
          <w:u w:val="single"/>
        </w:rPr>
        <w:t xml:space="preserve">     </w:t>
      </w:r>
      <w:r>
        <w:rPr>
          <w:rFonts w:hint="eastAsia" w:ascii="宋体" w:hAnsi="宋体" w:cs="宋体"/>
          <w:spacing w:val="6"/>
          <w:sz w:val="24"/>
        </w:rPr>
        <w:t>万元，资产总额为</w:t>
      </w:r>
      <w:r>
        <w:rPr>
          <w:rFonts w:hint="eastAsia" w:ascii="宋体" w:hAnsi="宋体" w:cs="宋体"/>
          <w:spacing w:val="6"/>
          <w:sz w:val="24"/>
          <w:u w:val="single"/>
        </w:rPr>
        <w:t xml:space="preserve">    </w:t>
      </w:r>
      <w:r>
        <w:rPr>
          <w:rFonts w:hint="eastAsia" w:ascii="宋体" w:hAnsi="宋体" w:cs="宋体"/>
          <w:spacing w:val="6"/>
          <w:sz w:val="24"/>
        </w:rPr>
        <w:t>万元</w:t>
      </w:r>
      <w:r>
        <w:rPr>
          <w:rFonts w:hint="eastAsia" w:ascii="宋体" w:hAnsi="宋体" w:cs="宋体"/>
          <w:spacing w:val="6"/>
          <w:sz w:val="24"/>
          <w:vertAlign w:val="superscript"/>
        </w:rPr>
        <w:t>1</w:t>
      </w:r>
      <w:r>
        <w:rPr>
          <w:rFonts w:hint="eastAsia" w:ascii="宋体" w:hAnsi="宋体" w:cs="宋体"/>
          <w:spacing w:val="6"/>
          <w:sz w:val="24"/>
        </w:rPr>
        <w:t>，属于</w:t>
      </w:r>
      <w:r>
        <w:rPr>
          <w:rFonts w:hint="eastAsia" w:ascii="宋体" w:hAnsi="宋体" w:cs="宋体"/>
          <w:spacing w:val="6"/>
          <w:sz w:val="24"/>
          <w:u w:val="single"/>
        </w:rPr>
        <w:t>（中型企业、小型企业、微型企业）</w:t>
      </w:r>
      <w:r>
        <w:rPr>
          <w:rFonts w:hint="eastAsia" w:ascii="宋体" w:hAnsi="宋体" w:cs="宋体"/>
          <w:spacing w:val="6"/>
          <w:sz w:val="24"/>
        </w:rPr>
        <w:t>；</w:t>
      </w:r>
    </w:p>
    <w:p w14:paraId="16C8E2ED">
      <w:pPr>
        <w:spacing w:line="360" w:lineRule="auto"/>
        <w:ind w:firstLine="504"/>
        <w:rPr>
          <w:rFonts w:hint="eastAsia" w:ascii="宋体" w:hAnsi="宋体" w:cs="宋体"/>
          <w:spacing w:val="6"/>
          <w:sz w:val="24"/>
        </w:rPr>
      </w:pPr>
      <w:r>
        <w:rPr>
          <w:rFonts w:hint="eastAsia" w:ascii="宋体" w:hAnsi="宋体" w:cs="宋体"/>
          <w:spacing w:val="6"/>
          <w:sz w:val="24"/>
        </w:rPr>
        <w:t>2.</w:t>
      </w:r>
      <w:r>
        <w:rPr>
          <w:rFonts w:hint="eastAsia" w:ascii="宋体" w:hAnsi="宋体" w:cs="宋体"/>
          <w:spacing w:val="6"/>
          <w:sz w:val="24"/>
          <w:u w:val="single"/>
        </w:rPr>
        <w:t>（标的名称）</w:t>
      </w:r>
      <w:r>
        <w:rPr>
          <w:rFonts w:hint="eastAsia" w:ascii="宋体" w:hAnsi="宋体" w:cs="宋体"/>
          <w:spacing w:val="6"/>
          <w:sz w:val="24"/>
        </w:rPr>
        <w:t>，属于</w:t>
      </w:r>
      <w:r>
        <w:rPr>
          <w:rFonts w:hint="eastAsia" w:ascii="宋体" w:hAnsi="宋体" w:cs="宋体"/>
          <w:spacing w:val="6"/>
          <w:sz w:val="24"/>
          <w:u w:val="single"/>
        </w:rPr>
        <w:t>（采购文件中明确的所属行业）</w:t>
      </w:r>
      <w:r>
        <w:rPr>
          <w:rFonts w:hint="eastAsia" w:ascii="宋体" w:hAnsi="宋体" w:cs="宋体"/>
          <w:spacing w:val="6"/>
          <w:sz w:val="24"/>
        </w:rPr>
        <w:t>行业；承建（承接）企业为</w:t>
      </w:r>
      <w:r>
        <w:rPr>
          <w:rFonts w:hint="eastAsia" w:ascii="宋体" w:hAnsi="宋体" w:cs="宋体"/>
          <w:spacing w:val="6"/>
          <w:sz w:val="24"/>
          <w:u w:val="single"/>
        </w:rPr>
        <w:t>（企业名称）</w:t>
      </w:r>
      <w:r>
        <w:rPr>
          <w:rFonts w:hint="eastAsia" w:ascii="宋体" w:hAnsi="宋体" w:cs="宋体"/>
          <w:spacing w:val="6"/>
          <w:sz w:val="24"/>
        </w:rPr>
        <w:t>，从业人员</w:t>
      </w:r>
      <w:r>
        <w:rPr>
          <w:rFonts w:hint="eastAsia" w:ascii="宋体" w:hAnsi="宋体" w:cs="宋体"/>
          <w:spacing w:val="6"/>
          <w:sz w:val="24"/>
          <w:u w:val="single"/>
        </w:rPr>
        <w:t xml:space="preserve">      </w:t>
      </w:r>
      <w:r>
        <w:rPr>
          <w:rFonts w:hint="eastAsia" w:ascii="宋体" w:hAnsi="宋体" w:cs="宋体"/>
          <w:spacing w:val="6"/>
          <w:sz w:val="24"/>
        </w:rPr>
        <w:t>人，营业收入为</w:t>
      </w:r>
      <w:r>
        <w:rPr>
          <w:rFonts w:hint="eastAsia" w:ascii="宋体" w:hAnsi="宋体" w:cs="宋体"/>
          <w:spacing w:val="6"/>
          <w:sz w:val="24"/>
          <w:u w:val="single"/>
        </w:rPr>
        <w:t xml:space="preserve">     </w:t>
      </w:r>
      <w:r>
        <w:rPr>
          <w:rFonts w:hint="eastAsia" w:ascii="宋体" w:hAnsi="宋体" w:cs="宋体"/>
          <w:spacing w:val="6"/>
          <w:sz w:val="24"/>
        </w:rPr>
        <w:t>万元，资产总额为</w:t>
      </w:r>
      <w:r>
        <w:rPr>
          <w:rFonts w:hint="eastAsia" w:ascii="宋体" w:hAnsi="宋体" w:cs="宋体"/>
          <w:spacing w:val="6"/>
          <w:sz w:val="24"/>
          <w:u w:val="single"/>
        </w:rPr>
        <w:t xml:space="preserve">    </w:t>
      </w:r>
      <w:r>
        <w:rPr>
          <w:rFonts w:hint="eastAsia" w:ascii="宋体" w:hAnsi="宋体" w:cs="宋体"/>
          <w:spacing w:val="6"/>
          <w:sz w:val="24"/>
        </w:rPr>
        <w:t>万元</w:t>
      </w:r>
      <w:r>
        <w:rPr>
          <w:rFonts w:hint="eastAsia" w:ascii="宋体" w:hAnsi="宋体" w:cs="宋体"/>
          <w:spacing w:val="6"/>
          <w:sz w:val="24"/>
          <w:vertAlign w:val="superscript"/>
        </w:rPr>
        <w:t>1</w:t>
      </w:r>
      <w:r>
        <w:rPr>
          <w:rFonts w:hint="eastAsia" w:ascii="宋体" w:hAnsi="宋体" w:cs="宋体"/>
          <w:spacing w:val="6"/>
          <w:sz w:val="24"/>
        </w:rPr>
        <w:t>，属于</w:t>
      </w:r>
      <w:r>
        <w:rPr>
          <w:rFonts w:hint="eastAsia" w:ascii="宋体" w:hAnsi="宋体" w:cs="宋体"/>
          <w:spacing w:val="6"/>
          <w:sz w:val="24"/>
          <w:u w:val="single"/>
        </w:rPr>
        <w:t>（中型企业、小型企业、微型企业）</w:t>
      </w:r>
      <w:r>
        <w:rPr>
          <w:rFonts w:hint="eastAsia" w:ascii="宋体" w:hAnsi="宋体" w:cs="宋体"/>
          <w:spacing w:val="6"/>
          <w:sz w:val="24"/>
        </w:rPr>
        <w:t>；</w:t>
      </w:r>
    </w:p>
    <w:p w14:paraId="33B66727">
      <w:pPr>
        <w:spacing w:line="360" w:lineRule="auto"/>
        <w:ind w:firstLine="504"/>
        <w:rPr>
          <w:rFonts w:hint="eastAsia" w:ascii="宋体" w:hAnsi="宋体" w:cs="仿宋"/>
          <w:spacing w:val="6"/>
          <w:sz w:val="24"/>
        </w:rPr>
      </w:pPr>
    </w:p>
    <w:p w14:paraId="77A020D3">
      <w:pPr>
        <w:spacing w:line="360" w:lineRule="auto"/>
        <w:ind w:firstLine="504"/>
        <w:rPr>
          <w:rFonts w:hint="eastAsia" w:ascii="宋体" w:hAnsi="宋体" w:cs="仿宋"/>
          <w:spacing w:val="6"/>
          <w:sz w:val="24"/>
        </w:rPr>
      </w:pPr>
      <w:r>
        <w:rPr>
          <w:rFonts w:hint="eastAsia" w:ascii="宋体" w:hAnsi="宋体" w:cs="仿宋"/>
          <w:spacing w:val="6"/>
          <w:sz w:val="24"/>
        </w:rPr>
        <w:t>……</w:t>
      </w:r>
    </w:p>
    <w:p w14:paraId="551840CD">
      <w:pPr>
        <w:spacing w:line="360" w:lineRule="auto"/>
        <w:ind w:firstLine="504"/>
        <w:rPr>
          <w:rFonts w:hint="eastAsia" w:ascii="宋体" w:hAnsi="宋体" w:cs="仿宋"/>
          <w:spacing w:val="6"/>
          <w:sz w:val="24"/>
        </w:rPr>
      </w:pPr>
      <w:r>
        <w:rPr>
          <w:rFonts w:hint="eastAsia" w:ascii="宋体" w:hAnsi="宋体" w:cs="仿宋"/>
          <w:spacing w:val="6"/>
          <w:sz w:val="24"/>
        </w:rPr>
        <w:t>以上企业，不属于大企业的分支机构，不存在控股股东为大企业的情形，也不存在与大企业的负责人为同一人的情形。</w:t>
      </w:r>
    </w:p>
    <w:p w14:paraId="1E7AE5F2">
      <w:pPr>
        <w:spacing w:line="360" w:lineRule="auto"/>
        <w:ind w:firstLine="504"/>
        <w:rPr>
          <w:rFonts w:hint="eastAsia" w:ascii="宋体" w:hAnsi="宋体" w:cs="仿宋"/>
          <w:spacing w:val="6"/>
          <w:sz w:val="24"/>
        </w:rPr>
      </w:pPr>
      <w:r>
        <w:rPr>
          <w:rFonts w:hint="eastAsia" w:ascii="宋体" w:hAnsi="宋体" w:cs="仿宋"/>
          <w:spacing w:val="6"/>
          <w:sz w:val="24"/>
        </w:rPr>
        <w:t>本企业对上述声明内容的真实性负责。如有虚假，将依法承担相应责任。</w:t>
      </w:r>
    </w:p>
    <w:p w14:paraId="6BD436D9">
      <w:pPr>
        <w:spacing w:line="360" w:lineRule="auto"/>
        <w:ind w:right="360" w:firstLine="480"/>
        <w:jc w:val="right"/>
        <w:rPr>
          <w:rFonts w:hint="eastAsia" w:ascii="宋体" w:hAnsi="宋体" w:cs="仿宋"/>
          <w:sz w:val="24"/>
        </w:rPr>
      </w:pPr>
    </w:p>
    <w:p w14:paraId="47491D0A">
      <w:pPr>
        <w:wordWrap w:val="0"/>
        <w:spacing w:line="360" w:lineRule="auto"/>
        <w:ind w:right="55" w:firstLine="480"/>
        <w:jc w:val="right"/>
        <w:rPr>
          <w:rFonts w:hint="eastAsia" w:ascii="宋体" w:hAnsi="宋体" w:cs="宋体"/>
          <w:sz w:val="24"/>
        </w:rPr>
      </w:pPr>
      <w:r>
        <w:rPr>
          <w:rFonts w:hint="eastAsia" w:ascii="宋体" w:hAnsi="宋体" w:cs="宋体"/>
          <w:sz w:val="24"/>
        </w:rPr>
        <w:t>企业名称（盖章）：</w:t>
      </w:r>
      <w:r>
        <w:rPr>
          <w:rFonts w:ascii="宋体" w:hAnsi="宋体" w:cs="宋体"/>
          <w:sz w:val="24"/>
          <w:u w:val="single"/>
        </w:rPr>
        <w:t xml:space="preserve">           </w:t>
      </w:r>
    </w:p>
    <w:p w14:paraId="5AEBEC5C">
      <w:pPr>
        <w:wordWrap w:val="0"/>
        <w:spacing w:line="360" w:lineRule="auto"/>
        <w:ind w:right="55" w:firstLine="480"/>
        <w:jc w:val="right"/>
        <w:rPr>
          <w:rFonts w:hint="eastAsia" w:ascii="宋体" w:hAnsi="宋体" w:cs="宋体"/>
          <w:sz w:val="24"/>
        </w:rPr>
      </w:pPr>
      <w:r>
        <w:rPr>
          <w:rFonts w:hint="eastAsia" w:ascii="宋体" w:hAnsi="宋体" w:cs="宋体"/>
          <w:sz w:val="24"/>
        </w:rPr>
        <w:t>日 期：</w:t>
      </w:r>
      <w:r>
        <w:rPr>
          <w:rFonts w:ascii="宋体" w:hAnsi="宋体" w:cs="宋体"/>
          <w:sz w:val="24"/>
          <w:u w:val="single"/>
        </w:rPr>
        <w:t xml:space="preserve">           </w:t>
      </w:r>
    </w:p>
    <w:p w14:paraId="27D77C8F">
      <w:pPr>
        <w:adjustRightInd w:val="0"/>
        <w:snapToGrid w:val="0"/>
        <w:jc w:val="left"/>
        <w:rPr>
          <w:rFonts w:hint="eastAsia" w:ascii="宋体" w:hAnsi="宋体" w:cs="仿宋"/>
          <w:sz w:val="24"/>
          <w:szCs w:val="21"/>
        </w:rPr>
      </w:pPr>
    </w:p>
    <w:p w14:paraId="10D24C73">
      <w:pPr>
        <w:adjustRightInd w:val="0"/>
        <w:snapToGrid w:val="0"/>
        <w:jc w:val="left"/>
        <w:rPr>
          <w:rFonts w:hint="eastAsia" w:ascii="宋体" w:hAnsi="宋体" w:cs="仿宋"/>
          <w:sz w:val="24"/>
          <w:szCs w:val="21"/>
        </w:rPr>
      </w:pPr>
    </w:p>
    <w:tbl>
      <w:tblPr>
        <w:tblStyle w:val="88"/>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46"/>
      </w:tblGrid>
      <w:tr w14:paraId="1195EF32">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tcPr>
          <w:p w14:paraId="6ECB8ABA">
            <w:pPr>
              <w:adjustRightInd w:val="0"/>
              <w:snapToGrid w:val="0"/>
              <w:jc w:val="left"/>
              <w:rPr>
                <w:rFonts w:hint="eastAsia" w:ascii="宋体" w:hAnsi="宋体" w:cs="仿宋"/>
                <w:szCs w:val="21"/>
              </w:rPr>
            </w:pPr>
            <w:r>
              <w:rPr>
                <w:rFonts w:hint="eastAsia" w:ascii="宋体" w:hAnsi="宋体" w:cs="仿宋"/>
                <w:szCs w:val="21"/>
                <w:vertAlign w:val="superscript"/>
              </w:rPr>
              <w:t>1</w:t>
            </w:r>
            <w:r>
              <w:rPr>
                <w:rFonts w:hint="eastAsia" w:ascii="宋体" w:hAnsi="宋体" w:cs="仿宋"/>
                <w:szCs w:val="21"/>
              </w:rPr>
              <w:t>从业人员、营业收入、资产总额填报上一年度数据，无上一年度数据的新成立企业可不填报。</w:t>
            </w:r>
          </w:p>
        </w:tc>
      </w:tr>
    </w:tbl>
    <w:p w14:paraId="4005FAC0">
      <w:pPr>
        <w:adjustRightInd w:val="0"/>
        <w:snapToGrid w:val="0"/>
        <w:jc w:val="left"/>
        <w:rPr>
          <w:rFonts w:hint="eastAsia" w:ascii="宋体" w:hAnsi="宋体" w:cs="仿宋"/>
          <w:szCs w:val="21"/>
          <w:vertAlign w:val="superscript"/>
        </w:rPr>
      </w:pPr>
    </w:p>
    <w:p w14:paraId="40716A52">
      <w:pPr>
        <w:spacing w:line="360" w:lineRule="auto"/>
        <w:ind w:right="360" w:firstLine="480"/>
        <w:jc w:val="right"/>
        <w:rPr>
          <w:rFonts w:hint="eastAsia" w:ascii="宋体" w:hAnsi="宋体" w:cs="仿宋"/>
          <w:sz w:val="24"/>
        </w:rPr>
      </w:pPr>
    </w:p>
    <w:p w14:paraId="5A08AC12">
      <w:pPr>
        <w:spacing w:line="360" w:lineRule="auto"/>
        <w:ind w:right="360" w:firstLine="480"/>
        <w:jc w:val="right"/>
        <w:rPr>
          <w:rFonts w:hint="eastAsia" w:ascii="宋体" w:hAnsi="宋体" w:cs="仿宋"/>
          <w:sz w:val="24"/>
        </w:rPr>
      </w:pPr>
    </w:p>
    <w:p w14:paraId="19BE180A">
      <w:pPr>
        <w:spacing w:line="360" w:lineRule="auto"/>
        <w:rPr>
          <w:rFonts w:hint="eastAsia" w:ascii="宋体" w:hAnsi="宋体" w:cs="仿宋"/>
          <w:sz w:val="24"/>
          <w:szCs w:val="20"/>
        </w:rPr>
      </w:pPr>
      <w:r>
        <w:rPr>
          <w:rFonts w:hint="eastAsia" w:ascii="宋体" w:hAnsi="宋体" w:cs="仿宋"/>
          <w:sz w:val="24"/>
          <w:szCs w:val="20"/>
        </w:rPr>
        <w:br w:type="page"/>
      </w:r>
    </w:p>
    <w:p w14:paraId="2CAD07E2">
      <w:pPr>
        <w:spacing w:before="240" w:beforeLines="100" w:line="360" w:lineRule="auto"/>
        <w:jc w:val="center"/>
        <w:rPr>
          <w:rFonts w:hint="eastAsia" w:ascii="宋体" w:hAnsi="宋体" w:cs="仿宋"/>
          <w:b/>
          <w:sz w:val="36"/>
          <w:szCs w:val="36"/>
        </w:rPr>
      </w:pPr>
      <w:r>
        <w:rPr>
          <w:rFonts w:hint="eastAsia" w:ascii="宋体" w:hAnsi="宋体" w:cs="仿宋"/>
          <w:b/>
          <w:bCs/>
          <w:sz w:val="36"/>
          <w:szCs w:val="36"/>
        </w:rPr>
        <w:t>残疾人福利性单位声明函格式</w:t>
      </w:r>
      <w:r>
        <w:rPr>
          <w:rFonts w:hint="eastAsia" w:ascii="宋体" w:hAnsi="宋体" w:cs="仿宋"/>
          <w:b/>
          <w:sz w:val="36"/>
          <w:szCs w:val="36"/>
        </w:rPr>
        <w:t xml:space="preserve">       </w:t>
      </w:r>
    </w:p>
    <w:p w14:paraId="05143130">
      <w:pPr>
        <w:spacing w:line="588" w:lineRule="exact"/>
        <w:ind w:firstLine="504"/>
        <w:rPr>
          <w:rFonts w:hint="eastAsia" w:ascii="宋体" w:hAnsi="宋体" w:cs="仿宋"/>
          <w:spacing w:val="6"/>
          <w:sz w:val="24"/>
        </w:rPr>
      </w:pPr>
      <w:r>
        <w:rPr>
          <w:rFonts w:hint="eastAsia" w:ascii="宋体" w:hAnsi="宋体" w:cs="仿宋"/>
          <w:spacing w:val="6"/>
          <w:sz w:val="24"/>
        </w:rPr>
        <w:t>本单位郑重声明，根据《财政部 民政部 中国残疾人联合会关于促进残疾人就业政府采购政策的通知》（财库</w:t>
      </w:r>
      <w:r>
        <w:rPr>
          <w:rFonts w:hint="eastAsia" w:ascii="宋体" w:hAnsi="宋体" w:cs="仿宋"/>
          <w:sz w:val="24"/>
        </w:rPr>
        <w:t>〔2017〕 141</w:t>
      </w:r>
      <w:r>
        <w:rPr>
          <w:rFonts w:hint="eastAsia" w:ascii="宋体" w:hAnsi="宋体" w:cs="仿宋"/>
          <w:spacing w:val="6"/>
          <w:sz w:val="24"/>
        </w:rPr>
        <w:t>号）的规定，本单位</w:t>
      </w:r>
      <w:r>
        <w:rPr>
          <w:rFonts w:hint="eastAsia" w:ascii="宋体" w:hAnsi="宋体" w:cs="仿宋"/>
          <w:b/>
          <w:sz w:val="24"/>
        </w:rPr>
        <w:t>（请进行勾选）</w:t>
      </w:r>
      <w:r>
        <w:rPr>
          <w:rFonts w:hint="eastAsia" w:ascii="宋体" w:hAnsi="宋体" w:cs="仿宋"/>
          <w:spacing w:val="6"/>
          <w:sz w:val="24"/>
        </w:rPr>
        <w:t>：</w:t>
      </w:r>
    </w:p>
    <w:p w14:paraId="72AFA7DF">
      <w:pPr>
        <w:spacing w:line="588" w:lineRule="exact"/>
        <w:ind w:firstLine="482"/>
        <w:rPr>
          <w:rFonts w:hint="eastAsia" w:ascii="宋体" w:hAnsi="宋体" w:cs="宋体"/>
          <w:b/>
          <w:spacing w:val="6"/>
          <w:sz w:val="24"/>
        </w:rPr>
      </w:pPr>
      <w:r>
        <w:rPr>
          <w:rFonts w:hint="eastAsia" w:ascii="宋体" w:hAnsi="宋体" w:cs="宋体"/>
          <w:b/>
          <w:sz w:val="24"/>
        </w:rPr>
        <w:t>□</w:t>
      </w:r>
      <w:r>
        <w:rPr>
          <w:rFonts w:hint="eastAsia" w:ascii="宋体" w:hAnsi="宋体" w:cs="宋体"/>
          <w:b/>
          <w:spacing w:val="6"/>
          <w:sz w:val="24"/>
        </w:rPr>
        <w:t>不属于符合条件的残疾人福利性单位。</w:t>
      </w:r>
    </w:p>
    <w:p w14:paraId="57C80102">
      <w:pPr>
        <w:spacing w:line="588" w:lineRule="exact"/>
        <w:ind w:firstLine="482"/>
        <w:rPr>
          <w:rFonts w:hint="eastAsia" w:ascii="宋体" w:hAnsi="宋体" w:cs="宋体"/>
          <w:spacing w:val="6"/>
          <w:sz w:val="24"/>
        </w:rPr>
      </w:pPr>
      <w:r>
        <w:rPr>
          <w:rFonts w:hint="eastAsia" w:ascii="宋体" w:hAnsi="宋体" w:cs="宋体"/>
          <w:b/>
          <w:sz w:val="24"/>
        </w:rPr>
        <w:t>□</w:t>
      </w:r>
      <w:r>
        <w:rPr>
          <w:rFonts w:hint="eastAsia" w:ascii="宋体" w:hAnsi="宋体" w:cs="宋体"/>
          <w:b/>
          <w:spacing w:val="6"/>
          <w:sz w:val="24"/>
        </w:rPr>
        <w:t>属于符合条件的残疾人福利性单位，</w:t>
      </w:r>
      <w:r>
        <w:rPr>
          <w:rFonts w:hint="eastAsia" w:ascii="宋体" w:hAnsi="宋体" w:cs="宋体"/>
          <w:spacing w:val="6"/>
          <w:sz w:val="24"/>
        </w:rPr>
        <w:t>且本单位参加</w:t>
      </w:r>
      <w:r>
        <w:rPr>
          <w:rFonts w:hint="eastAsia" w:ascii="宋体" w:hAnsi="宋体" w:cs="宋体"/>
          <w:spacing w:val="6"/>
          <w:sz w:val="24"/>
          <w:u w:val="single"/>
        </w:rPr>
        <w:t xml:space="preserve">     </w:t>
      </w:r>
      <w:r>
        <w:rPr>
          <w:rFonts w:hint="eastAsia" w:ascii="宋体" w:hAnsi="宋体" w:cs="宋体"/>
          <w:spacing w:val="6"/>
          <w:sz w:val="24"/>
        </w:rPr>
        <w:t>单位的</w:t>
      </w:r>
      <w:r>
        <w:rPr>
          <w:rFonts w:hint="eastAsia" w:ascii="宋体" w:hAnsi="宋体" w:cs="宋体"/>
          <w:spacing w:val="6"/>
          <w:sz w:val="24"/>
          <w:u w:val="single"/>
        </w:rPr>
        <w:t xml:space="preserve">     </w:t>
      </w:r>
      <w:r>
        <w:rPr>
          <w:rFonts w:hint="eastAsia" w:ascii="宋体" w:hAnsi="宋体" w:cs="宋体"/>
          <w:spacing w:val="6"/>
          <w:sz w:val="24"/>
        </w:rPr>
        <w:t>项目采购活动提供本单位制造的货物（由本单位承担工程/提供服务），或者提供其他残疾人福利性单位制造的货物（不包括使用非残疾人福利性单位注册商标的货物）。</w:t>
      </w:r>
    </w:p>
    <w:p w14:paraId="2EDB9241">
      <w:pPr>
        <w:spacing w:line="588" w:lineRule="exact"/>
        <w:ind w:firstLine="506" w:firstLineChars="200"/>
        <w:rPr>
          <w:rFonts w:hint="eastAsia" w:ascii="宋体" w:hAnsi="宋体" w:cs="宋体"/>
          <w:spacing w:val="6"/>
          <w:sz w:val="24"/>
        </w:rPr>
      </w:pPr>
      <w:r>
        <w:rPr>
          <w:rFonts w:hint="eastAsia" w:ascii="宋体" w:hAnsi="宋体" w:cs="宋体"/>
          <w:b/>
          <w:spacing w:val="6"/>
          <w:sz w:val="24"/>
        </w:rPr>
        <w:t>本单位对上述声明的真实性负责。如有虚假，将依法承担相应责任。</w:t>
      </w:r>
    </w:p>
    <w:p w14:paraId="38868A00">
      <w:pPr>
        <w:spacing w:line="588" w:lineRule="exact"/>
        <w:ind w:firstLine="504" w:firstLineChars="200"/>
        <w:rPr>
          <w:rFonts w:hint="eastAsia" w:ascii="宋体" w:hAnsi="宋体" w:cs="宋体"/>
          <w:spacing w:val="6"/>
          <w:sz w:val="24"/>
        </w:rPr>
      </w:pPr>
    </w:p>
    <w:p w14:paraId="1C68F94B">
      <w:pPr>
        <w:pStyle w:val="5"/>
        <w:rPr>
          <w:rFonts w:hint="eastAsia" w:hAnsi="宋体"/>
        </w:rPr>
      </w:pPr>
    </w:p>
    <w:p w14:paraId="02307D2E">
      <w:pPr>
        <w:rPr>
          <w:rFonts w:hint="eastAsia" w:ascii="宋体" w:hAnsi="宋体"/>
        </w:rPr>
      </w:pPr>
    </w:p>
    <w:p w14:paraId="193EF367">
      <w:pPr>
        <w:pStyle w:val="5"/>
        <w:rPr>
          <w:rFonts w:hint="eastAsia" w:hAnsi="宋体"/>
        </w:rPr>
      </w:pPr>
    </w:p>
    <w:p w14:paraId="1F0C77E9">
      <w:pPr>
        <w:spacing w:line="360" w:lineRule="auto"/>
        <w:ind w:right="55" w:firstLine="480"/>
        <w:jc w:val="center"/>
        <w:rPr>
          <w:rFonts w:hint="eastAsia" w:ascii="宋体" w:hAnsi="宋体" w:cs="宋体"/>
          <w:sz w:val="24"/>
        </w:rPr>
      </w:pPr>
      <w:r>
        <w:rPr>
          <w:rFonts w:hint="eastAsia" w:ascii="宋体" w:hAnsi="宋体" w:cs="宋体"/>
          <w:spacing w:val="6"/>
          <w:sz w:val="24"/>
        </w:rPr>
        <w:t xml:space="preserve">                                    </w:t>
      </w:r>
      <w:r>
        <w:rPr>
          <w:rFonts w:hint="eastAsia" w:ascii="宋体" w:hAnsi="宋体" w:cs="宋体"/>
          <w:color w:val="000000"/>
          <w:sz w:val="24"/>
        </w:rPr>
        <w:t>单位名称（盖章）：</w:t>
      </w:r>
      <w:r>
        <w:rPr>
          <w:rFonts w:ascii="宋体" w:hAnsi="宋体" w:cs="宋体"/>
          <w:sz w:val="24"/>
          <w:u w:val="single"/>
        </w:rPr>
        <w:t xml:space="preserve">            </w:t>
      </w:r>
    </w:p>
    <w:p w14:paraId="3C60E6AF">
      <w:pPr>
        <w:spacing w:line="360" w:lineRule="auto"/>
        <w:ind w:right="55" w:firstLine="480"/>
        <w:jc w:val="center"/>
        <w:rPr>
          <w:rFonts w:hint="eastAsia" w:ascii="宋体" w:hAnsi="宋体" w:cs="宋体"/>
          <w:color w:val="000000"/>
          <w:sz w:val="24"/>
          <w:u w:val="single"/>
        </w:rPr>
      </w:pPr>
      <w:r>
        <w:rPr>
          <w:rFonts w:hint="eastAsia" w:ascii="宋体" w:hAnsi="宋体" w:cs="宋体"/>
          <w:sz w:val="24"/>
        </w:rPr>
        <w:t xml:space="preserve">                             </w:t>
      </w:r>
      <w:r>
        <w:rPr>
          <w:rFonts w:hint="eastAsia" w:ascii="宋体" w:hAnsi="宋体" w:cs="宋体"/>
          <w:color w:val="000000"/>
          <w:sz w:val="24"/>
        </w:rPr>
        <w:t>日 期：</w:t>
      </w:r>
      <w:r>
        <w:rPr>
          <w:rFonts w:ascii="宋体" w:hAnsi="宋体" w:cs="宋体"/>
          <w:sz w:val="24"/>
          <w:u w:val="single"/>
        </w:rPr>
        <w:t xml:space="preserve">          </w:t>
      </w:r>
    </w:p>
    <w:p w14:paraId="6C7E9486">
      <w:pPr>
        <w:widowControl/>
        <w:jc w:val="left"/>
        <w:rPr>
          <w:rFonts w:hint="eastAsia" w:ascii="宋体" w:hAnsi="宋体" w:cs="仿宋"/>
          <w:sz w:val="24"/>
          <w:szCs w:val="20"/>
        </w:rPr>
      </w:pPr>
      <w:r>
        <w:rPr>
          <w:rFonts w:hint="eastAsia" w:ascii="宋体" w:hAnsi="宋体" w:cs="仿宋"/>
          <w:sz w:val="24"/>
          <w:szCs w:val="20"/>
        </w:rPr>
        <w:br w:type="page"/>
      </w:r>
    </w:p>
    <w:p w14:paraId="4F14C76C">
      <w:pPr>
        <w:tabs>
          <w:tab w:val="left" w:pos="360"/>
        </w:tabs>
        <w:snapToGrid w:val="0"/>
        <w:spacing w:line="360" w:lineRule="auto"/>
        <w:outlineLvl w:val="1"/>
        <w:rPr>
          <w:rFonts w:hint="eastAsia" w:asciiTheme="minorEastAsia" w:hAnsiTheme="minorEastAsia" w:eastAsiaTheme="minorEastAsia"/>
          <w:sz w:val="24"/>
        </w:rPr>
      </w:pPr>
      <w:r>
        <w:rPr>
          <w:rFonts w:ascii="宋体" w:hAnsi="宋体" w:cs="宋体"/>
          <w:sz w:val="24"/>
        </w:rPr>
        <w:t>3</w:t>
      </w:r>
      <w:r>
        <w:rPr>
          <w:rFonts w:hint="eastAsia" w:ascii="宋体" w:hAnsi="宋体" w:cs="宋体"/>
          <w:sz w:val="24"/>
        </w:rPr>
        <w:t xml:space="preserve"> </w:t>
      </w:r>
      <w:bookmarkStart w:id="2251" w:name="_Hlk122982735"/>
      <w:r>
        <w:rPr>
          <w:rFonts w:asciiTheme="minorEastAsia" w:hAnsiTheme="minorEastAsia" w:eastAsiaTheme="minorEastAsia"/>
          <w:sz w:val="24"/>
        </w:rPr>
        <w:t xml:space="preserve"> 本项目的特定资格要求</w:t>
      </w:r>
    </w:p>
    <w:bookmarkEnd w:id="2251"/>
    <w:p w14:paraId="6B33660E">
      <w:pPr>
        <w:spacing w:line="360" w:lineRule="auto"/>
        <w:outlineLvl w:val="2"/>
        <w:rPr>
          <w:rFonts w:hint="eastAsia" w:asciiTheme="minorEastAsia" w:hAnsiTheme="minorEastAsia" w:eastAsiaTheme="minorEastAsia"/>
          <w:sz w:val="24"/>
          <w:szCs w:val="20"/>
        </w:rPr>
      </w:pPr>
      <w:bookmarkStart w:id="2252" w:name="_Hlk122982492"/>
      <w:r>
        <w:rPr>
          <w:rFonts w:asciiTheme="minorEastAsia" w:hAnsiTheme="minorEastAsia" w:eastAsiaTheme="minorEastAsia"/>
          <w:color w:val="000000"/>
          <w:sz w:val="24"/>
          <w:szCs w:val="20"/>
        </w:rPr>
        <w:t>3-1其他</w:t>
      </w:r>
      <w:r>
        <w:rPr>
          <w:rFonts w:asciiTheme="minorEastAsia" w:hAnsiTheme="minorEastAsia" w:eastAsiaTheme="minorEastAsia"/>
          <w:sz w:val="24"/>
          <w:szCs w:val="20"/>
        </w:rPr>
        <w:t>特定资格要求</w:t>
      </w:r>
      <w:bookmarkEnd w:id="2252"/>
    </w:p>
    <w:p w14:paraId="2DDF0F8A">
      <w:pPr>
        <w:spacing w:line="360" w:lineRule="auto"/>
        <w:ind w:firstLine="480" w:firstLineChars="200"/>
        <w:rPr>
          <w:rFonts w:hint="eastAsia" w:asciiTheme="minorEastAsia" w:hAnsiTheme="minorEastAsia" w:eastAsiaTheme="minorEastAsia"/>
          <w:sz w:val="24"/>
        </w:rPr>
      </w:pPr>
      <w:r>
        <w:rPr>
          <w:rFonts w:hint="eastAsia" w:asciiTheme="minorEastAsia" w:hAnsiTheme="minorEastAsia" w:eastAsiaTheme="minorEastAsia"/>
          <w:sz w:val="24"/>
        </w:rPr>
        <w:t>（1）供应商提供防水防腐保温工程专业承包二级（含）以上资质证书（加盖公章）；</w:t>
      </w:r>
    </w:p>
    <w:p w14:paraId="6163DCB3">
      <w:pPr>
        <w:spacing w:line="360" w:lineRule="auto"/>
        <w:ind w:firstLine="480" w:firstLineChars="200"/>
        <w:rPr>
          <w:rFonts w:hint="eastAsia" w:asciiTheme="minorEastAsia" w:hAnsiTheme="minorEastAsia" w:eastAsiaTheme="minorEastAsia"/>
          <w:sz w:val="24"/>
        </w:rPr>
      </w:pPr>
      <w:r>
        <w:rPr>
          <w:rFonts w:hint="eastAsia" w:asciiTheme="minorEastAsia" w:hAnsiTheme="minorEastAsia" w:eastAsiaTheme="minorEastAsia"/>
          <w:sz w:val="24"/>
        </w:rPr>
        <w:t>（2）供应商提供在有效期内的安全生产许可证（加盖公章）；</w:t>
      </w:r>
    </w:p>
    <w:p w14:paraId="3346538D">
      <w:pPr>
        <w:spacing w:line="360" w:lineRule="auto"/>
        <w:ind w:firstLine="480" w:firstLineChars="200"/>
        <w:rPr>
          <w:rFonts w:hint="eastAsia"/>
        </w:rPr>
        <w:sectPr>
          <w:footerReference r:id="rId19" w:type="default"/>
          <w:pgSz w:w="11905" w:h="16838"/>
          <w:pgMar w:top="1247" w:right="1361" w:bottom="1247" w:left="1361" w:header="851" w:footer="992" w:gutter="0"/>
          <w:cols w:space="0" w:num="1"/>
          <w:titlePg/>
          <w:docGrid w:linePitch="312" w:charSpace="0"/>
        </w:sectPr>
      </w:pPr>
      <w:r>
        <w:rPr>
          <w:rFonts w:hint="eastAsia" w:asciiTheme="minorEastAsia" w:hAnsiTheme="minorEastAsia" w:eastAsiaTheme="minorEastAsia"/>
          <w:sz w:val="24"/>
        </w:rPr>
        <w:t>（3）项目经理提供建筑工程专业二级及以上注册建造师执业资格证书及有效的安全生产考核合格证书（B证）（加盖公章）。</w:t>
      </w:r>
    </w:p>
    <w:p w14:paraId="2C00188C">
      <w:pPr>
        <w:tabs>
          <w:tab w:val="left" w:pos="360"/>
        </w:tabs>
        <w:snapToGrid w:val="0"/>
        <w:spacing w:line="360" w:lineRule="auto"/>
        <w:outlineLvl w:val="1"/>
        <w:rPr>
          <w:rFonts w:hint="eastAsia" w:ascii="宋体" w:hAnsi="宋体" w:cs="宋体"/>
          <w:sz w:val="24"/>
        </w:rPr>
      </w:pPr>
      <w:r>
        <w:rPr>
          <w:rFonts w:hint="eastAsia" w:ascii="宋体" w:hAnsi="宋体" w:cs="宋体"/>
          <w:sz w:val="24"/>
        </w:rPr>
        <w:t xml:space="preserve">4 </w:t>
      </w:r>
      <w:bookmarkStart w:id="2253" w:name="_Hlk122982607"/>
      <w:r>
        <w:rPr>
          <w:rFonts w:hint="eastAsia" w:ascii="宋体" w:hAnsi="宋体" w:cs="宋体"/>
          <w:sz w:val="24"/>
        </w:rPr>
        <w:t>磋商保证金凭证/交款单据电子件</w:t>
      </w:r>
      <w:bookmarkEnd w:id="2253"/>
      <w:r>
        <w:rPr>
          <w:rFonts w:hint="eastAsia" w:ascii="宋体" w:hAnsi="宋体" w:cs="宋体"/>
          <w:sz w:val="24"/>
        </w:rPr>
        <w:t>（实质性格式）</w:t>
      </w:r>
    </w:p>
    <w:p w14:paraId="1ABA81E9">
      <w:pPr>
        <w:spacing w:before="240" w:beforeLines="100" w:line="360" w:lineRule="auto"/>
        <w:jc w:val="center"/>
        <w:rPr>
          <w:rFonts w:hint="eastAsia" w:ascii="宋体" w:hAnsi="宋体" w:cs="仿宋"/>
          <w:b/>
          <w:bCs/>
          <w:sz w:val="30"/>
          <w:szCs w:val="30"/>
        </w:rPr>
      </w:pPr>
      <w:r>
        <w:rPr>
          <w:rFonts w:hint="eastAsia" w:ascii="宋体" w:hAnsi="宋体" w:cs="仿宋"/>
          <w:b/>
          <w:bCs/>
          <w:sz w:val="30"/>
          <w:szCs w:val="30"/>
        </w:rPr>
        <w:t>磋商保证金缴纳证明</w:t>
      </w:r>
    </w:p>
    <w:p w14:paraId="00169354">
      <w:pPr>
        <w:widowControl/>
        <w:spacing w:line="360" w:lineRule="auto"/>
        <w:rPr>
          <w:rFonts w:hint="eastAsia" w:asciiTheme="minorEastAsia" w:hAnsiTheme="minorEastAsia" w:eastAsiaTheme="minorEastAsia" w:cstheme="majorEastAsia"/>
          <w:sz w:val="24"/>
          <w:u w:val="single"/>
        </w:rPr>
      </w:pPr>
    </w:p>
    <w:p w14:paraId="7D1E9C28">
      <w:pPr>
        <w:widowControl/>
        <w:snapToGrid w:val="0"/>
        <w:spacing w:line="360" w:lineRule="auto"/>
        <w:rPr>
          <w:rFonts w:hint="eastAsia" w:asciiTheme="minorEastAsia" w:hAnsiTheme="minorEastAsia" w:eastAsiaTheme="minorEastAsia" w:cstheme="majorEastAsia"/>
          <w:sz w:val="24"/>
        </w:rPr>
      </w:pPr>
      <w:r>
        <w:rPr>
          <w:rFonts w:hint="eastAsia" w:asciiTheme="minorEastAsia" w:hAnsiTheme="minorEastAsia" w:eastAsiaTheme="minorEastAsia" w:cstheme="majorEastAsia"/>
          <w:sz w:val="24"/>
          <w:u w:val="single"/>
        </w:rPr>
        <w:t>北京天一圣匠工程咨询有限公司：</w:t>
      </w:r>
    </w:p>
    <w:p w14:paraId="1A59B5E7">
      <w:pPr>
        <w:widowControl/>
        <w:snapToGrid w:val="0"/>
        <w:spacing w:line="360" w:lineRule="auto"/>
        <w:ind w:firstLine="480" w:firstLineChars="200"/>
        <w:rPr>
          <w:rFonts w:hint="eastAsia" w:asciiTheme="minorEastAsia" w:hAnsiTheme="minorEastAsia" w:eastAsiaTheme="minorEastAsia" w:cstheme="majorEastAsia"/>
          <w:sz w:val="24"/>
        </w:rPr>
      </w:pPr>
    </w:p>
    <w:p w14:paraId="7EA41A7C">
      <w:pPr>
        <w:widowControl/>
        <w:snapToGrid w:val="0"/>
        <w:spacing w:line="360" w:lineRule="auto"/>
        <w:ind w:firstLine="480" w:firstLineChars="200"/>
        <w:rPr>
          <w:rFonts w:hint="eastAsia" w:asciiTheme="minorEastAsia" w:hAnsiTheme="minorEastAsia" w:eastAsiaTheme="minorEastAsia" w:cstheme="majorEastAsia"/>
          <w:sz w:val="24"/>
        </w:rPr>
      </w:pPr>
      <w:r>
        <w:rPr>
          <w:rFonts w:hint="eastAsia" w:asciiTheme="minorEastAsia" w:hAnsiTheme="minorEastAsia" w:eastAsiaTheme="minorEastAsia" w:cstheme="majorEastAsia"/>
          <w:sz w:val="24"/>
        </w:rPr>
        <w:t>在本次采购活动中，我公司愿意以</w:t>
      </w:r>
      <w:r>
        <w:rPr>
          <w:rFonts w:hint="eastAsia" w:asciiTheme="minorEastAsia" w:hAnsiTheme="minorEastAsia" w:eastAsiaTheme="minorEastAsia" w:cstheme="majorEastAsia"/>
          <w:sz w:val="24"/>
          <w:u w:val="single"/>
        </w:rPr>
        <w:t xml:space="preserve">       </w:t>
      </w:r>
      <w:r>
        <w:rPr>
          <w:rFonts w:hint="eastAsia" w:asciiTheme="minorEastAsia" w:hAnsiTheme="minorEastAsia" w:eastAsiaTheme="minorEastAsia" w:cstheme="majorEastAsia"/>
          <w:sz w:val="24"/>
        </w:rPr>
        <w:t>的方式提交保证金，并做出以下承诺：</w:t>
      </w:r>
    </w:p>
    <w:p w14:paraId="7898F065">
      <w:pPr>
        <w:widowControl/>
        <w:snapToGrid w:val="0"/>
        <w:spacing w:line="360" w:lineRule="auto"/>
        <w:ind w:firstLine="480" w:firstLineChars="200"/>
        <w:rPr>
          <w:rFonts w:hint="eastAsia" w:asciiTheme="minorEastAsia" w:hAnsiTheme="minorEastAsia" w:eastAsiaTheme="minorEastAsia" w:cstheme="majorEastAsia"/>
          <w:sz w:val="24"/>
        </w:rPr>
      </w:pPr>
      <w:r>
        <w:rPr>
          <w:rFonts w:hint="eastAsia" w:asciiTheme="minorEastAsia" w:hAnsiTheme="minorEastAsia" w:eastAsiaTheme="minorEastAsia" w:cstheme="majorEastAsia"/>
          <w:sz w:val="24"/>
        </w:rPr>
        <w:t>1、磋商保证金人民币</w:t>
      </w:r>
      <w:r>
        <w:rPr>
          <w:rFonts w:hint="eastAsia" w:asciiTheme="minorEastAsia" w:hAnsiTheme="minorEastAsia" w:eastAsiaTheme="minorEastAsia" w:cstheme="majorEastAsia"/>
          <w:sz w:val="24"/>
          <w:u w:val="single"/>
        </w:rPr>
        <w:t xml:space="preserve">          </w:t>
      </w:r>
      <w:r>
        <w:rPr>
          <w:rFonts w:hint="eastAsia" w:asciiTheme="minorEastAsia" w:hAnsiTheme="minorEastAsia" w:eastAsiaTheme="minorEastAsia" w:cstheme="majorEastAsia"/>
          <w:sz w:val="24"/>
        </w:rPr>
        <w:t>元。</w:t>
      </w:r>
    </w:p>
    <w:p w14:paraId="1E4B3B85">
      <w:pPr>
        <w:widowControl/>
        <w:snapToGrid w:val="0"/>
        <w:spacing w:line="360" w:lineRule="auto"/>
        <w:ind w:firstLine="480" w:firstLineChars="200"/>
        <w:rPr>
          <w:rFonts w:hint="eastAsia" w:asciiTheme="minorEastAsia" w:hAnsiTheme="minorEastAsia" w:eastAsiaTheme="minorEastAsia" w:cstheme="majorEastAsia"/>
          <w:sz w:val="24"/>
        </w:rPr>
      </w:pPr>
      <w:r>
        <w:rPr>
          <w:rFonts w:hint="eastAsia" w:asciiTheme="minorEastAsia" w:hAnsiTheme="minorEastAsia" w:eastAsiaTheme="minorEastAsia" w:cstheme="majorEastAsia"/>
          <w:sz w:val="24"/>
        </w:rPr>
        <w:t>2、在响应文件有效期内，我公司做出下列事实中的任何一点时，保证金将被贵方没收。</w:t>
      </w:r>
    </w:p>
    <w:p w14:paraId="4737154A">
      <w:pPr>
        <w:widowControl/>
        <w:snapToGrid w:val="0"/>
        <w:spacing w:line="360" w:lineRule="auto"/>
        <w:ind w:firstLine="480" w:firstLineChars="200"/>
        <w:rPr>
          <w:rFonts w:hint="eastAsia" w:asciiTheme="minorEastAsia" w:hAnsiTheme="minorEastAsia" w:eastAsiaTheme="minorEastAsia" w:cstheme="majorEastAsia"/>
          <w:sz w:val="24"/>
        </w:rPr>
      </w:pPr>
      <w:r>
        <w:rPr>
          <w:rFonts w:hint="eastAsia" w:asciiTheme="minorEastAsia" w:hAnsiTheme="minorEastAsia" w:eastAsiaTheme="minorEastAsia" w:cstheme="majorEastAsia"/>
          <w:sz w:val="24"/>
        </w:rPr>
        <w:t>（1）供应商在响应文件有效期内撤回响应文件；</w:t>
      </w:r>
    </w:p>
    <w:p w14:paraId="273885A9">
      <w:pPr>
        <w:widowControl/>
        <w:snapToGrid w:val="0"/>
        <w:spacing w:line="360" w:lineRule="auto"/>
        <w:ind w:firstLine="480" w:firstLineChars="200"/>
        <w:rPr>
          <w:rFonts w:hint="eastAsia" w:asciiTheme="minorEastAsia" w:hAnsiTheme="minorEastAsia" w:eastAsiaTheme="minorEastAsia" w:cstheme="majorEastAsia"/>
          <w:sz w:val="24"/>
        </w:rPr>
      </w:pPr>
      <w:r>
        <w:rPr>
          <w:rFonts w:hint="eastAsia" w:asciiTheme="minorEastAsia" w:hAnsiTheme="minorEastAsia" w:eastAsiaTheme="minorEastAsia" w:cstheme="majorEastAsia"/>
          <w:sz w:val="24"/>
        </w:rPr>
        <w:t>（2）供应商在收到成交通知书后，未能按成交通知书规定的时间、地点与采购人签订采购合同。</w:t>
      </w:r>
    </w:p>
    <w:p w14:paraId="3E6C6CB3">
      <w:pPr>
        <w:widowControl/>
        <w:spacing w:line="360" w:lineRule="auto"/>
        <w:ind w:firstLine="480" w:firstLineChars="200"/>
        <w:rPr>
          <w:rFonts w:hint="eastAsia" w:asciiTheme="minorEastAsia" w:hAnsiTheme="minorEastAsia" w:eastAsiaTheme="minorEastAsia" w:cstheme="majorEastAsia"/>
          <w:sz w:val="24"/>
        </w:rPr>
      </w:pPr>
    </w:p>
    <w:p w14:paraId="6092F3BB">
      <w:pPr>
        <w:widowControl/>
        <w:spacing w:line="360" w:lineRule="auto"/>
        <w:ind w:firstLine="480" w:firstLineChars="200"/>
        <w:rPr>
          <w:rFonts w:hint="eastAsia" w:asciiTheme="minorEastAsia" w:hAnsiTheme="minorEastAsia" w:eastAsiaTheme="minorEastAsia" w:cstheme="majorEastAsia"/>
          <w:sz w:val="24"/>
        </w:rPr>
      </w:pPr>
    </w:p>
    <w:p w14:paraId="009D2B92">
      <w:pPr>
        <w:widowControl/>
        <w:spacing w:line="360" w:lineRule="auto"/>
        <w:ind w:firstLine="480" w:firstLineChars="200"/>
        <w:rPr>
          <w:rFonts w:hint="eastAsia" w:asciiTheme="minorEastAsia" w:hAnsiTheme="minorEastAsia" w:eastAsiaTheme="minorEastAsia" w:cstheme="majorEastAsia"/>
          <w:sz w:val="24"/>
        </w:rPr>
      </w:pPr>
      <w:r>
        <w:rPr>
          <w:rFonts w:hint="eastAsia" w:asciiTheme="minorEastAsia" w:hAnsiTheme="minorEastAsia" w:eastAsiaTheme="minorEastAsia" w:cstheme="majorEastAsia"/>
          <w:sz w:val="24"/>
        </w:rPr>
        <w:t>供应商名称（加盖公章）：</w:t>
      </w:r>
      <w:r>
        <w:rPr>
          <w:rFonts w:hint="eastAsia" w:asciiTheme="minorEastAsia" w:hAnsiTheme="minorEastAsia" w:eastAsiaTheme="minorEastAsia" w:cstheme="majorEastAsia"/>
          <w:sz w:val="24"/>
          <w:u w:val="single"/>
        </w:rPr>
        <w:t xml:space="preserve">                               </w:t>
      </w:r>
    </w:p>
    <w:p w14:paraId="289D4354">
      <w:pPr>
        <w:widowControl/>
        <w:spacing w:line="360" w:lineRule="auto"/>
        <w:ind w:firstLine="480" w:firstLineChars="200"/>
        <w:rPr>
          <w:rFonts w:hint="eastAsia" w:asciiTheme="minorEastAsia" w:hAnsiTheme="minorEastAsia" w:eastAsiaTheme="minorEastAsia" w:cstheme="majorEastAsia"/>
          <w:sz w:val="24"/>
        </w:rPr>
      </w:pPr>
    </w:p>
    <w:p w14:paraId="342CA557">
      <w:pPr>
        <w:widowControl/>
        <w:spacing w:line="360" w:lineRule="auto"/>
        <w:ind w:firstLine="480" w:firstLineChars="200"/>
        <w:rPr>
          <w:rFonts w:hint="eastAsia" w:asciiTheme="minorEastAsia" w:hAnsiTheme="minorEastAsia" w:eastAsiaTheme="minorEastAsia" w:cstheme="majorEastAsia"/>
          <w:sz w:val="24"/>
        </w:rPr>
      </w:pPr>
      <w:r>
        <w:rPr>
          <w:rFonts w:hint="eastAsia" w:asciiTheme="minorEastAsia" w:hAnsiTheme="minorEastAsia" w:eastAsiaTheme="minorEastAsia" w:cstheme="majorEastAsia"/>
          <w:sz w:val="24"/>
        </w:rPr>
        <w:t>日     期：</w:t>
      </w:r>
      <w:r>
        <w:rPr>
          <w:rFonts w:hint="eastAsia" w:asciiTheme="minorEastAsia" w:hAnsiTheme="minorEastAsia" w:eastAsiaTheme="minorEastAsia" w:cstheme="majorEastAsia"/>
          <w:sz w:val="24"/>
          <w:u w:val="single"/>
        </w:rPr>
        <w:t xml:space="preserve">                   </w:t>
      </w:r>
    </w:p>
    <w:p w14:paraId="2FCFC5F2">
      <w:pPr>
        <w:widowControl/>
        <w:snapToGrid w:val="0"/>
        <w:spacing w:line="360" w:lineRule="auto"/>
        <w:ind w:firstLine="480" w:firstLineChars="200"/>
        <w:rPr>
          <w:rFonts w:hint="eastAsia" w:asciiTheme="minorEastAsia" w:hAnsiTheme="minorEastAsia" w:eastAsiaTheme="minorEastAsia" w:cstheme="majorEastAsia"/>
          <w:sz w:val="24"/>
        </w:rPr>
      </w:pPr>
      <w:r>
        <w:rPr>
          <w:rFonts w:asciiTheme="minorEastAsia" w:hAnsiTheme="minorEastAsia" w:eastAsiaTheme="minorEastAsia"/>
          <w:sz w:val="24"/>
        </w:rPr>
        <w:br w:type="page"/>
      </w:r>
      <w:r>
        <w:rPr>
          <w:rFonts w:hint="eastAsia" w:asciiTheme="minorEastAsia" w:hAnsiTheme="minorEastAsia" w:eastAsiaTheme="minorEastAsia" w:cstheme="majorEastAsia"/>
          <w:sz w:val="24"/>
        </w:rPr>
        <w:t>说明：</w:t>
      </w:r>
    </w:p>
    <w:p w14:paraId="50E9B41C">
      <w:pPr>
        <w:widowControl/>
        <w:snapToGrid w:val="0"/>
        <w:spacing w:line="360" w:lineRule="auto"/>
        <w:ind w:firstLine="482" w:firstLineChars="200"/>
        <w:rPr>
          <w:rFonts w:hint="eastAsia" w:asciiTheme="minorEastAsia" w:hAnsiTheme="minorEastAsia" w:eastAsiaTheme="minorEastAsia" w:cstheme="majorEastAsia"/>
          <w:b/>
          <w:bCs/>
          <w:sz w:val="24"/>
        </w:rPr>
      </w:pPr>
      <w:r>
        <w:rPr>
          <w:rFonts w:asciiTheme="minorEastAsia" w:hAnsiTheme="minorEastAsia" w:eastAsiaTheme="minorEastAsia" w:cstheme="majorEastAsia"/>
          <w:b/>
          <w:bCs/>
          <w:sz w:val="24"/>
        </w:rPr>
        <w:t>1、</w:t>
      </w:r>
      <w:r>
        <w:rPr>
          <w:rFonts w:hint="eastAsia" w:asciiTheme="minorEastAsia" w:hAnsiTheme="minorEastAsia" w:eastAsiaTheme="minorEastAsia" w:cstheme="majorEastAsia"/>
          <w:b/>
          <w:bCs/>
          <w:sz w:val="24"/>
        </w:rPr>
        <w:t>本项目推广政府采购信用担保工作等政府采购政策。如供应商无法以保函形式递交保证金，应付相关说明。</w:t>
      </w:r>
    </w:p>
    <w:p w14:paraId="30AF7A8A">
      <w:pPr>
        <w:widowControl/>
        <w:snapToGrid w:val="0"/>
        <w:spacing w:line="360" w:lineRule="auto"/>
        <w:ind w:firstLine="480" w:firstLineChars="200"/>
        <w:rPr>
          <w:rFonts w:hint="eastAsia" w:cs="宋体" w:asciiTheme="minorEastAsia" w:hAnsiTheme="minorEastAsia" w:eastAsiaTheme="minorEastAsia"/>
          <w:kern w:val="0"/>
          <w:sz w:val="24"/>
          <w:szCs w:val="21"/>
        </w:rPr>
      </w:pPr>
      <w:r>
        <w:rPr>
          <w:rFonts w:hint="eastAsia" w:asciiTheme="minorEastAsia" w:hAnsiTheme="minorEastAsia" w:eastAsiaTheme="minorEastAsia" w:cstheme="majorEastAsia"/>
          <w:sz w:val="24"/>
        </w:rPr>
        <w:t>2、</w:t>
      </w:r>
      <w:r>
        <w:rPr>
          <w:rFonts w:asciiTheme="minorEastAsia" w:hAnsiTheme="minorEastAsia" w:eastAsiaTheme="minorEastAsia"/>
          <w:sz w:val="24"/>
        </w:rPr>
        <w:t>以支票、汇票、本票、网上银行支付等形式提交磋商保证金的，</w:t>
      </w:r>
      <w:r>
        <w:rPr>
          <w:rFonts w:hint="eastAsia" w:asciiTheme="minorEastAsia" w:hAnsiTheme="minorEastAsia" w:eastAsiaTheme="minorEastAsia"/>
          <w:sz w:val="24"/>
        </w:rPr>
        <w:t>应</w:t>
      </w:r>
      <w:r>
        <w:rPr>
          <w:rFonts w:hint="eastAsia" w:cs="宋体" w:asciiTheme="minorEastAsia" w:hAnsiTheme="minorEastAsia" w:eastAsiaTheme="minorEastAsia"/>
          <w:kern w:val="0"/>
          <w:sz w:val="24"/>
          <w:szCs w:val="21"/>
        </w:rPr>
        <w:t>后附银行底单复印件、退还保证金账户信息（格式见下表，加盖供应商公章）及</w:t>
      </w:r>
      <w:r>
        <w:rPr>
          <w:rFonts w:hint="eastAsia" w:cs="宋体" w:asciiTheme="minorEastAsia" w:hAnsiTheme="minorEastAsia" w:eastAsiaTheme="minorEastAsia"/>
          <w:b/>
          <w:bCs/>
          <w:kern w:val="0"/>
          <w:sz w:val="24"/>
          <w:szCs w:val="21"/>
        </w:rPr>
        <w:t>供应商无法以保函（保险）形式递交保证金相关说明（格式自拟）</w:t>
      </w:r>
      <w:r>
        <w:rPr>
          <w:rFonts w:hint="eastAsia" w:cs="宋体" w:asciiTheme="minorEastAsia" w:hAnsiTheme="minorEastAsia" w:eastAsiaTheme="minorEastAsia"/>
          <w:kern w:val="0"/>
          <w:sz w:val="24"/>
          <w:szCs w:val="21"/>
        </w:rPr>
        <w:t>。</w:t>
      </w:r>
    </w:p>
    <w:p w14:paraId="56FCD28E">
      <w:pPr>
        <w:widowControl/>
        <w:snapToGrid w:val="0"/>
        <w:spacing w:line="360" w:lineRule="auto"/>
        <w:ind w:firstLine="480" w:firstLineChars="200"/>
        <w:rPr>
          <w:rFonts w:hint="eastAsia" w:asciiTheme="minorEastAsia" w:hAnsiTheme="minorEastAsia" w:eastAsiaTheme="minorEastAsia"/>
          <w:sz w:val="32"/>
        </w:rPr>
      </w:pPr>
      <w:r>
        <w:rPr>
          <w:rFonts w:hint="eastAsia" w:asciiTheme="minorEastAsia" w:hAnsiTheme="minorEastAsia" w:eastAsiaTheme="minorEastAsia"/>
          <w:sz w:val="24"/>
        </w:rPr>
        <w:t>3、以金融机构、担保机构出具的保函等形式提交磋商保证金的，应后附保函复印件加盖公章。保函原件应在首次响应文件提交截止时间前提交至采购代理机构。</w:t>
      </w:r>
    </w:p>
    <w:tbl>
      <w:tblPr>
        <w:tblStyle w:val="88"/>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255"/>
        <w:gridCol w:w="7032"/>
      </w:tblGrid>
      <w:tr w14:paraId="27D493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5" w:hRule="atLeast"/>
          <w:jc w:val="center"/>
        </w:trPr>
        <w:tc>
          <w:tcPr>
            <w:tcW w:w="5000" w:type="pct"/>
            <w:gridSpan w:val="2"/>
            <w:vAlign w:val="center"/>
          </w:tcPr>
          <w:p w14:paraId="3C2663EF">
            <w:pPr>
              <w:autoSpaceDE w:val="0"/>
              <w:autoSpaceDN w:val="0"/>
              <w:adjustRightInd w:val="0"/>
              <w:jc w:val="center"/>
              <w:rPr>
                <w:rFonts w:hint="eastAsia" w:cs="宋体" w:asciiTheme="minorEastAsia" w:hAnsiTheme="minorEastAsia" w:eastAsiaTheme="minorEastAsia"/>
                <w:b/>
                <w:bCs/>
                <w:kern w:val="0"/>
                <w:sz w:val="28"/>
                <w:szCs w:val="28"/>
              </w:rPr>
            </w:pPr>
            <w:r>
              <w:rPr>
                <w:rFonts w:hint="eastAsia" w:cs="宋体" w:asciiTheme="minorEastAsia" w:hAnsiTheme="minorEastAsia" w:eastAsiaTheme="minorEastAsia"/>
                <w:b/>
                <w:bCs/>
                <w:kern w:val="0"/>
                <w:sz w:val="28"/>
                <w:szCs w:val="28"/>
              </w:rPr>
              <w:t>退还保证金账户信息</w:t>
            </w:r>
          </w:p>
        </w:tc>
      </w:tr>
      <w:tr w14:paraId="7636BC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5" w:hRule="atLeast"/>
          <w:jc w:val="center"/>
        </w:trPr>
        <w:tc>
          <w:tcPr>
            <w:tcW w:w="1214" w:type="pct"/>
            <w:vAlign w:val="center"/>
          </w:tcPr>
          <w:p w14:paraId="21200164">
            <w:pPr>
              <w:autoSpaceDE w:val="0"/>
              <w:autoSpaceDN w:val="0"/>
              <w:adjustRightInd w:val="0"/>
              <w:jc w:val="center"/>
              <w:rPr>
                <w:rFonts w:hint="eastAsia" w:cs="宋体" w:asciiTheme="minorEastAsia" w:hAnsiTheme="minorEastAsia" w:eastAsiaTheme="minorEastAsia"/>
                <w:b/>
                <w:bCs/>
                <w:kern w:val="0"/>
                <w:sz w:val="24"/>
              </w:rPr>
            </w:pPr>
            <w:r>
              <w:rPr>
                <w:rFonts w:hint="eastAsia" w:cs="宋体" w:asciiTheme="minorEastAsia" w:hAnsiTheme="minorEastAsia" w:eastAsiaTheme="minorEastAsia"/>
                <w:b/>
                <w:bCs/>
                <w:kern w:val="0"/>
                <w:sz w:val="24"/>
              </w:rPr>
              <w:t>申请人</w:t>
            </w:r>
          </w:p>
        </w:tc>
        <w:tc>
          <w:tcPr>
            <w:tcW w:w="3786" w:type="pct"/>
            <w:vAlign w:val="center"/>
          </w:tcPr>
          <w:p w14:paraId="63E22873">
            <w:pPr>
              <w:autoSpaceDE w:val="0"/>
              <w:autoSpaceDN w:val="0"/>
              <w:adjustRightInd w:val="0"/>
              <w:jc w:val="left"/>
              <w:rPr>
                <w:rFonts w:hint="eastAsia" w:cs="宋体" w:asciiTheme="minorEastAsia" w:hAnsiTheme="minorEastAsia" w:eastAsiaTheme="minorEastAsia"/>
                <w:b/>
                <w:bCs/>
                <w:kern w:val="0"/>
                <w:sz w:val="28"/>
                <w:szCs w:val="28"/>
              </w:rPr>
            </w:pPr>
          </w:p>
        </w:tc>
      </w:tr>
      <w:tr w14:paraId="7DA3D3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5" w:hRule="atLeast"/>
          <w:jc w:val="center"/>
        </w:trPr>
        <w:tc>
          <w:tcPr>
            <w:tcW w:w="1214" w:type="pct"/>
            <w:vAlign w:val="center"/>
          </w:tcPr>
          <w:p w14:paraId="2CF55246">
            <w:pPr>
              <w:autoSpaceDE w:val="0"/>
              <w:autoSpaceDN w:val="0"/>
              <w:adjustRightInd w:val="0"/>
              <w:jc w:val="center"/>
              <w:rPr>
                <w:rFonts w:hint="eastAsia" w:cs="宋体" w:asciiTheme="minorEastAsia" w:hAnsiTheme="minorEastAsia" w:eastAsiaTheme="minorEastAsia"/>
                <w:b/>
                <w:bCs/>
                <w:kern w:val="0"/>
                <w:sz w:val="24"/>
              </w:rPr>
            </w:pPr>
            <w:r>
              <w:rPr>
                <w:rFonts w:hint="eastAsia" w:cs="宋体" w:asciiTheme="minorEastAsia" w:hAnsiTheme="minorEastAsia" w:eastAsiaTheme="minorEastAsia"/>
                <w:b/>
                <w:bCs/>
                <w:kern w:val="0"/>
                <w:sz w:val="24"/>
              </w:rPr>
              <w:t>账号名称</w:t>
            </w:r>
          </w:p>
        </w:tc>
        <w:tc>
          <w:tcPr>
            <w:tcW w:w="3786" w:type="pct"/>
            <w:vAlign w:val="center"/>
          </w:tcPr>
          <w:p w14:paraId="5A620698">
            <w:pPr>
              <w:autoSpaceDE w:val="0"/>
              <w:autoSpaceDN w:val="0"/>
              <w:adjustRightInd w:val="0"/>
              <w:jc w:val="left"/>
              <w:rPr>
                <w:rFonts w:hint="eastAsia" w:cs="宋体" w:asciiTheme="minorEastAsia" w:hAnsiTheme="minorEastAsia" w:eastAsiaTheme="minorEastAsia"/>
                <w:b/>
                <w:bCs/>
                <w:kern w:val="0"/>
                <w:sz w:val="28"/>
                <w:szCs w:val="28"/>
              </w:rPr>
            </w:pPr>
          </w:p>
        </w:tc>
      </w:tr>
      <w:tr w14:paraId="714B9B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5" w:hRule="atLeast"/>
          <w:jc w:val="center"/>
        </w:trPr>
        <w:tc>
          <w:tcPr>
            <w:tcW w:w="1214" w:type="pct"/>
            <w:vAlign w:val="center"/>
          </w:tcPr>
          <w:p w14:paraId="11005BFA">
            <w:pPr>
              <w:autoSpaceDE w:val="0"/>
              <w:autoSpaceDN w:val="0"/>
              <w:adjustRightInd w:val="0"/>
              <w:jc w:val="center"/>
              <w:rPr>
                <w:rFonts w:hint="eastAsia" w:cs="宋体" w:asciiTheme="minorEastAsia" w:hAnsiTheme="minorEastAsia" w:eastAsiaTheme="minorEastAsia"/>
                <w:b/>
                <w:bCs/>
                <w:kern w:val="0"/>
                <w:sz w:val="24"/>
              </w:rPr>
            </w:pPr>
            <w:r>
              <w:rPr>
                <w:rFonts w:hint="eastAsia" w:cs="宋体" w:asciiTheme="minorEastAsia" w:hAnsiTheme="minorEastAsia" w:eastAsiaTheme="minorEastAsia"/>
                <w:b/>
                <w:bCs/>
                <w:kern w:val="0"/>
                <w:sz w:val="24"/>
              </w:rPr>
              <w:t>开户银行名称</w:t>
            </w:r>
          </w:p>
        </w:tc>
        <w:tc>
          <w:tcPr>
            <w:tcW w:w="3786" w:type="pct"/>
            <w:vAlign w:val="center"/>
          </w:tcPr>
          <w:p w14:paraId="55D541D6">
            <w:pPr>
              <w:autoSpaceDE w:val="0"/>
              <w:autoSpaceDN w:val="0"/>
              <w:adjustRightInd w:val="0"/>
              <w:jc w:val="left"/>
              <w:rPr>
                <w:rFonts w:hint="eastAsia" w:cs="宋体" w:asciiTheme="minorEastAsia" w:hAnsiTheme="minorEastAsia" w:eastAsiaTheme="minorEastAsia"/>
                <w:b/>
                <w:bCs/>
                <w:kern w:val="0"/>
                <w:sz w:val="28"/>
                <w:szCs w:val="28"/>
              </w:rPr>
            </w:pPr>
          </w:p>
        </w:tc>
      </w:tr>
      <w:tr w14:paraId="609871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5" w:hRule="atLeast"/>
          <w:jc w:val="center"/>
        </w:trPr>
        <w:tc>
          <w:tcPr>
            <w:tcW w:w="1214" w:type="pct"/>
            <w:vAlign w:val="center"/>
          </w:tcPr>
          <w:p w14:paraId="7C9ACD14">
            <w:pPr>
              <w:autoSpaceDE w:val="0"/>
              <w:autoSpaceDN w:val="0"/>
              <w:adjustRightInd w:val="0"/>
              <w:jc w:val="center"/>
              <w:rPr>
                <w:rFonts w:hint="eastAsia" w:cs="宋体" w:asciiTheme="minorEastAsia" w:hAnsiTheme="minorEastAsia" w:eastAsiaTheme="minorEastAsia"/>
                <w:b/>
                <w:bCs/>
                <w:kern w:val="0"/>
                <w:sz w:val="24"/>
              </w:rPr>
            </w:pPr>
            <w:r>
              <w:rPr>
                <w:rFonts w:hint="eastAsia" w:cs="宋体" w:asciiTheme="minorEastAsia" w:hAnsiTheme="minorEastAsia" w:eastAsiaTheme="minorEastAsia"/>
                <w:b/>
                <w:bCs/>
                <w:kern w:val="0"/>
                <w:sz w:val="24"/>
              </w:rPr>
              <w:t>银行账号</w:t>
            </w:r>
          </w:p>
        </w:tc>
        <w:tc>
          <w:tcPr>
            <w:tcW w:w="3786" w:type="pct"/>
            <w:vAlign w:val="center"/>
          </w:tcPr>
          <w:p w14:paraId="59BA7146">
            <w:pPr>
              <w:autoSpaceDE w:val="0"/>
              <w:autoSpaceDN w:val="0"/>
              <w:adjustRightInd w:val="0"/>
              <w:jc w:val="left"/>
              <w:rPr>
                <w:rFonts w:hint="eastAsia" w:cs="宋体" w:asciiTheme="minorEastAsia" w:hAnsiTheme="minorEastAsia" w:eastAsiaTheme="minorEastAsia"/>
                <w:b/>
                <w:bCs/>
                <w:kern w:val="0"/>
                <w:sz w:val="28"/>
                <w:szCs w:val="28"/>
              </w:rPr>
            </w:pPr>
          </w:p>
        </w:tc>
      </w:tr>
    </w:tbl>
    <w:p w14:paraId="5350E575">
      <w:pPr>
        <w:autoSpaceDE w:val="0"/>
        <w:autoSpaceDN w:val="0"/>
        <w:adjustRightInd w:val="0"/>
        <w:jc w:val="left"/>
        <w:rPr>
          <w:rFonts w:hint="eastAsia" w:cs="宋体" w:asciiTheme="minorEastAsia" w:hAnsiTheme="minorEastAsia" w:eastAsiaTheme="minorEastAsia"/>
          <w:kern w:val="0"/>
          <w:sz w:val="28"/>
          <w:szCs w:val="28"/>
        </w:rPr>
      </w:pPr>
    </w:p>
    <w:p w14:paraId="617FAC5E">
      <w:pPr>
        <w:widowControl/>
        <w:jc w:val="left"/>
        <w:rPr>
          <w:rFonts w:hint="eastAsia" w:cs="宋体" w:asciiTheme="minorEastAsia" w:hAnsiTheme="minorEastAsia" w:eastAsiaTheme="minorEastAsia"/>
          <w:b/>
          <w:kern w:val="0"/>
          <w:sz w:val="28"/>
          <w:szCs w:val="28"/>
        </w:rPr>
      </w:pPr>
      <w:r>
        <w:rPr>
          <w:rFonts w:hint="eastAsia" w:asciiTheme="minorEastAsia" w:hAnsiTheme="minorEastAsia" w:eastAsiaTheme="minorEastAsia"/>
          <w:sz w:val="22"/>
        </w:rPr>
        <w:t>说明：1、“申请人”指已缴纳保证金的供应商。2、申请人务必准确填写账户信息，填写的账户应为缴纳保证金的同一账户，并确保信息无误。3、如因申请人账号信息填写错误或未及时提交退还保证金申请，导致退还保证金未到账或者保证金退还延迟情形，由申请人承担相应责任。</w:t>
      </w:r>
    </w:p>
    <w:p w14:paraId="7A047D71">
      <w:pPr>
        <w:pStyle w:val="4"/>
        <w:widowControl/>
        <w:spacing w:line="360" w:lineRule="auto"/>
        <w:jc w:val="left"/>
        <w:rPr>
          <w:rFonts w:hint="eastAsia" w:cs="Arial" w:asciiTheme="minorEastAsia" w:hAnsiTheme="minorEastAsia" w:eastAsiaTheme="minorEastAsia"/>
          <w:b w:val="0"/>
          <w:bCs/>
          <w:sz w:val="24"/>
          <w:szCs w:val="24"/>
        </w:rPr>
      </w:pPr>
      <w:r>
        <w:rPr>
          <w:rFonts w:hint="eastAsia" w:ascii="宋体" w:hAnsi="宋体" w:cs="仿宋"/>
          <w:bCs/>
          <w:sz w:val="36"/>
          <w:szCs w:val="36"/>
        </w:rPr>
        <w:br w:type="page"/>
      </w:r>
      <w:r>
        <w:rPr>
          <w:rFonts w:cs="Arial" w:asciiTheme="minorEastAsia" w:hAnsiTheme="minorEastAsia" w:eastAsiaTheme="minorEastAsia"/>
          <w:b w:val="0"/>
          <w:bCs/>
          <w:sz w:val="24"/>
          <w:szCs w:val="24"/>
        </w:rPr>
        <w:t xml:space="preserve">5  </w:t>
      </w:r>
      <w:r>
        <w:rPr>
          <w:rFonts w:hint="eastAsia" w:cs="Arial" w:asciiTheme="minorEastAsia" w:hAnsiTheme="minorEastAsia" w:eastAsiaTheme="minorEastAsia"/>
          <w:b w:val="0"/>
          <w:bCs/>
          <w:sz w:val="24"/>
          <w:szCs w:val="24"/>
        </w:rPr>
        <w:t>响应书（实质性格式）</w:t>
      </w:r>
    </w:p>
    <w:p w14:paraId="194D5C74">
      <w:pPr>
        <w:pStyle w:val="5"/>
        <w:spacing w:line="360" w:lineRule="auto"/>
        <w:ind w:firstLine="0"/>
        <w:jc w:val="center"/>
        <w:rPr>
          <w:rFonts w:hint="eastAsia" w:hAnsi="宋体" w:cs="仿宋"/>
          <w:b/>
          <w:bCs/>
          <w:sz w:val="32"/>
          <w:szCs w:val="32"/>
        </w:rPr>
      </w:pPr>
      <w:r>
        <w:rPr>
          <w:rFonts w:hint="eastAsia" w:cs="宋体" w:asciiTheme="minorEastAsia" w:hAnsiTheme="minorEastAsia" w:eastAsiaTheme="minorEastAsia"/>
          <w:b/>
          <w:sz w:val="32"/>
          <w:szCs w:val="32"/>
        </w:rPr>
        <w:t>响应书</w:t>
      </w:r>
    </w:p>
    <w:p w14:paraId="47E0801E">
      <w:pPr>
        <w:pStyle w:val="310"/>
        <w:adjustRightInd/>
        <w:spacing w:line="360" w:lineRule="auto"/>
        <w:ind w:firstLine="240"/>
        <w:rPr>
          <w:rFonts w:hint="eastAsia" w:asciiTheme="minorEastAsia" w:hAnsiTheme="minorEastAsia" w:eastAsiaTheme="minorEastAsia"/>
          <w:bCs/>
          <w:sz w:val="24"/>
          <w:szCs w:val="24"/>
        </w:rPr>
      </w:pPr>
      <w:bookmarkStart w:id="2254" w:name="_Hlt520356243"/>
      <w:bookmarkEnd w:id="2254"/>
      <w:bookmarkStart w:id="2255" w:name="_Hlt520355938"/>
      <w:bookmarkEnd w:id="2255"/>
      <w:bookmarkStart w:id="2256" w:name="_Toc480942350"/>
      <w:bookmarkStart w:id="2257" w:name="_Toc305158825"/>
      <w:bookmarkStart w:id="2258" w:name="_Toc127151557"/>
      <w:bookmarkStart w:id="2259" w:name="_Toc264969247"/>
      <w:bookmarkStart w:id="2260" w:name="_Toc520356218"/>
      <w:bookmarkStart w:id="2261" w:name="_Ref467988705"/>
      <w:bookmarkStart w:id="2262" w:name="_Toc226965830"/>
      <w:bookmarkStart w:id="2263" w:name="_Toc265228395"/>
      <w:bookmarkStart w:id="2264" w:name="_Toc226337253"/>
      <w:bookmarkStart w:id="2265" w:name="_Toc195842922"/>
      <w:bookmarkStart w:id="2266" w:name="_Toc142311059"/>
      <w:bookmarkStart w:id="2267" w:name="_Toc150774762"/>
      <w:bookmarkStart w:id="2268" w:name="_Toc305158899"/>
      <w:bookmarkStart w:id="2269" w:name="_Toc226965747"/>
      <w:bookmarkStart w:id="2270" w:name="_Toc150480795"/>
      <w:bookmarkStart w:id="2271" w:name="_Toc226309801"/>
    </w:p>
    <w:p w14:paraId="0A9FDEA9">
      <w:pPr>
        <w:pStyle w:val="310"/>
        <w:adjustRightInd/>
        <w:spacing w:line="360" w:lineRule="auto"/>
        <w:ind w:firstLine="240"/>
        <w:rPr>
          <w:rFonts w:hint="eastAsia" w:asciiTheme="minorEastAsia" w:hAnsiTheme="minorEastAsia" w:eastAsiaTheme="minorEastAsia"/>
          <w:sz w:val="24"/>
          <w:szCs w:val="24"/>
          <w:u w:val="single"/>
        </w:rPr>
      </w:pPr>
      <w:r>
        <w:rPr>
          <w:rFonts w:asciiTheme="minorEastAsia" w:hAnsiTheme="minorEastAsia" w:eastAsiaTheme="minorEastAsia"/>
          <w:bCs/>
          <w:sz w:val="24"/>
          <w:szCs w:val="24"/>
        </w:rPr>
        <w:t>致：</w:t>
      </w:r>
      <w:r>
        <w:rPr>
          <w:rFonts w:hint="eastAsia" w:asciiTheme="minorEastAsia" w:hAnsiTheme="minorEastAsia" w:eastAsiaTheme="minorEastAsia"/>
          <w:bCs/>
          <w:sz w:val="24"/>
          <w:szCs w:val="24"/>
          <w:u w:val="single"/>
        </w:rPr>
        <w:t>北京市朝阳区人民政府香河园街道办事处</w:t>
      </w:r>
    </w:p>
    <w:p w14:paraId="322DB21E">
      <w:pPr>
        <w:pStyle w:val="310"/>
        <w:adjustRightInd/>
        <w:spacing w:line="360" w:lineRule="auto"/>
        <w:ind w:firstLine="240"/>
        <w:rPr>
          <w:rFonts w:hint="eastAsia" w:asciiTheme="minorEastAsia" w:hAnsiTheme="minorEastAsia" w:eastAsiaTheme="minorEastAsia"/>
          <w:kern w:val="2"/>
          <w:sz w:val="24"/>
          <w:szCs w:val="24"/>
        </w:rPr>
      </w:pPr>
    </w:p>
    <w:p w14:paraId="1E16EFA2">
      <w:pPr>
        <w:tabs>
          <w:tab w:val="left" w:pos="5580"/>
        </w:tabs>
        <w:spacing w:line="360" w:lineRule="auto"/>
        <w:ind w:firstLine="408"/>
        <w:rPr>
          <w:rFonts w:hint="eastAsia" w:asciiTheme="minorEastAsia" w:hAnsiTheme="minorEastAsia" w:eastAsiaTheme="minorEastAsia"/>
          <w:color w:val="000000"/>
          <w:sz w:val="24"/>
          <w:szCs w:val="20"/>
        </w:rPr>
      </w:pPr>
      <w:r>
        <w:rPr>
          <w:rFonts w:asciiTheme="minorEastAsia" w:hAnsiTheme="minorEastAsia" w:eastAsiaTheme="minorEastAsia"/>
          <w:color w:val="000000"/>
          <w:sz w:val="24"/>
          <w:szCs w:val="20"/>
        </w:rPr>
        <w:t>我方参加你方就</w:t>
      </w:r>
      <w:r>
        <w:rPr>
          <w:rFonts w:asciiTheme="minorEastAsia" w:hAnsiTheme="minorEastAsia" w:eastAsiaTheme="minorEastAsia"/>
          <w:sz w:val="24"/>
        </w:rPr>
        <w:t>________________________</w:t>
      </w:r>
      <w:r>
        <w:rPr>
          <w:rFonts w:asciiTheme="minorEastAsia" w:hAnsiTheme="minorEastAsia" w:eastAsiaTheme="minorEastAsia"/>
          <w:color w:val="000000"/>
          <w:sz w:val="24"/>
          <w:szCs w:val="20"/>
        </w:rPr>
        <w:t>（项目名称</w:t>
      </w:r>
      <w:r>
        <w:rPr>
          <w:rFonts w:hint="eastAsia" w:asciiTheme="minorEastAsia" w:hAnsiTheme="minorEastAsia" w:eastAsiaTheme="minorEastAsia"/>
          <w:color w:val="000000"/>
          <w:sz w:val="24"/>
          <w:szCs w:val="20"/>
        </w:rPr>
        <w:t>，</w:t>
      </w:r>
      <w:r>
        <w:rPr>
          <w:rFonts w:asciiTheme="minorEastAsia" w:hAnsiTheme="minorEastAsia" w:eastAsiaTheme="minorEastAsia"/>
          <w:color w:val="000000"/>
          <w:sz w:val="24"/>
          <w:szCs w:val="20"/>
        </w:rPr>
        <w:t>项目编号）组织的采购活动，并对此项目进行磋商。</w:t>
      </w:r>
    </w:p>
    <w:p w14:paraId="70F3DF4F">
      <w:pPr>
        <w:tabs>
          <w:tab w:val="left" w:pos="5580"/>
        </w:tabs>
        <w:spacing w:line="360" w:lineRule="auto"/>
        <w:ind w:firstLine="408"/>
        <w:rPr>
          <w:rFonts w:hint="eastAsia" w:asciiTheme="minorEastAsia" w:hAnsiTheme="minorEastAsia" w:eastAsiaTheme="minorEastAsia"/>
          <w:color w:val="000000"/>
          <w:sz w:val="24"/>
          <w:szCs w:val="20"/>
        </w:rPr>
      </w:pPr>
      <w:r>
        <w:rPr>
          <w:rFonts w:asciiTheme="minorEastAsia" w:hAnsiTheme="minorEastAsia" w:eastAsiaTheme="minorEastAsia"/>
          <w:color w:val="000000"/>
          <w:sz w:val="24"/>
          <w:szCs w:val="20"/>
        </w:rPr>
        <w:t>1. 我方</w:t>
      </w:r>
      <w:r>
        <w:rPr>
          <w:rFonts w:asciiTheme="minorEastAsia" w:hAnsiTheme="minorEastAsia" w:eastAsiaTheme="minorEastAsia"/>
          <w:color w:val="000000"/>
          <w:sz w:val="24"/>
        </w:rPr>
        <w:t>已详细审查全部竞争性磋商文件</w:t>
      </w:r>
      <w:r>
        <w:rPr>
          <w:rFonts w:asciiTheme="minorEastAsia" w:hAnsiTheme="minorEastAsia" w:eastAsiaTheme="minorEastAsia"/>
          <w:color w:val="000000"/>
          <w:sz w:val="24"/>
          <w:szCs w:val="20"/>
        </w:rPr>
        <w:t>，自愿参与磋商并承诺如下：</w:t>
      </w:r>
    </w:p>
    <w:p w14:paraId="56CAC226">
      <w:pPr>
        <w:tabs>
          <w:tab w:val="left" w:pos="720"/>
          <w:tab w:val="left" w:pos="900"/>
        </w:tabs>
        <w:spacing w:line="360" w:lineRule="auto"/>
        <w:ind w:left="360" w:firstLine="72" w:firstLineChars="30"/>
        <w:rPr>
          <w:rFonts w:hint="eastAsia" w:asciiTheme="minorEastAsia" w:hAnsiTheme="minorEastAsia" w:eastAsiaTheme="minorEastAsia"/>
          <w:color w:val="000000"/>
          <w:sz w:val="24"/>
          <w:szCs w:val="20"/>
        </w:rPr>
      </w:pPr>
      <w:r>
        <w:rPr>
          <w:rFonts w:asciiTheme="minorEastAsia" w:hAnsiTheme="minorEastAsia" w:eastAsiaTheme="minorEastAsia"/>
          <w:color w:val="000000"/>
          <w:sz w:val="24"/>
          <w:szCs w:val="20"/>
        </w:rPr>
        <w:t>（1）本响应有效期为自提交响应文件的截止之日起</w:t>
      </w:r>
      <w:r>
        <w:rPr>
          <w:rFonts w:asciiTheme="minorEastAsia" w:hAnsiTheme="minorEastAsia" w:eastAsiaTheme="minorEastAsia"/>
          <w:sz w:val="24"/>
        </w:rPr>
        <w:t>______</w:t>
      </w:r>
      <w:r>
        <w:rPr>
          <w:rFonts w:asciiTheme="minorEastAsia" w:hAnsiTheme="minorEastAsia" w:eastAsiaTheme="minorEastAsia"/>
          <w:color w:val="000000"/>
          <w:sz w:val="24"/>
          <w:szCs w:val="20"/>
        </w:rPr>
        <w:t>个日历日。</w:t>
      </w:r>
    </w:p>
    <w:p w14:paraId="3B870DBD">
      <w:pPr>
        <w:tabs>
          <w:tab w:val="left" w:pos="720"/>
          <w:tab w:val="left" w:pos="900"/>
        </w:tabs>
        <w:spacing w:line="360" w:lineRule="auto"/>
        <w:ind w:left="360" w:firstLine="72" w:firstLineChars="30"/>
        <w:rPr>
          <w:rFonts w:hint="eastAsia" w:asciiTheme="minorEastAsia" w:hAnsiTheme="minorEastAsia" w:eastAsiaTheme="minorEastAsia"/>
          <w:color w:val="000000"/>
          <w:sz w:val="24"/>
          <w:szCs w:val="20"/>
        </w:rPr>
      </w:pPr>
      <w:r>
        <w:rPr>
          <w:rFonts w:asciiTheme="minorEastAsia" w:hAnsiTheme="minorEastAsia" w:eastAsiaTheme="minorEastAsia"/>
          <w:color w:val="000000"/>
          <w:sz w:val="24"/>
          <w:szCs w:val="20"/>
        </w:rPr>
        <w:t>（2）除合同条款及采购需求偏离表列出的偏离外，我方响应竞争性磋商文件的全部要求。</w:t>
      </w:r>
    </w:p>
    <w:p w14:paraId="4726CEA5">
      <w:pPr>
        <w:tabs>
          <w:tab w:val="left" w:pos="5580"/>
        </w:tabs>
        <w:spacing w:line="360" w:lineRule="auto"/>
        <w:ind w:firstLine="420" w:firstLineChars="175"/>
        <w:rPr>
          <w:rFonts w:hint="eastAsia" w:asciiTheme="minorEastAsia" w:hAnsiTheme="minorEastAsia" w:eastAsiaTheme="minorEastAsia"/>
          <w:color w:val="000000"/>
          <w:sz w:val="24"/>
          <w:szCs w:val="20"/>
        </w:rPr>
      </w:pPr>
      <w:r>
        <w:rPr>
          <w:rFonts w:asciiTheme="minorEastAsia" w:hAnsiTheme="minorEastAsia" w:eastAsiaTheme="minorEastAsia"/>
          <w:color w:val="000000"/>
          <w:sz w:val="24"/>
          <w:szCs w:val="20"/>
        </w:rPr>
        <w:t>（3）我方已提供的全部文件资料是真实、准确的，并对此承担一切法律后果。</w:t>
      </w:r>
    </w:p>
    <w:p w14:paraId="36D2789E">
      <w:pPr>
        <w:tabs>
          <w:tab w:val="left" w:pos="5580"/>
        </w:tabs>
        <w:spacing w:line="360" w:lineRule="auto"/>
        <w:ind w:firstLine="420" w:firstLineChars="175"/>
        <w:rPr>
          <w:rFonts w:hint="eastAsia" w:asciiTheme="minorEastAsia" w:hAnsiTheme="minorEastAsia" w:eastAsiaTheme="minorEastAsia"/>
          <w:color w:val="000000"/>
          <w:sz w:val="24"/>
        </w:rPr>
      </w:pPr>
      <w:r>
        <w:rPr>
          <w:rFonts w:asciiTheme="minorEastAsia" w:hAnsiTheme="minorEastAsia" w:eastAsiaTheme="minorEastAsia"/>
          <w:color w:val="000000"/>
          <w:sz w:val="24"/>
          <w:szCs w:val="20"/>
        </w:rPr>
        <w:t>（4）如我方成交，我方将在法律规定的期限内与你方签订合同，按照竞争性磋商文件要求提交履约保证金，并在合同约定的期限内完成合同规定的全部义务。</w:t>
      </w:r>
    </w:p>
    <w:p w14:paraId="436A15B9">
      <w:pPr>
        <w:spacing w:line="360" w:lineRule="auto"/>
        <w:ind w:left="420"/>
        <w:rPr>
          <w:rFonts w:hint="eastAsia" w:asciiTheme="minorEastAsia" w:hAnsiTheme="minorEastAsia" w:eastAsiaTheme="minorEastAsia"/>
          <w:color w:val="000000"/>
          <w:sz w:val="24"/>
        </w:rPr>
      </w:pPr>
      <w:r>
        <w:rPr>
          <w:rFonts w:asciiTheme="minorEastAsia" w:hAnsiTheme="minorEastAsia" w:eastAsiaTheme="minorEastAsia"/>
          <w:color w:val="000000"/>
          <w:sz w:val="24"/>
        </w:rPr>
        <w:t>2. 其他补充条款（如有）：</w:t>
      </w:r>
      <w:r>
        <w:rPr>
          <w:rFonts w:asciiTheme="minorEastAsia" w:hAnsiTheme="minorEastAsia" w:eastAsiaTheme="minorEastAsia"/>
          <w:sz w:val="24"/>
        </w:rPr>
        <w:t>______</w:t>
      </w:r>
      <w:r>
        <w:rPr>
          <w:rFonts w:asciiTheme="minorEastAsia" w:hAnsiTheme="minorEastAsia" w:eastAsiaTheme="minorEastAsia"/>
          <w:color w:val="000000"/>
          <w:sz w:val="24"/>
        </w:rPr>
        <w:t>。</w:t>
      </w:r>
    </w:p>
    <w:p w14:paraId="57D02941">
      <w:pPr>
        <w:spacing w:line="360" w:lineRule="auto"/>
        <w:ind w:firstLine="480" w:firstLineChars="200"/>
        <w:rPr>
          <w:rFonts w:hint="eastAsia" w:asciiTheme="minorEastAsia" w:hAnsiTheme="minorEastAsia" w:eastAsiaTheme="minorEastAsia"/>
          <w:color w:val="000000"/>
          <w:sz w:val="24"/>
        </w:rPr>
      </w:pPr>
      <w:r>
        <w:rPr>
          <w:rFonts w:asciiTheme="minorEastAsia" w:hAnsiTheme="minorEastAsia" w:eastAsiaTheme="minorEastAsia"/>
          <w:color w:val="000000"/>
          <w:sz w:val="24"/>
        </w:rPr>
        <w:t>与本磋商有关的一切正式往来信函请寄：</w:t>
      </w:r>
    </w:p>
    <w:p w14:paraId="67CB94A7">
      <w:pPr>
        <w:tabs>
          <w:tab w:val="left" w:pos="5580"/>
        </w:tabs>
        <w:spacing w:line="360" w:lineRule="auto"/>
        <w:ind w:left="420"/>
        <w:rPr>
          <w:rFonts w:hint="eastAsia" w:asciiTheme="minorEastAsia" w:hAnsiTheme="minorEastAsia" w:eastAsiaTheme="minorEastAsia"/>
          <w:color w:val="000000"/>
          <w:sz w:val="24"/>
          <w:szCs w:val="20"/>
        </w:rPr>
      </w:pPr>
    </w:p>
    <w:p w14:paraId="0812B60B">
      <w:pPr>
        <w:tabs>
          <w:tab w:val="left" w:pos="5580"/>
        </w:tabs>
        <w:spacing w:line="360" w:lineRule="auto"/>
        <w:ind w:left="420"/>
        <w:rPr>
          <w:rFonts w:hint="eastAsia" w:asciiTheme="minorEastAsia" w:hAnsiTheme="minorEastAsia" w:eastAsiaTheme="minorEastAsia"/>
          <w:color w:val="000000"/>
          <w:sz w:val="24"/>
          <w:szCs w:val="20"/>
        </w:rPr>
      </w:pPr>
    </w:p>
    <w:p w14:paraId="50DE82A3">
      <w:pPr>
        <w:tabs>
          <w:tab w:val="left" w:pos="5580"/>
        </w:tabs>
        <w:spacing w:line="360" w:lineRule="auto"/>
        <w:ind w:left="420"/>
        <w:rPr>
          <w:rFonts w:hint="eastAsia" w:asciiTheme="minorEastAsia" w:hAnsiTheme="minorEastAsia" w:eastAsiaTheme="minorEastAsia"/>
          <w:color w:val="000000"/>
          <w:sz w:val="24"/>
          <w:szCs w:val="20"/>
        </w:rPr>
      </w:pPr>
      <w:r>
        <w:rPr>
          <w:rFonts w:asciiTheme="minorEastAsia" w:hAnsiTheme="minorEastAsia" w:eastAsiaTheme="minorEastAsia"/>
          <w:color w:val="000000"/>
          <w:sz w:val="24"/>
          <w:szCs w:val="20"/>
        </w:rPr>
        <w:t>地址</w:t>
      </w:r>
      <w:r>
        <w:rPr>
          <w:rFonts w:asciiTheme="minorEastAsia" w:hAnsiTheme="minorEastAsia" w:eastAsiaTheme="minorEastAsia"/>
          <w:bCs/>
          <w:color w:val="000000"/>
          <w:sz w:val="24"/>
        </w:rPr>
        <w:t>_________________________</w:t>
      </w:r>
      <w:r>
        <w:rPr>
          <w:rFonts w:asciiTheme="minorEastAsia" w:hAnsiTheme="minorEastAsia" w:eastAsiaTheme="minorEastAsia"/>
          <w:color w:val="000000"/>
          <w:sz w:val="24"/>
          <w:szCs w:val="20"/>
        </w:rPr>
        <w:t xml:space="preserve">      传   真</w:t>
      </w:r>
      <w:r>
        <w:rPr>
          <w:rFonts w:asciiTheme="minorEastAsia" w:hAnsiTheme="minorEastAsia" w:eastAsiaTheme="minorEastAsia"/>
          <w:bCs/>
          <w:color w:val="000000"/>
          <w:sz w:val="24"/>
        </w:rPr>
        <w:t>_________________________</w:t>
      </w:r>
    </w:p>
    <w:p w14:paraId="03467B5D">
      <w:pPr>
        <w:tabs>
          <w:tab w:val="left" w:pos="5580"/>
        </w:tabs>
        <w:spacing w:line="360" w:lineRule="auto"/>
        <w:ind w:left="420"/>
        <w:rPr>
          <w:rFonts w:hint="eastAsia" w:asciiTheme="minorEastAsia" w:hAnsiTheme="minorEastAsia" w:eastAsiaTheme="minorEastAsia"/>
          <w:color w:val="000000"/>
          <w:sz w:val="24"/>
          <w:szCs w:val="20"/>
        </w:rPr>
      </w:pPr>
      <w:r>
        <w:rPr>
          <w:rFonts w:asciiTheme="minorEastAsia" w:hAnsiTheme="minorEastAsia" w:eastAsiaTheme="minorEastAsia"/>
          <w:color w:val="000000"/>
          <w:sz w:val="24"/>
          <w:szCs w:val="20"/>
        </w:rPr>
        <w:t>电话</w:t>
      </w:r>
      <w:r>
        <w:rPr>
          <w:rFonts w:asciiTheme="minorEastAsia" w:hAnsiTheme="minorEastAsia" w:eastAsiaTheme="minorEastAsia"/>
          <w:bCs/>
          <w:color w:val="000000"/>
          <w:sz w:val="24"/>
        </w:rPr>
        <w:t>_________________________</w:t>
      </w:r>
      <w:r>
        <w:rPr>
          <w:rFonts w:asciiTheme="minorEastAsia" w:hAnsiTheme="minorEastAsia" w:eastAsiaTheme="minorEastAsia"/>
          <w:color w:val="000000"/>
          <w:sz w:val="24"/>
          <w:szCs w:val="20"/>
        </w:rPr>
        <w:t xml:space="preserve">      电子函件</w:t>
      </w:r>
      <w:r>
        <w:rPr>
          <w:rFonts w:asciiTheme="minorEastAsia" w:hAnsiTheme="minorEastAsia" w:eastAsiaTheme="minorEastAsia"/>
          <w:bCs/>
          <w:color w:val="000000"/>
          <w:sz w:val="24"/>
        </w:rPr>
        <w:t>_________________________</w:t>
      </w:r>
    </w:p>
    <w:p w14:paraId="41F75196">
      <w:pPr>
        <w:tabs>
          <w:tab w:val="left" w:pos="5580"/>
        </w:tabs>
        <w:spacing w:line="360" w:lineRule="auto"/>
        <w:ind w:left="420"/>
        <w:rPr>
          <w:rFonts w:hint="eastAsia" w:asciiTheme="minorEastAsia" w:hAnsiTheme="minorEastAsia" w:eastAsiaTheme="minorEastAsia"/>
          <w:color w:val="000000"/>
          <w:sz w:val="24"/>
          <w:szCs w:val="20"/>
        </w:rPr>
      </w:pPr>
    </w:p>
    <w:p w14:paraId="4801C72E">
      <w:pPr>
        <w:tabs>
          <w:tab w:val="left" w:pos="5580"/>
        </w:tabs>
        <w:spacing w:line="360" w:lineRule="auto"/>
        <w:ind w:left="420"/>
        <w:rPr>
          <w:rFonts w:hint="eastAsia" w:asciiTheme="minorEastAsia" w:hAnsiTheme="minorEastAsia" w:eastAsiaTheme="minorEastAsia"/>
          <w:color w:val="000000"/>
          <w:sz w:val="24"/>
          <w:szCs w:val="20"/>
        </w:rPr>
      </w:pPr>
    </w:p>
    <w:p w14:paraId="0742F878">
      <w:pPr>
        <w:autoSpaceDE w:val="0"/>
        <w:autoSpaceDN w:val="0"/>
        <w:adjustRightInd w:val="0"/>
        <w:snapToGrid w:val="0"/>
        <w:spacing w:before="25" w:line="360" w:lineRule="auto"/>
        <w:ind w:right="360" w:firstLine="360" w:firstLineChars="150"/>
        <w:rPr>
          <w:rFonts w:hint="eastAsia" w:asciiTheme="minorEastAsia" w:hAnsiTheme="minorEastAsia" w:eastAsiaTheme="minorEastAsia"/>
          <w:color w:val="000000"/>
          <w:sz w:val="24"/>
          <w:lang w:val="zh-CN"/>
        </w:rPr>
      </w:pPr>
      <w:r>
        <w:rPr>
          <w:rFonts w:asciiTheme="minorEastAsia" w:hAnsiTheme="minorEastAsia" w:eastAsiaTheme="minorEastAsia"/>
          <w:color w:val="000000"/>
          <w:sz w:val="24"/>
        </w:rPr>
        <w:t>供应商名称（加盖公章）</w:t>
      </w:r>
      <w:r>
        <w:rPr>
          <w:rFonts w:asciiTheme="minorEastAsia" w:hAnsiTheme="minorEastAsia" w:eastAsiaTheme="minorEastAsia"/>
          <w:color w:val="000000"/>
          <w:sz w:val="24"/>
          <w:lang w:val="zh-CN"/>
        </w:rPr>
        <w:t>：</w:t>
      </w:r>
      <w:r>
        <w:rPr>
          <w:rFonts w:asciiTheme="minorEastAsia" w:hAnsiTheme="minorEastAsia" w:eastAsiaTheme="minorEastAsia"/>
          <w:sz w:val="24"/>
        </w:rPr>
        <w:t>______</w:t>
      </w:r>
    </w:p>
    <w:p w14:paraId="2F42D562">
      <w:pPr>
        <w:tabs>
          <w:tab w:val="left" w:pos="5580"/>
        </w:tabs>
        <w:spacing w:line="360" w:lineRule="auto"/>
        <w:ind w:firstLine="360" w:firstLineChars="150"/>
        <w:rPr>
          <w:rFonts w:hint="eastAsia" w:asciiTheme="minorEastAsia" w:hAnsiTheme="minorEastAsia" w:eastAsiaTheme="minorEastAsia"/>
          <w:color w:val="000000"/>
          <w:sz w:val="24"/>
          <w:szCs w:val="20"/>
        </w:rPr>
      </w:pPr>
      <w:r>
        <w:rPr>
          <w:rFonts w:asciiTheme="minorEastAsia" w:hAnsiTheme="minorEastAsia" w:eastAsiaTheme="minorEastAsia"/>
          <w:color w:val="000000"/>
          <w:sz w:val="24"/>
          <w:szCs w:val="20"/>
        </w:rPr>
        <w:t xml:space="preserve">日期：____年____月____日  </w:t>
      </w:r>
    </w:p>
    <w:p w14:paraId="3200D683">
      <w:r>
        <w:br w:type="page"/>
      </w:r>
    </w:p>
    <w:p w14:paraId="6532251F">
      <w:pPr>
        <w:pStyle w:val="4"/>
        <w:widowControl/>
        <w:spacing w:line="360" w:lineRule="auto"/>
        <w:jc w:val="left"/>
        <w:rPr>
          <w:rFonts w:hint="eastAsia" w:cs="Arial" w:asciiTheme="minorEastAsia" w:hAnsiTheme="minorEastAsia" w:eastAsiaTheme="minorEastAsia"/>
          <w:b w:val="0"/>
          <w:sz w:val="24"/>
          <w:szCs w:val="24"/>
        </w:rPr>
      </w:pPr>
      <w:bookmarkStart w:id="2272" w:name="OLE_LINK42"/>
      <w:r>
        <w:rPr>
          <w:rFonts w:hint="eastAsia" w:cs="Arial" w:asciiTheme="minorEastAsia" w:hAnsiTheme="minorEastAsia" w:eastAsiaTheme="minorEastAsia"/>
          <w:b w:val="0"/>
          <w:sz w:val="24"/>
          <w:szCs w:val="24"/>
        </w:rPr>
        <w:t>6</w:t>
      </w:r>
      <w:r>
        <w:rPr>
          <w:rFonts w:cs="Arial" w:asciiTheme="minorEastAsia" w:hAnsiTheme="minorEastAsia" w:eastAsiaTheme="minorEastAsia"/>
          <w:b w:val="0"/>
          <w:sz w:val="24"/>
          <w:szCs w:val="24"/>
        </w:rPr>
        <w:t xml:space="preserve">  </w:t>
      </w:r>
      <w:r>
        <w:rPr>
          <w:rFonts w:hint="eastAsia" w:cs="Arial" w:asciiTheme="minorEastAsia" w:hAnsiTheme="minorEastAsia" w:eastAsiaTheme="minorEastAsia"/>
          <w:b w:val="0"/>
          <w:sz w:val="24"/>
          <w:szCs w:val="24"/>
        </w:rPr>
        <w:t>授权委托书（实质性格式）</w:t>
      </w:r>
    </w:p>
    <w:p w14:paraId="4FC705AE">
      <w:pPr>
        <w:autoSpaceDE w:val="0"/>
        <w:autoSpaceDN w:val="0"/>
        <w:adjustRightInd w:val="0"/>
        <w:spacing w:line="360" w:lineRule="auto"/>
        <w:jc w:val="center"/>
        <w:rPr>
          <w:rFonts w:hint="eastAsia" w:asciiTheme="minorEastAsia" w:hAnsiTheme="minorEastAsia" w:eastAsiaTheme="minorEastAsia"/>
          <w:b/>
          <w:color w:val="000000"/>
          <w:sz w:val="32"/>
          <w:szCs w:val="32"/>
        </w:rPr>
      </w:pPr>
      <w:r>
        <w:rPr>
          <w:rFonts w:hint="eastAsia" w:asciiTheme="minorEastAsia" w:hAnsiTheme="minorEastAsia" w:eastAsiaTheme="minorEastAsia"/>
          <w:b/>
          <w:color w:val="000000"/>
          <w:sz w:val="32"/>
          <w:szCs w:val="32"/>
        </w:rPr>
        <w:t>授权委托书</w:t>
      </w:r>
    </w:p>
    <w:bookmarkEnd w:id="2272"/>
    <w:p w14:paraId="2131C1E0">
      <w:pPr>
        <w:spacing w:line="360" w:lineRule="auto"/>
        <w:ind w:firstLine="420"/>
        <w:rPr>
          <w:rFonts w:hint="eastAsia" w:ascii="宋体" w:hAnsi="宋体" w:cs="仿宋"/>
          <w:b/>
          <w:sz w:val="30"/>
          <w:szCs w:val="30"/>
        </w:rPr>
      </w:pPr>
    </w:p>
    <w:p w14:paraId="0CE763CD">
      <w:pPr>
        <w:spacing w:line="360" w:lineRule="auto"/>
        <w:ind w:firstLine="420"/>
        <w:rPr>
          <w:rFonts w:hint="eastAsia" w:ascii="宋体" w:hAnsi="宋体" w:cs="宋体"/>
          <w:sz w:val="24"/>
          <w:szCs w:val="20"/>
        </w:rPr>
      </w:pPr>
      <w:r>
        <w:rPr>
          <w:rFonts w:hint="eastAsia" w:ascii="宋体" w:hAnsi="宋体" w:cs="宋体"/>
          <w:sz w:val="24"/>
          <w:szCs w:val="20"/>
        </w:rPr>
        <w:t>本人</w:t>
      </w:r>
      <w:r>
        <w:rPr>
          <w:rFonts w:ascii="宋体" w:hAnsi="宋体" w:cs="宋体"/>
          <w:sz w:val="24"/>
          <w:szCs w:val="20"/>
          <w:u w:val="single"/>
        </w:rPr>
        <w:t xml:space="preserve">          </w:t>
      </w:r>
      <w:r>
        <w:rPr>
          <w:rFonts w:hint="eastAsia" w:ascii="宋体" w:hAnsi="宋体" w:cs="宋体"/>
          <w:sz w:val="24"/>
          <w:szCs w:val="20"/>
        </w:rPr>
        <w:t>（姓名）系</w:t>
      </w:r>
      <w:r>
        <w:rPr>
          <w:rFonts w:ascii="宋体" w:hAnsi="宋体" w:cs="宋体"/>
          <w:sz w:val="24"/>
          <w:szCs w:val="20"/>
          <w:u w:val="single"/>
        </w:rPr>
        <w:t xml:space="preserve">            </w:t>
      </w:r>
      <w:r>
        <w:rPr>
          <w:rFonts w:hint="eastAsia" w:ascii="宋体" w:hAnsi="宋体" w:cs="宋体"/>
          <w:sz w:val="24"/>
          <w:szCs w:val="20"/>
        </w:rPr>
        <w:t>（供应商名称）的法定代表人（单位负责人），现委托</w:t>
      </w:r>
      <w:r>
        <w:rPr>
          <w:rFonts w:ascii="宋体" w:hAnsi="宋体" w:cs="宋体"/>
          <w:sz w:val="24"/>
          <w:szCs w:val="20"/>
          <w:u w:val="single"/>
        </w:rPr>
        <w:t xml:space="preserve">         </w:t>
      </w:r>
      <w:r>
        <w:rPr>
          <w:rFonts w:hint="eastAsia" w:ascii="宋体" w:hAnsi="宋体" w:cs="宋体"/>
          <w:sz w:val="24"/>
          <w:szCs w:val="20"/>
        </w:rPr>
        <w:t>（姓名）为我方代理人。代理人根据授权，以我方名义签署、澄清确认、递交、撤回、修改</w:t>
      </w:r>
      <w:r>
        <w:rPr>
          <w:rFonts w:ascii="宋体" w:hAnsi="宋体" w:cs="宋体"/>
          <w:sz w:val="24"/>
          <w:szCs w:val="20"/>
          <w:u w:val="single"/>
        </w:rPr>
        <w:t xml:space="preserve">          </w:t>
      </w:r>
      <w:r>
        <w:rPr>
          <w:rFonts w:hint="eastAsia" w:ascii="宋体" w:hAnsi="宋体" w:cs="宋体"/>
          <w:sz w:val="24"/>
          <w:szCs w:val="20"/>
        </w:rPr>
        <w:t>（项目名称）响应文件和处理有关事宜，其法律后果由我方承担。</w:t>
      </w:r>
    </w:p>
    <w:p w14:paraId="23EC7682">
      <w:pPr>
        <w:spacing w:line="360" w:lineRule="auto"/>
        <w:ind w:firstLine="420"/>
        <w:rPr>
          <w:rFonts w:hint="eastAsia" w:ascii="宋体" w:hAnsi="宋体" w:cs="宋体"/>
          <w:sz w:val="24"/>
          <w:szCs w:val="20"/>
        </w:rPr>
      </w:pPr>
      <w:r>
        <w:rPr>
          <w:rFonts w:hint="eastAsia" w:ascii="宋体" w:hAnsi="宋体" w:cs="宋体"/>
          <w:sz w:val="24"/>
          <w:szCs w:val="20"/>
        </w:rPr>
        <w:t>委托期限：自本授权委托书签署之日起至响应有效期届满之日止。</w:t>
      </w:r>
    </w:p>
    <w:p w14:paraId="418B1432">
      <w:pPr>
        <w:spacing w:line="360" w:lineRule="auto"/>
        <w:ind w:firstLine="420"/>
        <w:rPr>
          <w:rFonts w:hint="eastAsia" w:ascii="宋体" w:hAnsi="宋体" w:cs="宋体"/>
          <w:sz w:val="24"/>
          <w:szCs w:val="20"/>
        </w:rPr>
      </w:pPr>
      <w:r>
        <w:rPr>
          <w:rFonts w:hint="eastAsia" w:ascii="宋体" w:hAnsi="宋体" w:cs="宋体"/>
          <w:sz w:val="24"/>
          <w:szCs w:val="20"/>
        </w:rPr>
        <w:t>代理人无转委托权。</w:t>
      </w:r>
      <w:r>
        <w:rPr>
          <w:rFonts w:hint="eastAsia" w:ascii="宋体" w:hAnsi="宋体" w:cs="宋体"/>
          <w:sz w:val="24"/>
          <w:szCs w:val="20"/>
        </w:rPr>
        <w:cr/>
      </w:r>
      <w:r>
        <w:rPr>
          <w:rFonts w:ascii="宋体" w:hAnsi="宋体" w:cs="宋体"/>
          <w:sz w:val="24"/>
          <w:szCs w:val="20"/>
        </w:rPr>
        <w:t xml:space="preserve"> </w:t>
      </w:r>
    </w:p>
    <w:p w14:paraId="0F929A22">
      <w:pPr>
        <w:spacing w:line="360" w:lineRule="auto"/>
        <w:rPr>
          <w:rFonts w:hint="eastAsia" w:ascii="宋体" w:hAnsi="宋体" w:cs="宋体"/>
          <w:sz w:val="24"/>
          <w:lang w:val="zh-CN"/>
        </w:rPr>
      </w:pPr>
      <w:r>
        <w:rPr>
          <w:rFonts w:hint="eastAsia" w:ascii="宋体" w:hAnsi="宋体" w:cs="宋体"/>
          <w:sz w:val="24"/>
        </w:rPr>
        <w:t>供应商名称（加盖公章）</w:t>
      </w:r>
      <w:r>
        <w:rPr>
          <w:rFonts w:hint="eastAsia" w:ascii="宋体" w:hAnsi="宋体" w:cs="宋体"/>
          <w:sz w:val="24"/>
          <w:lang w:val="zh-CN"/>
        </w:rPr>
        <w:t>：</w:t>
      </w:r>
      <w:r>
        <w:rPr>
          <w:rFonts w:hint="eastAsia" w:ascii="宋体" w:hAnsi="宋体" w:cs="宋体"/>
          <w:sz w:val="24"/>
          <w:szCs w:val="20"/>
        </w:rPr>
        <w:t>______________</w:t>
      </w:r>
    </w:p>
    <w:p w14:paraId="062FC746">
      <w:pPr>
        <w:spacing w:line="360" w:lineRule="auto"/>
        <w:rPr>
          <w:rFonts w:hint="eastAsia" w:ascii="宋体" w:hAnsi="宋体" w:cs="宋体"/>
          <w:sz w:val="24"/>
          <w:szCs w:val="20"/>
        </w:rPr>
      </w:pPr>
      <w:r>
        <w:rPr>
          <w:rFonts w:hint="eastAsia" w:ascii="宋体" w:hAnsi="宋体" w:cs="宋体"/>
          <w:sz w:val="24"/>
          <w:szCs w:val="20"/>
        </w:rPr>
        <w:t>法定代表人（单位负责人）（</w:t>
      </w:r>
      <w:r>
        <w:rPr>
          <w:rFonts w:hint="eastAsia" w:ascii="宋体" w:hAnsi="宋体" w:cs="宋体"/>
          <w:sz w:val="24"/>
        </w:rPr>
        <w:t>签字或盖章</w:t>
      </w:r>
      <w:r>
        <w:rPr>
          <w:rFonts w:hint="eastAsia" w:ascii="宋体" w:hAnsi="宋体" w:cs="宋体"/>
          <w:sz w:val="24"/>
          <w:szCs w:val="20"/>
        </w:rPr>
        <w:t>）：</w:t>
      </w:r>
      <w:r>
        <w:rPr>
          <w:rFonts w:hint="eastAsia" w:ascii="宋体" w:hAnsi="宋体" w:cs="宋体"/>
          <w:sz w:val="24"/>
          <w:lang w:val="zh-CN"/>
        </w:rPr>
        <w:t>________________</w:t>
      </w:r>
    </w:p>
    <w:p w14:paraId="71FC6F64">
      <w:pPr>
        <w:autoSpaceDE w:val="0"/>
        <w:autoSpaceDN w:val="0"/>
        <w:adjustRightInd w:val="0"/>
        <w:snapToGrid w:val="0"/>
        <w:spacing w:line="360" w:lineRule="auto"/>
        <w:rPr>
          <w:rFonts w:hint="eastAsia" w:ascii="宋体" w:hAnsi="宋体" w:cs="宋体"/>
          <w:sz w:val="24"/>
          <w:lang w:val="zh-CN"/>
        </w:rPr>
      </w:pPr>
      <w:r>
        <w:rPr>
          <w:rFonts w:hint="eastAsia" w:ascii="宋体" w:hAnsi="宋体" w:cs="宋体"/>
          <w:sz w:val="24"/>
        </w:rPr>
        <w:t>委托代理人（签字或盖章）：</w:t>
      </w:r>
      <w:r>
        <w:rPr>
          <w:rFonts w:hint="eastAsia" w:ascii="宋体" w:hAnsi="宋体" w:cs="宋体"/>
          <w:sz w:val="24"/>
          <w:lang w:val="zh-CN"/>
        </w:rPr>
        <w:t>________________</w:t>
      </w:r>
      <w:r>
        <w:rPr>
          <w:rFonts w:hint="eastAsia" w:ascii="宋体" w:hAnsi="宋体" w:cs="宋体"/>
          <w:sz w:val="24"/>
        </w:rPr>
        <w:t xml:space="preserve">    </w:t>
      </w:r>
      <w:r>
        <w:rPr>
          <w:rFonts w:hint="eastAsia" w:ascii="宋体" w:hAnsi="宋体" w:cs="宋体"/>
          <w:sz w:val="24"/>
          <w:lang w:val="zh-CN"/>
        </w:rPr>
        <w:t xml:space="preserve">                      </w:t>
      </w:r>
    </w:p>
    <w:p w14:paraId="7C4A3A8C">
      <w:pPr>
        <w:autoSpaceDE w:val="0"/>
        <w:autoSpaceDN w:val="0"/>
        <w:adjustRightInd w:val="0"/>
        <w:snapToGrid w:val="0"/>
        <w:spacing w:line="360" w:lineRule="auto"/>
        <w:rPr>
          <w:rFonts w:hint="eastAsia" w:ascii="宋体" w:hAnsi="宋体" w:cs="宋体"/>
          <w:sz w:val="24"/>
          <w:lang w:val="zh-CN"/>
        </w:rPr>
      </w:pPr>
      <w:r>
        <w:rPr>
          <w:rFonts w:hint="eastAsia" w:ascii="宋体" w:hAnsi="宋体" w:cs="宋体"/>
          <w:sz w:val="24"/>
        </w:rPr>
        <w:t>日期：_____年______月______日</w:t>
      </w:r>
    </w:p>
    <w:p w14:paraId="46B50A5D">
      <w:pPr>
        <w:tabs>
          <w:tab w:val="left" w:pos="5580"/>
        </w:tabs>
        <w:spacing w:line="360" w:lineRule="auto"/>
        <w:ind w:firstLine="480" w:firstLineChars="200"/>
        <w:rPr>
          <w:rFonts w:hint="eastAsia" w:ascii="宋体" w:hAnsi="宋体" w:cs="宋体"/>
          <w:sz w:val="24"/>
          <w:szCs w:val="20"/>
        </w:rPr>
      </w:pPr>
    </w:p>
    <w:p w14:paraId="2A5B7537">
      <w:pPr>
        <w:tabs>
          <w:tab w:val="left" w:pos="5580"/>
        </w:tabs>
        <w:spacing w:line="360" w:lineRule="auto"/>
        <w:jc w:val="left"/>
        <w:rPr>
          <w:rFonts w:hint="eastAsia" w:ascii="宋体" w:hAnsi="宋体" w:cs="宋体"/>
          <w:sz w:val="24"/>
          <w:szCs w:val="20"/>
        </w:rPr>
      </w:pPr>
      <w:r>
        <w:rPr>
          <w:rFonts w:hint="eastAsia" w:ascii="宋体" w:hAnsi="宋体" w:cs="宋体"/>
          <w:sz w:val="24"/>
          <w:szCs w:val="20"/>
        </w:rPr>
        <w:t>附：法定代表人（单位负责人）的身份证明</w:t>
      </w:r>
      <w:r>
        <w:rPr>
          <w:rFonts w:hint="eastAsia" w:ascii="宋体" w:hAnsi="宋体" w:cs="宋体"/>
          <w:bCs/>
          <w:sz w:val="24"/>
          <w:szCs w:val="20"/>
        </w:rPr>
        <w:t>文件电子件</w:t>
      </w:r>
      <w:r>
        <w:rPr>
          <w:rFonts w:hint="eastAsia" w:ascii="宋体" w:hAnsi="宋体" w:cs="宋体"/>
          <w:sz w:val="24"/>
          <w:szCs w:val="20"/>
        </w:rPr>
        <w:t>：</w:t>
      </w:r>
    </w:p>
    <w:tbl>
      <w:tblPr>
        <w:tblStyle w:val="88"/>
        <w:tblW w:w="9611"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611"/>
      </w:tblGrid>
      <w:tr w14:paraId="11B03B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96" w:hRule="atLeast"/>
        </w:trPr>
        <w:tc>
          <w:tcPr>
            <w:tcW w:w="9611" w:type="dxa"/>
          </w:tcPr>
          <w:p w14:paraId="11AC9A3F">
            <w:pPr>
              <w:tabs>
                <w:tab w:val="left" w:pos="5580"/>
              </w:tabs>
              <w:spacing w:line="360" w:lineRule="auto"/>
              <w:jc w:val="left"/>
              <w:rPr>
                <w:rFonts w:hint="eastAsia" w:ascii="宋体" w:hAnsi="宋体" w:cs="宋体"/>
                <w:sz w:val="24"/>
                <w:szCs w:val="20"/>
              </w:rPr>
            </w:pPr>
          </w:p>
          <w:p w14:paraId="25A61F81">
            <w:pPr>
              <w:tabs>
                <w:tab w:val="left" w:pos="5580"/>
              </w:tabs>
              <w:spacing w:line="360" w:lineRule="auto"/>
              <w:jc w:val="left"/>
              <w:rPr>
                <w:rFonts w:hint="eastAsia" w:ascii="宋体" w:hAnsi="宋体" w:cs="宋体"/>
                <w:sz w:val="24"/>
                <w:szCs w:val="20"/>
              </w:rPr>
            </w:pPr>
          </w:p>
          <w:p w14:paraId="71136FAD">
            <w:pPr>
              <w:tabs>
                <w:tab w:val="left" w:pos="5580"/>
              </w:tabs>
              <w:spacing w:line="360" w:lineRule="auto"/>
              <w:jc w:val="left"/>
              <w:rPr>
                <w:rFonts w:hint="eastAsia" w:ascii="宋体" w:hAnsi="宋体" w:cs="宋体"/>
                <w:sz w:val="24"/>
                <w:szCs w:val="20"/>
              </w:rPr>
            </w:pPr>
          </w:p>
        </w:tc>
      </w:tr>
    </w:tbl>
    <w:p w14:paraId="30E98C3B">
      <w:pPr>
        <w:tabs>
          <w:tab w:val="left" w:pos="5580"/>
        </w:tabs>
        <w:spacing w:line="360" w:lineRule="auto"/>
        <w:jc w:val="left"/>
        <w:rPr>
          <w:rFonts w:hint="eastAsia" w:ascii="宋体" w:hAnsi="宋体" w:cs="宋体"/>
          <w:sz w:val="24"/>
          <w:szCs w:val="20"/>
        </w:rPr>
      </w:pPr>
      <w:r>
        <w:rPr>
          <w:rFonts w:hint="eastAsia" w:ascii="宋体" w:hAnsi="宋体" w:cs="宋体"/>
          <w:sz w:val="24"/>
          <w:szCs w:val="20"/>
        </w:rPr>
        <w:t>附：委托代理人的身份证明</w:t>
      </w:r>
      <w:r>
        <w:rPr>
          <w:rFonts w:hint="eastAsia" w:ascii="宋体" w:hAnsi="宋体" w:cs="宋体"/>
          <w:bCs/>
          <w:sz w:val="24"/>
          <w:szCs w:val="20"/>
        </w:rPr>
        <w:t>文件电子件</w:t>
      </w:r>
      <w:r>
        <w:rPr>
          <w:rFonts w:hint="eastAsia" w:ascii="宋体" w:hAnsi="宋体" w:cs="宋体"/>
          <w:sz w:val="24"/>
          <w:szCs w:val="20"/>
        </w:rPr>
        <w:t>：</w:t>
      </w:r>
    </w:p>
    <w:tbl>
      <w:tblPr>
        <w:tblStyle w:val="88"/>
        <w:tblW w:w="9611"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611"/>
      </w:tblGrid>
      <w:tr w14:paraId="110FF6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96" w:hRule="atLeast"/>
        </w:trPr>
        <w:tc>
          <w:tcPr>
            <w:tcW w:w="9611" w:type="dxa"/>
          </w:tcPr>
          <w:p w14:paraId="0AB57E84">
            <w:pPr>
              <w:tabs>
                <w:tab w:val="left" w:pos="5580"/>
              </w:tabs>
              <w:spacing w:line="360" w:lineRule="auto"/>
              <w:jc w:val="left"/>
              <w:rPr>
                <w:rFonts w:hint="eastAsia" w:ascii="宋体" w:hAnsi="宋体" w:cs="宋体"/>
                <w:sz w:val="24"/>
                <w:szCs w:val="20"/>
              </w:rPr>
            </w:pPr>
          </w:p>
          <w:p w14:paraId="6FC34193">
            <w:pPr>
              <w:tabs>
                <w:tab w:val="left" w:pos="5580"/>
              </w:tabs>
              <w:spacing w:line="360" w:lineRule="auto"/>
              <w:jc w:val="left"/>
              <w:rPr>
                <w:rFonts w:hint="eastAsia" w:ascii="宋体" w:hAnsi="宋体" w:cs="宋体"/>
                <w:sz w:val="24"/>
                <w:szCs w:val="20"/>
              </w:rPr>
            </w:pPr>
          </w:p>
          <w:p w14:paraId="30B7AA60">
            <w:pPr>
              <w:tabs>
                <w:tab w:val="left" w:pos="5580"/>
              </w:tabs>
              <w:spacing w:line="360" w:lineRule="auto"/>
              <w:jc w:val="left"/>
              <w:rPr>
                <w:rFonts w:hint="eastAsia" w:ascii="宋体" w:hAnsi="宋体" w:cs="宋体"/>
                <w:sz w:val="24"/>
                <w:szCs w:val="20"/>
              </w:rPr>
            </w:pPr>
          </w:p>
        </w:tc>
      </w:tr>
    </w:tbl>
    <w:p w14:paraId="2C5E1328">
      <w:pPr>
        <w:tabs>
          <w:tab w:val="left" w:pos="5580"/>
        </w:tabs>
        <w:spacing w:line="360" w:lineRule="auto"/>
        <w:jc w:val="left"/>
        <w:rPr>
          <w:rFonts w:hint="eastAsia" w:ascii="宋体" w:hAnsi="宋体" w:cs="宋体"/>
          <w:sz w:val="24"/>
          <w:szCs w:val="20"/>
        </w:rPr>
      </w:pPr>
      <w:r>
        <w:rPr>
          <w:rFonts w:hint="eastAsia" w:ascii="宋体" w:hAnsi="宋体" w:cs="宋体"/>
          <w:sz w:val="24"/>
          <w:szCs w:val="20"/>
        </w:rPr>
        <w:t>说明：</w:t>
      </w:r>
    </w:p>
    <w:p w14:paraId="3011AA3E">
      <w:pPr>
        <w:tabs>
          <w:tab w:val="left" w:pos="5580"/>
        </w:tabs>
        <w:spacing w:line="360" w:lineRule="auto"/>
        <w:jc w:val="left"/>
        <w:rPr>
          <w:rFonts w:hint="eastAsia" w:ascii="宋体" w:hAnsi="宋体" w:cs="宋体"/>
          <w:sz w:val="24"/>
          <w:szCs w:val="20"/>
        </w:rPr>
      </w:pPr>
      <w:r>
        <w:rPr>
          <w:rFonts w:hint="eastAsia" w:ascii="宋体" w:hAnsi="宋体" w:cs="宋体"/>
          <w:sz w:val="24"/>
          <w:szCs w:val="20"/>
        </w:rPr>
        <w:t>1.若供应商为事业单位或其他组织或分支机构（仅当磋商文件注明允许分支机构响应的），则法定代表人（单位负责人）处的签署人可为单位负责人。</w:t>
      </w:r>
    </w:p>
    <w:p w14:paraId="30BCD5A8">
      <w:pPr>
        <w:tabs>
          <w:tab w:val="left" w:pos="5580"/>
        </w:tabs>
        <w:spacing w:line="360" w:lineRule="auto"/>
        <w:jc w:val="left"/>
        <w:rPr>
          <w:rFonts w:hint="eastAsia" w:ascii="宋体" w:hAnsi="宋体" w:cs="宋体"/>
          <w:sz w:val="24"/>
          <w:szCs w:val="20"/>
        </w:rPr>
      </w:pPr>
      <w:r>
        <w:rPr>
          <w:rFonts w:hint="eastAsia" w:ascii="宋体" w:hAnsi="宋体" w:cs="宋体"/>
          <w:sz w:val="24"/>
          <w:szCs w:val="20"/>
        </w:rPr>
        <w:t>2.若响应文件中签字之处均为法定代表人（单位负责人）本人签署，则可不提供本《授权委托书》，但须提供《法定代表人（单位负责人）身份证明》。</w:t>
      </w:r>
      <w:r>
        <w:rPr>
          <w:rFonts w:ascii="宋体" w:hAnsi="宋体" w:cs="宋体"/>
          <w:sz w:val="24"/>
          <w:szCs w:val="20"/>
        </w:rPr>
        <w:t>否则，不需要</w:t>
      </w:r>
      <w:r>
        <w:rPr>
          <w:rFonts w:hint="eastAsia" w:ascii="宋体" w:hAnsi="宋体" w:cs="宋体"/>
          <w:sz w:val="24"/>
          <w:szCs w:val="20"/>
        </w:rPr>
        <w:t>提</w:t>
      </w:r>
      <w:r>
        <w:rPr>
          <w:rFonts w:ascii="宋体" w:hAnsi="宋体" w:cs="宋体"/>
          <w:sz w:val="24"/>
          <w:szCs w:val="20"/>
        </w:rPr>
        <w:t>供《法定代表人（单位负责人）身份证明》。</w:t>
      </w:r>
    </w:p>
    <w:p w14:paraId="575D4C4C">
      <w:pPr>
        <w:tabs>
          <w:tab w:val="left" w:pos="5580"/>
        </w:tabs>
        <w:spacing w:line="360" w:lineRule="auto"/>
        <w:jc w:val="left"/>
        <w:rPr>
          <w:rFonts w:hint="eastAsia" w:ascii="宋体" w:hAnsi="宋体" w:cs="宋体"/>
          <w:sz w:val="24"/>
          <w:szCs w:val="20"/>
        </w:rPr>
      </w:pPr>
      <w:r>
        <w:rPr>
          <w:rFonts w:hint="eastAsia" w:ascii="宋体" w:hAnsi="宋体" w:cs="宋体"/>
          <w:sz w:val="24"/>
          <w:szCs w:val="20"/>
        </w:rPr>
        <w:t>3.供应商为自然人的情形，可不提供本《授权委托书》。</w:t>
      </w:r>
    </w:p>
    <w:p w14:paraId="3144D747">
      <w:pPr>
        <w:widowControl/>
        <w:spacing w:line="360" w:lineRule="auto"/>
        <w:jc w:val="left"/>
        <w:rPr>
          <w:rFonts w:hint="eastAsia" w:ascii="宋体" w:hAnsi="宋体" w:cs="仿宋"/>
          <w:sz w:val="30"/>
          <w:szCs w:val="30"/>
        </w:rPr>
      </w:pPr>
      <w:r>
        <w:rPr>
          <w:rFonts w:ascii="宋体" w:hAnsi="宋体" w:cs="宋体"/>
          <w:sz w:val="24"/>
          <w:szCs w:val="20"/>
        </w:rPr>
        <w:t>4.供应商应随本《授权委托书》同时</w:t>
      </w:r>
      <w:r>
        <w:rPr>
          <w:rFonts w:hint="eastAsia" w:ascii="宋体" w:hAnsi="宋体" w:cs="宋体"/>
          <w:sz w:val="24"/>
          <w:szCs w:val="20"/>
        </w:rPr>
        <w:t>提</w:t>
      </w:r>
      <w:r>
        <w:rPr>
          <w:rFonts w:ascii="宋体" w:hAnsi="宋体" w:cs="宋体"/>
          <w:sz w:val="24"/>
          <w:szCs w:val="20"/>
        </w:rPr>
        <w:t>供法定代表人（单位负责人）及委托代理人的有效的身份证</w:t>
      </w:r>
      <w:r>
        <w:rPr>
          <w:rFonts w:hint="eastAsia" w:ascii="宋体" w:hAnsi="宋体" w:cs="宋体"/>
          <w:sz w:val="24"/>
          <w:szCs w:val="20"/>
        </w:rPr>
        <w:t>或</w:t>
      </w:r>
      <w:r>
        <w:rPr>
          <w:rFonts w:ascii="宋体" w:hAnsi="宋体" w:cs="宋体"/>
          <w:sz w:val="24"/>
          <w:szCs w:val="20"/>
        </w:rPr>
        <w:t>护照等身份证明文件。</w:t>
      </w:r>
      <w:r>
        <w:rPr>
          <w:rFonts w:hint="eastAsia" w:ascii="宋体" w:hAnsi="宋体" w:cs="宋体"/>
          <w:sz w:val="24"/>
          <w:szCs w:val="20"/>
        </w:rPr>
        <w:t>提</w:t>
      </w:r>
      <w:r>
        <w:rPr>
          <w:rFonts w:ascii="宋体" w:hAnsi="宋体" w:cs="宋体"/>
          <w:sz w:val="24"/>
          <w:szCs w:val="20"/>
        </w:rPr>
        <w:t>供身份证的，应同时</w:t>
      </w:r>
      <w:r>
        <w:rPr>
          <w:rFonts w:hint="eastAsia" w:ascii="宋体" w:hAnsi="宋体" w:cs="宋体"/>
          <w:sz w:val="24"/>
          <w:szCs w:val="20"/>
        </w:rPr>
        <w:t>提</w:t>
      </w:r>
      <w:r>
        <w:rPr>
          <w:rFonts w:ascii="宋体" w:hAnsi="宋体" w:cs="宋体"/>
          <w:sz w:val="24"/>
          <w:szCs w:val="20"/>
        </w:rPr>
        <w:t>供</w:t>
      </w:r>
      <w:r>
        <w:rPr>
          <w:rFonts w:ascii="宋体" w:hAnsi="宋体" w:cs="宋体"/>
          <w:b/>
          <w:bCs/>
          <w:sz w:val="24"/>
          <w:szCs w:val="20"/>
        </w:rPr>
        <w:t>身份证双面电子件</w:t>
      </w:r>
      <w:r>
        <w:rPr>
          <w:rFonts w:hint="eastAsia" w:ascii="宋体" w:hAnsi="宋体" w:cs="宋体"/>
          <w:sz w:val="24"/>
          <w:szCs w:val="20"/>
        </w:rPr>
        <w:t>。</w:t>
      </w:r>
      <w:r>
        <w:rPr>
          <w:rFonts w:hint="eastAsia" w:ascii="宋体" w:hAnsi="宋体" w:cs="仿宋"/>
          <w:sz w:val="30"/>
          <w:szCs w:val="30"/>
        </w:rPr>
        <w:br w:type="page"/>
      </w:r>
    </w:p>
    <w:p w14:paraId="39038633">
      <w:pPr>
        <w:autoSpaceDE w:val="0"/>
        <w:autoSpaceDN w:val="0"/>
        <w:adjustRightInd w:val="0"/>
        <w:spacing w:line="360" w:lineRule="auto"/>
        <w:jc w:val="center"/>
        <w:rPr>
          <w:rFonts w:hint="eastAsia" w:ascii="宋体" w:hAnsi="宋体" w:cs="仿宋"/>
          <w:b/>
          <w:sz w:val="30"/>
          <w:szCs w:val="30"/>
        </w:rPr>
      </w:pPr>
      <w:r>
        <w:rPr>
          <w:rFonts w:hint="eastAsia" w:ascii="宋体" w:hAnsi="宋体" w:cs="仿宋"/>
          <w:b/>
          <w:sz w:val="30"/>
          <w:szCs w:val="30"/>
        </w:rPr>
        <w:t>法定代表人（单位负责人）身份证明</w:t>
      </w:r>
    </w:p>
    <w:p w14:paraId="57403056">
      <w:pPr>
        <w:kinsoku w:val="0"/>
        <w:overflowPunct w:val="0"/>
        <w:spacing w:line="200" w:lineRule="exact"/>
        <w:rPr>
          <w:rFonts w:hint="eastAsia" w:ascii="宋体" w:hAnsi="宋体" w:cs="仿宋"/>
          <w:sz w:val="20"/>
          <w:szCs w:val="20"/>
        </w:rPr>
      </w:pPr>
    </w:p>
    <w:p w14:paraId="548B3CF7">
      <w:pPr>
        <w:tabs>
          <w:tab w:val="left" w:pos="5580"/>
        </w:tabs>
        <w:spacing w:line="360" w:lineRule="auto"/>
        <w:rPr>
          <w:rFonts w:hint="eastAsia" w:ascii="宋体" w:hAnsi="宋体" w:cs="宋体"/>
          <w:sz w:val="24"/>
        </w:rPr>
      </w:pPr>
      <w:r>
        <w:rPr>
          <w:rFonts w:hint="eastAsia" w:ascii="宋体" w:hAnsi="宋体" w:cs="宋体"/>
          <w:sz w:val="24"/>
        </w:rPr>
        <w:t>致：</w:t>
      </w:r>
      <w:r>
        <w:rPr>
          <w:rFonts w:hint="eastAsia" w:ascii="宋体" w:hAnsi="宋体" w:cs="宋体"/>
          <w:sz w:val="24"/>
          <w:u w:val="single"/>
        </w:rPr>
        <w:t>（采购人或采购代理机构）</w:t>
      </w:r>
    </w:p>
    <w:p w14:paraId="7CAEB4E1">
      <w:pPr>
        <w:pStyle w:val="34"/>
        <w:tabs>
          <w:tab w:val="left" w:pos="2412"/>
          <w:tab w:val="left" w:pos="3883"/>
          <w:tab w:val="left" w:pos="5352"/>
          <w:tab w:val="left" w:pos="6821"/>
        </w:tabs>
        <w:kinsoku w:val="0"/>
        <w:overflowPunct w:val="0"/>
        <w:spacing w:line="360" w:lineRule="auto"/>
        <w:ind w:firstLine="480" w:firstLineChars="200"/>
        <w:rPr>
          <w:rFonts w:hint="eastAsia" w:cs="宋体"/>
        </w:rPr>
      </w:pPr>
      <w:r>
        <w:rPr>
          <w:rFonts w:hint="eastAsia" w:cs="宋体"/>
        </w:rPr>
        <w:t>兹证明，</w:t>
      </w:r>
    </w:p>
    <w:p w14:paraId="555E242F">
      <w:pPr>
        <w:pStyle w:val="34"/>
        <w:tabs>
          <w:tab w:val="left" w:pos="1690"/>
          <w:tab w:val="left" w:pos="3400"/>
          <w:tab w:val="left" w:pos="5110"/>
          <w:tab w:val="left" w:pos="6821"/>
        </w:tabs>
        <w:kinsoku w:val="0"/>
        <w:overflowPunct w:val="0"/>
        <w:spacing w:line="360" w:lineRule="auto"/>
        <w:rPr>
          <w:rFonts w:hint="eastAsia" w:cs="宋体"/>
        </w:rPr>
      </w:pPr>
      <w:r>
        <w:rPr>
          <w:rFonts w:hint="eastAsia" w:cs="宋体"/>
        </w:rPr>
        <w:t>姓名：</w:t>
      </w:r>
      <w:r>
        <w:rPr>
          <w:rFonts w:cs="宋体"/>
          <w:u w:val="single"/>
        </w:rPr>
        <w:t xml:space="preserve">     </w:t>
      </w:r>
      <w:r>
        <w:rPr>
          <w:rFonts w:cs="宋体"/>
        </w:rPr>
        <w:t xml:space="preserve"> </w:t>
      </w:r>
      <w:r>
        <w:rPr>
          <w:rFonts w:hint="eastAsia" w:cs="宋体"/>
        </w:rPr>
        <w:t>性别：</w:t>
      </w:r>
      <w:r>
        <w:rPr>
          <w:rFonts w:cs="宋体"/>
          <w:u w:val="single"/>
        </w:rPr>
        <w:t xml:space="preserve">     </w:t>
      </w:r>
      <w:r>
        <w:rPr>
          <w:rFonts w:cs="宋体"/>
        </w:rPr>
        <w:t xml:space="preserve"> </w:t>
      </w:r>
      <w:r>
        <w:rPr>
          <w:rFonts w:hint="eastAsia" w:cs="宋体"/>
        </w:rPr>
        <w:t>年龄：</w:t>
      </w:r>
      <w:r>
        <w:rPr>
          <w:rFonts w:cs="宋体"/>
          <w:u w:val="single"/>
        </w:rPr>
        <w:t xml:space="preserve">     </w:t>
      </w:r>
      <w:r>
        <w:rPr>
          <w:rFonts w:cs="宋体"/>
        </w:rPr>
        <w:t xml:space="preserve">  </w:t>
      </w:r>
      <w:r>
        <w:rPr>
          <w:rFonts w:hint="eastAsia" w:cs="宋体"/>
        </w:rPr>
        <w:t>职务：</w:t>
      </w:r>
      <w:r>
        <w:rPr>
          <w:rFonts w:cs="宋体"/>
          <w:u w:val="single"/>
        </w:rPr>
        <w:t xml:space="preserve">     </w:t>
      </w:r>
    </w:p>
    <w:p w14:paraId="179EF013">
      <w:pPr>
        <w:pStyle w:val="34"/>
        <w:tabs>
          <w:tab w:val="left" w:pos="2412"/>
          <w:tab w:val="left" w:pos="3883"/>
          <w:tab w:val="left" w:pos="5352"/>
          <w:tab w:val="left" w:pos="6821"/>
        </w:tabs>
        <w:kinsoku w:val="0"/>
        <w:overflowPunct w:val="0"/>
        <w:spacing w:line="335" w:lineRule="exact"/>
        <w:rPr>
          <w:rFonts w:hint="eastAsia" w:cs="宋体"/>
        </w:rPr>
      </w:pPr>
    </w:p>
    <w:p w14:paraId="476CC9F1">
      <w:pPr>
        <w:pStyle w:val="34"/>
        <w:tabs>
          <w:tab w:val="left" w:pos="2250"/>
          <w:tab w:val="left" w:pos="2412"/>
          <w:tab w:val="left" w:pos="3883"/>
          <w:tab w:val="left" w:pos="5352"/>
          <w:tab w:val="left" w:pos="6821"/>
          <w:tab w:val="clear" w:pos="567"/>
        </w:tabs>
        <w:kinsoku w:val="0"/>
        <w:overflowPunct w:val="0"/>
        <w:spacing w:line="335" w:lineRule="exact"/>
        <w:rPr>
          <w:rFonts w:hint="eastAsia" w:cs="宋体"/>
        </w:rPr>
      </w:pPr>
      <w:r>
        <w:rPr>
          <w:rFonts w:hint="eastAsia" w:cs="宋体"/>
        </w:rPr>
        <w:t>系</w:t>
      </w:r>
      <w:r>
        <w:rPr>
          <w:rFonts w:cs="宋体"/>
          <w:u w:val="single"/>
        </w:rPr>
        <w:t xml:space="preserve">                    </w:t>
      </w:r>
      <w:r>
        <w:rPr>
          <w:rFonts w:hint="eastAsia" w:cs="宋体"/>
        </w:rPr>
        <w:t>（供应商名称）的法定代表人（单位负责人）。</w:t>
      </w:r>
    </w:p>
    <w:p w14:paraId="338BEF81">
      <w:pPr>
        <w:pStyle w:val="34"/>
        <w:tabs>
          <w:tab w:val="left" w:pos="2412"/>
          <w:tab w:val="left" w:pos="3883"/>
          <w:tab w:val="left" w:pos="5352"/>
          <w:tab w:val="left" w:pos="6821"/>
        </w:tabs>
        <w:kinsoku w:val="0"/>
        <w:overflowPunct w:val="0"/>
        <w:spacing w:line="335" w:lineRule="exact"/>
        <w:rPr>
          <w:rFonts w:hint="eastAsia" w:cs="仿宋"/>
        </w:rPr>
      </w:pPr>
    </w:p>
    <w:p w14:paraId="1A6FF03F">
      <w:pPr>
        <w:pStyle w:val="34"/>
        <w:tabs>
          <w:tab w:val="left" w:pos="2412"/>
          <w:tab w:val="left" w:pos="3883"/>
          <w:tab w:val="left" w:pos="5352"/>
          <w:tab w:val="left" w:pos="6821"/>
        </w:tabs>
        <w:kinsoku w:val="0"/>
        <w:overflowPunct w:val="0"/>
        <w:spacing w:line="335" w:lineRule="exact"/>
        <w:rPr>
          <w:rFonts w:hint="eastAsia" w:cs="仿宋"/>
        </w:rPr>
      </w:pPr>
    </w:p>
    <w:p w14:paraId="53606632">
      <w:pPr>
        <w:pStyle w:val="34"/>
        <w:kinsoku w:val="0"/>
        <w:overflowPunct w:val="0"/>
        <w:spacing w:before="0" w:line="360" w:lineRule="auto"/>
        <w:ind w:right="-45"/>
        <w:rPr>
          <w:rFonts w:hint="eastAsia" w:cs="宋体"/>
          <w:spacing w:val="-3"/>
        </w:rPr>
      </w:pPr>
      <w:r>
        <w:rPr>
          <w:rFonts w:hint="eastAsia" w:cs="宋体"/>
        </w:rPr>
        <w:t>附：</w:t>
      </w:r>
      <w:r>
        <w:rPr>
          <w:rFonts w:hint="eastAsia" w:cs="宋体"/>
          <w:spacing w:val="-3"/>
        </w:rPr>
        <w:t>法</w:t>
      </w:r>
      <w:r>
        <w:rPr>
          <w:rFonts w:hint="eastAsia" w:cs="宋体"/>
        </w:rPr>
        <w:t>定</w:t>
      </w:r>
      <w:r>
        <w:rPr>
          <w:rFonts w:hint="eastAsia" w:cs="宋体"/>
          <w:spacing w:val="-3"/>
        </w:rPr>
        <w:t>代</w:t>
      </w:r>
      <w:r>
        <w:rPr>
          <w:rFonts w:hint="eastAsia" w:cs="宋体"/>
        </w:rPr>
        <w:t>表</w:t>
      </w:r>
      <w:r>
        <w:rPr>
          <w:rFonts w:hint="eastAsia" w:cs="宋体"/>
          <w:spacing w:val="-3"/>
        </w:rPr>
        <w:t>人</w:t>
      </w:r>
      <w:r>
        <w:rPr>
          <w:rFonts w:hint="eastAsia" w:cs="宋体"/>
        </w:rPr>
        <w:t>（</w:t>
      </w:r>
      <w:r>
        <w:rPr>
          <w:rFonts w:hint="eastAsia" w:cs="宋体"/>
          <w:spacing w:val="-3"/>
        </w:rPr>
        <w:t>单</w:t>
      </w:r>
      <w:r>
        <w:rPr>
          <w:rFonts w:hint="eastAsia" w:cs="宋体"/>
        </w:rPr>
        <w:t>位</w:t>
      </w:r>
      <w:r>
        <w:rPr>
          <w:rFonts w:hint="eastAsia" w:cs="宋体"/>
          <w:spacing w:val="-3"/>
        </w:rPr>
        <w:t>负</w:t>
      </w:r>
      <w:r>
        <w:rPr>
          <w:rFonts w:hint="eastAsia" w:cs="宋体"/>
        </w:rPr>
        <w:t>责人</w:t>
      </w:r>
      <w:r>
        <w:rPr>
          <w:rFonts w:hint="eastAsia" w:cs="宋体"/>
          <w:spacing w:val="-3"/>
        </w:rPr>
        <w:t>）有效期内的</w:t>
      </w:r>
      <w:r>
        <w:rPr>
          <w:rFonts w:hint="eastAsia" w:cs="宋体"/>
          <w:b/>
          <w:bCs/>
          <w:spacing w:val="-3"/>
        </w:rPr>
        <w:t>身份证双面</w:t>
      </w:r>
      <w:r>
        <w:rPr>
          <w:rFonts w:hint="eastAsia" w:cs="宋体"/>
          <w:spacing w:val="-3"/>
        </w:rPr>
        <w:t>或护照等身份证明文件电子件：</w:t>
      </w:r>
    </w:p>
    <w:tbl>
      <w:tblPr>
        <w:tblStyle w:val="88"/>
        <w:tblW w:w="93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322"/>
      </w:tblGrid>
      <w:tr w14:paraId="0F92D3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84" w:hRule="atLeast"/>
        </w:trPr>
        <w:tc>
          <w:tcPr>
            <w:tcW w:w="9322" w:type="dxa"/>
          </w:tcPr>
          <w:p w14:paraId="343D66AE">
            <w:pPr>
              <w:tabs>
                <w:tab w:val="left" w:pos="5580"/>
              </w:tabs>
              <w:spacing w:line="360" w:lineRule="auto"/>
              <w:jc w:val="left"/>
              <w:rPr>
                <w:rFonts w:hint="eastAsia" w:ascii="宋体" w:hAnsi="宋体" w:cs="宋体"/>
                <w:sz w:val="24"/>
                <w:szCs w:val="20"/>
              </w:rPr>
            </w:pPr>
          </w:p>
          <w:p w14:paraId="3298E4DF">
            <w:pPr>
              <w:tabs>
                <w:tab w:val="left" w:pos="5580"/>
              </w:tabs>
              <w:spacing w:line="360" w:lineRule="auto"/>
              <w:jc w:val="left"/>
              <w:rPr>
                <w:rFonts w:hint="eastAsia" w:ascii="宋体" w:hAnsi="宋体" w:cs="宋体"/>
                <w:sz w:val="24"/>
                <w:szCs w:val="20"/>
              </w:rPr>
            </w:pPr>
          </w:p>
          <w:p w14:paraId="2E9119AD">
            <w:pPr>
              <w:tabs>
                <w:tab w:val="left" w:pos="5580"/>
              </w:tabs>
              <w:spacing w:line="360" w:lineRule="auto"/>
              <w:jc w:val="left"/>
              <w:rPr>
                <w:rFonts w:hint="eastAsia" w:ascii="宋体" w:hAnsi="宋体" w:cs="宋体"/>
                <w:sz w:val="24"/>
                <w:szCs w:val="20"/>
              </w:rPr>
            </w:pPr>
          </w:p>
        </w:tc>
      </w:tr>
    </w:tbl>
    <w:p w14:paraId="0EC68ED7">
      <w:pPr>
        <w:autoSpaceDE w:val="0"/>
        <w:autoSpaceDN w:val="0"/>
        <w:adjustRightInd w:val="0"/>
        <w:snapToGrid w:val="0"/>
        <w:spacing w:line="360" w:lineRule="auto"/>
        <w:rPr>
          <w:rFonts w:hint="eastAsia" w:ascii="宋体" w:hAnsi="宋体" w:cs="宋体"/>
          <w:sz w:val="24"/>
        </w:rPr>
      </w:pPr>
    </w:p>
    <w:p w14:paraId="72627A16">
      <w:pPr>
        <w:autoSpaceDE w:val="0"/>
        <w:autoSpaceDN w:val="0"/>
        <w:adjustRightInd w:val="0"/>
        <w:snapToGrid w:val="0"/>
        <w:spacing w:line="360" w:lineRule="auto"/>
        <w:rPr>
          <w:rFonts w:hint="eastAsia" w:ascii="宋体" w:hAnsi="宋体" w:cs="宋体"/>
          <w:sz w:val="24"/>
          <w:lang w:val="zh-CN"/>
        </w:rPr>
      </w:pPr>
      <w:r>
        <w:rPr>
          <w:rFonts w:hint="eastAsia" w:ascii="宋体" w:hAnsi="宋体" w:cs="宋体"/>
          <w:sz w:val="24"/>
        </w:rPr>
        <w:t>供应商名称（加盖公章）</w:t>
      </w:r>
      <w:r>
        <w:rPr>
          <w:rFonts w:hint="eastAsia" w:ascii="宋体" w:hAnsi="宋体" w:cs="宋体"/>
          <w:sz w:val="24"/>
          <w:lang w:val="zh-CN"/>
        </w:rPr>
        <w:t>：</w:t>
      </w:r>
      <w:r>
        <w:rPr>
          <w:rFonts w:cs="宋体"/>
          <w:u w:val="single"/>
        </w:rPr>
        <w:t xml:space="preserve">  </w:t>
      </w:r>
      <w:r>
        <w:rPr>
          <w:rFonts w:hint="eastAsia" w:cs="宋体"/>
          <w:u w:val="single"/>
        </w:rPr>
        <w:t xml:space="preserve">  </w:t>
      </w:r>
      <w:r>
        <w:rPr>
          <w:rFonts w:cs="宋体"/>
          <w:u w:val="single"/>
        </w:rPr>
        <w:t xml:space="preserve">      </w:t>
      </w:r>
    </w:p>
    <w:p w14:paraId="46F28FBC">
      <w:pPr>
        <w:autoSpaceDE w:val="0"/>
        <w:autoSpaceDN w:val="0"/>
        <w:adjustRightInd w:val="0"/>
        <w:snapToGrid w:val="0"/>
        <w:spacing w:line="360" w:lineRule="auto"/>
        <w:rPr>
          <w:rFonts w:hint="eastAsia" w:ascii="宋体" w:hAnsi="宋体" w:cs="宋体"/>
          <w:sz w:val="24"/>
          <w:lang w:val="zh-CN"/>
        </w:rPr>
      </w:pPr>
      <w:r>
        <w:rPr>
          <w:rFonts w:hint="eastAsia" w:ascii="宋体" w:hAnsi="宋体" w:cs="宋体"/>
          <w:spacing w:val="-3"/>
          <w:sz w:val="24"/>
        </w:rPr>
        <w:t>法定代表人（</w:t>
      </w:r>
      <w:r>
        <w:rPr>
          <w:rFonts w:hint="eastAsia" w:ascii="宋体" w:hAnsi="宋体" w:cs="宋体"/>
          <w:sz w:val="24"/>
        </w:rPr>
        <w:t>单位负责人</w:t>
      </w:r>
      <w:r>
        <w:rPr>
          <w:rFonts w:hint="eastAsia" w:ascii="宋体" w:hAnsi="宋体" w:cs="宋体"/>
          <w:spacing w:val="-3"/>
          <w:sz w:val="24"/>
        </w:rPr>
        <w:t>）</w:t>
      </w:r>
      <w:r>
        <w:rPr>
          <w:rFonts w:hint="eastAsia" w:ascii="宋体" w:hAnsi="宋体" w:cs="宋体"/>
          <w:sz w:val="24"/>
        </w:rPr>
        <w:t>（签字或盖章）</w:t>
      </w:r>
      <w:r>
        <w:rPr>
          <w:rFonts w:hint="eastAsia" w:ascii="宋体" w:hAnsi="宋体" w:cs="宋体"/>
          <w:spacing w:val="-3"/>
          <w:sz w:val="24"/>
        </w:rPr>
        <w:t>：</w:t>
      </w:r>
      <w:r>
        <w:rPr>
          <w:rFonts w:cs="宋体"/>
          <w:u w:val="single"/>
        </w:rPr>
        <w:t xml:space="preserve">    </w:t>
      </w:r>
      <w:r>
        <w:rPr>
          <w:rFonts w:hint="eastAsia" w:cs="宋体"/>
          <w:u w:val="single"/>
        </w:rPr>
        <w:t xml:space="preserve">   </w:t>
      </w:r>
      <w:r>
        <w:rPr>
          <w:rFonts w:cs="宋体"/>
          <w:u w:val="single"/>
        </w:rPr>
        <w:t xml:space="preserve">    </w:t>
      </w:r>
    </w:p>
    <w:p w14:paraId="6280EEF2">
      <w:pPr>
        <w:autoSpaceDE w:val="0"/>
        <w:autoSpaceDN w:val="0"/>
        <w:adjustRightInd w:val="0"/>
        <w:snapToGrid w:val="0"/>
        <w:spacing w:line="360" w:lineRule="auto"/>
        <w:rPr>
          <w:rFonts w:hint="eastAsia" w:ascii="宋体" w:hAnsi="宋体" w:cs="宋体"/>
          <w:sz w:val="24"/>
          <w:lang w:val="zh-CN"/>
        </w:rPr>
      </w:pPr>
      <w:r>
        <w:rPr>
          <w:rFonts w:hint="eastAsia" w:ascii="宋体" w:hAnsi="宋体" w:cs="宋体"/>
          <w:sz w:val="24"/>
        </w:rPr>
        <w:t>日期：</w:t>
      </w:r>
      <w:r>
        <w:rPr>
          <w:rFonts w:cs="宋体"/>
          <w:u w:val="single"/>
        </w:rPr>
        <w:t xml:space="preserve">     </w:t>
      </w:r>
      <w:r>
        <w:rPr>
          <w:rFonts w:hint="eastAsia" w:ascii="宋体" w:hAnsi="宋体" w:cs="宋体"/>
          <w:sz w:val="24"/>
          <w:szCs w:val="20"/>
        </w:rPr>
        <w:t>年</w:t>
      </w:r>
      <w:r>
        <w:rPr>
          <w:rFonts w:cs="宋体"/>
          <w:u w:val="single"/>
        </w:rPr>
        <w:t xml:space="preserve">     </w:t>
      </w:r>
      <w:r>
        <w:rPr>
          <w:rFonts w:hint="eastAsia" w:ascii="宋体" w:hAnsi="宋体" w:cs="宋体"/>
          <w:sz w:val="24"/>
          <w:szCs w:val="20"/>
        </w:rPr>
        <w:t>月</w:t>
      </w:r>
      <w:r>
        <w:rPr>
          <w:rFonts w:cs="宋体"/>
          <w:u w:val="single"/>
        </w:rPr>
        <w:t xml:space="preserve">     </w:t>
      </w:r>
      <w:r>
        <w:rPr>
          <w:rFonts w:hint="eastAsia" w:ascii="宋体" w:hAnsi="宋体" w:cs="宋体"/>
          <w:sz w:val="24"/>
          <w:szCs w:val="20"/>
        </w:rPr>
        <w:t>日</w:t>
      </w:r>
    </w:p>
    <w:p w14:paraId="075B96FB">
      <w:pPr>
        <w:pStyle w:val="34"/>
        <w:kinsoku w:val="0"/>
        <w:overflowPunct w:val="0"/>
        <w:spacing w:line="583" w:lineRule="auto"/>
        <w:ind w:right="4305"/>
        <w:rPr>
          <w:rFonts w:hint="eastAsia" w:cs="仿宋"/>
          <w:spacing w:val="-3"/>
        </w:rPr>
      </w:pPr>
    </w:p>
    <w:p w14:paraId="5FBBBF39">
      <w:pPr>
        <w:pStyle w:val="34"/>
        <w:kinsoku w:val="0"/>
        <w:overflowPunct w:val="0"/>
        <w:spacing w:line="583" w:lineRule="auto"/>
        <w:ind w:right="4305"/>
        <w:rPr>
          <w:rFonts w:hint="eastAsia" w:cs="仿宋"/>
          <w:spacing w:val="-3"/>
        </w:rPr>
      </w:pPr>
    </w:p>
    <w:p w14:paraId="40A3D5B5">
      <w:pPr>
        <w:pStyle w:val="34"/>
        <w:kinsoku w:val="0"/>
        <w:overflowPunct w:val="0"/>
        <w:spacing w:line="583" w:lineRule="auto"/>
        <w:ind w:right="4305"/>
        <w:rPr>
          <w:rFonts w:hint="eastAsia" w:cs="仿宋"/>
          <w:spacing w:val="-3"/>
        </w:rPr>
      </w:pPr>
    </w:p>
    <w:p w14:paraId="684A5F16">
      <w:pPr>
        <w:pStyle w:val="34"/>
        <w:kinsoku w:val="0"/>
        <w:overflowPunct w:val="0"/>
        <w:spacing w:line="583" w:lineRule="auto"/>
        <w:ind w:right="4305"/>
        <w:rPr>
          <w:rFonts w:hint="eastAsia" w:cs="仿宋"/>
          <w:spacing w:val="-3"/>
        </w:rPr>
      </w:pPr>
    </w:p>
    <w:p w14:paraId="082EC323">
      <w:pPr>
        <w:pStyle w:val="34"/>
        <w:kinsoku w:val="0"/>
        <w:overflowPunct w:val="0"/>
        <w:spacing w:line="583" w:lineRule="auto"/>
        <w:ind w:right="4305"/>
        <w:rPr>
          <w:rFonts w:hint="eastAsia" w:cs="仿宋"/>
          <w:spacing w:val="-3"/>
        </w:rPr>
      </w:pPr>
    </w:p>
    <w:p w14:paraId="0500B7A9">
      <w:pPr>
        <w:pStyle w:val="34"/>
        <w:kinsoku w:val="0"/>
        <w:overflowPunct w:val="0"/>
        <w:spacing w:line="583" w:lineRule="auto"/>
        <w:ind w:right="4305"/>
        <w:rPr>
          <w:rFonts w:hint="eastAsia" w:cs="仿宋"/>
          <w:spacing w:val="-3"/>
        </w:rPr>
      </w:pPr>
    </w:p>
    <w:p w14:paraId="07928CBD">
      <w:pPr>
        <w:pStyle w:val="4"/>
        <w:widowControl/>
        <w:spacing w:line="360" w:lineRule="auto"/>
        <w:jc w:val="left"/>
        <w:rPr>
          <w:rFonts w:hint="eastAsia" w:cs="Arial" w:asciiTheme="minorEastAsia" w:hAnsiTheme="minorEastAsia" w:eastAsiaTheme="minorEastAsia"/>
          <w:b w:val="0"/>
          <w:sz w:val="24"/>
          <w:szCs w:val="24"/>
        </w:rPr>
      </w:pPr>
      <w:r>
        <w:rPr>
          <w:rFonts w:hint="eastAsia" w:cs="Arial" w:asciiTheme="minorEastAsia" w:hAnsiTheme="minorEastAsia" w:eastAsiaTheme="minorEastAsia"/>
          <w:b w:val="0"/>
          <w:sz w:val="24"/>
          <w:szCs w:val="24"/>
        </w:rPr>
        <w:t>7</w:t>
      </w:r>
      <w:r>
        <w:rPr>
          <w:rFonts w:cs="Arial" w:asciiTheme="minorEastAsia" w:hAnsiTheme="minorEastAsia" w:eastAsiaTheme="minorEastAsia"/>
          <w:b w:val="0"/>
          <w:sz w:val="24"/>
          <w:szCs w:val="24"/>
        </w:rPr>
        <w:t xml:space="preserve">  </w:t>
      </w:r>
      <w:r>
        <w:rPr>
          <w:rFonts w:hint="eastAsia" w:cs="宋体" w:asciiTheme="minorEastAsia" w:hAnsiTheme="minorEastAsia" w:eastAsiaTheme="minorEastAsia"/>
          <w:b w:val="0"/>
          <w:sz w:val="24"/>
          <w:szCs w:val="24"/>
        </w:rPr>
        <w:t>报价一览表（实质性格式）</w:t>
      </w:r>
    </w:p>
    <w:p w14:paraId="1C2DE6EF">
      <w:pPr>
        <w:widowControl/>
        <w:jc w:val="center"/>
        <w:rPr>
          <w:rFonts w:hint="eastAsia" w:cs="Arial" w:asciiTheme="minorEastAsia" w:hAnsiTheme="minorEastAsia" w:eastAsiaTheme="minorEastAsia"/>
          <w:b/>
          <w:sz w:val="32"/>
          <w:szCs w:val="32"/>
        </w:rPr>
      </w:pPr>
      <w:r>
        <w:rPr>
          <w:rFonts w:hint="eastAsia" w:cs="Arial" w:asciiTheme="minorEastAsia" w:hAnsiTheme="minorEastAsia" w:eastAsiaTheme="minorEastAsia"/>
          <w:b/>
          <w:sz w:val="32"/>
          <w:szCs w:val="32"/>
        </w:rPr>
        <w:t>报价一览表</w:t>
      </w:r>
    </w:p>
    <w:p w14:paraId="2801221D">
      <w:pPr>
        <w:widowControl/>
        <w:jc w:val="center"/>
        <w:rPr>
          <w:rFonts w:hint="eastAsia" w:cs="Arial" w:asciiTheme="minorEastAsia" w:hAnsiTheme="minorEastAsia" w:eastAsiaTheme="minorEastAsia"/>
          <w:b/>
          <w:sz w:val="24"/>
        </w:rPr>
      </w:pPr>
    </w:p>
    <w:p w14:paraId="4E866A5B">
      <w:pPr>
        <w:tabs>
          <w:tab w:val="left" w:pos="1800"/>
          <w:tab w:val="left" w:pos="5580"/>
        </w:tabs>
        <w:rPr>
          <w:rFonts w:hint="eastAsia" w:asciiTheme="minorEastAsia" w:hAnsiTheme="minorEastAsia" w:eastAsiaTheme="minorEastAsia"/>
          <w:color w:val="000000"/>
          <w:sz w:val="24"/>
        </w:rPr>
      </w:pPr>
      <w:r>
        <w:rPr>
          <w:rFonts w:asciiTheme="minorEastAsia" w:hAnsiTheme="minorEastAsia" w:eastAsiaTheme="minorEastAsia"/>
          <w:color w:val="000000"/>
          <w:sz w:val="24"/>
        </w:rPr>
        <w:t>项目名称：__________________</w:t>
      </w:r>
    </w:p>
    <w:p w14:paraId="15AB0B44">
      <w:pPr>
        <w:tabs>
          <w:tab w:val="left" w:pos="1800"/>
          <w:tab w:val="left" w:pos="5580"/>
        </w:tabs>
        <w:rPr>
          <w:rFonts w:hint="eastAsia" w:asciiTheme="minorEastAsia" w:hAnsiTheme="minorEastAsia" w:eastAsiaTheme="minorEastAsia"/>
          <w:color w:val="000000"/>
          <w:sz w:val="24"/>
          <w:u w:val="single"/>
        </w:rPr>
      </w:pPr>
      <w:r>
        <w:rPr>
          <w:rFonts w:asciiTheme="minorEastAsia" w:hAnsiTheme="minorEastAsia" w:eastAsiaTheme="minorEastAsia"/>
          <w:color w:val="000000"/>
          <w:sz w:val="24"/>
        </w:rPr>
        <w:t>项目编号：___________________________              报价单位：人民币元</w:t>
      </w:r>
    </w:p>
    <w:tbl>
      <w:tblPr>
        <w:tblStyle w:val="89"/>
        <w:tblW w:w="502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61"/>
        <w:gridCol w:w="3148"/>
        <w:gridCol w:w="5415"/>
      </w:tblGrid>
      <w:tr w14:paraId="42E7C2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02" w:hRule="atLeast"/>
          <w:jc w:val="center"/>
        </w:trPr>
        <w:tc>
          <w:tcPr>
            <w:tcW w:w="2096" w:type="pct"/>
            <w:gridSpan w:val="2"/>
            <w:vAlign w:val="center"/>
          </w:tcPr>
          <w:p w14:paraId="5DDBD9E3">
            <w:pPr>
              <w:snapToGrid w:val="0"/>
              <w:spacing w:line="360" w:lineRule="auto"/>
              <w:jc w:val="center"/>
              <w:rPr>
                <w:rFonts w:hint="eastAsia" w:asciiTheme="minorEastAsia" w:hAnsiTheme="minorEastAsia" w:eastAsiaTheme="minorEastAsia"/>
                <w:sz w:val="22"/>
                <w:szCs w:val="22"/>
              </w:rPr>
            </w:pPr>
            <w:r>
              <w:rPr>
                <w:rFonts w:hint="eastAsia" w:asciiTheme="minorEastAsia" w:hAnsiTheme="minorEastAsia" w:eastAsiaTheme="minorEastAsia"/>
                <w:sz w:val="22"/>
                <w:szCs w:val="22"/>
              </w:rPr>
              <w:t>响应报价</w:t>
            </w:r>
          </w:p>
        </w:tc>
        <w:tc>
          <w:tcPr>
            <w:tcW w:w="2904" w:type="pct"/>
            <w:vAlign w:val="center"/>
          </w:tcPr>
          <w:p w14:paraId="5642BD6B">
            <w:pPr>
              <w:snapToGrid w:val="0"/>
              <w:spacing w:line="360" w:lineRule="auto"/>
              <w:jc w:val="left"/>
              <w:rPr>
                <w:rFonts w:hint="eastAsia" w:asciiTheme="minorEastAsia" w:hAnsiTheme="minorEastAsia" w:eastAsiaTheme="minorEastAsia"/>
                <w:sz w:val="22"/>
                <w:szCs w:val="22"/>
              </w:rPr>
            </w:pPr>
            <w:r>
              <w:rPr>
                <w:rFonts w:hint="eastAsia" w:asciiTheme="minorEastAsia" w:hAnsiTheme="minorEastAsia" w:eastAsiaTheme="minorEastAsia"/>
                <w:sz w:val="22"/>
                <w:szCs w:val="22"/>
              </w:rPr>
              <w:t>大写：</w:t>
            </w:r>
            <w:r>
              <w:rPr>
                <w:rFonts w:cs="Arial" w:asciiTheme="minorEastAsia" w:hAnsiTheme="minorEastAsia" w:eastAsiaTheme="minorEastAsia"/>
                <w:color w:val="000000"/>
                <w:sz w:val="22"/>
                <w:szCs w:val="22"/>
                <w:u w:val="single"/>
              </w:rPr>
              <w:t xml:space="preserve">      </w:t>
            </w:r>
            <w:r>
              <w:rPr>
                <w:rFonts w:hint="eastAsia" w:cs="Arial" w:asciiTheme="minorEastAsia" w:hAnsiTheme="minorEastAsia" w:eastAsiaTheme="minorEastAsia"/>
                <w:color w:val="000000"/>
                <w:sz w:val="22"/>
                <w:szCs w:val="22"/>
                <w:u w:val="single"/>
              </w:rPr>
              <w:t xml:space="preserve">       </w:t>
            </w:r>
            <w:r>
              <w:rPr>
                <w:rFonts w:cs="Arial" w:asciiTheme="minorEastAsia" w:hAnsiTheme="minorEastAsia" w:eastAsiaTheme="minorEastAsia"/>
                <w:color w:val="000000"/>
                <w:sz w:val="22"/>
                <w:szCs w:val="22"/>
                <w:u w:val="single"/>
              </w:rPr>
              <w:t xml:space="preserve"> </w:t>
            </w:r>
            <w:r>
              <w:rPr>
                <w:rFonts w:hint="eastAsia" w:cs="Arial" w:asciiTheme="minorEastAsia" w:hAnsiTheme="minorEastAsia" w:eastAsiaTheme="minorEastAsia"/>
                <w:color w:val="000000"/>
                <w:sz w:val="22"/>
                <w:szCs w:val="22"/>
                <w:u w:val="single"/>
              </w:rPr>
              <w:t xml:space="preserve">             </w:t>
            </w:r>
            <w:r>
              <w:rPr>
                <w:rFonts w:cs="Arial" w:asciiTheme="minorEastAsia" w:hAnsiTheme="minorEastAsia" w:eastAsiaTheme="minorEastAsia"/>
                <w:color w:val="000000"/>
                <w:sz w:val="22"/>
                <w:szCs w:val="22"/>
                <w:u w:val="single"/>
              </w:rPr>
              <w:t xml:space="preserve">    </w:t>
            </w:r>
          </w:p>
          <w:p w14:paraId="5969978C">
            <w:pPr>
              <w:snapToGrid w:val="0"/>
              <w:spacing w:line="360" w:lineRule="auto"/>
              <w:jc w:val="left"/>
              <w:rPr>
                <w:rFonts w:hint="eastAsia" w:asciiTheme="minorEastAsia" w:hAnsiTheme="minorEastAsia" w:eastAsiaTheme="minorEastAsia"/>
                <w:sz w:val="22"/>
                <w:szCs w:val="22"/>
              </w:rPr>
            </w:pPr>
            <w:r>
              <w:rPr>
                <w:rFonts w:hint="eastAsia" w:asciiTheme="minorEastAsia" w:hAnsiTheme="minorEastAsia" w:eastAsiaTheme="minorEastAsia"/>
                <w:color w:val="000000"/>
                <w:sz w:val="22"/>
                <w:szCs w:val="22"/>
              </w:rPr>
              <w:t>RMB￥</w:t>
            </w:r>
            <w:r>
              <w:rPr>
                <w:rFonts w:hint="eastAsia" w:cs="Arial" w:asciiTheme="minorEastAsia" w:hAnsiTheme="minorEastAsia" w:eastAsiaTheme="minorEastAsia"/>
                <w:color w:val="000000"/>
                <w:sz w:val="22"/>
                <w:szCs w:val="22"/>
              </w:rPr>
              <w:t>：</w:t>
            </w:r>
            <w:r>
              <w:rPr>
                <w:rFonts w:cs="Arial" w:asciiTheme="minorEastAsia" w:hAnsiTheme="minorEastAsia" w:eastAsiaTheme="minorEastAsia"/>
                <w:color w:val="000000"/>
                <w:sz w:val="22"/>
                <w:szCs w:val="22"/>
                <w:u w:val="single"/>
              </w:rPr>
              <w:t xml:space="preserve">      </w:t>
            </w:r>
            <w:r>
              <w:rPr>
                <w:rFonts w:hint="eastAsia" w:cs="Arial" w:asciiTheme="minorEastAsia" w:hAnsiTheme="minorEastAsia" w:eastAsiaTheme="minorEastAsia"/>
                <w:color w:val="000000"/>
                <w:sz w:val="22"/>
                <w:szCs w:val="22"/>
                <w:u w:val="single"/>
              </w:rPr>
              <w:t xml:space="preserve">       </w:t>
            </w:r>
            <w:r>
              <w:rPr>
                <w:rFonts w:cs="Arial" w:asciiTheme="minorEastAsia" w:hAnsiTheme="minorEastAsia" w:eastAsiaTheme="minorEastAsia"/>
                <w:color w:val="000000"/>
                <w:sz w:val="22"/>
                <w:szCs w:val="22"/>
                <w:u w:val="single"/>
              </w:rPr>
              <w:t xml:space="preserve"> </w:t>
            </w:r>
            <w:r>
              <w:rPr>
                <w:rFonts w:hint="eastAsia" w:cs="Arial" w:asciiTheme="minorEastAsia" w:hAnsiTheme="minorEastAsia" w:eastAsiaTheme="minorEastAsia"/>
                <w:color w:val="000000"/>
                <w:sz w:val="22"/>
                <w:szCs w:val="22"/>
                <w:u w:val="single"/>
              </w:rPr>
              <w:t xml:space="preserve">             </w:t>
            </w:r>
            <w:r>
              <w:rPr>
                <w:rFonts w:cs="Arial" w:asciiTheme="minorEastAsia" w:hAnsiTheme="minorEastAsia" w:eastAsiaTheme="minorEastAsia"/>
                <w:color w:val="000000"/>
                <w:sz w:val="22"/>
                <w:szCs w:val="22"/>
                <w:u w:val="single"/>
              </w:rPr>
              <w:t xml:space="preserve">  </w:t>
            </w:r>
          </w:p>
        </w:tc>
      </w:tr>
      <w:tr w14:paraId="3D0225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0" w:hRule="atLeast"/>
          <w:jc w:val="center"/>
        </w:trPr>
        <w:tc>
          <w:tcPr>
            <w:tcW w:w="408" w:type="pct"/>
            <w:vMerge w:val="restart"/>
            <w:vAlign w:val="center"/>
          </w:tcPr>
          <w:p w14:paraId="5017F77F">
            <w:pPr>
              <w:snapToGrid w:val="0"/>
              <w:spacing w:line="360" w:lineRule="auto"/>
              <w:jc w:val="center"/>
              <w:rPr>
                <w:rFonts w:hint="eastAsia" w:asciiTheme="minorEastAsia" w:hAnsiTheme="minorEastAsia" w:eastAsiaTheme="minorEastAsia"/>
                <w:sz w:val="22"/>
                <w:szCs w:val="22"/>
              </w:rPr>
            </w:pPr>
            <w:r>
              <w:rPr>
                <w:rFonts w:hint="eastAsia" w:asciiTheme="minorEastAsia" w:hAnsiTheme="minorEastAsia" w:eastAsiaTheme="minorEastAsia"/>
                <w:sz w:val="22"/>
                <w:szCs w:val="22"/>
              </w:rPr>
              <w:t>其</w:t>
            </w:r>
          </w:p>
          <w:p w14:paraId="427EA631">
            <w:pPr>
              <w:snapToGrid w:val="0"/>
              <w:spacing w:line="360" w:lineRule="auto"/>
              <w:jc w:val="center"/>
              <w:rPr>
                <w:rFonts w:hint="eastAsia" w:asciiTheme="minorEastAsia" w:hAnsiTheme="minorEastAsia" w:eastAsiaTheme="minorEastAsia"/>
                <w:sz w:val="22"/>
                <w:szCs w:val="22"/>
              </w:rPr>
            </w:pPr>
            <w:r>
              <w:rPr>
                <w:rFonts w:hint="eastAsia" w:asciiTheme="minorEastAsia" w:hAnsiTheme="minorEastAsia" w:eastAsiaTheme="minorEastAsia"/>
                <w:sz w:val="22"/>
                <w:szCs w:val="22"/>
              </w:rPr>
              <w:t>中</w:t>
            </w:r>
          </w:p>
        </w:tc>
        <w:tc>
          <w:tcPr>
            <w:tcW w:w="1688" w:type="pct"/>
            <w:vAlign w:val="center"/>
          </w:tcPr>
          <w:p w14:paraId="0FBA8497">
            <w:pPr>
              <w:snapToGrid w:val="0"/>
              <w:jc w:val="center"/>
              <w:rPr>
                <w:rFonts w:hint="eastAsia" w:asciiTheme="minorEastAsia" w:hAnsiTheme="minorEastAsia" w:eastAsiaTheme="minorEastAsia"/>
                <w:sz w:val="22"/>
                <w:szCs w:val="22"/>
              </w:rPr>
            </w:pPr>
            <w:r>
              <w:rPr>
                <w:rFonts w:hint="eastAsia" w:asciiTheme="minorEastAsia" w:hAnsiTheme="minorEastAsia" w:eastAsiaTheme="minorEastAsia"/>
                <w:color w:val="000000"/>
                <w:sz w:val="22"/>
                <w:szCs w:val="22"/>
              </w:rPr>
              <w:t>安全生产标准化措施费（含税）</w:t>
            </w:r>
          </w:p>
        </w:tc>
        <w:tc>
          <w:tcPr>
            <w:tcW w:w="2904" w:type="pct"/>
            <w:vAlign w:val="center"/>
          </w:tcPr>
          <w:p w14:paraId="017D3FB8">
            <w:pPr>
              <w:snapToGrid w:val="0"/>
              <w:spacing w:line="360" w:lineRule="auto"/>
              <w:jc w:val="left"/>
              <w:rPr>
                <w:rFonts w:hint="eastAsia" w:asciiTheme="minorEastAsia" w:hAnsiTheme="minorEastAsia" w:eastAsiaTheme="minorEastAsia"/>
                <w:sz w:val="22"/>
                <w:szCs w:val="22"/>
              </w:rPr>
            </w:pPr>
            <w:r>
              <w:rPr>
                <w:rFonts w:hint="eastAsia" w:asciiTheme="minorEastAsia" w:hAnsiTheme="minorEastAsia" w:eastAsiaTheme="minorEastAsia"/>
                <w:color w:val="000000"/>
                <w:sz w:val="22"/>
                <w:szCs w:val="22"/>
              </w:rPr>
              <w:t>RMB￥</w:t>
            </w:r>
            <w:r>
              <w:rPr>
                <w:rFonts w:hint="eastAsia" w:cs="Arial" w:asciiTheme="minorEastAsia" w:hAnsiTheme="minorEastAsia" w:eastAsiaTheme="minorEastAsia"/>
                <w:color w:val="000000"/>
                <w:sz w:val="22"/>
                <w:szCs w:val="22"/>
              </w:rPr>
              <w:t>：</w:t>
            </w:r>
            <w:r>
              <w:rPr>
                <w:rFonts w:cs="Arial" w:asciiTheme="minorEastAsia" w:hAnsiTheme="minorEastAsia" w:eastAsiaTheme="minorEastAsia"/>
                <w:color w:val="000000"/>
                <w:sz w:val="22"/>
                <w:szCs w:val="22"/>
                <w:u w:val="single"/>
              </w:rPr>
              <w:t xml:space="preserve">      </w:t>
            </w:r>
            <w:r>
              <w:rPr>
                <w:rFonts w:hint="eastAsia" w:cs="Arial" w:asciiTheme="minorEastAsia" w:hAnsiTheme="minorEastAsia" w:eastAsiaTheme="minorEastAsia"/>
                <w:color w:val="000000"/>
                <w:sz w:val="22"/>
                <w:szCs w:val="22"/>
                <w:u w:val="single"/>
              </w:rPr>
              <w:t xml:space="preserve">       </w:t>
            </w:r>
            <w:r>
              <w:rPr>
                <w:rFonts w:cs="Arial" w:asciiTheme="minorEastAsia" w:hAnsiTheme="minorEastAsia" w:eastAsiaTheme="minorEastAsia"/>
                <w:color w:val="000000"/>
                <w:sz w:val="22"/>
                <w:szCs w:val="22"/>
                <w:u w:val="single"/>
              </w:rPr>
              <w:t xml:space="preserve"> </w:t>
            </w:r>
            <w:r>
              <w:rPr>
                <w:rFonts w:hint="eastAsia" w:cs="Arial" w:asciiTheme="minorEastAsia" w:hAnsiTheme="minorEastAsia" w:eastAsiaTheme="minorEastAsia"/>
                <w:color w:val="000000"/>
                <w:sz w:val="22"/>
                <w:szCs w:val="22"/>
                <w:u w:val="single"/>
              </w:rPr>
              <w:t xml:space="preserve">             </w:t>
            </w:r>
            <w:r>
              <w:rPr>
                <w:rFonts w:cs="Arial" w:asciiTheme="minorEastAsia" w:hAnsiTheme="minorEastAsia" w:eastAsiaTheme="minorEastAsia"/>
                <w:color w:val="000000"/>
                <w:sz w:val="22"/>
                <w:szCs w:val="22"/>
                <w:u w:val="single"/>
              </w:rPr>
              <w:t xml:space="preserve">  </w:t>
            </w:r>
          </w:p>
        </w:tc>
      </w:tr>
      <w:tr w14:paraId="606192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4" w:hRule="atLeast"/>
          <w:jc w:val="center"/>
        </w:trPr>
        <w:tc>
          <w:tcPr>
            <w:tcW w:w="408" w:type="pct"/>
            <w:vMerge w:val="continue"/>
            <w:vAlign w:val="center"/>
          </w:tcPr>
          <w:p w14:paraId="16628731">
            <w:pPr>
              <w:snapToGrid w:val="0"/>
              <w:spacing w:line="360" w:lineRule="auto"/>
              <w:jc w:val="center"/>
              <w:rPr>
                <w:rFonts w:hint="eastAsia" w:asciiTheme="minorEastAsia" w:hAnsiTheme="minorEastAsia" w:eastAsiaTheme="minorEastAsia"/>
                <w:sz w:val="22"/>
                <w:szCs w:val="22"/>
              </w:rPr>
            </w:pPr>
          </w:p>
        </w:tc>
        <w:tc>
          <w:tcPr>
            <w:tcW w:w="1688" w:type="pct"/>
            <w:vAlign w:val="center"/>
          </w:tcPr>
          <w:p w14:paraId="5CE91168">
            <w:pPr>
              <w:snapToGrid w:val="0"/>
              <w:jc w:val="center"/>
              <w:rPr>
                <w:rFonts w:hint="eastAsia" w:asciiTheme="minorEastAsia" w:hAnsiTheme="minorEastAsia" w:eastAsiaTheme="minorEastAsia"/>
                <w:sz w:val="22"/>
                <w:szCs w:val="22"/>
              </w:rPr>
            </w:pPr>
            <w:r>
              <w:rPr>
                <w:rFonts w:hint="eastAsia" w:cs="Arial" w:asciiTheme="minorEastAsia" w:hAnsiTheme="minorEastAsia" w:eastAsiaTheme="minorEastAsia"/>
                <w:color w:val="000000"/>
                <w:sz w:val="22"/>
                <w:szCs w:val="22"/>
              </w:rPr>
              <w:t>建筑垃圾运输处置费(含税)</w:t>
            </w:r>
          </w:p>
        </w:tc>
        <w:tc>
          <w:tcPr>
            <w:tcW w:w="2904" w:type="pct"/>
            <w:vAlign w:val="center"/>
          </w:tcPr>
          <w:p w14:paraId="744D9BDE">
            <w:pPr>
              <w:snapToGrid w:val="0"/>
              <w:spacing w:line="360" w:lineRule="auto"/>
              <w:jc w:val="left"/>
              <w:rPr>
                <w:rFonts w:hint="eastAsia" w:asciiTheme="minorEastAsia" w:hAnsiTheme="minorEastAsia" w:eastAsiaTheme="minorEastAsia"/>
                <w:sz w:val="22"/>
                <w:szCs w:val="22"/>
              </w:rPr>
            </w:pPr>
            <w:r>
              <w:rPr>
                <w:rFonts w:hint="eastAsia" w:asciiTheme="minorEastAsia" w:hAnsiTheme="minorEastAsia" w:eastAsiaTheme="minorEastAsia"/>
                <w:color w:val="000000"/>
                <w:sz w:val="22"/>
                <w:szCs w:val="22"/>
              </w:rPr>
              <w:t>RMB￥</w:t>
            </w:r>
            <w:r>
              <w:rPr>
                <w:rFonts w:hint="eastAsia" w:cs="Arial" w:asciiTheme="minorEastAsia" w:hAnsiTheme="minorEastAsia" w:eastAsiaTheme="minorEastAsia"/>
                <w:color w:val="000000"/>
                <w:sz w:val="22"/>
                <w:szCs w:val="22"/>
              </w:rPr>
              <w:t>：</w:t>
            </w:r>
            <w:r>
              <w:rPr>
                <w:rFonts w:cs="Arial" w:asciiTheme="minorEastAsia" w:hAnsiTheme="minorEastAsia" w:eastAsiaTheme="minorEastAsia"/>
                <w:color w:val="000000"/>
                <w:sz w:val="22"/>
                <w:szCs w:val="22"/>
                <w:u w:val="single"/>
              </w:rPr>
              <w:t xml:space="preserve">      </w:t>
            </w:r>
            <w:r>
              <w:rPr>
                <w:rFonts w:hint="eastAsia" w:cs="Arial" w:asciiTheme="minorEastAsia" w:hAnsiTheme="minorEastAsia" w:eastAsiaTheme="minorEastAsia"/>
                <w:color w:val="000000"/>
                <w:sz w:val="22"/>
                <w:szCs w:val="22"/>
                <w:u w:val="single"/>
              </w:rPr>
              <w:t xml:space="preserve">       </w:t>
            </w:r>
            <w:r>
              <w:rPr>
                <w:rFonts w:cs="Arial" w:asciiTheme="minorEastAsia" w:hAnsiTheme="minorEastAsia" w:eastAsiaTheme="minorEastAsia"/>
                <w:color w:val="000000"/>
                <w:sz w:val="22"/>
                <w:szCs w:val="22"/>
                <w:u w:val="single"/>
              </w:rPr>
              <w:t xml:space="preserve"> </w:t>
            </w:r>
            <w:r>
              <w:rPr>
                <w:rFonts w:hint="eastAsia" w:cs="Arial" w:asciiTheme="minorEastAsia" w:hAnsiTheme="minorEastAsia" w:eastAsiaTheme="minorEastAsia"/>
                <w:color w:val="000000"/>
                <w:sz w:val="22"/>
                <w:szCs w:val="22"/>
                <w:u w:val="single"/>
              </w:rPr>
              <w:t xml:space="preserve">             </w:t>
            </w:r>
            <w:r>
              <w:rPr>
                <w:rFonts w:cs="Arial" w:asciiTheme="minorEastAsia" w:hAnsiTheme="minorEastAsia" w:eastAsiaTheme="minorEastAsia"/>
                <w:color w:val="000000"/>
                <w:sz w:val="22"/>
                <w:szCs w:val="22"/>
                <w:u w:val="single"/>
              </w:rPr>
              <w:t xml:space="preserve">  </w:t>
            </w:r>
          </w:p>
        </w:tc>
      </w:tr>
      <w:tr w14:paraId="074E1B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9" w:hRule="atLeast"/>
          <w:jc w:val="center"/>
        </w:trPr>
        <w:tc>
          <w:tcPr>
            <w:tcW w:w="408" w:type="pct"/>
            <w:vMerge w:val="continue"/>
            <w:vAlign w:val="center"/>
          </w:tcPr>
          <w:p w14:paraId="1A46C5CF">
            <w:pPr>
              <w:snapToGrid w:val="0"/>
              <w:spacing w:line="360" w:lineRule="auto"/>
              <w:jc w:val="center"/>
              <w:rPr>
                <w:rFonts w:hint="eastAsia" w:asciiTheme="minorEastAsia" w:hAnsiTheme="minorEastAsia" w:eastAsiaTheme="minorEastAsia"/>
                <w:sz w:val="22"/>
                <w:szCs w:val="22"/>
              </w:rPr>
            </w:pPr>
          </w:p>
        </w:tc>
        <w:tc>
          <w:tcPr>
            <w:tcW w:w="1688" w:type="pct"/>
            <w:vAlign w:val="center"/>
          </w:tcPr>
          <w:p w14:paraId="281F60AE">
            <w:pPr>
              <w:snapToGrid w:val="0"/>
              <w:jc w:val="center"/>
              <w:rPr>
                <w:rFonts w:hint="eastAsia" w:asciiTheme="minorEastAsia" w:hAnsiTheme="minorEastAsia" w:eastAsiaTheme="minorEastAsia"/>
                <w:sz w:val="22"/>
                <w:szCs w:val="22"/>
              </w:rPr>
            </w:pPr>
            <w:r>
              <w:rPr>
                <w:rFonts w:hint="eastAsia" w:cs="Arial" w:asciiTheme="minorEastAsia" w:hAnsiTheme="minorEastAsia" w:eastAsiaTheme="minorEastAsia"/>
                <w:color w:val="000000"/>
                <w:sz w:val="22"/>
                <w:szCs w:val="22"/>
              </w:rPr>
              <w:t>农民工工伤保险费</w:t>
            </w:r>
          </w:p>
        </w:tc>
        <w:tc>
          <w:tcPr>
            <w:tcW w:w="2904" w:type="pct"/>
            <w:vAlign w:val="center"/>
          </w:tcPr>
          <w:p w14:paraId="56CCBBD1">
            <w:pPr>
              <w:snapToGrid w:val="0"/>
              <w:spacing w:line="360" w:lineRule="auto"/>
              <w:jc w:val="left"/>
              <w:rPr>
                <w:rFonts w:hint="eastAsia" w:asciiTheme="minorEastAsia" w:hAnsiTheme="minorEastAsia" w:eastAsiaTheme="minorEastAsia"/>
                <w:sz w:val="22"/>
                <w:szCs w:val="22"/>
              </w:rPr>
            </w:pPr>
            <w:r>
              <w:rPr>
                <w:rFonts w:hint="eastAsia" w:asciiTheme="minorEastAsia" w:hAnsiTheme="minorEastAsia" w:eastAsiaTheme="minorEastAsia"/>
                <w:color w:val="000000"/>
                <w:sz w:val="22"/>
                <w:szCs w:val="22"/>
              </w:rPr>
              <w:t>RMB￥</w:t>
            </w:r>
            <w:r>
              <w:rPr>
                <w:rFonts w:hint="eastAsia" w:cs="Arial" w:asciiTheme="minorEastAsia" w:hAnsiTheme="minorEastAsia" w:eastAsiaTheme="minorEastAsia"/>
                <w:color w:val="000000"/>
                <w:sz w:val="22"/>
                <w:szCs w:val="22"/>
              </w:rPr>
              <w:t>：</w:t>
            </w:r>
            <w:r>
              <w:rPr>
                <w:rFonts w:cs="Arial" w:asciiTheme="minorEastAsia" w:hAnsiTheme="minorEastAsia" w:eastAsiaTheme="minorEastAsia"/>
                <w:color w:val="000000"/>
                <w:sz w:val="22"/>
                <w:szCs w:val="22"/>
                <w:u w:val="single"/>
              </w:rPr>
              <w:t xml:space="preserve">      </w:t>
            </w:r>
            <w:r>
              <w:rPr>
                <w:rFonts w:hint="eastAsia" w:cs="Arial" w:asciiTheme="minorEastAsia" w:hAnsiTheme="minorEastAsia" w:eastAsiaTheme="minorEastAsia"/>
                <w:color w:val="000000"/>
                <w:sz w:val="22"/>
                <w:szCs w:val="22"/>
                <w:u w:val="single"/>
              </w:rPr>
              <w:t xml:space="preserve">       </w:t>
            </w:r>
            <w:r>
              <w:rPr>
                <w:rFonts w:cs="Arial" w:asciiTheme="minorEastAsia" w:hAnsiTheme="minorEastAsia" w:eastAsiaTheme="minorEastAsia"/>
                <w:color w:val="000000"/>
                <w:sz w:val="22"/>
                <w:szCs w:val="22"/>
                <w:u w:val="single"/>
              </w:rPr>
              <w:t xml:space="preserve"> </w:t>
            </w:r>
            <w:r>
              <w:rPr>
                <w:rFonts w:hint="eastAsia" w:cs="Arial" w:asciiTheme="minorEastAsia" w:hAnsiTheme="minorEastAsia" w:eastAsiaTheme="minorEastAsia"/>
                <w:color w:val="000000"/>
                <w:sz w:val="22"/>
                <w:szCs w:val="22"/>
                <w:u w:val="single"/>
              </w:rPr>
              <w:t xml:space="preserve">             </w:t>
            </w:r>
            <w:r>
              <w:rPr>
                <w:rFonts w:cs="Arial" w:asciiTheme="minorEastAsia" w:hAnsiTheme="minorEastAsia" w:eastAsiaTheme="minorEastAsia"/>
                <w:color w:val="000000"/>
                <w:sz w:val="22"/>
                <w:szCs w:val="22"/>
                <w:u w:val="single"/>
              </w:rPr>
              <w:t xml:space="preserve">  </w:t>
            </w:r>
          </w:p>
        </w:tc>
      </w:tr>
      <w:tr w14:paraId="3F8139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97" w:hRule="atLeast"/>
          <w:jc w:val="center"/>
        </w:trPr>
        <w:tc>
          <w:tcPr>
            <w:tcW w:w="408" w:type="pct"/>
            <w:vMerge w:val="continue"/>
            <w:vAlign w:val="center"/>
          </w:tcPr>
          <w:p w14:paraId="5A74023A">
            <w:pPr>
              <w:snapToGrid w:val="0"/>
              <w:spacing w:line="360" w:lineRule="auto"/>
              <w:jc w:val="center"/>
              <w:rPr>
                <w:rFonts w:hint="eastAsia" w:asciiTheme="minorEastAsia" w:hAnsiTheme="minorEastAsia" w:eastAsiaTheme="minorEastAsia"/>
                <w:sz w:val="22"/>
                <w:szCs w:val="22"/>
              </w:rPr>
            </w:pPr>
          </w:p>
        </w:tc>
        <w:tc>
          <w:tcPr>
            <w:tcW w:w="1688" w:type="pct"/>
            <w:vAlign w:val="center"/>
          </w:tcPr>
          <w:p w14:paraId="2F865638">
            <w:pPr>
              <w:snapToGrid w:val="0"/>
              <w:jc w:val="center"/>
              <w:rPr>
                <w:rFonts w:hint="eastAsia" w:asciiTheme="minorEastAsia" w:hAnsiTheme="minorEastAsia" w:eastAsiaTheme="minorEastAsia"/>
                <w:sz w:val="22"/>
                <w:szCs w:val="22"/>
              </w:rPr>
            </w:pPr>
            <w:r>
              <w:rPr>
                <w:rFonts w:hint="eastAsia" w:cs="Arial" w:asciiTheme="minorEastAsia" w:hAnsiTheme="minorEastAsia" w:eastAsiaTheme="minorEastAsia"/>
                <w:color w:val="000000"/>
                <w:sz w:val="22"/>
                <w:szCs w:val="22"/>
              </w:rPr>
              <w:t>暂列金额（不包括计日工部分）</w:t>
            </w:r>
            <w:r>
              <w:rPr>
                <w:rFonts w:hint="eastAsia" w:asciiTheme="minorEastAsia" w:hAnsiTheme="minorEastAsia" w:eastAsiaTheme="minorEastAsia"/>
                <w:sz w:val="22"/>
                <w:szCs w:val="22"/>
              </w:rPr>
              <w:t>（含税）</w:t>
            </w:r>
            <w:r>
              <w:rPr>
                <w:rFonts w:hint="eastAsia" w:cs="Arial" w:asciiTheme="minorEastAsia" w:hAnsiTheme="minorEastAsia" w:eastAsiaTheme="minorEastAsia"/>
                <w:color w:val="000000"/>
                <w:sz w:val="22"/>
                <w:szCs w:val="22"/>
              </w:rPr>
              <w:t>合计金额</w:t>
            </w:r>
          </w:p>
        </w:tc>
        <w:tc>
          <w:tcPr>
            <w:tcW w:w="2904" w:type="pct"/>
            <w:vAlign w:val="center"/>
          </w:tcPr>
          <w:p w14:paraId="4FA67271">
            <w:pPr>
              <w:snapToGrid w:val="0"/>
              <w:spacing w:line="360" w:lineRule="auto"/>
              <w:jc w:val="left"/>
              <w:rPr>
                <w:rFonts w:hint="eastAsia" w:asciiTheme="minorEastAsia" w:hAnsiTheme="minorEastAsia" w:eastAsiaTheme="minorEastAsia"/>
                <w:sz w:val="22"/>
                <w:szCs w:val="22"/>
              </w:rPr>
            </w:pPr>
            <w:r>
              <w:rPr>
                <w:rFonts w:hint="eastAsia" w:asciiTheme="minorEastAsia" w:hAnsiTheme="minorEastAsia" w:eastAsiaTheme="minorEastAsia"/>
                <w:color w:val="000000"/>
                <w:sz w:val="22"/>
                <w:szCs w:val="22"/>
              </w:rPr>
              <w:t>RMB￥</w:t>
            </w:r>
            <w:r>
              <w:rPr>
                <w:rFonts w:hint="eastAsia" w:cs="Arial" w:asciiTheme="minorEastAsia" w:hAnsiTheme="minorEastAsia" w:eastAsiaTheme="minorEastAsia"/>
                <w:color w:val="000000"/>
                <w:sz w:val="22"/>
                <w:szCs w:val="22"/>
              </w:rPr>
              <w:t>：</w:t>
            </w:r>
            <w:r>
              <w:rPr>
                <w:rFonts w:cs="Arial" w:asciiTheme="minorEastAsia" w:hAnsiTheme="minorEastAsia" w:eastAsiaTheme="minorEastAsia"/>
                <w:color w:val="000000"/>
                <w:sz w:val="22"/>
                <w:szCs w:val="22"/>
                <w:u w:val="single"/>
              </w:rPr>
              <w:t xml:space="preserve">      </w:t>
            </w:r>
            <w:r>
              <w:rPr>
                <w:rFonts w:hint="eastAsia" w:cs="Arial" w:asciiTheme="minorEastAsia" w:hAnsiTheme="minorEastAsia" w:eastAsiaTheme="minorEastAsia"/>
                <w:color w:val="000000"/>
                <w:sz w:val="22"/>
                <w:szCs w:val="22"/>
                <w:u w:val="single"/>
              </w:rPr>
              <w:t xml:space="preserve">       </w:t>
            </w:r>
            <w:r>
              <w:rPr>
                <w:rFonts w:cs="Arial" w:asciiTheme="minorEastAsia" w:hAnsiTheme="minorEastAsia" w:eastAsiaTheme="minorEastAsia"/>
                <w:color w:val="000000"/>
                <w:sz w:val="22"/>
                <w:szCs w:val="22"/>
                <w:u w:val="single"/>
              </w:rPr>
              <w:t xml:space="preserve"> </w:t>
            </w:r>
            <w:r>
              <w:rPr>
                <w:rFonts w:hint="eastAsia" w:cs="Arial" w:asciiTheme="minorEastAsia" w:hAnsiTheme="minorEastAsia" w:eastAsiaTheme="minorEastAsia"/>
                <w:color w:val="000000"/>
                <w:sz w:val="22"/>
                <w:szCs w:val="22"/>
                <w:u w:val="single"/>
              </w:rPr>
              <w:t xml:space="preserve">             </w:t>
            </w:r>
            <w:r>
              <w:rPr>
                <w:rFonts w:cs="Arial" w:asciiTheme="minorEastAsia" w:hAnsiTheme="minorEastAsia" w:eastAsiaTheme="minorEastAsia"/>
                <w:color w:val="000000"/>
                <w:sz w:val="22"/>
                <w:szCs w:val="22"/>
                <w:u w:val="single"/>
              </w:rPr>
              <w:t xml:space="preserve">  </w:t>
            </w:r>
          </w:p>
        </w:tc>
      </w:tr>
      <w:tr w14:paraId="2FDCC4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9" w:hRule="atLeast"/>
          <w:jc w:val="center"/>
        </w:trPr>
        <w:tc>
          <w:tcPr>
            <w:tcW w:w="408" w:type="pct"/>
            <w:vMerge w:val="continue"/>
            <w:vAlign w:val="center"/>
          </w:tcPr>
          <w:p w14:paraId="5B89FAFD">
            <w:pPr>
              <w:snapToGrid w:val="0"/>
              <w:spacing w:line="360" w:lineRule="auto"/>
              <w:jc w:val="center"/>
              <w:rPr>
                <w:rFonts w:hint="eastAsia" w:asciiTheme="minorEastAsia" w:hAnsiTheme="minorEastAsia" w:eastAsiaTheme="minorEastAsia"/>
                <w:sz w:val="22"/>
                <w:szCs w:val="22"/>
              </w:rPr>
            </w:pPr>
          </w:p>
        </w:tc>
        <w:tc>
          <w:tcPr>
            <w:tcW w:w="1688" w:type="pct"/>
            <w:vAlign w:val="center"/>
          </w:tcPr>
          <w:p w14:paraId="576EA628">
            <w:pPr>
              <w:snapToGrid w:val="0"/>
              <w:jc w:val="center"/>
              <w:rPr>
                <w:rFonts w:hint="eastAsia" w:cs="Arial" w:asciiTheme="minorEastAsia" w:hAnsiTheme="minorEastAsia" w:eastAsiaTheme="minorEastAsia"/>
                <w:color w:val="000000"/>
                <w:sz w:val="22"/>
                <w:szCs w:val="22"/>
              </w:rPr>
            </w:pPr>
            <w:r>
              <w:rPr>
                <w:rFonts w:hint="eastAsia" w:cs="Arial" w:asciiTheme="minorEastAsia" w:hAnsiTheme="minorEastAsia" w:eastAsiaTheme="minorEastAsia"/>
                <w:color w:val="000000"/>
                <w:sz w:val="22"/>
                <w:szCs w:val="22"/>
              </w:rPr>
              <w:t>专业工程暂估价（含税）</w:t>
            </w:r>
          </w:p>
          <w:p w14:paraId="4AE93C19">
            <w:pPr>
              <w:snapToGrid w:val="0"/>
              <w:jc w:val="center"/>
              <w:rPr>
                <w:rFonts w:hint="eastAsia" w:asciiTheme="minorEastAsia" w:hAnsiTheme="minorEastAsia" w:eastAsiaTheme="minorEastAsia"/>
                <w:sz w:val="22"/>
                <w:szCs w:val="22"/>
              </w:rPr>
            </w:pPr>
            <w:r>
              <w:rPr>
                <w:rFonts w:hint="eastAsia" w:cs="Arial" w:asciiTheme="minorEastAsia" w:hAnsiTheme="minorEastAsia" w:eastAsiaTheme="minorEastAsia"/>
                <w:color w:val="000000"/>
                <w:sz w:val="22"/>
                <w:szCs w:val="22"/>
              </w:rPr>
              <w:t>合计金额</w:t>
            </w:r>
          </w:p>
        </w:tc>
        <w:tc>
          <w:tcPr>
            <w:tcW w:w="2904" w:type="pct"/>
            <w:vAlign w:val="center"/>
          </w:tcPr>
          <w:p w14:paraId="70B376AD">
            <w:pPr>
              <w:snapToGrid w:val="0"/>
              <w:spacing w:line="360" w:lineRule="auto"/>
              <w:jc w:val="left"/>
              <w:rPr>
                <w:rFonts w:hint="eastAsia" w:asciiTheme="minorEastAsia" w:hAnsiTheme="minorEastAsia" w:eastAsiaTheme="minorEastAsia"/>
                <w:sz w:val="22"/>
                <w:szCs w:val="22"/>
              </w:rPr>
            </w:pPr>
            <w:r>
              <w:rPr>
                <w:rFonts w:hint="eastAsia" w:asciiTheme="minorEastAsia" w:hAnsiTheme="minorEastAsia" w:eastAsiaTheme="minorEastAsia"/>
                <w:color w:val="000000"/>
                <w:sz w:val="22"/>
                <w:szCs w:val="22"/>
              </w:rPr>
              <w:t>RMB￥</w:t>
            </w:r>
            <w:r>
              <w:rPr>
                <w:rFonts w:hint="eastAsia" w:cs="Arial" w:asciiTheme="minorEastAsia" w:hAnsiTheme="minorEastAsia" w:eastAsiaTheme="minorEastAsia"/>
                <w:color w:val="000000"/>
                <w:sz w:val="22"/>
                <w:szCs w:val="22"/>
              </w:rPr>
              <w:t>：</w:t>
            </w:r>
            <w:r>
              <w:rPr>
                <w:rFonts w:cs="Arial" w:asciiTheme="minorEastAsia" w:hAnsiTheme="minorEastAsia" w:eastAsiaTheme="minorEastAsia"/>
                <w:color w:val="000000"/>
                <w:sz w:val="22"/>
                <w:szCs w:val="22"/>
                <w:u w:val="single"/>
              </w:rPr>
              <w:t xml:space="preserve">      </w:t>
            </w:r>
            <w:r>
              <w:rPr>
                <w:rFonts w:hint="eastAsia" w:cs="Arial" w:asciiTheme="minorEastAsia" w:hAnsiTheme="minorEastAsia" w:eastAsiaTheme="minorEastAsia"/>
                <w:color w:val="000000"/>
                <w:sz w:val="22"/>
                <w:szCs w:val="22"/>
                <w:u w:val="single"/>
              </w:rPr>
              <w:t xml:space="preserve">       </w:t>
            </w:r>
            <w:r>
              <w:rPr>
                <w:rFonts w:cs="Arial" w:asciiTheme="minorEastAsia" w:hAnsiTheme="minorEastAsia" w:eastAsiaTheme="minorEastAsia"/>
                <w:color w:val="000000"/>
                <w:sz w:val="22"/>
                <w:szCs w:val="22"/>
                <w:u w:val="single"/>
              </w:rPr>
              <w:t xml:space="preserve"> </w:t>
            </w:r>
            <w:r>
              <w:rPr>
                <w:rFonts w:hint="eastAsia" w:cs="Arial" w:asciiTheme="minorEastAsia" w:hAnsiTheme="minorEastAsia" w:eastAsiaTheme="minorEastAsia"/>
                <w:color w:val="000000"/>
                <w:sz w:val="22"/>
                <w:szCs w:val="22"/>
                <w:u w:val="single"/>
              </w:rPr>
              <w:t xml:space="preserve">             </w:t>
            </w:r>
            <w:r>
              <w:rPr>
                <w:rFonts w:cs="Arial" w:asciiTheme="minorEastAsia" w:hAnsiTheme="minorEastAsia" w:eastAsiaTheme="minorEastAsia"/>
                <w:color w:val="000000"/>
                <w:sz w:val="22"/>
                <w:szCs w:val="22"/>
                <w:u w:val="single"/>
              </w:rPr>
              <w:t xml:space="preserve">  </w:t>
            </w:r>
          </w:p>
        </w:tc>
      </w:tr>
      <w:tr w14:paraId="151273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0" w:hRule="atLeast"/>
          <w:jc w:val="center"/>
        </w:trPr>
        <w:tc>
          <w:tcPr>
            <w:tcW w:w="2096" w:type="pct"/>
            <w:gridSpan w:val="2"/>
            <w:vAlign w:val="center"/>
          </w:tcPr>
          <w:p w14:paraId="43750E55">
            <w:pPr>
              <w:snapToGrid w:val="0"/>
              <w:jc w:val="center"/>
              <w:rPr>
                <w:rFonts w:hint="eastAsia" w:asciiTheme="minorEastAsia" w:hAnsiTheme="minorEastAsia" w:eastAsiaTheme="minorEastAsia"/>
                <w:sz w:val="22"/>
                <w:szCs w:val="22"/>
              </w:rPr>
            </w:pPr>
            <w:r>
              <w:rPr>
                <w:rFonts w:hint="eastAsia" w:cs="宋体" w:asciiTheme="minorEastAsia" w:hAnsiTheme="minorEastAsia" w:eastAsiaTheme="minorEastAsia"/>
                <w:sz w:val="22"/>
                <w:szCs w:val="22"/>
              </w:rPr>
              <w:t>工期</w:t>
            </w:r>
          </w:p>
        </w:tc>
        <w:tc>
          <w:tcPr>
            <w:tcW w:w="2904" w:type="pct"/>
            <w:vAlign w:val="center"/>
          </w:tcPr>
          <w:p w14:paraId="7CB3B422">
            <w:pPr>
              <w:snapToGrid w:val="0"/>
              <w:spacing w:line="360" w:lineRule="auto"/>
              <w:jc w:val="left"/>
              <w:rPr>
                <w:rFonts w:hint="eastAsia" w:asciiTheme="minorEastAsia" w:hAnsiTheme="minorEastAsia" w:eastAsiaTheme="minorEastAsia"/>
                <w:sz w:val="22"/>
                <w:szCs w:val="22"/>
              </w:rPr>
            </w:pPr>
          </w:p>
        </w:tc>
      </w:tr>
      <w:tr w14:paraId="6AFC0C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0" w:hRule="atLeast"/>
          <w:jc w:val="center"/>
        </w:trPr>
        <w:tc>
          <w:tcPr>
            <w:tcW w:w="2096" w:type="pct"/>
            <w:gridSpan w:val="2"/>
            <w:vAlign w:val="center"/>
          </w:tcPr>
          <w:p w14:paraId="7FEDF497">
            <w:pPr>
              <w:snapToGrid w:val="0"/>
              <w:jc w:val="center"/>
              <w:rPr>
                <w:rFonts w:hint="eastAsia" w:asciiTheme="minorEastAsia" w:hAnsiTheme="minorEastAsia" w:eastAsiaTheme="minorEastAsia"/>
                <w:sz w:val="22"/>
                <w:szCs w:val="22"/>
              </w:rPr>
            </w:pPr>
            <w:r>
              <w:rPr>
                <w:rFonts w:cs="宋体" w:asciiTheme="minorEastAsia" w:hAnsiTheme="minorEastAsia" w:eastAsiaTheme="minorEastAsia"/>
                <w:sz w:val="22"/>
                <w:szCs w:val="22"/>
              </w:rPr>
              <w:t>质量标准</w:t>
            </w:r>
          </w:p>
        </w:tc>
        <w:tc>
          <w:tcPr>
            <w:tcW w:w="2904" w:type="pct"/>
            <w:vAlign w:val="center"/>
          </w:tcPr>
          <w:p w14:paraId="66CD3F23">
            <w:pPr>
              <w:snapToGrid w:val="0"/>
              <w:spacing w:line="360" w:lineRule="auto"/>
              <w:jc w:val="left"/>
              <w:rPr>
                <w:rFonts w:hint="eastAsia" w:asciiTheme="minorEastAsia" w:hAnsiTheme="minorEastAsia" w:eastAsiaTheme="minorEastAsia"/>
                <w:sz w:val="22"/>
                <w:szCs w:val="22"/>
              </w:rPr>
            </w:pPr>
          </w:p>
        </w:tc>
      </w:tr>
      <w:tr w14:paraId="2A7602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2" w:hRule="atLeast"/>
          <w:jc w:val="center"/>
        </w:trPr>
        <w:tc>
          <w:tcPr>
            <w:tcW w:w="2096" w:type="pct"/>
            <w:gridSpan w:val="2"/>
            <w:vAlign w:val="center"/>
          </w:tcPr>
          <w:p w14:paraId="62722B49">
            <w:pPr>
              <w:snapToGrid w:val="0"/>
              <w:jc w:val="center"/>
              <w:rPr>
                <w:rFonts w:hint="eastAsia" w:asciiTheme="minorEastAsia" w:hAnsiTheme="minorEastAsia" w:eastAsiaTheme="minorEastAsia"/>
                <w:sz w:val="22"/>
                <w:szCs w:val="22"/>
              </w:rPr>
            </w:pPr>
            <w:r>
              <w:rPr>
                <w:rFonts w:hint="eastAsia" w:cs="宋体" w:asciiTheme="minorEastAsia" w:hAnsiTheme="minorEastAsia" w:eastAsiaTheme="minorEastAsia"/>
                <w:sz w:val="22"/>
                <w:szCs w:val="22"/>
              </w:rPr>
              <w:t>安全生产标准化管理目标等级</w:t>
            </w:r>
          </w:p>
        </w:tc>
        <w:tc>
          <w:tcPr>
            <w:tcW w:w="2904" w:type="pct"/>
            <w:vAlign w:val="center"/>
          </w:tcPr>
          <w:p w14:paraId="50F38D06">
            <w:pPr>
              <w:snapToGrid w:val="0"/>
              <w:spacing w:line="360" w:lineRule="auto"/>
              <w:jc w:val="left"/>
              <w:rPr>
                <w:rFonts w:hint="eastAsia" w:asciiTheme="minorEastAsia" w:hAnsiTheme="minorEastAsia" w:eastAsiaTheme="minorEastAsia"/>
                <w:sz w:val="22"/>
                <w:szCs w:val="22"/>
              </w:rPr>
            </w:pPr>
          </w:p>
        </w:tc>
      </w:tr>
      <w:tr w14:paraId="7301CA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0" w:hRule="atLeast"/>
          <w:jc w:val="center"/>
        </w:trPr>
        <w:tc>
          <w:tcPr>
            <w:tcW w:w="2096" w:type="pct"/>
            <w:gridSpan w:val="2"/>
            <w:vAlign w:val="center"/>
          </w:tcPr>
          <w:p w14:paraId="0C4C1611">
            <w:pPr>
              <w:snapToGrid w:val="0"/>
              <w:jc w:val="center"/>
              <w:rPr>
                <w:rFonts w:hint="eastAsia" w:asciiTheme="minorEastAsia" w:hAnsiTheme="minorEastAsia" w:eastAsiaTheme="minorEastAsia"/>
                <w:sz w:val="22"/>
                <w:szCs w:val="22"/>
              </w:rPr>
            </w:pPr>
            <w:r>
              <w:rPr>
                <w:rFonts w:hint="eastAsia" w:cs="宋体" w:asciiTheme="minorEastAsia" w:hAnsiTheme="minorEastAsia" w:eastAsiaTheme="minorEastAsia"/>
                <w:sz w:val="22"/>
                <w:szCs w:val="22"/>
              </w:rPr>
              <w:t>报价中未包含内容及要求采购人的配合条件</w:t>
            </w:r>
          </w:p>
        </w:tc>
        <w:tc>
          <w:tcPr>
            <w:tcW w:w="2904" w:type="pct"/>
            <w:vAlign w:val="center"/>
          </w:tcPr>
          <w:p w14:paraId="5DF74AEA">
            <w:pPr>
              <w:snapToGrid w:val="0"/>
              <w:spacing w:line="360" w:lineRule="auto"/>
              <w:jc w:val="left"/>
              <w:rPr>
                <w:rFonts w:hint="eastAsia" w:asciiTheme="minorEastAsia" w:hAnsiTheme="minorEastAsia" w:eastAsiaTheme="minorEastAsia"/>
                <w:sz w:val="22"/>
                <w:szCs w:val="22"/>
              </w:rPr>
            </w:pPr>
          </w:p>
        </w:tc>
      </w:tr>
      <w:tr w14:paraId="16967D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17" w:hRule="atLeast"/>
          <w:jc w:val="center"/>
        </w:trPr>
        <w:tc>
          <w:tcPr>
            <w:tcW w:w="2096" w:type="pct"/>
            <w:gridSpan w:val="2"/>
            <w:vAlign w:val="center"/>
          </w:tcPr>
          <w:p w14:paraId="26C076A5">
            <w:pPr>
              <w:snapToGrid w:val="0"/>
              <w:spacing w:line="360" w:lineRule="auto"/>
              <w:jc w:val="center"/>
              <w:rPr>
                <w:rFonts w:hint="eastAsia" w:asciiTheme="minorEastAsia" w:hAnsiTheme="minorEastAsia" w:eastAsiaTheme="minorEastAsia"/>
                <w:sz w:val="22"/>
                <w:szCs w:val="22"/>
              </w:rPr>
            </w:pPr>
            <w:r>
              <w:rPr>
                <w:rFonts w:hint="eastAsia" w:cs="宋体" w:asciiTheme="minorEastAsia" w:hAnsiTheme="minorEastAsia" w:eastAsiaTheme="minorEastAsia"/>
                <w:sz w:val="22"/>
                <w:szCs w:val="22"/>
              </w:rPr>
              <w:t>对报价需要说明的问题</w:t>
            </w:r>
          </w:p>
        </w:tc>
        <w:tc>
          <w:tcPr>
            <w:tcW w:w="2904" w:type="pct"/>
            <w:vAlign w:val="center"/>
          </w:tcPr>
          <w:p w14:paraId="40945BE7">
            <w:pPr>
              <w:snapToGrid w:val="0"/>
              <w:spacing w:line="360" w:lineRule="auto"/>
              <w:jc w:val="left"/>
              <w:rPr>
                <w:rFonts w:hint="eastAsia" w:asciiTheme="minorEastAsia" w:hAnsiTheme="minorEastAsia" w:eastAsiaTheme="minorEastAsia"/>
                <w:sz w:val="22"/>
                <w:szCs w:val="22"/>
              </w:rPr>
            </w:pPr>
          </w:p>
        </w:tc>
      </w:tr>
    </w:tbl>
    <w:p w14:paraId="2649C2D5">
      <w:pPr>
        <w:snapToGrid w:val="0"/>
        <w:spacing w:line="360" w:lineRule="auto"/>
        <w:ind w:firstLine="840" w:firstLineChars="400"/>
        <w:rPr>
          <w:rFonts w:hint="eastAsia" w:asciiTheme="minorEastAsia" w:hAnsiTheme="minorEastAsia" w:eastAsiaTheme="minorEastAsia"/>
          <w:szCs w:val="21"/>
        </w:rPr>
      </w:pPr>
      <w:r>
        <w:rPr>
          <w:rFonts w:hint="eastAsia" w:asciiTheme="minorEastAsia" w:hAnsiTheme="minorEastAsia" w:eastAsiaTheme="minorEastAsia"/>
          <w:szCs w:val="21"/>
        </w:rPr>
        <w:t>注：1.此表中，每包的报价应和对应工程量清单报价的总价一致。</w:t>
      </w:r>
    </w:p>
    <w:p w14:paraId="76C4394C">
      <w:pPr>
        <w:snapToGrid w:val="0"/>
        <w:spacing w:line="360" w:lineRule="auto"/>
        <w:ind w:firstLine="1260" w:firstLineChars="600"/>
        <w:rPr>
          <w:rFonts w:hint="eastAsia" w:cs="Arial" w:asciiTheme="minorEastAsia" w:hAnsiTheme="minorEastAsia" w:eastAsiaTheme="minorEastAsia"/>
          <w:kern w:val="0"/>
          <w:szCs w:val="21"/>
        </w:rPr>
      </w:pPr>
      <w:r>
        <w:rPr>
          <w:rFonts w:hint="eastAsia" w:asciiTheme="minorEastAsia" w:hAnsiTheme="minorEastAsia" w:eastAsiaTheme="minorEastAsia"/>
          <w:szCs w:val="21"/>
        </w:rPr>
        <w:t>2.本表必须按包分别填写。</w:t>
      </w:r>
    </w:p>
    <w:p w14:paraId="60D7033B">
      <w:pPr>
        <w:widowControl/>
        <w:spacing w:line="360" w:lineRule="auto"/>
        <w:jc w:val="left"/>
        <w:rPr>
          <w:rFonts w:hint="eastAsia" w:cs="Arial" w:asciiTheme="minorEastAsia" w:hAnsiTheme="minorEastAsia" w:eastAsiaTheme="minorEastAsia"/>
          <w:b/>
          <w:sz w:val="24"/>
        </w:rPr>
      </w:pPr>
    </w:p>
    <w:p w14:paraId="33A3DA8E">
      <w:pPr>
        <w:autoSpaceDE w:val="0"/>
        <w:autoSpaceDN w:val="0"/>
        <w:adjustRightInd w:val="0"/>
        <w:snapToGrid w:val="0"/>
        <w:spacing w:before="25" w:line="360" w:lineRule="auto"/>
        <w:rPr>
          <w:rFonts w:hint="eastAsia" w:asciiTheme="minorEastAsia" w:hAnsiTheme="minorEastAsia" w:eastAsiaTheme="minorEastAsia"/>
          <w:sz w:val="24"/>
        </w:rPr>
      </w:pPr>
      <w:r>
        <w:rPr>
          <w:rFonts w:asciiTheme="minorEastAsia" w:hAnsiTheme="minorEastAsia" w:eastAsiaTheme="minorEastAsia"/>
          <w:color w:val="000000"/>
          <w:sz w:val="24"/>
        </w:rPr>
        <w:t>供应商名称（加盖公章）</w:t>
      </w:r>
      <w:r>
        <w:rPr>
          <w:rFonts w:asciiTheme="minorEastAsia" w:hAnsiTheme="minorEastAsia" w:eastAsiaTheme="minorEastAsia"/>
          <w:color w:val="000000"/>
          <w:sz w:val="24"/>
          <w:lang w:val="zh-CN"/>
        </w:rPr>
        <w:t>：</w:t>
      </w:r>
      <w:r>
        <w:rPr>
          <w:rFonts w:asciiTheme="minorEastAsia" w:hAnsiTheme="minorEastAsia" w:eastAsiaTheme="minorEastAsia"/>
          <w:sz w:val="24"/>
        </w:rPr>
        <w:t>___________</w:t>
      </w:r>
    </w:p>
    <w:p w14:paraId="3004578C">
      <w:pPr>
        <w:autoSpaceDE w:val="0"/>
        <w:autoSpaceDN w:val="0"/>
        <w:adjustRightInd w:val="0"/>
        <w:snapToGrid w:val="0"/>
        <w:spacing w:before="25" w:line="360" w:lineRule="auto"/>
        <w:rPr>
          <w:rFonts w:hint="eastAsia" w:asciiTheme="minorEastAsia" w:hAnsiTheme="minorEastAsia" w:eastAsiaTheme="minorEastAsia"/>
          <w:color w:val="000000"/>
          <w:sz w:val="24"/>
          <w:u w:val="single"/>
          <w:lang w:val="zh-CN"/>
        </w:rPr>
      </w:pPr>
      <w:r>
        <w:rPr>
          <w:rFonts w:asciiTheme="minorEastAsia" w:hAnsiTheme="minorEastAsia" w:eastAsiaTheme="minorEastAsia"/>
          <w:sz w:val="24"/>
        </w:rPr>
        <w:t>供应商法定代表人或其授权委托人</w:t>
      </w:r>
      <w:r>
        <w:rPr>
          <w:rFonts w:hint="eastAsia" w:asciiTheme="minorEastAsia" w:hAnsiTheme="minorEastAsia" w:eastAsiaTheme="minorEastAsia"/>
          <w:sz w:val="24"/>
        </w:rPr>
        <w:t>（</w:t>
      </w:r>
      <w:r>
        <w:rPr>
          <w:rFonts w:asciiTheme="minorEastAsia" w:hAnsiTheme="minorEastAsia" w:eastAsiaTheme="minorEastAsia"/>
          <w:sz w:val="24"/>
        </w:rPr>
        <w:t>签字</w:t>
      </w:r>
      <w:r>
        <w:rPr>
          <w:rFonts w:hint="eastAsia" w:asciiTheme="minorEastAsia" w:hAnsiTheme="minorEastAsia" w:eastAsiaTheme="minorEastAsia"/>
          <w:sz w:val="24"/>
        </w:rPr>
        <w:t>或盖章）</w:t>
      </w:r>
      <w:r>
        <w:rPr>
          <w:rFonts w:asciiTheme="minorEastAsia" w:hAnsiTheme="minorEastAsia" w:eastAsiaTheme="minorEastAsia"/>
          <w:sz w:val="24"/>
        </w:rPr>
        <w:t>：</w:t>
      </w:r>
      <w:r>
        <w:rPr>
          <w:rFonts w:hint="eastAsia" w:asciiTheme="minorEastAsia" w:hAnsiTheme="minorEastAsia" w:eastAsiaTheme="minorEastAsia"/>
          <w:sz w:val="24"/>
          <w:u w:val="single"/>
        </w:rPr>
        <w:t xml:space="preserve"> </w:t>
      </w:r>
      <w:r>
        <w:rPr>
          <w:rFonts w:asciiTheme="minorEastAsia" w:hAnsiTheme="minorEastAsia" w:eastAsiaTheme="minorEastAsia"/>
          <w:sz w:val="24"/>
          <w:u w:val="single"/>
        </w:rPr>
        <w:t xml:space="preserve">                  </w:t>
      </w:r>
    </w:p>
    <w:p w14:paraId="319F6728">
      <w:pPr>
        <w:tabs>
          <w:tab w:val="left" w:pos="5580"/>
        </w:tabs>
        <w:spacing w:line="360" w:lineRule="auto"/>
        <w:rPr>
          <w:rFonts w:hint="eastAsia" w:asciiTheme="minorEastAsia" w:hAnsiTheme="minorEastAsia" w:eastAsiaTheme="minorEastAsia"/>
          <w:color w:val="000000"/>
          <w:sz w:val="24"/>
          <w:szCs w:val="20"/>
        </w:rPr>
      </w:pPr>
      <w:r>
        <w:rPr>
          <w:rFonts w:asciiTheme="minorEastAsia" w:hAnsiTheme="minorEastAsia" w:eastAsiaTheme="minorEastAsia"/>
          <w:color w:val="000000"/>
          <w:sz w:val="24"/>
        </w:rPr>
        <w:t>日期：</w:t>
      </w:r>
      <w:r>
        <w:rPr>
          <w:rFonts w:asciiTheme="minorEastAsia" w:hAnsiTheme="minorEastAsia" w:eastAsiaTheme="minorEastAsia"/>
          <w:color w:val="000000"/>
          <w:sz w:val="24"/>
          <w:szCs w:val="20"/>
        </w:rPr>
        <w:t>____年____月____日</w:t>
      </w:r>
    </w:p>
    <w:p w14:paraId="4B454671">
      <w:pPr>
        <w:widowControl/>
        <w:jc w:val="left"/>
        <w:rPr>
          <w:rFonts w:hint="eastAsia" w:asciiTheme="minorEastAsia" w:hAnsiTheme="minorEastAsia" w:eastAsiaTheme="minorEastAsia"/>
          <w:color w:val="000000"/>
          <w:sz w:val="24"/>
          <w:szCs w:val="20"/>
        </w:rPr>
      </w:pPr>
      <w:r>
        <w:rPr>
          <w:rFonts w:asciiTheme="minorEastAsia" w:hAnsiTheme="minorEastAsia" w:eastAsiaTheme="minorEastAsia"/>
          <w:color w:val="000000"/>
          <w:sz w:val="24"/>
          <w:szCs w:val="20"/>
        </w:rPr>
        <w:br w:type="page"/>
      </w:r>
    </w:p>
    <w:p w14:paraId="3BAC3FE2">
      <w:pPr>
        <w:tabs>
          <w:tab w:val="left" w:pos="360"/>
        </w:tabs>
        <w:snapToGrid w:val="0"/>
        <w:spacing w:line="360" w:lineRule="auto"/>
        <w:outlineLvl w:val="1"/>
        <w:rPr>
          <w:rFonts w:hint="eastAsia" w:asciiTheme="minorEastAsia" w:hAnsiTheme="minorEastAsia" w:eastAsiaTheme="minorEastAsia"/>
          <w:color w:val="000000"/>
          <w:sz w:val="24"/>
          <w:szCs w:val="20"/>
        </w:rPr>
      </w:pPr>
      <w:bookmarkStart w:id="2273" w:name="OLE_LINK44"/>
      <w:r>
        <w:rPr>
          <w:rFonts w:hint="eastAsia" w:asciiTheme="minorEastAsia" w:hAnsiTheme="minorEastAsia" w:eastAsiaTheme="minorEastAsia"/>
          <w:sz w:val="24"/>
        </w:rPr>
        <w:t>8</w:t>
      </w:r>
      <w:r>
        <w:rPr>
          <w:rFonts w:asciiTheme="minorEastAsia" w:hAnsiTheme="minorEastAsia" w:eastAsiaTheme="minorEastAsia"/>
          <w:sz w:val="24"/>
        </w:rPr>
        <w:t xml:space="preserve">  合同条款偏离表</w:t>
      </w:r>
      <w:r>
        <w:rPr>
          <w:rFonts w:hint="eastAsia" w:cs="宋体" w:asciiTheme="minorEastAsia" w:hAnsiTheme="minorEastAsia" w:eastAsiaTheme="minorEastAsia"/>
          <w:sz w:val="24"/>
        </w:rPr>
        <w:t>（实质性格式）</w:t>
      </w:r>
    </w:p>
    <w:p w14:paraId="5A1B8AFB">
      <w:pPr>
        <w:widowControl/>
        <w:jc w:val="center"/>
        <w:rPr>
          <w:rFonts w:hint="eastAsia" w:cs="Arial" w:asciiTheme="minorEastAsia" w:hAnsiTheme="minorEastAsia" w:eastAsiaTheme="minorEastAsia"/>
          <w:b/>
          <w:sz w:val="32"/>
          <w:szCs w:val="32"/>
        </w:rPr>
      </w:pPr>
      <w:r>
        <w:rPr>
          <w:rFonts w:hint="eastAsia" w:cs="Arial" w:asciiTheme="minorEastAsia" w:hAnsiTheme="minorEastAsia" w:eastAsiaTheme="minorEastAsia"/>
          <w:b/>
          <w:sz w:val="32"/>
          <w:szCs w:val="32"/>
        </w:rPr>
        <w:t>合同条款偏离表</w:t>
      </w:r>
    </w:p>
    <w:bookmarkEnd w:id="2273"/>
    <w:p w14:paraId="6DAF9CC4">
      <w:pPr>
        <w:rPr>
          <w:rFonts w:hint="eastAsia" w:ascii="宋体" w:hAnsi="宋体" w:cs="宋体"/>
        </w:rPr>
      </w:pPr>
    </w:p>
    <w:p w14:paraId="051E0664">
      <w:pPr>
        <w:tabs>
          <w:tab w:val="left" w:pos="1800"/>
          <w:tab w:val="left" w:pos="5580"/>
        </w:tabs>
        <w:spacing w:line="360" w:lineRule="auto"/>
        <w:jc w:val="left"/>
        <w:rPr>
          <w:rFonts w:hint="eastAsia" w:ascii="宋体" w:hAnsi="宋体" w:cs="宋体"/>
          <w:sz w:val="24"/>
        </w:rPr>
      </w:pPr>
      <w:r>
        <w:rPr>
          <w:rFonts w:hint="eastAsia" w:ascii="宋体" w:hAnsi="宋体" w:cs="宋体"/>
          <w:sz w:val="24"/>
        </w:rPr>
        <w:t>项目编号：</w:t>
      </w:r>
      <w:r>
        <w:rPr>
          <w:rFonts w:ascii="宋体" w:hAnsi="宋体" w:cs="宋体"/>
          <w:sz w:val="24"/>
          <w:u w:val="single"/>
        </w:rPr>
        <w:t xml:space="preserve">                   </w:t>
      </w:r>
      <w:r>
        <w:rPr>
          <w:rFonts w:hint="eastAsia" w:ascii="宋体" w:hAnsi="宋体" w:cs="宋体"/>
          <w:sz w:val="24"/>
        </w:rPr>
        <w:t xml:space="preserve">    </w:t>
      </w:r>
      <w:r>
        <w:rPr>
          <w:rFonts w:ascii="宋体" w:hAnsi="宋体" w:cs="宋体"/>
          <w:sz w:val="24"/>
        </w:rPr>
        <w:t xml:space="preserve">  </w:t>
      </w:r>
      <w:r>
        <w:rPr>
          <w:rFonts w:hint="eastAsia" w:ascii="宋体" w:hAnsi="宋体" w:cs="宋体"/>
          <w:sz w:val="24"/>
        </w:rPr>
        <w:t xml:space="preserve"> 项目名称：</w:t>
      </w:r>
      <w:r>
        <w:rPr>
          <w:rFonts w:ascii="宋体" w:hAnsi="宋体" w:cs="宋体"/>
          <w:sz w:val="24"/>
          <w:u w:val="single"/>
        </w:rPr>
        <w:t xml:space="preserve">              </w:t>
      </w:r>
      <w:r>
        <w:rPr>
          <w:rFonts w:hint="eastAsia" w:ascii="宋体" w:hAnsi="宋体" w:cs="宋体"/>
        </w:rPr>
        <w:t xml:space="preserve">     </w:t>
      </w:r>
      <w:r>
        <w:rPr>
          <w:rFonts w:hint="eastAsia" w:ascii="宋体" w:hAnsi="宋体" w:cs="宋体"/>
          <w:sz w:val="24"/>
        </w:rPr>
        <w:t xml:space="preserve">  </w:t>
      </w:r>
    </w:p>
    <w:tbl>
      <w:tblPr>
        <w:tblStyle w:val="8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6"/>
        <w:gridCol w:w="2104"/>
        <w:gridCol w:w="2559"/>
        <w:gridCol w:w="1707"/>
        <w:gridCol w:w="1321"/>
        <w:gridCol w:w="808"/>
        <w:gridCol w:w="12"/>
      </w:tblGrid>
      <w:tr w14:paraId="4F13A1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5" w:type="dxa"/>
          <w:trHeight w:val="705" w:hRule="atLeast"/>
          <w:jc w:val="center"/>
        </w:trPr>
        <w:tc>
          <w:tcPr>
            <w:tcW w:w="418" w:type="pct"/>
            <w:vAlign w:val="center"/>
          </w:tcPr>
          <w:p w14:paraId="6BE7CF1E">
            <w:pPr>
              <w:adjustRightInd w:val="0"/>
              <w:snapToGrid w:val="0"/>
              <w:jc w:val="center"/>
              <w:rPr>
                <w:color w:val="000000"/>
                <w:sz w:val="24"/>
              </w:rPr>
            </w:pPr>
            <w:bookmarkStart w:id="2274" w:name="_Hlk202769190"/>
            <w:r>
              <w:rPr>
                <w:color w:val="000000"/>
                <w:sz w:val="24"/>
              </w:rPr>
              <w:t>序号</w:t>
            </w:r>
          </w:p>
        </w:tc>
        <w:tc>
          <w:tcPr>
            <w:tcW w:w="1133" w:type="pct"/>
            <w:vAlign w:val="center"/>
          </w:tcPr>
          <w:p w14:paraId="370192DB">
            <w:pPr>
              <w:adjustRightInd w:val="0"/>
              <w:snapToGrid w:val="0"/>
              <w:jc w:val="center"/>
              <w:rPr>
                <w:color w:val="000000"/>
                <w:sz w:val="24"/>
              </w:rPr>
            </w:pPr>
            <w:r>
              <w:rPr>
                <w:rFonts w:hint="eastAsia"/>
                <w:color w:val="000000"/>
                <w:sz w:val="24"/>
                <w:szCs w:val="21"/>
              </w:rPr>
              <w:t>竞争性磋商</w:t>
            </w:r>
            <w:r>
              <w:rPr>
                <w:color w:val="000000"/>
                <w:sz w:val="24"/>
                <w:szCs w:val="21"/>
              </w:rPr>
              <w:t>文件</w:t>
            </w:r>
            <w:r>
              <w:rPr>
                <w:color w:val="000000"/>
                <w:sz w:val="24"/>
              </w:rPr>
              <w:t>条目号（页码）</w:t>
            </w:r>
          </w:p>
        </w:tc>
        <w:tc>
          <w:tcPr>
            <w:tcW w:w="1378" w:type="pct"/>
            <w:vAlign w:val="center"/>
          </w:tcPr>
          <w:p w14:paraId="526BB732">
            <w:pPr>
              <w:adjustRightInd w:val="0"/>
              <w:snapToGrid w:val="0"/>
              <w:jc w:val="center"/>
              <w:rPr>
                <w:color w:val="000000"/>
                <w:sz w:val="24"/>
              </w:rPr>
            </w:pPr>
            <w:r>
              <w:rPr>
                <w:rFonts w:hint="eastAsia"/>
                <w:color w:val="000000"/>
                <w:sz w:val="24"/>
                <w:szCs w:val="21"/>
              </w:rPr>
              <w:t>竞争性磋商</w:t>
            </w:r>
            <w:r>
              <w:rPr>
                <w:color w:val="000000"/>
                <w:sz w:val="24"/>
                <w:szCs w:val="21"/>
              </w:rPr>
              <w:t>文件</w:t>
            </w:r>
            <w:r>
              <w:rPr>
                <w:color w:val="000000"/>
                <w:sz w:val="24"/>
              </w:rPr>
              <w:t>要求</w:t>
            </w:r>
          </w:p>
        </w:tc>
        <w:tc>
          <w:tcPr>
            <w:tcW w:w="919" w:type="pct"/>
            <w:vAlign w:val="center"/>
          </w:tcPr>
          <w:p w14:paraId="095FD8A0">
            <w:pPr>
              <w:adjustRightInd w:val="0"/>
              <w:snapToGrid w:val="0"/>
              <w:jc w:val="center"/>
              <w:rPr>
                <w:color w:val="000000"/>
                <w:sz w:val="24"/>
              </w:rPr>
            </w:pPr>
            <w:r>
              <w:rPr>
                <w:rFonts w:hint="eastAsia"/>
                <w:color w:val="000000"/>
                <w:sz w:val="24"/>
              </w:rPr>
              <w:t>响应</w:t>
            </w:r>
            <w:r>
              <w:rPr>
                <w:color w:val="000000"/>
                <w:sz w:val="24"/>
              </w:rPr>
              <w:t>文件内容</w:t>
            </w:r>
          </w:p>
        </w:tc>
        <w:tc>
          <w:tcPr>
            <w:tcW w:w="711" w:type="pct"/>
            <w:vAlign w:val="center"/>
          </w:tcPr>
          <w:p w14:paraId="3D063556">
            <w:pPr>
              <w:adjustRightInd w:val="0"/>
              <w:snapToGrid w:val="0"/>
              <w:jc w:val="center"/>
              <w:rPr>
                <w:color w:val="000000"/>
                <w:sz w:val="24"/>
              </w:rPr>
            </w:pPr>
            <w:r>
              <w:rPr>
                <w:color w:val="000000"/>
                <w:sz w:val="24"/>
              </w:rPr>
              <w:t>偏离情况</w:t>
            </w:r>
          </w:p>
        </w:tc>
        <w:tc>
          <w:tcPr>
            <w:tcW w:w="435" w:type="pct"/>
            <w:vAlign w:val="center"/>
          </w:tcPr>
          <w:p w14:paraId="3238FB76">
            <w:pPr>
              <w:adjustRightInd w:val="0"/>
              <w:snapToGrid w:val="0"/>
              <w:jc w:val="center"/>
              <w:rPr>
                <w:color w:val="000000"/>
                <w:sz w:val="24"/>
              </w:rPr>
            </w:pPr>
            <w:r>
              <w:rPr>
                <w:color w:val="000000"/>
                <w:sz w:val="24"/>
              </w:rPr>
              <w:t>说明</w:t>
            </w:r>
          </w:p>
        </w:tc>
      </w:tr>
      <w:tr w14:paraId="580174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5000" w:type="pct"/>
            <w:gridSpan w:val="7"/>
            <w:vAlign w:val="center"/>
          </w:tcPr>
          <w:p w14:paraId="3F341230">
            <w:pPr>
              <w:adjustRightInd w:val="0"/>
              <w:snapToGrid w:val="0"/>
              <w:jc w:val="left"/>
              <w:rPr>
                <w:b/>
                <w:color w:val="000000"/>
                <w:sz w:val="24"/>
              </w:rPr>
            </w:pPr>
            <w:r>
              <w:rPr>
                <w:b/>
                <w:color w:val="000000"/>
                <w:sz w:val="24"/>
              </w:rPr>
              <w:t>对本</w:t>
            </w:r>
            <w:r>
              <w:rPr>
                <w:rFonts w:hint="eastAsia"/>
                <w:b/>
                <w:color w:val="000000"/>
                <w:sz w:val="24"/>
              </w:rPr>
              <w:t>项目</w:t>
            </w:r>
            <w:r>
              <w:rPr>
                <w:b/>
                <w:color w:val="000000"/>
                <w:sz w:val="24"/>
              </w:rPr>
              <w:t>合同条款的偏离情况</w:t>
            </w:r>
            <w:r>
              <w:rPr>
                <w:bCs/>
                <w:color w:val="000000"/>
                <w:sz w:val="24"/>
              </w:rPr>
              <w:t>（</w:t>
            </w:r>
            <w:r>
              <w:rPr>
                <w:rFonts w:hint="eastAsia"/>
                <w:bCs/>
                <w:color w:val="000000"/>
                <w:sz w:val="24"/>
              </w:rPr>
              <w:t>应进行选择，未选择</w:t>
            </w:r>
            <w:r>
              <w:rPr>
                <w:rFonts w:hint="eastAsia"/>
                <w:b/>
                <w:color w:val="000000"/>
                <w:sz w:val="24"/>
              </w:rPr>
              <w:t>响应无效</w:t>
            </w:r>
            <w:r>
              <w:rPr>
                <w:bCs/>
                <w:color w:val="000000"/>
                <w:sz w:val="24"/>
              </w:rPr>
              <w:t>）</w:t>
            </w:r>
            <w:r>
              <w:rPr>
                <w:rFonts w:hint="eastAsia"/>
                <w:bCs/>
                <w:color w:val="000000"/>
                <w:sz w:val="24"/>
              </w:rPr>
              <w:t>：</w:t>
            </w:r>
          </w:p>
          <w:p w14:paraId="4BAAA2EA">
            <w:pPr>
              <w:adjustRightInd w:val="0"/>
              <w:snapToGrid w:val="0"/>
              <w:jc w:val="left"/>
              <w:rPr>
                <w:b/>
                <w:color w:val="000000"/>
                <w:sz w:val="24"/>
              </w:rPr>
            </w:pPr>
            <w:r>
              <w:rPr>
                <w:rFonts w:ascii="宋体" w:hAnsi="宋体"/>
                <w:b/>
                <w:color w:val="000000"/>
                <w:sz w:val="24"/>
              </w:rPr>
              <w:t>□</w:t>
            </w:r>
            <w:r>
              <w:rPr>
                <w:b/>
                <w:color w:val="000000"/>
                <w:sz w:val="24"/>
              </w:rPr>
              <w:t>无偏离</w:t>
            </w:r>
            <w:r>
              <w:rPr>
                <w:color w:val="000000"/>
                <w:sz w:val="24"/>
              </w:rPr>
              <w:t>（</w:t>
            </w:r>
            <w:r>
              <w:rPr>
                <w:color w:val="000000"/>
                <w:sz w:val="24"/>
                <w:szCs w:val="21"/>
              </w:rPr>
              <w:t>如无偏离，仅</w:t>
            </w:r>
            <w:r>
              <w:rPr>
                <w:rFonts w:hint="eastAsia"/>
                <w:color w:val="000000"/>
                <w:sz w:val="24"/>
                <w:szCs w:val="21"/>
              </w:rPr>
              <w:t>选择</w:t>
            </w:r>
            <w:r>
              <w:rPr>
                <w:color w:val="000000"/>
                <w:sz w:val="24"/>
                <w:szCs w:val="21"/>
              </w:rPr>
              <w:t>无偏离即可；无偏离即为对合同条款中的所有要求，均视作供应商已对之理解和响应。）</w:t>
            </w:r>
          </w:p>
          <w:p w14:paraId="6C38BEED">
            <w:pPr>
              <w:adjustRightInd w:val="0"/>
              <w:snapToGrid w:val="0"/>
              <w:rPr>
                <w:color w:val="000000"/>
                <w:sz w:val="24"/>
              </w:rPr>
            </w:pPr>
            <w:r>
              <w:rPr>
                <w:rFonts w:ascii="宋体" w:hAnsi="宋体"/>
                <w:b/>
                <w:color w:val="000000"/>
                <w:sz w:val="24"/>
              </w:rPr>
              <w:t>□</w:t>
            </w:r>
            <w:r>
              <w:rPr>
                <w:b/>
                <w:color w:val="000000"/>
                <w:sz w:val="24"/>
              </w:rPr>
              <w:t>有偏离</w:t>
            </w:r>
            <w:r>
              <w:rPr>
                <w:color w:val="000000"/>
                <w:sz w:val="24"/>
              </w:rPr>
              <w:t>（</w:t>
            </w:r>
            <w:r>
              <w:rPr>
                <w:color w:val="000000"/>
                <w:sz w:val="24"/>
                <w:szCs w:val="21"/>
              </w:rPr>
              <w:t>如有偏离，</w:t>
            </w:r>
            <w:r>
              <w:rPr>
                <w:color w:val="000000"/>
                <w:sz w:val="24"/>
              </w:rPr>
              <w:t>则</w:t>
            </w:r>
            <w:r>
              <w:rPr>
                <w:rFonts w:hint="eastAsia"/>
                <w:color w:val="000000"/>
                <w:sz w:val="24"/>
              </w:rPr>
              <w:t>需</w:t>
            </w:r>
            <w:r>
              <w:rPr>
                <w:color w:val="000000"/>
                <w:sz w:val="24"/>
              </w:rPr>
              <w:t>在本表中对偏离项逐一列明，否则</w:t>
            </w:r>
            <w:r>
              <w:rPr>
                <w:rFonts w:hint="eastAsia"/>
                <w:b/>
                <w:bCs/>
                <w:color w:val="000000"/>
                <w:sz w:val="24"/>
              </w:rPr>
              <w:t>响应</w:t>
            </w:r>
            <w:r>
              <w:rPr>
                <w:b/>
                <w:bCs/>
                <w:color w:val="000000"/>
                <w:sz w:val="24"/>
              </w:rPr>
              <w:t>无效</w:t>
            </w:r>
            <w:r>
              <w:rPr>
                <w:rFonts w:hint="eastAsia"/>
                <w:color w:val="000000"/>
                <w:sz w:val="24"/>
              </w:rPr>
              <w:t>；</w:t>
            </w:r>
            <w:r>
              <w:rPr>
                <w:color w:val="000000"/>
                <w:sz w:val="24"/>
              </w:rPr>
              <w:t>对合同条款中的所有要求，除本表列明的偏离外，均视作供应商已对之理解和响应。）</w:t>
            </w:r>
          </w:p>
        </w:tc>
      </w:tr>
      <w:tr w14:paraId="10B07F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 w:type="dxa"/>
          <w:trHeight w:val="705" w:hRule="atLeast"/>
          <w:jc w:val="center"/>
        </w:trPr>
        <w:tc>
          <w:tcPr>
            <w:tcW w:w="418" w:type="pct"/>
            <w:vAlign w:val="center"/>
          </w:tcPr>
          <w:p w14:paraId="4AE7A2F7">
            <w:pPr>
              <w:adjustRightInd w:val="0"/>
              <w:snapToGrid w:val="0"/>
              <w:jc w:val="center"/>
              <w:rPr>
                <w:color w:val="000000"/>
                <w:sz w:val="24"/>
              </w:rPr>
            </w:pPr>
          </w:p>
        </w:tc>
        <w:tc>
          <w:tcPr>
            <w:tcW w:w="1133" w:type="pct"/>
            <w:vAlign w:val="center"/>
          </w:tcPr>
          <w:p w14:paraId="3363BBB1">
            <w:pPr>
              <w:adjustRightInd w:val="0"/>
              <w:snapToGrid w:val="0"/>
              <w:jc w:val="center"/>
              <w:rPr>
                <w:color w:val="000000"/>
                <w:sz w:val="24"/>
              </w:rPr>
            </w:pPr>
          </w:p>
        </w:tc>
        <w:tc>
          <w:tcPr>
            <w:tcW w:w="1378" w:type="pct"/>
            <w:vAlign w:val="center"/>
          </w:tcPr>
          <w:p w14:paraId="1424469A">
            <w:pPr>
              <w:adjustRightInd w:val="0"/>
              <w:snapToGrid w:val="0"/>
              <w:jc w:val="center"/>
              <w:rPr>
                <w:color w:val="000000"/>
                <w:sz w:val="24"/>
              </w:rPr>
            </w:pPr>
          </w:p>
        </w:tc>
        <w:tc>
          <w:tcPr>
            <w:tcW w:w="919" w:type="pct"/>
            <w:vAlign w:val="center"/>
          </w:tcPr>
          <w:p w14:paraId="4EB5387E">
            <w:pPr>
              <w:adjustRightInd w:val="0"/>
              <w:snapToGrid w:val="0"/>
              <w:jc w:val="center"/>
              <w:rPr>
                <w:color w:val="000000"/>
                <w:sz w:val="24"/>
              </w:rPr>
            </w:pPr>
          </w:p>
        </w:tc>
        <w:tc>
          <w:tcPr>
            <w:tcW w:w="711" w:type="pct"/>
            <w:vAlign w:val="center"/>
          </w:tcPr>
          <w:p w14:paraId="19451C9B">
            <w:pPr>
              <w:adjustRightInd w:val="0"/>
              <w:snapToGrid w:val="0"/>
              <w:jc w:val="center"/>
              <w:rPr>
                <w:color w:val="000000"/>
                <w:sz w:val="24"/>
              </w:rPr>
            </w:pPr>
          </w:p>
        </w:tc>
        <w:tc>
          <w:tcPr>
            <w:tcW w:w="435" w:type="pct"/>
            <w:vAlign w:val="center"/>
          </w:tcPr>
          <w:p w14:paraId="0B673031">
            <w:pPr>
              <w:adjustRightInd w:val="0"/>
              <w:snapToGrid w:val="0"/>
              <w:jc w:val="center"/>
              <w:rPr>
                <w:color w:val="000000"/>
                <w:sz w:val="24"/>
              </w:rPr>
            </w:pPr>
          </w:p>
        </w:tc>
      </w:tr>
      <w:tr w14:paraId="5A04F9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5" w:type="dxa"/>
          <w:trHeight w:val="705" w:hRule="atLeast"/>
          <w:jc w:val="center"/>
        </w:trPr>
        <w:tc>
          <w:tcPr>
            <w:tcW w:w="418" w:type="pct"/>
            <w:vAlign w:val="center"/>
          </w:tcPr>
          <w:p w14:paraId="5E05DDFF">
            <w:pPr>
              <w:adjustRightInd w:val="0"/>
              <w:snapToGrid w:val="0"/>
              <w:jc w:val="center"/>
              <w:rPr>
                <w:color w:val="000000"/>
                <w:sz w:val="24"/>
              </w:rPr>
            </w:pPr>
          </w:p>
        </w:tc>
        <w:tc>
          <w:tcPr>
            <w:tcW w:w="1133" w:type="pct"/>
            <w:vAlign w:val="center"/>
          </w:tcPr>
          <w:p w14:paraId="22227128">
            <w:pPr>
              <w:adjustRightInd w:val="0"/>
              <w:snapToGrid w:val="0"/>
              <w:jc w:val="center"/>
              <w:rPr>
                <w:color w:val="000000"/>
                <w:sz w:val="24"/>
              </w:rPr>
            </w:pPr>
          </w:p>
        </w:tc>
        <w:tc>
          <w:tcPr>
            <w:tcW w:w="1378" w:type="pct"/>
            <w:vAlign w:val="center"/>
          </w:tcPr>
          <w:p w14:paraId="1E5BC621">
            <w:pPr>
              <w:adjustRightInd w:val="0"/>
              <w:snapToGrid w:val="0"/>
              <w:jc w:val="center"/>
              <w:rPr>
                <w:color w:val="000000"/>
                <w:sz w:val="24"/>
              </w:rPr>
            </w:pPr>
          </w:p>
        </w:tc>
        <w:tc>
          <w:tcPr>
            <w:tcW w:w="919" w:type="pct"/>
            <w:vAlign w:val="center"/>
          </w:tcPr>
          <w:p w14:paraId="41CC951D">
            <w:pPr>
              <w:adjustRightInd w:val="0"/>
              <w:snapToGrid w:val="0"/>
              <w:jc w:val="center"/>
              <w:rPr>
                <w:color w:val="000000"/>
                <w:sz w:val="24"/>
              </w:rPr>
            </w:pPr>
          </w:p>
        </w:tc>
        <w:tc>
          <w:tcPr>
            <w:tcW w:w="711" w:type="pct"/>
            <w:vAlign w:val="center"/>
          </w:tcPr>
          <w:p w14:paraId="60814B0E">
            <w:pPr>
              <w:adjustRightInd w:val="0"/>
              <w:snapToGrid w:val="0"/>
              <w:jc w:val="center"/>
              <w:rPr>
                <w:color w:val="000000"/>
                <w:sz w:val="24"/>
              </w:rPr>
            </w:pPr>
          </w:p>
        </w:tc>
        <w:tc>
          <w:tcPr>
            <w:tcW w:w="435" w:type="pct"/>
            <w:vAlign w:val="center"/>
          </w:tcPr>
          <w:p w14:paraId="5B2949E7">
            <w:pPr>
              <w:adjustRightInd w:val="0"/>
              <w:snapToGrid w:val="0"/>
              <w:jc w:val="center"/>
              <w:rPr>
                <w:color w:val="000000"/>
                <w:sz w:val="24"/>
              </w:rPr>
            </w:pPr>
          </w:p>
        </w:tc>
      </w:tr>
      <w:tr w14:paraId="079761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 w:type="dxa"/>
          <w:trHeight w:val="705" w:hRule="atLeast"/>
          <w:jc w:val="center"/>
        </w:trPr>
        <w:tc>
          <w:tcPr>
            <w:tcW w:w="418" w:type="pct"/>
            <w:vAlign w:val="center"/>
          </w:tcPr>
          <w:p w14:paraId="0BE015F9">
            <w:pPr>
              <w:adjustRightInd w:val="0"/>
              <w:snapToGrid w:val="0"/>
              <w:jc w:val="center"/>
              <w:rPr>
                <w:color w:val="000000"/>
                <w:sz w:val="24"/>
              </w:rPr>
            </w:pPr>
          </w:p>
        </w:tc>
        <w:tc>
          <w:tcPr>
            <w:tcW w:w="1133" w:type="pct"/>
            <w:vAlign w:val="center"/>
          </w:tcPr>
          <w:p w14:paraId="2EB79E1E">
            <w:pPr>
              <w:adjustRightInd w:val="0"/>
              <w:snapToGrid w:val="0"/>
              <w:jc w:val="center"/>
              <w:rPr>
                <w:color w:val="000000"/>
                <w:sz w:val="24"/>
              </w:rPr>
            </w:pPr>
          </w:p>
        </w:tc>
        <w:tc>
          <w:tcPr>
            <w:tcW w:w="1378" w:type="pct"/>
            <w:vAlign w:val="center"/>
          </w:tcPr>
          <w:p w14:paraId="5539A244">
            <w:pPr>
              <w:adjustRightInd w:val="0"/>
              <w:snapToGrid w:val="0"/>
              <w:jc w:val="center"/>
              <w:rPr>
                <w:color w:val="000000"/>
                <w:sz w:val="24"/>
              </w:rPr>
            </w:pPr>
          </w:p>
        </w:tc>
        <w:tc>
          <w:tcPr>
            <w:tcW w:w="919" w:type="pct"/>
            <w:vAlign w:val="center"/>
          </w:tcPr>
          <w:p w14:paraId="1F12DB7A">
            <w:pPr>
              <w:adjustRightInd w:val="0"/>
              <w:snapToGrid w:val="0"/>
              <w:jc w:val="center"/>
              <w:rPr>
                <w:color w:val="000000"/>
                <w:sz w:val="24"/>
              </w:rPr>
            </w:pPr>
          </w:p>
        </w:tc>
        <w:tc>
          <w:tcPr>
            <w:tcW w:w="711" w:type="pct"/>
            <w:vAlign w:val="center"/>
          </w:tcPr>
          <w:p w14:paraId="317AA9D1">
            <w:pPr>
              <w:adjustRightInd w:val="0"/>
              <w:snapToGrid w:val="0"/>
              <w:jc w:val="center"/>
              <w:rPr>
                <w:color w:val="000000"/>
                <w:sz w:val="24"/>
              </w:rPr>
            </w:pPr>
          </w:p>
        </w:tc>
        <w:tc>
          <w:tcPr>
            <w:tcW w:w="435" w:type="pct"/>
            <w:vAlign w:val="center"/>
          </w:tcPr>
          <w:p w14:paraId="49D1903D">
            <w:pPr>
              <w:adjustRightInd w:val="0"/>
              <w:snapToGrid w:val="0"/>
              <w:jc w:val="center"/>
              <w:rPr>
                <w:color w:val="000000"/>
                <w:sz w:val="24"/>
              </w:rPr>
            </w:pPr>
          </w:p>
        </w:tc>
      </w:tr>
      <w:tr w14:paraId="1295E7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 w:type="dxa"/>
          <w:trHeight w:val="705" w:hRule="atLeast"/>
          <w:jc w:val="center"/>
        </w:trPr>
        <w:tc>
          <w:tcPr>
            <w:tcW w:w="418" w:type="pct"/>
            <w:vAlign w:val="center"/>
          </w:tcPr>
          <w:p w14:paraId="558F0587">
            <w:pPr>
              <w:adjustRightInd w:val="0"/>
              <w:snapToGrid w:val="0"/>
              <w:jc w:val="center"/>
              <w:rPr>
                <w:color w:val="000000"/>
                <w:sz w:val="24"/>
              </w:rPr>
            </w:pPr>
          </w:p>
        </w:tc>
        <w:tc>
          <w:tcPr>
            <w:tcW w:w="1133" w:type="pct"/>
            <w:vAlign w:val="center"/>
          </w:tcPr>
          <w:p w14:paraId="6AD3FE02">
            <w:pPr>
              <w:adjustRightInd w:val="0"/>
              <w:snapToGrid w:val="0"/>
              <w:jc w:val="center"/>
              <w:rPr>
                <w:color w:val="000000"/>
                <w:sz w:val="24"/>
              </w:rPr>
            </w:pPr>
          </w:p>
        </w:tc>
        <w:tc>
          <w:tcPr>
            <w:tcW w:w="1378" w:type="pct"/>
            <w:vAlign w:val="center"/>
          </w:tcPr>
          <w:p w14:paraId="61C47721">
            <w:pPr>
              <w:adjustRightInd w:val="0"/>
              <w:snapToGrid w:val="0"/>
              <w:jc w:val="center"/>
              <w:rPr>
                <w:color w:val="000000"/>
                <w:sz w:val="24"/>
              </w:rPr>
            </w:pPr>
          </w:p>
        </w:tc>
        <w:tc>
          <w:tcPr>
            <w:tcW w:w="919" w:type="pct"/>
            <w:vAlign w:val="center"/>
          </w:tcPr>
          <w:p w14:paraId="491B161D">
            <w:pPr>
              <w:adjustRightInd w:val="0"/>
              <w:snapToGrid w:val="0"/>
              <w:jc w:val="center"/>
              <w:rPr>
                <w:color w:val="000000"/>
                <w:sz w:val="24"/>
              </w:rPr>
            </w:pPr>
          </w:p>
        </w:tc>
        <w:tc>
          <w:tcPr>
            <w:tcW w:w="711" w:type="pct"/>
            <w:vAlign w:val="center"/>
          </w:tcPr>
          <w:p w14:paraId="2F2C2A4E">
            <w:pPr>
              <w:adjustRightInd w:val="0"/>
              <w:snapToGrid w:val="0"/>
              <w:jc w:val="center"/>
              <w:rPr>
                <w:color w:val="000000"/>
                <w:sz w:val="24"/>
              </w:rPr>
            </w:pPr>
          </w:p>
        </w:tc>
        <w:tc>
          <w:tcPr>
            <w:tcW w:w="435" w:type="pct"/>
            <w:vAlign w:val="center"/>
          </w:tcPr>
          <w:p w14:paraId="4C5FCF06">
            <w:pPr>
              <w:adjustRightInd w:val="0"/>
              <w:snapToGrid w:val="0"/>
              <w:jc w:val="center"/>
              <w:rPr>
                <w:color w:val="000000"/>
                <w:sz w:val="24"/>
              </w:rPr>
            </w:pPr>
          </w:p>
        </w:tc>
      </w:tr>
      <w:bookmarkEnd w:id="2274"/>
    </w:tbl>
    <w:p w14:paraId="1BCFCD0E">
      <w:pPr>
        <w:tabs>
          <w:tab w:val="left" w:pos="1800"/>
          <w:tab w:val="left" w:pos="5580"/>
        </w:tabs>
        <w:jc w:val="left"/>
        <w:rPr>
          <w:color w:val="000000"/>
          <w:sz w:val="24"/>
        </w:rPr>
      </w:pPr>
    </w:p>
    <w:p w14:paraId="0DFA4830">
      <w:pPr>
        <w:tabs>
          <w:tab w:val="left" w:pos="1800"/>
          <w:tab w:val="left" w:pos="5580"/>
        </w:tabs>
        <w:spacing w:line="360" w:lineRule="auto"/>
        <w:jc w:val="left"/>
        <w:rPr>
          <w:color w:val="000000"/>
          <w:sz w:val="24"/>
        </w:rPr>
      </w:pPr>
      <w:bookmarkStart w:id="2275" w:name="_Hlk202769221"/>
      <w:r>
        <w:rPr>
          <w:color w:val="000000"/>
          <w:sz w:val="24"/>
        </w:rPr>
        <w:t>注：</w:t>
      </w:r>
      <w:r>
        <w:rPr>
          <w:rFonts w:hint="eastAsia"/>
          <w:sz w:val="24"/>
        </w:rPr>
        <w:t>“偏离情况”列应</w:t>
      </w:r>
      <w:r>
        <w:rPr>
          <w:color w:val="000000"/>
          <w:sz w:val="24"/>
        </w:rPr>
        <w:t>据实</w:t>
      </w:r>
      <w:r>
        <w:rPr>
          <w:rFonts w:hint="eastAsia"/>
          <w:sz w:val="24"/>
        </w:rPr>
        <w:t>填写“正偏离”或“负偏离”。</w:t>
      </w:r>
    </w:p>
    <w:bookmarkEnd w:id="2275"/>
    <w:p w14:paraId="55B01275">
      <w:pPr>
        <w:pStyle w:val="45"/>
        <w:spacing w:line="360" w:lineRule="auto"/>
        <w:ind w:left="5250"/>
        <w:rPr>
          <w:rFonts w:hAnsi="宋体" w:cs="宋体"/>
          <w:sz w:val="24"/>
          <w:szCs w:val="24"/>
        </w:rPr>
      </w:pPr>
    </w:p>
    <w:p w14:paraId="5EC0F51C">
      <w:pPr>
        <w:autoSpaceDE w:val="0"/>
        <w:autoSpaceDN w:val="0"/>
        <w:adjustRightInd w:val="0"/>
        <w:snapToGrid w:val="0"/>
        <w:spacing w:before="25" w:line="360" w:lineRule="auto"/>
        <w:rPr>
          <w:rFonts w:eastAsiaTheme="minorEastAsia"/>
          <w:sz w:val="24"/>
          <w:lang w:val="zh-CN"/>
        </w:rPr>
      </w:pPr>
      <w:r>
        <w:rPr>
          <w:rFonts w:eastAsiaTheme="minorEastAsia"/>
          <w:sz w:val="24"/>
        </w:rPr>
        <w:t>供应商名称（加盖公章）</w:t>
      </w:r>
      <w:r>
        <w:rPr>
          <w:rFonts w:eastAsiaTheme="minorEastAsia"/>
          <w:sz w:val="24"/>
          <w:lang w:val="zh-CN"/>
        </w:rPr>
        <w:t>：</w:t>
      </w:r>
      <w:r>
        <w:rPr>
          <w:rFonts w:cs="宋体"/>
          <w:u w:val="single"/>
        </w:rPr>
        <w:t xml:space="preserve">      </w:t>
      </w:r>
      <w:r>
        <w:rPr>
          <w:rFonts w:hint="eastAsia" w:cs="宋体"/>
          <w:u w:val="single"/>
        </w:rPr>
        <w:t xml:space="preserve"> </w:t>
      </w:r>
      <w:r>
        <w:rPr>
          <w:rFonts w:cs="宋体"/>
          <w:u w:val="single"/>
        </w:rPr>
        <w:t xml:space="preserve">   </w:t>
      </w:r>
    </w:p>
    <w:p w14:paraId="2B880E83">
      <w:pPr>
        <w:autoSpaceDE w:val="0"/>
        <w:autoSpaceDN w:val="0"/>
        <w:adjustRightInd w:val="0"/>
        <w:snapToGrid w:val="0"/>
        <w:spacing w:line="360" w:lineRule="auto"/>
        <w:rPr>
          <w:rFonts w:eastAsiaTheme="minorEastAsia"/>
          <w:sz w:val="24"/>
          <w:lang w:val="zh-CN"/>
        </w:rPr>
      </w:pPr>
      <w:r>
        <w:rPr>
          <w:rFonts w:eastAsiaTheme="minorEastAsia"/>
          <w:sz w:val="24"/>
        </w:rPr>
        <w:t>日期：</w:t>
      </w:r>
      <w:r>
        <w:rPr>
          <w:rFonts w:cs="宋体"/>
          <w:u w:val="single"/>
        </w:rPr>
        <w:t xml:space="preserve">     </w:t>
      </w:r>
      <w:r>
        <w:rPr>
          <w:rFonts w:eastAsiaTheme="minorEastAsia"/>
          <w:sz w:val="24"/>
          <w:szCs w:val="20"/>
        </w:rPr>
        <w:t>年</w:t>
      </w:r>
      <w:r>
        <w:rPr>
          <w:rFonts w:cs="宋体"/>
          <w:u w:val="single"/>
        </w:rPr>
        <w:t xml:space="preserve">     </w:t>
      </w:r>
      <w:r>
        <w:rPr>
          <w:rFonts w:eastAsiaTheme="minorEastAsia"/>
          <w:sz w:val="24"/>
          <w:szCs w:val="20"/>
        </w:rPr>
        <w:t>月</w:t>
      </w:r>
      <w:r>
        <w:rPr>
          <w:rFonts w:cs="宋体"/>
          <w:u w:val="single"/>
        </w:rPr>
        <w:t xml:space="preserve">     </w:t>
      </w:r>
      <w:r>
        <w:rPr>
          <w:rFonts w:eastAsiaTheme="minorEastAsia"/>
          <w:sz w:val="24"/>
          <w:szCs w:val="20"/>
        </w:rPr>
        <w:t>日</w:t>
      </w:r>
    </w:p>
    <w:p w14:paraId="1DA17B2D">
      <w:pPr>
        <w:widowControl/>
        <w:jc w:val="left"/>
        <w:rPr>
          <w:rFonts w:hint="eastAsia" w:ascii="宋体" w:hAnsi="宋体" w:cs="仿宋"/>
          <w:sz w:val="24"/>
          <w:szCs w:val="20"/>
        </w:rPr>
      </w:pPr>
      <w:r>
        <w:rPr>
          <w:rFonts w:hint="eastAsia" w:ascii="宋体" w:hAnsi="宋体" w:cs="仿宋"/>
          <w:sz w:val="24"/>
          <w:szCs w:val="20"/>
        </w:rPr>
        <w:br w:type="page"/>
      </w:r>
    </w:p>
    <w:bookmarkEnd w:id="2256"/>
    <w:bookmarkEnd w:id="2257"/>
    <w:bookmarkEnd w:id="2258"/>
    <w:bookmarkEnd w:id="2259"/>
    <w:bookmarkEnd w:id="2260"/>
    <w:bookmarkEnd w:id="2261"/>
    <w:bookmarkEnd w:id="2262"/>
    <w:bookmarkEnd w:id="2263"/>
    <w:bookmarkEnd w:id="2264"/>
    <w:bookmarkEnd w:id="2265"/>
    <w:bookmarkEnd w:id="2266"/>
    <w:bookmarkEnd w:id="2267"/>
    <w:bookmarkEnd w:id="2268"/>
    <w:bookmarkEnd w:id="2269"/>
    <w:bookmarkEnd w:id="2270"/>
    <w:bookmarkEnd w:id="2271"/>
    <w:p w14:paraId="56FF410B">
      <w:pPr>
        <w:tabs>
          <w:tab w:val="left" w:pos="360"/>
        </w:tabs>
        <w:snapToGrid w:val="0"/>
        <w:spacing w:line="360" w:lineRule="auto"/>
        <w:outlineLvl w:val="1"/>
        <w:rPr>
          <w:rFonts w:hint="eastAsia" w:asciiTheme="minorEastAsia" w:hAnsiTheme="minorEastAsia" w:eastAsiaTheme="minorEastAsia"/>
          <w:color w:val="000000"/>
          <w:sz w:val="24"/>
          <w:szCs w:val="20"/>
        </w:rPr>
      </w:pPr>
      <w:bookmarkStart w:id="2276" w:name="OLE_LINK45"/>
      <w:bookmarkStart w:id="2277" w:name="_Toc305158827"/>
      <w:bookmarkStart w:id="2278" w:name="_Toc150480796"/>
      <w:bookmarkStart w:id="2279" w:name="_Toc305158901"/>
      <w:bookmarkStart w:id="2280" w:name="_Toc226965832"/>
      <w:bookmarkStart w:id="2281" w:name="_Toc226309803"/>
      <w:bookmarkStart w:id="2282" w:name="_Toc226965749"/>
      <w:bookmarkStart w:id="2283" w:name="_Toc150774763"/>
      <w:bookmarkStart w:id="2284" w:name="_Toc142311060"/>
      <w:bookmarkStart w:id="2285" w:name="_Toc265228397"/>
      <w:bookmarkStart w:id="2286" w:name="_Toc127151558"/>
      <w:bookmarkStart w:id="2287" w:name="_Toc264969249"/>
      <w:bookmarkStart w:id="2288" w:name="_Toc226337255"/>
      <w:bookmarkStart w:id="2289" w:name="_Toc195842924"/>
      <w:r>
        <w:rPr>
          <w:rFonts w:hint="eastAsia" w:asciiTheme="minorEastAsia" w:hAnsiTheme="minorEastAsia" w:eastAsiaTheme="minorEastAsia"/>
          <w:sz w:val="24"/>
        </w:rPr>
        <w:t>9</w:t>
      </w:r>
      <w:r>
        <w:rPr>
          <w:rFonts w:asciiTheme="minorEastAsia" w:hAnsiTheme="minorEastAsia" w:eastAsiaTheme="minorEastAsia"/>
          <w:sz w:val="24"/>
        </w:rPr>
        <w:t xml:space="preserve">  采购需求偏离表</w:t>
      </w:r>
      <w:r>
        <w:rPr>
          <w:rFonts w:hint="eastAsia" w:cs="宋体" w:asciiTheme="minorEastAsia" w:hAnsiTheme="minorEastAsia" w:eastAsiaTheme="minorEastAsia"/>
          <w:sz w:val="24"/>
        </w:rPr>
        <w:t>（实质性格式）</w:t>
      </w:r>
    </w:p>
    <w:p w14:paraId="196F18B7">
      <w:pPr>
        <w:widowControl/>
        <w:jc w:val="center"/>
        <w:rPr>
          <w:rFonts w:hint="eastAsia" w:cs="Arial" w:asciiTheme="minorEastAsia" w:hAnsiTheme="minorEastAsia" w:eastAsiaTheme="minorEastAsia"/>
          <w:b/>
          <w:sz w:val="32"/>
          <w:szCs w:val="32"/>
        </w:rPr>
      </w:pPr>
      <w:r>
        <w:rPr>
          <w:rFonts w:hint="eastAsia" w:cs="Arial" w:asciiTheme="minorEastAsia" w:hAnsiTheme="minorEastAsia" w:eastAsiaTheme="minorEastAsia"/>
          <w:b/>
          <w:sz w:val="32"/>
          <w:szCs w:val="32"/>
        </w:rPr>
        <w:t>采购需求偏离表</w:t>
      </w:r>
    </w:p>
    <w:bookmarkEnd w:id="2276"/>
    <w:p w14:paraId="5613F687">
      <w:pPr>
        <w:tabs>
          <w:tab w:val="left" w:pos="1800"/>
          <w:tab w:val="left" w:pos="5580"/>
        </w:tabs>
        <w:rPr>
          <w:rFonts w:hint="eastAsia" w:cs="Arial" w:asciiTheme="minorEastAsia" w:hAnsiTheme="minorEastAsia" w:eastAsiaTheme="minorEastAsia"/>
          <w:b/>
          <w:sz w:val="32"/>
          <w:szCs w:val="32"/>
        </w:rPr>
      </w:pPr>
    </w:p>
    <w:p w14:paraId="56E56EE9">
      <w:pPr>
        <w:tabs>
          <w:tab w:val="left" w:pos="1800"/>
          <w:tab w:val="left" w:pos="5580"/>
        </w:tabs>
        <w:rPr>
          <w:rFonts w:hint="eastAsia" w:asciiTheme="minorEastAsia" w:hAnsiTheme="minorEastAsia" w:eastAsiaTheme="minorEastAsia"/>
          <w:color w:val="000000"/>
          <w:sz w:val="24"/>
        </w:rPr>
      </w:pPr>
      <w:r>
        <w:rPr>
          <w:rFonts w:asciiTheme="minorEastAsia" w:hAnsiTheme="minorEastAsia" w:eastAsiaTheme="minorEastAsia"/>
          <w:color w:val="000000"/>
          <w:sz w:val="24"/>
        </w:rPr>
        <w:t>项目编号：______________________</w:t>
      </w:r>
      <w:r>
        <w:rPr>
          <w:rFonts w:hint="eastAsia" w:asciiTheme="minorEastAsia" w:hAnsiTheme="minorEastAsia" w:eastAsiaTheme="minorEastAsia"/>
          <w:color w:val="000000"/>
          <w:sz w:val="24"/>
        </w:rPr>
        <w:t xml:space="preserve">     </w:t>
      </w:r>
      <w:r>
        <w:rPr>
          <w:rFonts w:asciiTheme="minorEastAsia" w:hAnsiTheme="minorEastAsia" w:eastAsiaTheme="minorEastAsia"/>
          <w:color w:val="000000"/>
          <w:sz w:val="24"/>
        </w:rPr>
        <w:t>项目名称：________________________</w:t>
      </w:r>
    </w:p>
    <w:tbl>
      <w:tblPr>
        <w:tblStyle w:val="8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1"/>
        <w:gridCol w:w="1930"/>
        <w:gridCol w:w="1551"/>
        <w:gridCol w:w="2212"/>
        <w:gridCol w:w="1770"/>
        <w:gridCol w:w="1033"/>
      </w:tblGrid>
      <w:tr w14:paraId="7254ED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2" w:hRule="atLeast"/>
          <w:jc w:val="center"/>
        </w:trPr>
        <w:tc>
          <w:tcPr>
            <w:tcW w:w="426" w:type="pct"/>
            <w:vAlign w:val="center"/>
          </w:tcPr>
          <w:p w14:paraId="3ADCC0A1">
            <w:pPr>
              <w:adjustRightInd w:val="0"/>
              <w:snapToGrid w:val="0"/>
              <w:jc w:val="center"/>
              <w:rPr>
                <w:rFonts w:hint="eastAsia" w:asciiTheme="minorEastAsia" w:hAnsiTheme="minorEastAsia" w:eastAsiaTheme="minorEastAsia"/>
                <w:color w:val="000000"/>
                <w:sz w:val="24"/>
              </w:rPr>
            </w:pPr>
            <w:r>
              <w:rPr>
                <w:rFonts w:asciiTheme="minorEastAsia" w:hAnsiTheme="minorEastAsia" w:eastAsiaTheme="minorEastAsia"/>
                <w:color w:val="000000"/>
                <w:sz w:val="24"/>
              </w:rPr>
              <w:t>序号</w:t>
            </w:r>
          </w:p>
        </w:tc>
        <w:tc>
          <w:tcPr>
            <w:tcW w:w="1039" w:type="pct"/>
            <w:vAlign w:val="center"/>
          </w:tcPr>
          <w:p w14:paraId="41D6AE1D">
            <w:pPr>
              <w:adjustRightInd w:val="0"/>
              <w:snapToGrid w:val="0"/>
              <w:jc w:val="center"/>
              <w:rPr>
                <w:rFonts w:hint="eastAsia" w:asciiTheme="minorEastAsia" w:hAnsiTheme="minorEastAsia" w:eastAsiaTheme="minorEastAsia"/>
                <w:color w:val="000000"/>
                <w:sz w:val="24"/>
              </w:rPr>
            </w:pPr>
            <w:r>
              <w:rPr>
                <w:rFonts w:asciiTheme="minorEastAsia" w:hAnsiTheme="minorEastAsia" w:eastAsiaTheme="minorEastAsia"/>
                <w:color w:val="000000"/>
                <w:sz w:val="24"/>
              </w:rPr>
              <w:t>竞争性磋商文件条目号(页码)</w:t>
            </w:r>
          </w:p>
        </w:tc>
        <w:tc>
          <w:tcPr>
            <w:tcW w:w="835" w:type="pct"/>
            <w:vAlign w:val="center"/>
          </w:tcPr>
          <w:p w14:paraId="63E26F44">
            <w:pPr>
              <w:adjustRightInd w:val="0"/>
              <w:snapToGrid w:val="0"/>
              <w:jc w:val="center"/>
              <w:rPr>
                <w:rFonts w:hint="eastAsia" w:asciiTheme="minorEastAsia" w:hAnsiTheme="minorEastAsia" w:eastAsiaTheme="minorEastAsia"/>
                <w:color w:val="000000"/>
                <w:sz w:val="24"/>
              </w:rPr>
            </w:pPr>
            <w:r>
              <w:rPr>
                <w:rFonts w:asciiTheme="minorEastAsia" w:hAnsiTheme="minorEastAsia" w:eastAsiaTheme="minorEastAsia"/>
                <w:color w:val="000000"/>
                <w:sz w:val="24"/>
              </w:rPr>
              <w:t>竞争性磋商文件要求</w:t>
            </w:r>
          </w:p>
        </w:tc>
        <w:tc>
          <w:tcPr>
            <w:tcW w:w="1191" w:type="pct"/>
            <w:vAlign w:val="center"/>
          </w:tcPr>
          <w:p w14:paraId="00D370A7">
            <w:pPr>
              <w:adjustRightInd w:val="0"/>
              <w:snapToGrid w:val="0"/>
              <w:jc w:val="center"/>
              <w:rPr>
                <w:rFonts w:hint="eastAsia" w:asciiTheme="minorEastAsia" w:hAnsiTheme="minorEastAsia" w:eastAsiaTheme="minorEastAsia"/>
                <w:color w:val="000000"/>
                <w:sz w:val="24"/>
              </w:rPr>
            </w:pPr>
            <w:r>
              <w:rPr>
                <w:rFonts w:asciiTheme="minorEastAsia" w:hAnsiTheme="minorEastAsia" w:eastAsiaTheme="minorEastAsia"/>
                <w:color w:val="000000"/>
                <w:sz w:val="24"/>
              </w:rPr>
              <w:t>响应内容</w:t>
            </w:r>
          </w:p>
        </w:tc>
        <w:tc>
          <w:tcPr>
            <w:tcW w:w="953" w:type="pct"/>
            <w:vAlign w:val="center"/>
          </w:tcPr>
          <w:p w14:paraId="4A956E31">
            <w:pPr>
              <w:adjustRightInd w:val="0"/>
              <w:snapToGrid w:val="0"/>
              <w:jc w:val="center"/>
              <w:rPr>
                <w:rFonts w:hint="eastAsia" w:asciiTheme="minorEastAsia" w:hAnsiTheme="minorEastAsia" w:eastAsiaTheme="minorEastAsia"/>
                <w:color w:val="000000"/>
                <w:sz w:val="24"/>
              </w:rPr>
            </w:pPr>
            <w:r>
              <w:rPr>
                <w:rFonts w:asciiTheme="minorEastAsia" w:hAnsiTheme="minorEastAsia" w:eastAsiaTheme="minorEastAsia"/>
                <w:color w:val="000000"/>
                <w:sz w:val="24"/>
              </w:rPr>
              <w:t>偏离情况</w:t>
            </w:r>
          </w:p>
          <w:p w14:paraId="61B11821">
            <w:pPr>
              <w:adjustRightInd w:val="0"/>
              <w:snapToGrid w:val="0"/>
              <w:jc w:val="center"/>
              <w:rPr>
                <w:rFonts w:hint="eastAsia" w:asciiTheme="minorEastAsia" w:hAnsiTheme="minorEastAsia" w:eastAsiaTheme="minorEastAsia"/>
                <w:color w:val="000000"/>
                <w:sz w:val="24"/>
              </w:rPr>
            </w:pPr>
            <w:r>
              <w:rPr>
                <w:rFonts w:asciiTheme="minorEastAsia" w:hAnsiTheme="minorEastAsia" w:eastAsiaTheme="minorEastAsia"/>
                <w:color w:val="000000"/>
                <w:sz w:val="24"/>
                <w:szCs w:val="21"/>
              </w:rPr>
              <w:t>（据实填写）</w:t>
            </w:r>
          </w:p>
        </w:tc>
        <w:tc>
          <w:tcPr>
            <w:tcW w:w="556" w:type="pct"/>
            <w:vAlign w:val="center"/>
          </w:tcPr>
          <w:p w14:paraId="61F7967C">
            <w:pPr>
              <w:adjustRightInd w:val="0"/>
              <w:snapToGrid w:val="0"/>
              <w:jc w:val="center"/>
              <w:rPr>
                <w:rFonts w:hint="eastAsia" w:asciiTheme="minorEastAsia" w:hAnsiTheme="minorEastAsia" w:eastAsiaTheme="minorEastAsia"/>
                <w:color w:val="000000"/>
                <w:sz w:val="24"/>
              </w:rPr>
            </w:pPr>
            <w:r>
              <w:rPr>
                <w:rFonts w:asciiTheme="minorEastAsia" w:hAnsiTheme="minorEastAsia" w:eastAsiaTheme="minorEastAsia"/>
                <w:color w:val="000000"/>
                <w:sz w:val="24"/>
              </w:rPr>
              <w:t>说明</w:t>
            </w:r>
          </w:p>
        </w:tc>
      </w:tr>
      <w:tr w14:paraId="2C6436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8" w:hRule="atLeast"/>
          <w:jc w:val="center"/>
        </w:trPr>
        <w:tc>
          <w:tcPr>
            <w:tcW w:w="426" w:type="pct"/>
            <w:vAlign w:val="center"/>
          </w:tcPr>
          <w:p w14:paraId="3F27911A">
            <w:pPr>
              <w:adjustRightInd w:val="0"/>
              <w:snapToGrid w:val="0"/>
              <w:jc w:val="center"/>
              <w:rPr>
                <w:rFonts w:hint="eastAsia" w:asciiTheme="minorEastAsia" w:hAnsiTheme="minorEastAsia" w:eastAsiaTheme="minorEastAsia"/>
                <w:color w:val="000000"/>
                <w:sz w:val="24"/>
              </w:rPr>
            </w:pPr>
          </w:p>
        </w:tc>
        <w:tc>
          <w:tcPr>
            <w:tcW w:w="1039" w:type="pct"/>
            <w:vAlign w:val="center"/>
          </w:tcPr>
          <w:p w14:paraId="6BF67161">
            <w:pPr>
              <w:adjustRightInd w:val="0"/>
              <w:snapToGrid w:val="0"/>
              <w:jc w:val="center"/>
              <w:rPr>
                <w:rFonts w:hint="eastAsia" w:asciiTheme="minorEastAsia" w:hAnsiTheme="minorEastAsia" w:eastAsiaTheme="minorEastAsia"/>
                <w:color w:val="000000"/>
                <w:sz w:val="24"/>
              </w:rPr>
            </w:pPr>
          </w:p>
        </w:tc>
        <w:tc>
          <w:tcPr>
            <w:tcW w:w="835" w:type="pct"/>
            <w:vAlign w:val="center"/>
          </w:tcPr>
          <w:p w14:paraId="68687565">
            <w:pPr>
              <w:adjustRightInd w:val="0"/>
              <w:snapToGrid w:val="0"/>
              <w:jc w:val="center"/>
              <w:rPr>
                <w:rFonts w:hint="eastAsia" w:asciiTheme="minorEastAsia" w:hAnsiTheme="minorEastAsia" w:eastAsiaTheme="minorEastAsia"/>
                <w:color w:val="000000"/>
                <w:sz w:val="24"/>
              </w:rPr>
            </w:pPr>
          </w:p>
        </w:tc>
        <w:tc>
          <w:tcPr>
            <w:tcW w:w="1191" w:type="pct"/>
            <w:vAlign w:val="center"/>
          </w:tcPr>
          <w:p w14:paraId="0A6C97E9">
            <w:pPr>
              <w:adjustRightInd w:val="0"/>
              <w:snapToGrid w:val="0"/>
              <w:jc w:val="center"/>
              <w:rPr>
                <w:rFonts w:hint="eastAsia" w:asciiTheme="minorEastAsia" w:hAnsiTheme="minorEastAsia" w:eastAsiaTheme="minorEastAsia"/>
                <w:color w:val="000000"/>
                <w:sz w:val="24"/>
              </w:rPr>
            </w:pPr>
          </w:p>
        </w:tc>
        <w:tc>
          <w:tcPr>
            <w:tcW w:w="953" w:type="pct"/>
            <w:vAlign w:val="center"/>
          </w:tcPr>
          <w:p w14:paraId="030C6E8F">
            <w:pPr>
              <w:adjustRightInd w:val="0"/>
              <w:snapToGrid w:val="0"/>
              <w:jc w:val="center"/>
              <w:rPr>
                <w:rFonts w:hint="eastAsia" w:asciiTheme="minorEastAsia" w:hAnsiTheme="minorEastAsia" w:eastAsiaTheme="minorEastAsia"/>
                <w:color w:val="000000"/>
                <w:sz w:val="24"/>
              </w:rPr>
            </w:pPr>
          </w:p>
        </w:tc>
        <w:tc>
          <w:tcPr>
            <w:tcW w:w="556" w:type="pct"/>
            <w:vAlign w:val="center"/>
          </w:tcPr>
          <w:p w14:paraId="0EFA1E2C">
            <w:pPr>
              <w:adjustRightInd w:val="0"/>
              <w:snapToGrid w:val="0"/>
              <w:jc w:val="center"/>
              <w:rPr>
                <w:rFonts w:hint="eastAsia" w:asciiTheme="minorEastAsia" w:hAnsiTheme="minorEastAsia" w:eastAsiaTheme="minorEastAsia"/>
                <w:color w:val="000000"/>
                <w:sz w:val="24"/>
              </w:rPr>
            </w:pPr>
          </w:p>
        </w:tc>
      </w:tr>
      <w:tr w14:paraId="5F87B1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8" w:hRule="atLeast"/>
          <w:jc w:val="center"/>
        </w:trPr>
        <w:tc>
          <w:tcPr>
            <w:tcW w:w="426" w:type="pct"/>
            <w:vAlign w:val="center"/>
          </w:tcPr>
          <w:p w14:paraId="1B90BB9F">
            <w:pPr>
              <w:adjustRightInd w:val="0"/>
              <w:snapToGrid w:val="0"/>
              <w:jc w:val="center"/>
              <w:rPr>
                <w:rFonts w:hint="eastAsia" w:asciiTheme="minorEastAsia" w:hAnsiTheme="minorEastAsia" w:eastAsiaTheme="minorEastAsia"/>
                <w:color w:val="000000"/>
                <w:sz w:val="24"/>
              </w:rPr>
            </w:pPr>
          </w:p>
        </w:tc>
        <w:tc>
          <w:tcPr>
            <w:tcW w:w="1039" w:type="pct"/>
            <w:vAlign w:val="center"/>
          </w:tcPr>
          <w:p w14:paraId="1A7A8347">
            <w:pPr>
              <w:adjustRightInd w:val="0"/>
              <w:snapToGrid w:val="0"/>
              <w:jc w:val="center"/>
              <w:rPr>
                <w:rFonts w:hint="eastAsia" w:asciiTheme="minorEastAsia" w:hAnsiTheme="minorEastAsia" w:eastAsiaTheme="minorEastAsia"/>
                <w:color w:val="000000"/>
                <w:sz w:val="24"/>
              </w:rPr>
            </w:pPr>
          </w:p>
        </w:tc>
        <w:tc>
          <w:tcPr>
            <w:tcW w:w="835" w:type="pct"/>
            <w:vAlign w:val="center"/>
          </w:tcPr>
          <w:p w14:paraId="690AFD54">
            <w:pPr>
              <w:adjustRightInd w:val="0"/>
              <w:snapToGrid w:val="0"/>
              <w:jc w:val="center"/>
              <w:rPr>
                <w:rFonts w:hint="eastAsia" w:asciiTheme="minorEastAsia" w:hAnsiTheme="minorEastAsia" w:eastAsiaTheme="minorEastAsia"/>
                <w:color w:val="000000"/>
                <w:sz w:val="24"/>
              </w:rPr>
            </w:pPr>
          </w:p>
        </w:tc>
        <w:tc>
          <w:tcPr>
            <w:tcW w:w="1191" w:type="pct"/>
            <w:vAlign w:val="center"/>
          </w:tcPr>
          <w:p w14:paraId="65A564BE">
            <w:pPr>
              <w:adjustRightInd w:val="0"/>
              <w:snapToGrid w:val="0"/>
              <w:jc w:val="center"/>
              <w:rPr>
                <w:rFonts w:hint="eastAsia" w:asciiTheme="minorEastAsia" w:hAnsiTheme="minorEastAsia" w:eastAsiaTheme="minorEastAsia"/>
                <w:color w:val="000000"/>
                <w:sz w:val="24"/>
              </w:rPr>
            </w:pPr>
          </w:p>
        </w:tc>
        <w:tc>
          <w:tcPr>
            <w:tcW w:w="953" w:type="pct"/>
            <w:vAlign w:val="center"/>
          </w:tcPr>
          <w:p w14:paraId="1516B613">
            <w:pPr>
              <w:adjustRightInd w:val="0"/>
              <w:snapToGrid w:val="0"/>
              <w:jc w:val="center"/>
              <w:rPr>
                <w:rFonts w:hint="eastAsia" w:asciiTheme="minorEastAsia" w:hAnsiTheme="minorEastAsia" w:eastAsiaTheme="minorEastAsia"/>
                <w:color w:val="000000"/>
                <w:sz w:val="24"/>
              </w:rPr>
            </w:pPr>
          </w:p>
        </w:tc>
        <w:tc>
          <w:tcPr>
            <w:tcW w:w="556" w:type="pct"/>
            <w:vAlign w:val="center"/>
          </w:tcPr>
          <w:p w14:paraId="2353C3B5">
            <w:pPr>
              <w:adjustRightInd w:val="0"/>
              <w:snapToGrid w:val="0"/>
              <w:jc w:val="center"/>
              <w:rPr>
                <w:rFonts w:hint="eastAsia" w:asciiTheme="minorEastAsia" w:hAnsiTheme="minorEastAsia" w:eastAsiaTheme="minorEastAsia"/>
                <w:color w:val="000000"/>
                <w:sz w:val="24"/>
              </w:rPr>
            </w:pPr>
          </w:p>
        </w:tc>
      </w:tr>
      <w:tr w14:paraId="4C99AD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8" w:hRule="atLeast"/>
          <w:jc w:val="center"/>
        </w:trPr>
        <w:tc>
          <w:tcPr>
            <w:tcW w:w="426" w:type="pct"/>
            <w:vAlign w:val="center"/>
          </w:tcPr>
          <w:p w14:paraId="73A5BF13">
            <w:pPr>
              <w:adjustRightInd w:val="0"/>
              <w:snapToGrid w:val="0"/>
              <w:jc w:val="center"/>
              <w:rPr>
                <w:rFonts w:hint="eastAsia" w:asciiTheme="minorEastAsia" w:hAnsiTheme="minorEastAsia" w:eastAsiaTheme="minorEastAsia"/>
                <w:color w:val="000000"/>
                <w:sz w:val="24"/>
              </w:rPr>
            </w:pPr>
          </w:p>
        </w:tc>
        <w:tc>
          <w:tcPr>
            <w:tcW w:w="1039" w:type="pct"/>
            <w:vAlign w:val="center"/>
          </w:tcPr>
          <w:p w14:paraId="38A03C08">
            <w:pPr>
              <w:adjustRightInd w:val="0"/>
              <w:snapToGrid w:val="0"/>
              <w:jc w:val="center"/>
              <w:rPr>
                <w:rFonts w:hint="eastAsia" w:asciiTheme="minorEastAsia" w:hAnsiTheme="minorEastAsia" w:eastAsiaTheme="minorEastAsia"/>
                <w:color w:val="000000"/>
                <w:sz w:val="24"/>
              </w:rPr>
            </w:pPr>
          </w:p>
        </w:tc>
        <w:tc>
          <w:tcPr>
            <w:tcW w:w="835" w:type="pct"/>
            <w:vAlign w:val="center"/>
          </w:tcPr>
          <w:p w14:paraId="762BC9C2">
            <w:pPr>
              <w:adjustRightInd w:val="0"/>
              <w:snapToGrid w:val="0"/>
              <w:jc w:val="center"/>
              <w:rPr>
                <w:rFonts w:hint="eastAsia" w:asciiTheme="minorEastAsia" w:hAnsiTheme="minorEastAsia" w:eastAsiaTheme="minorEastAsia"/>
                <w:color w:val="000000"/>
                <w:sz w:val="24"/>
              </w:rPr>
            </w:pPr>
          </w:p>
        </w:tc>
        <w:tc>
          <w:tcPr>
            <w:tcW w:w="1191" w:type="pct"/>
            <w:vAlign w:val="center"/>
          </w:tcPr>
          <w:p w14:paraId="08E802ED">
            <w:pPr>
              <w:adjustRightInd w:val="0"/>
              <w:snapToGrid w:val="0"/>
              <w:jc w:val="center"/>
              <w:rPr>
                <w:rFonts w:hint="eastAsia" w:asciiTheme="minorEastAsia" w:hAnsiTheme="minorEastAsia" w:eastAsiaTheme="minorEastAsia"/>
                <w:color w:val="000000"/>
                <w:sz w:val="24"/>
              </w:rPr>
            </w:pPr>
          </w:p>
        </w:tc>
        <w:tc>
          <w:tcPr>
            <w:tcW w:w="953" w:type="pct"/>
            <w:vAlign w:val="center"/>
          </w:tcPr>
          <w:p w14:paraId="47C503DB">
            <w:pPr>
              <w:adjustRightInd w:val="0"/>
              <w:snapToGrid w:val="0"/>
              <w:jc w:val="center"/>
              <w:rPr>
                <w:rFonts w:hint="eastAsia" w:asciiTheme="minorEastAsia" w:hAnsiTheme="minorEastAsia" w:eastAsiaTheme="minorEastAsia"/>
                <w:color w:val="000000"/>
                <w:sz w:val="24"/>
              </w:rPr>
            </w:pPr>
          </w:p>
        </w:tc>
        <w:tc>
          <w:tcPr>
            <w:tcW w:w="556" w:type="pct"/>
            <w:vAlign w:val="center"/>
          </w:tcPr>
          <w:p w14:paraId="6C31C684">
            <w:pPr>
              <w:adjustRightInd w:val="0"/>
              <w:snapToGrid w:val="0"/>
              <w:jc w:val="center"/>
              <w:rPr>
                <w:rFonts w:hint="eastAsia" w:asciiTheme="minorEastAsia" w:hAnsiTheme="minorEastAsia" w:eastAsiaTheme="minorEastAsia"/>
                <w:color w:val="000000"/>
                <w:sz w:val="24"/>
              </w:rPr>
            </w:pPr>
          </w:p>
        </w:tc>
      </w:tr>
      <w:tr w14:paraId="1BDC35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8" w:hRule="atLeast"/>
          <w:jc w:val="center"/>
        </w:trPr>
        <w:tc>
          <w:tcPr>
            <w:tcW w:w="426" w:type="pct"/>
            <w:vAlign w:val="center"/>
          </w:tcPr>
          <w:p w14:paraId="3EA63D06">
            <w:pPr>
              <w:adjustRightInd w:val="0"/>
              <w:snapToGrid w:val="0"/>
              <w:jc w:val="center"/>
              <w:rPr>
                <w:rFonts w:hint="eastAsia" w:asciiTheme="minorEastAsia" w:hAnsiTheme="minorEastAsia" w:eastAsiaTheme="minorEastAsia"/>
                <w:color w:val="000000"/>
                <w:sz w:val="24"/>
              </w:rPr>
            </w:pPr>
          </w:p>
        </w:tc>
        <w:tc>
          <w:tcPr>
            <w:tcW w:w="1039" w:type="pct"/>
            <w:vAlign w:val="center"/>
          </w:tcPr>
          <w:p w14:paraId="0A7FD29E">
            <w:pPr>
              <w:adjustRightInd w:val="0"/>
              <w:snapToGrid w:val="0"/>
              <w:jc w:val="center"/>
              <w:rPr>
                <w:rFonts w:hint="eastAsia" w:asciiTheme="minorEastAsia" w:hAnsiTheme="minorEastAsia" w:eastAsiaTheme="minorEastAsia"/>
                <w:color w:val="000000"/>
                <w:sz w:val="24"/>
              </w:rPr>
            </w:pPr>
          </w:p>
        </w:tc>
        <w:tc>
          <w:tcPr>
            <w:tcW w:w="835" w:type="pct"/>
            <w:vAlign w:val="center"/>
          </w:tcPr>
          <w:p w14:paraId="64BFBD28">
            <w:pPr>
              <w:adjustRightInd w:val="0"/>
              <w:snapToGrid w:val="0"/>
              <w:jc w:val="center"/>
              <w:rPr>
                <w:rFonts w:hint="eastAsia" w:asciiTheme="minorEastAsia" w:hAnsiTheme="minorEastAsia" w:eastAsiaTheme="minorEastAsia"/>
                <w:color w:val="000000"/>
                <w:sz w:val="24"/>
              </w:rPr>
            </w:pPr>
          </w:p>
        </w:tc>
        <w:tc>
          <w:tcPr>
            <w:tcW w:w="1191" w:type="pct"/>
            <w:vAlign w:val="center"/>
          </w:tcPr>
          <w:p w14:paraId="2AC8857E">
            <w:pPr>
              <w:adjustRightInd w:val="0"/>
              <w:snapToGrid w:val="0"/>
              <w:jc w:val="center"/>
              <w:rPr>
                <w:rFonts w:hint="eastAsia" w:asciiTheme="minorEastAsia" w:hAnsiTheme="minorEastAsia" w:eastAsiaTheme="minorEastAsia"/>
                <w:color w:val="000000"/>
                <w:sz w:val="24"/>
              </w:rPr>
            </w:pPr>
          </w:p>
        </w:tc>
        <w:tc>
          <w:tcPr>
            <w:tcW w:w="953" w:type="pct"/>
            <w:vAlign w:val="center"/>
          </w:tcPr>
          <w:p w14:paraId="69B60412">
            <w:pPr>
              <w:adjustRightInd w:val="0"/>
              <w:snapToGrid w:val="0"/>
              <w:jc w:val="center"/>
              <w:rPr>
                <w:rFonts w:hint="eastAsia" w:asciiTheme="minorEastAsia" w:hAnsiTheme="minorEastAsia" w:eastAsiaTheme="minorEastAsia"/>
                <w:color w:val="000000"/>
                <w:sz w:val="24"/>
              </w:rPr>
            </w:pPr>
          </w:p>
        </w:tc>
        <w:tc>
          <w:tcPr>
            <w:tcW w:w="556" w:type="pct"/>
            <w:vAlign w:val="center"/>
          </w:tcPr>
          <w:p w14:paraId="06C70374">
            <w:pPr>
              <w:adjustRightInd w:val="0"/>
              <w:snapToGrid w:val="0"/>
              <w:jc w:val="center"/>
              <w:rPr>
                <w:rFonts w:hint="eastAsia" w:asciiTheme="minorEastAsia" w:hAnsiTheme="minorEastAsia" w:eastAsiaTheme="minorEastAsia"/>
                <w:color w:val="000000"/>
                <w:sz w:val="24"/>
              </w:rPr>
            </w:pPr>
          </w:p>
        </w:tc>
      </w:tr>
      <w:tr w14:paraId="611DA7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8" w:hRule="atLeast"/>
          <w:jc w:val="center"/>
        </w:trPr>
        <w:tc>
          <w:tcPr>
            <w:tcW w:w="426" w:type="pct"/>
            <w:vAlign w:val="center"/>
          </w:tcPr>
          <w:p w14:paraId="6A016B8D">
            <w:pPr>
              <w:adjustRightInd w:val="0"/>
              <w:snapToGrid w:val="0"/>
              <w:jc w:val="center"/>
              <w:rPr>
                <w:rFonts w:hint="eastAsia" w:asciiTheme="minorEastAsia" w:hAnsiTheme="minorEastAsia" w:eastAsiaTheme="minorEastAsia"/>
                <w:color w:val="000000"/>
                <w:sz w:val="24"/>
              </w:rPr>
            </w:pPr>
          </w:p>
        </w:tc>
        <w:tc>
          <w:tcPr>
            <w:tcW w:w="1039" w:type="pct"/>
            <w:vAlign w:val="center"/>
          </w:tcPr>
          <w:p w14:paraId="5387DDCF">
            <w:pPr>
              <w:adjustRightInd w:val="0"/>
              <w:snapToGrid w:val="0"/>
              <w:jc w:val="center"/>
              <w:rPr>
                <w:rFonts w:hint="eastAsia" w:asciiTheme="minorEastAsia" w:hAnsiTheme="minorEastAsia" w:eastAsiaTheme="minorEastAsia"/>
                <w:color w:val="000000"/>
                <w:sz w:val="24"/>
              </w:rPr>
            </w:pPr>
          </w:p>
        </w:tc>
        <w:tc>
          <w:tcPr>
            <w:tcW w:w="835" w:type="pct"/>
            <w:vAlign w:val="center"/>
          </w:tcPr>
          <w:p w14:paraId="1E552305">
            <w:pPr>
              <w:adjustRightInd w:val="0"/>
              <w:snapToGrid w:val="0"/>
              <w:jc w:val="center"/>
              <w:rPr>
                <w:rFonts w:hint="eastAsia" w:asciiTheme="minorEastAsia" w:hAnsiTheme="minorEastAsia" w:eastAsiaTheme="minorEastAsia"/>
                <w:color w:val="000000"/>
                <w:sz w:val="24"/>
              </w:rPr>
            </w:pPr>
          </w:p>
        </w:tc>
        <w:tc>
          <w:tcPr>
            <w:tcW w:w="1191" w:type="pct"/>
            <w:vAlign w:val="center"/>
          </w:tcPr>
          <w:p w14:paraId="432D41F8">
            <w:pPr>
              <w:adjustRightInd w:val="0"/>
              <w:snapToGrid w:val="0"/>
              <w:jc w:val="center"/>
              <w:rPr>
                <w:rFonts w:hint="eastAsia" w:asciiTheme="minorEastAsia" w:hAnsiTheme="minorEastAsia" w:eastAsiaTheme="minorEastAsia"/>
                <w:color w:val="000000"/>
                <w:sz w:val="24"/>
              </w:rPr>
            </w:pPr>
          </w:p>
        </w:tc>
        <w:tc>
          <w:tcPr>
            <w:tcW w:w="953" w:type="pct"/>
            <w:vAlign w:val="center"/>
          </w:tcPr>
          <w:p w14:paraId="3A48A80D">
            <w:pPr>
              <w:adjustRightInd w:val="0"/>
              <w:snapToGrid w:val="0"/>
              <w:jc w:val="center"/>
              <w:rPr>
                <w:rFonts w:hint="eastAsia" w:asciiTheme="minorEastAsia" w:hAnsiTheme="minorEastAsia" w:eastAsiaTheme="minorEastAsia"/>
                <w:color w:val="000000"/>
                <w:sz w:val="24"/>
              </w:rPr>
            </w:pPr>
          </w:p>
        </w:tc>
        <w:tc>
          <w:tcPr>
            <w:tcW w:w="556" w:type="pct"/>
            <w:vAlign w:val="center"/>
          </w:tcPr>
          <w:p w14:paraId="1063D637">
            <w:pPr>
              <w:adjustRightInd w:val="0"/>
              <w:snapToGrid w:val="0"/>
              <w:jc w:val="center"/>
              <w:rPr>
                <w:rFonts w:hint="eastAsia" w:asciiTheme="minorEastAsia" w:hAnsiTheme="minorEastAsia" w:eastAsiaTheme="minorEastAsia"/>
                <w:color w:val="000000"/>
                <w:sz w:val="24"/>
              </w:rPr>
            </w:pPr>
          </w:p>
        </w:tc>
      </w:tr>
      <w:tr w14:paraId="6638B2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8" w:hRule="atLeast"/>
          <w:jc w:val="center"/>
        </w:trPr>
        <w:tc>
          <w:tcPr>
            <w:tcW w:w="426" w:type="pct"/>
            <w:vAlign w:val="center"/>
          </w:tcPr>
          <w:p w14:paraId="49A1DB88">
            <w:pPr>
              <w:adjustRightInd w:val="0"/>
              <w:snapToGrid w:val="0"/>
              <w:jc w:val="center"/>
              <w:rPr>
                <w:rFonts w:hint="eastAsia" w:asciiTheme="minorEastAsia" w:hAnsiTheme="minorEastAsia" w:eastAsiaTheme="minorEastAsia"/>
                <w:color w:val="000000"/>
                <w:sz w:val="24"/>
              </w:rPr>
            </w:pPr>
          </w:p>
        </w:tc>
        <w:tc>
          <w:tcPr>
            <w:tcW w:w="1039" w:type="pct"/>
            <w:vAlign w:val="center"/>
          </w:tcPr>
          <w:p w14:paraId="616FC6DF">
            <w:pPr>
              <w:adjustRightInd w:val="0"/>
              <w:snapToGrid w:val="0"/>
              <w:jc w:val="center"/>
              <w:rPr>
                <w:rFonts w:hint="eastAsia" w:asciiTheme="minorEastAsia" w:hAnsiTheme="minorEastAsia" w:eastAsiaTheme="minorEastAsia"/>
                <w:color w:val="000000"/>
                <w:sz w:val="24"/>
              </w:rPr>
            </w:pPr>
          </w:p>
        </w:tc>
        <w:tc>
          <w:tcPr>
            <w:tcW w:w="835" w:type="pct"/>
            <w:vAlign w:val="center"/>
          </w:tcPr>
          <w:p w14:paraId="182D4A62">
            <w:pPr>
              <w:adjustRightInd w:val="0"/>
              <w:snapToGrid w:val="0"/>
              <w:jc w:val="center"/>
              <w:rPr>
                <w:rFonts w:hint="eastAsia" w:asciiTheme="minorEastAsia" w:hAnsiTheme="minorEastAsia" w:eastAsiaTheme="minorEastAsia"/>
                <w:color w:val="000000"/>
                <w:sz w:val="24"/>
              </w:rPr>
            </w:pPr>
          </w:p>
        </w:tc>
        <w:tc>
          <w:tcPr>
            <w:tcW w:w="1191" w:type="pct"/>
            <w:vAlign w:val="center"/>
          </w:tcPr>
          <w:p w14:paraId="1C8B3E43">
            <w:pPr>
              <w:adjustRightInd w:val="0"/>
              <w:snapToGrid w:val="0"/>
              <w:jc w:val="center"/>
              <w:rPr>
                <w:rFonts w:hint="eastAsia" w:asciiTheme="minorEastAsia" w:hAnsiTheme="minorEastAsia" w:eastAsiaTheme="minorEastAsia"/>
                <w:color w:val="000000"/>
                <w:sz w:val="24"/>
              </w:rPr>
            </w:pPr>
          </w:p>
        </w:tc>
        <w:tc>
          <w:tcPr>
            <w:tcW w:w="953" w:type="pct"/>
            <w:vAlign w:val="center"/>
          </w:tcPr>
          <w:p w14:paraId="24E04DB5">
            <w:pPr>
              <w:adjustRightInd w:val="0"/>
              <w:snapToGrid w:val="0"/>
              <w:jc w:val="center"/>
              <w:rPr>
                <w:rFonts w:hint="eastAsia" w:asciiTheme="minorEastAsia" w:hAnsiTheme="minorEastAsia" w:eastAsiaTheme="minorEastAsia"/>
                <w:color w:val="000000"/>
                <w:sz w:val="24"/>
              </w:rPr>
            </w:pPr>
          </w:p>
        </w:tc>
        <w:tc>
          <w:tcPr>
            <w:tcW w:w="556" w:type="pct"/>
            <w:vAlign w:val="center"/>
          </w:tcPr>
          <w:p w14:paraId="4C11E987">
            <w:pPr>
              <w:adjustRightInd w:val="0"/>
              <w:snapToGrid w:val="0"/>
              <w:jc w:val="center"/>
              <w:rPr>
                <w:rFonts w:hint="eastAsia" w:asciiTheme="minorEastAsia" w:hAnsiTheme="minorEastAsia" w:eastAsiaTheme="minorEastAsia"/>
                <w:color w:val="000000"/>
                <w:sz w:val="24"/>
              </w:rPr>
            </w:pPr>
          </w:p>
        </w:tc>
      </w:tr>
    </w:tbl>
    <w:p w14:paraId="28263173">
      <w:pPr>
        <w:tabs>
          <w:tab w:val="left" w:pos="1800"/>
          <w:tab w:val="left" w:pos="5580"/>
        </w:tabs>
        <w:jc w:val="left"/>
        <w:rPr>
          <w:rFonts w:hint="eastAsia" w:asciiTheme="minorEastAsia" w:hAnsiTheme="minorEastAsia" w:eastAsiaTheme="minorEastAsia"/>
          <w:color w:val="000000"/>
          <w:szCs w:val="21"/>
        </w:rPr>
      </w:pPr>
      <w:r>
        <w:rPr>
          <w:rFonts w:hint="eastAsia" w:asciiTheme="minorEastAsia" w:hAnsiTheme="minorEastAsia" w:eastAsiaTheme="minorEastAsia"/>
          <w:color w:val="000000"/>
          <w:szCs w:val="21"/>
        </w:rPr>
        <w:t>注：</w:t>
      </w:r>
    </w:p>
    <w:p w14:paraId="5C43D008">
      <w:pPr>
        <w:tabs>
          <w:tab w:val="left" w:pos="1800"/>
          <w:tab w:val="left" w:pos="5580"/>
        </w:tabs>
        <w:jc w:val="left"/>
        <w:rPr>
          <w:rFonts w:hint="eastAsia" w:asciiTheme="minorEastAsia" w:hAnsiTheme="minorEastAsia" w:eastAsiaTheme="minorEastAsia"/>
          <w:szCs w:val="21"/>
        </w:rPr>
      </w:pPr>
      <w:r>
        <w:rPr>
          <w:rFonts w:asciiTheme="minorEastAsia" w:hAnsiTheme="minorEastAsia" w:eastAsiaTheme="minorEastAsia"/>
          <w:color w:val="000000"/>
          <w:szCs w:val="21"/>
        </w:rPr>
        <w:t xml:space="preserve">1. </w:t>
      </w:r>
      <w:r>
        <w:rPr>
          <w:rFonts w:hint="eastAsia" w:asciiTheme="minorEastAsia" w:hAnsiTheme="minorEastAsia" w:eastAsiaTheme="minorEastAsia"/>
          <w:szCs w:val="21"/>
        </w:rPr>
        <w:t>对竞争性磋商文件中的所有商务、技术要求，除本表所列明的所有偏离外，均视作供应商已对之理解和响应。此表中若无任何文字说明，内容为空白的</w:t>
      </w:r>
      <w:r>
        <w:rPr>
          <w:rFonts w:hint="eastAsia" w:asciiTheme="minorEastAsia" w:hAnsiTheme="minorEastAsia" w:eastAsiaTheme="minorEastAsia"/>
          <w:b/>
          <w:szCs w:val="21"/>
        </w:rPr>
        <w:t>响应无效</w:t>
      </w:r>
      <w:r>
        <w:rPr>
          <w:rFonts w:hint="eastAsia" w:asciiTheme="minorEastAsia" w:hAnsiTheme="minorEastAsia" w:eastAsiaTheme="minorEastAsia"/>
          <w:szCs w:val="21"/>
        </w:rPr>
        <w:t>。</w:t>
      </w:r>
    </w:p>
    <w:p w14:paraId="3090B925">
      <w:pPr>
        <w:tabs>
          <w:tab w:val="left" w:pos="1800"/>
          <w:tab w:val="left" w:pos="5580"/>
        </w:tabs>
        <w:jc w:val="left"/>
        <w:rPr>
          <w:rFonts w:hint="eastAsia" w:asciiTheme="minorEastAsia" w:hAnsiTheme="minorEastAsia" w:eastAsiaTheme="minorEastAsia"/>
          <w:color w:val="000000"/>
          <w:szCs w:val="21"/>
        </w:rPr>
      </w:pPr>
      <w:r>
        <w:rPr>
          <w:rFonts w:asciiTheme="minorEastAsia" w:hAnsiTheme="minorEastAsia" w:eastAsiaTheme="minorEastAsia"/>
          <w:szCs w:val="21"/>
        </w:rPr>
        <w:t>2.</w:t>
      </w:r>
      <w:r>
        <w:rPr>
          <w:rFonts w:hint="eastAsia"/>
        </w:rPr>
        <w:t xml:space="preserve"> </w:t>
      </w:r>
      <w:r>
        <w:rPr>
          <w:rFonts w:hint="eastAsia" w:asciiTheme="minorEastAsia" w:hAnsiTheme="minorEastAsia" w:eastAsiaTheme="minorEastAsia"/>
          <w:szCs w:val="21"/>
        </w:rPr>
        <w:t>“偏离情况”列应据实填写“无偏离”、“正偏离”或“负偏离”。</w:t>
      </w:r>
    </w:p>
    <w:p w14:paraId="3B1B8C0B">
      <w:pPr>
        <w:tabs>
          <w:tab w:val="left" w:pos="1800"/>
          <w:tab w:val="left" w:pos="5580"/>
        </w:tabs>
        <w:jc w:val="left"/>
        <w:rPr>
          <w:rFonts w:hint="eastAsia" w:asciiTheme="minorEastAsia" w:hAnsiTheme="minorEastAsia" w:eastAsiaTheme="minorEastAsia"/>
          <w:color w:val="000000"/>
          <w:sz w:val="24"/>
        </w:rPr>
      </w:pPr>
    </w:p>
    <w:p w14:paraId="2AD86667">
      <w:pPr>
        <w:rPr>
          <w:rFonts w:hint="eastAsia" w:asciiTheme="minorEastAsia" w:hAnsiTheme="minorEastAsia" w:eastAsiaTheme="minorEastAsia"/>
          <w:color w:val="000000"/>
          <w:sz w:val="24"/>
          <w:szCs w:val="20"/>
        </w:rPr>
      </w:pPr>
    </w:p>
    <w:p w14:paraId="4ADD402E">
      <w:pPr>
        <w:rPr>
          <w:rFonts w:hint="eastAsia" w:asciiTheme="minorEastAsia" w:hAnsiTheme="minorEastAsia" w:eastAsiaTheme="minorEastAsia"/>
          <w:color w:val="000000"/>
          <w:sz w:val="24"/>
          <w:szCs w:val="20"/>
        </w:rPr>
      </w:pPr>
    </w:p>
    <w:p w14:paraId="24F3F87C">
      <w:pPr>
        <w:autoSpaceDE w:val="0"/>
        <w:autoSpaceDN w:val="0"/>
        <w:adjustRightInd w:val="0"/>
        <w:snapToGrid w:val="0"/>
        <w:spacing w:before="25" w:line="360" w:lineRule="auto"/>
        <w:ind w:right="360"/>
        <w:jc w:val="left"/>
        <w:rPr>
          <w:rFonts w:hint="eastAsia" w:asciiTheme="minorEastAsia" w:hAnsiTheme="minorEastAsia" w:eastAsiaTheme="minorEastAsia"/>
          <w:color w:val="000000"/>
          <w:sz w:val="24"/>
          <w:lang w:val="zh-CN"/>
        </w:rPr>
      </w:pPr>
      <w:r>
        <w:rPr>
          <w:rFonts w:asciiTheme="minorEastAsia" w:hAnsiTheme="minorEastAsia" w:eastAsiaTheme="minorEastAsia"/>
          <w:color w:val="000000"/>
          <w:sz w:val="24"/>
        </w:rPr>
        <w:t>供应商名称（加盖公章）</w:t>
      </w:r>
      <w:r>
        <w:rPr>
          <w:rFonts w:asciiTheme="minorEastAsia" w:hAnsiTheme="minorEastAsia" w:eastAsiaTheme="minorEastAsia"/>
          <w:color w:val="000000"/>
          <w:sz w:val="24"/>
          <w:lang w:val="zh-CN"/>
        </w:rPr>
        <w:t>：</w:t>
      </w:r>
      <w:r>
        <w:rPr>
          <w:rFonts w:asciiTheme="minorEastAsia" w:hAnsiTheme="minorEastAsia" w:eastAsiaTheme="minorEastAsia"/>
          <w:sz w:val="24"/>
        </w:rPr>
        <w:t>_______________________________</w:t>
      </w:r>
    </w:p>
    <w:p w14:paraId="3E90635F">
      <w:pPr>
        <w:autoSpaceDE w:val="0"/>
        <w:autoSpaceDN w:val="0"/>
        <w:adjustRightInd w:val="0"/>
        <w:snapToGrid w:val="0"/>
        <w:spacing w:before="25" w:line="360" w:lineRule="auto"/>
        <w:ind w:right="360"/>
        <w:jc w:val="left"/>
        <w:rPr>
          <w:rFonts w:hint="eastAsia" w:asciiTheme="minorEastAsia" w:hAnsiTheme="minorEastAsia" w:eastAsiaTheme="minorEastAsia"/>
          <w:color w:val="000000"/>
          <w:sz w:val="24"/>
          <w:szCs w:val="20"/>
        </w:rPr>
      </w:pPr>
      <w:r>
        <w:rPr>
          <w:rFonts w:asciiTheme="minorEastAsia" w:hAnsiTheme="minorEastAsia" w:eastAsiaTheme="minorEastAsia"/>
          <w:color w:val="000000"/>
          <w:sz w:val="24"/>
          <w:szCs w:val="20"/>
        </w:rPr>
        <w:t xml:space="preserve">日期：____年____月____日 </w:t>
      </w:r>
    </w:p>
    <w:p w14:paraId="44410170">
      <w:pPr>
        <w:widowControl/>
        <w:jc w:val="left"/>
        <w:rPr>
          <w:rFonts w:hint="eastAsia" w:cs="Arial" w:asciiTheme="minorEastAsia" w:hAnsiTheme="minorEastAsia" w:eastAsiaTheme="minorEastAsia"/>
          <w:sz w:val="24"/>
        </w:rPr>
      </w:pPr>
      <w:r>
        <w:rPr>
          <w:rFonts w:cs="Arial" w:asciiTheme="minorEastAsia" w:hAnsiTheme="minorEastAsia" w:eastAsiaTheme="minorEastAsia"/>
          <w:sz w:val="24"/>
        </w:rPr>
        <w:br w:type="page"/>
      </w:r>
    </w:p>
    <w:p w14:paraId="0CE0FBEF">
      <w:pPr>
        <w:pStyle w:val="4"/>
        <w:widowControl/>
        <w:spacing w:line="360" w:lineRule="auto"/>
        <w:jc w:val="left"/>
        <w:rPr>
          <w:rFonts w:hint="eastAsia" w:cs="宋体" w:asciiTheme="minorEastAsia" w:hAnsiTheme="minorEastAsia" w:eastAsiaTheme="minorEastAsia"/>
          <w:b w:val="0"/>
          <w:bCs/>
          <w:sz w:val="24"/>
          <w:szCs w:val="24"/>
        </w:rPr>
      </w:pPr>
      <w:bookmarkStart w:id="2290" w:name="_Toc102759331"/>
      <w:bookmarkStart w:id="2291" w:name="_Toc102994648"/>
      <w:bookmarkStart w:id="2292" w:name="_Toc102994382"/>
      <w:bookmarkStart w:id="2293" w:name="OLE_LINK46"/>
      <w:bookmarkStart w:id="2294" w:name="_Toc492836910"/>
      <w:bookmarkStart w:id="2295" w:name="_Toc534472583"/>
      <w:bookmarkStart w:id="2296" w:name="_Toc429758514"/>
      <w:bookmarkStart w:id="2297" w:name="_Toc23959"/>
      <w:bookmarkStart w:id="2298" w:name="_Toc534472713"/>
      <w:bookmarkStart w:id="2299" w:name="_Toc10835"/>
      <w:bookmarkStart w:id="2300" w:name="_Toc11131"/>
      <w:r>
        <w:rPr>
          <w:rFonts w:hint="eastAsia" w:asciiTheme="minorEastAsia" w:hAnsiTheme="minorEastAsia" w:eastAsiaTheme="minorEastAsia"/>
          <w:b w:val="0"/>
          <w:kern w:val="2"/>
          <w:sz w:val="24"/>
          <w:szCs w:val="24"/>
        </w:rPr>
        <w:t>10</w:t>
      </w:r>
      <w:r>
        <w:rPr>
          <w:rFonts w:asciiTheme="minorEastAsia" w:hAnsiTheme="minorEastAsia" w:eastAsiaTheme="minorEastAsia"/>
          <w:b w:val="0"/>
          <w:bCs/>
          <w:color w:val="000000"/>
          <w:sz w:val="24"/>
        </w:rPr>
        <w:t xml:space="preserve">  </w:t>
      </w:r>
      <w:r>
        <w:rPr>
          <w:rFonts w:hint="eastAsia" w:cs="宋体" w:asciiTheme="minorEastAsia" w:hAnsiTheme="minorEastAsia" w:eastAsiaTheme="minorEastAsia"/>
          <w:b w:val="0"/>
          <w:bCs/>
          <w:sz w:val="24"/>
          <w:szCs w:val="24"/>
        </w:rPr>
        <w:t>近三年已完成类似项目一览表</w:t>
      </w:r>
      <w:bookmarkEnd w:id="2290"/>
      <w:bookmarkEnd w:id="2291"/>
      <w:bookmarkEnd w:id="2292"/>
      <w:r>
        <w:rPr>
          <w:rFonts w:hint="eastAsia" w:cs="宋体" w:asciiTheme="minorEastAsia" w:hAnsiTheme="minorEastAsia" w:eastAsiaTheme="minorEastAsia"/>
          <w:b w:val="0"/>
          <w:sz w:val="24"/>
          <w:szCs w:val="24"/>
        </w:rPr>
        <w:t>（非实质性格式）</w:t>
      </w:r>
    </w:p>
    <w:p w14:paraId="2E2DB5ED">
      <w:pPr>
        <w:widowControl/>
        <w:jc w:val="center"/>
        <w:rPr>
          <w:rFonts w:hint="eastAsia" w:cs="宋体" w:asciiTheme="minorEastAsia" w:hAnsiTheme="minorEastAsia" w:eastAsiaTheme="minorEastAsia"/>
          <w:b/>
          <w:bCs/>
          <w:sz w:val="32"/>
          <w:szCs w:val="32"/>
        </w:rPr>
      </w:pPr>
      <w:bookmarkStart w:id="2301" w:name="_Hlk201845292"/>
      <w:r>
        <w:rPr>
          <w:rFonts w:hint="eastAsia" w:cs="Arial" w:asciiTheme="minorEastAsia" w:hAnsiTheme="minorEastAsia" w:eastAsiaTheme="minorEastAsia"/>
          <w:b/>
          <w:sz w:val="32"/>
          <w:szCs w:val="32"/>
        </w:rPr>
        <w:t>近三年已完成类似项目一览表</w:t>
      </w:r>
    </w:p>
    <w:bookmarkEnd w:id="2293"/>
    <w:p w14:paraId="2AA8FE1F">
      <w:pPr>
        <w:pStyle w:val="5"/>
        <w:jc w:val="center"/>
        <w:rPr>
          <w:rFonts w:hint="eastAsia" w:asciiTheme="minorEastAsia" w:hAnsiTheme="minorEastAsia" w:eastAsiaTheme="minorEastAsia"/>
          <w:b/>
          <w:bCs/>
          <w:sz w:val="32"/>
          <w:szCs w:val="22"/>
        </w:rPr>
      </w:pPr>
    </w:p>
    <w:tbl>
      <w:tblPr>
        <w:tblStyle w:val="88"/>
        <w:tblW w:w="9278"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969"/>
        <w:gridCol w:w="1183"/>
        <w:gridCol w:w="1701"/>
        <w:gridCol w:w="1417"/>
        <w:gridCol w:w="1369"/>
        <w:gridCol w:w="1276"/>
        <w:gridCol w:w="1363"/>
      </w:tblGrid>
      <w:tr w14:paraId="0B56D76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558" w:hRule="atLeast"/>
          <w:jc w:val="center"/>
        </w:trPr>
        <w:tc>
          <w:tcPr>
            <w:tcW w:w="969" w:type="dxa"/>
            <w:vAlign w:val="center"/>
          </w:tcPr>
          <w:p w14:paraId="3029A781">
            <w:pPr>
              <w:snapToGrid w:val="0"/>
              <w:spacing w:before="120"/>
              <w:jc w:val="center"/>
              <w:rPr>
                <w:rFonts w:hint="eastAsia" w:asciiTheme="minorEastAsia" w:hAnsiTheme="minorEastAsia" w:eastAsiaTheme="minorEastAsia"/>
                <w:kern w:val="0"/>
                <w:szCs w:val="21"/>
              </w:rPr>
            </w:pPr>
            <w:r>
              <w:rPr>
                <w:rFonts w:hint="eastAsia" w:asciiTheme="minorEastAsia" w:hAnsiTheme="minorEastAsia" w:eastAsiaTheme="minorEastAsia"/>
                <w:kern w:val="0"/>
                <w:szCs w:val="21"/>
              </w:rPr>
              <w:t>序号</w:t>
            </w:r>
          </w:p>
        </w:tc>
        <w:tc>
          <w:tcPr>
            <w:tcW w:w="1183" w:type="dxa"/>
            <w:vAlign w:val="center"/>
          </w:tcPr>
          <w:p w14:paraId="490BDB33">
            <w:pPr>
              <w:snapToGrid w:val="0"/>
              <w:spacing w:before="120"/>
              <w:jc w:val="center"/>
              <w:rPr>
                <w:rFonts w:hint="eastAsia" w:asciiTheme="minorEastAsia" w:hAnsiTheme="minorEastAsia" w:eastAsiaTheme="minorEastAsia"/>
                <w:kern w:val="0"/>
                <w:szCs w:val="21"/>
              </w:rPr>
            </w:pPr>
            <w:r>
              <w:rPr>
                <w:rFonts w:hint="eastAsia" w:asciiTheme="minorEastAsia" w:hAnsiTheme="minorEastAsia" w:eastAsiaTheme="minorEastAsia"/>
                <w:kern w:val="0"/>
                <w:szCs w:val="21"/>
              </w:rPr>
              <w:t>项目名称</w:t>
            </w:r>
          </w:p>
        </w:tc>
        <w:tc>
          <w:tcPr>
            <w:tcW w:w="1701" w:type="dxa"/>
            <w:vAlign w:val="center"/>
          </w:tcPr>
          <w:p w14:paraId="66E51D79">
            <w:pPr>
              <w:snapToGrid w:val="0"/>
              <w:spacing w:before="120"/>
              <w:jc w:val="center"/>
              <w:rPr>
                <w:rFonts w:hint="eastAsia" w:asciiTheme="minorEastAsia" w:hAnsiTheme="minorEastAsia" w:eastAsiaTheme="minorEastAsia"/>
                <w:kern w:val="0"/>
                <w:szCs w:val="21"/>
              </w:rPr>
            </w:pPr>
            <w:r>
              <w:rPr>
                <w:rFonts w:hint="eastAsia" w:asciiTheme="minorEastAsia" w:hAnsiTheme="minorEastAsia" w:eastAsiaTheme="minorEastAsia"/>
                <w:kern w:val="0"/>
                <w:szCs w:val="21"/>
              </w:rPr>
              <w:t>项目简介</w:t>
            </w:r>
          </w:p>
        </w:tc>
        <w:tc>
          <w:tcPr>
            <w:tcW w:w="1417" w:type="dxa"/>
            <w:vAlign w:val="center"/>
          </w:tcPr>
          <w:p w14:paraId="7EA8A503">
            <w:pPr>
              <w:snapToGrid w:val="0"/>
              <w:spacing w:before="120"/>
              <w:jc w:val="center"/>
              <w:rPr>
                <w:rFonts w:hint="eastAsia" w:asciiTheme="minorEastAsia" w:hAnsiTheme="minorEastAsia" w:eastAsiaTheme="minorEastAsia"/>
                <w:kern w:val="0"/>
                <w:szCs w:val="21"/>
              </w:rPr>
            </w:pPr>
            <w:r>
              <w:rPr>
                <w:rFonts w:hint="eastAsia" w:asciiTheme="minorEastAsia" w:hAnsiTheme="minorEastAsia" w:eastAsiaTheme="minorEastAsia"/>
                <w:kern w:val="0"/>
                <w:szCs w:val="21"/>
              </w:rPr>
              <w:t>合同金额</w:t>
            </w:r>
          </w:p>
          <w:p w14:paraId="26CF602C">
            <w:pPr>
              <w:snapToGrid w:val="0"/>
              <w:spacing w:before="120"/>
              <w:jc w:val="center"/>
              <w:rPr>
                <w:rFonts w:hint="eastAsia" w:asciiTheme="minorEastAsia" w:hAnsiTheme="minorEastAsia" w:eastAsiaTheme="minorEastAsia"/>
                <w:kern w:val="0"/>
                <w:szCs w:val="21"/>
              </w:rPr>
            </w:pPr>
            <w:r>
              <w:rPr>
                <w:rFonts w:hint="eastAsia" w:asciiTheme="minorEastAsia" w:hAnsiTheme="minorEastAsia" w:eastAsiaTheme="minorEastAsia"/>
                <w:kern w:val="0"/>
                <w:szCs w:val="21"/>
              </w:rPr>
              <w:t>(万元)</w:t>
            </w:r>
          </w:p>
        </w:tc>
        <w:tc>
          <w:tcPr>
            <w:tcW w:w="1369" w:type="dxa"/>
            <w:vAlign w:val="center"/>
          </w:tcPr>
          <w:p w14:paraId="7CA94A07">
            <w:pPr>
              <w:snapToGrid w:val="0"/>
              <w:spacing w:before="120"/>
              <w:jc w:val="center"/>
              <w:rPr>
                <w:rFonts w:hint="eastAsia" w:asciiTheme="minorEastAsia" w:hAnsiTheme="minorEastAsia" w:eastAsiaTheme="minorEastAsia"/>
                <w:kern w:val="0"/>
                <w:szCs w:val="21"/>
              </w:rPr>
            </w:pPr>
            <w:r>
              <w:rPr>
                <w:rFonts w:hint="eastAsia" w:asciiTheme="minorEastAsia" w:hAnsiTheme="minorEastAsia" w:eastAsiaTheme="minorEastAsia"/>
                <w:kern w:val="0"/>
                <w:szCs w:val="21"/>
              </w:rPr>
              <w:t>用户单位</w:t>
            </w:r>
          </w:p>
        </w:tc>
        <w:tc>
          <w:tcPr>
            <w:tcW w:w="1276" w:type="dxa"/>
            <w:vAlign w:val="center"/>
          </w:tcPr>
          <w:p w14:paraId="0589EAC7">
            <w:pPr>
              <w:snapToGrid w:val="0"/>
              <w:spacing w:before="120"/>
              <w:jc w:val="center"/>
              <w:rPr>
                <w:rFonts w:hint="eastAsia" w:asciiTheme="minorEastAsia" w:hAnsiTheme="minorEastAsia" w:eastAsiaTheme="minorEastAsia"/>
                <w:kern w:val="0"/>
                <w:szCs w:val="21"/>
              </w:rPr>
            </w:pPr>
            <w:r>
              <w:rPr>
                <w:rFonts w:hint="eastAsia" w:asciiTheme="minorEastAsia" w:hAnsiTheme="minorEastAsia" w:eastAsiaTheme="minorEastAsia"/>
                <w:kern w:val="0"/>
                <w:szCs w:val="21"/>
              </w:rPr>
              <w:t>目前状态</w:t>
            </w:r>
          </w:p>
        </w:tc>
        <w:tc>
          <w:tcPr>
            <w:tcW w:w="1363" w:type="dxa"/>
            <w:vAlign w:val="center"/>
          </w:tcPr>
          <w:p w14:paraId="17008E11">
            <w:pPr>
              <w:snapToGrid w:val="0"/>
              <w:spacing w:before="120"/>
              <w:jc w:val="center"/>
              <w:rPr>
                <w:rFonts w:hint="eastAsia" w:asciiTheme="minorEastAsia" w:hAnsiTheme="minorEastAsia" w:eastAsiaTheme="minorEastAsia"/>
                <w:kern w:val="0"/>
                <w:szCs w:val="21"/>
              </w:rPr>
            </w:pPr>
            <w:r>
              <w:rPr>
                <w:rFonts w:hint="eastAsia" w:asciiTheme="minorEastAsia" w:hAnsiTheme="minorEastAsia" w:eastAsiaTheme="minorEastAsia"/>
                <w:kern w:val="0"/>
                <w:szCs w:val="21"/>
              </w:rPr>
              <w:t>其他说明</w:t>
            </w:r>
          </w:p>
        </w:tc>
      </w:tr>
      <w:tr w14:paraId="0AF4872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623" w:hRule="atLeast"/>
          <w:jc w:val="center"/>
        </w:trPr>
        <w:tc>
          <w:tcPr>
            <w:tcW w:w="969" w:type="dxa"/>
            <w:vAlign w:val="center"/>
          </w:tcPr>
          <w:p w14:paraId="1D91565E">
            <w:pPr>
              <w:spacing w:before="120"/>
              <w:jc w:val="center"/>
              <w:rPr>
                <w:rFonts w:hint="eastAsia" w:asciiTheme="minorEastAsia" w:hAnsiTheme="minorEastAsia" w:eastAsiaTheme="minorEastAsia"/>
                <w:sz w:val="28"/>
              </w:rPr>
            </w:pPr>
          </w:p>
        </w:tc>
        <w:tc>
          <w:tcPr>
            <w:tcW w:w="1183" w:type="dxa"/>
            <w:vAlign w:val="center"/>
          </w:tcPr>
          <w:p w14:paraId="6BAB1B7A">
            <w:pPr>
              <w:spacing w:before="120"/>
              <w:jc w:val="center"/>
              <w:rPr>
                <w:rFonts w:hint="eastAsia" w:asciiTheme="minorEastAsia" w:hAnsiTheme="minorEastAsia" w:eastAsiaTheme="minorEastAsia"/>
                <w:sz w:val="28"/>
              </w:rPr>
            </w:pPr>
          </w:p>
        </w:tc>
        <w:tc>
          <w:tcPr>
            <w:tcW w:w="1701" w:type="dxa"/>
            <w:vAlign w:val="center"/>
          </w:tcPr>
          <w:p w14:paraId="1E4A1487">
            <w:pPr>
              <w:spacing w:before="120"/>
              <w:jc w:val="center"/>
              <w:rPr>
                <w:rFonts w:hint="eastAsia" w:asciiTheme="minorEastAsia" w:hAnsiTheme="minorEastAsia" w:eastAsiaTheme="minorEastAsia"/>
                <w:sz w:val="28"/>
              </w:rPr>
            </w:pPr>
          </w:p>
        </w:tc>
        <w:tc>
          <w:tcPr>
            <w:tcW w:w="1417" w:type="dxa"/>
          </w:tcPr>
          <w:p w14:paraId="1B02469A">
            <w:pPr>
              <w:spacing w:before="120"/>
              <w:jc w:val="center"/>
              <w:rPr>
                <w:rFonts w:hint="eastAsia" w:asciiTheme="minorEastAsia" w:hAnsiTheme="minorEastAsia" w:eastAsiaTheme="minorEastAsia"/>
                <w:sz w:val="28"/>
              </w:rPr>
            </w:pPr>
          </w:p>
        </w:tc>
        <w:tc>
          <w:tcPr>
            <w:tcW w:w="1369" w:type="dxa"/>
            <w:vAlign w:val="center"/>
          </w:tcPr>
          <w:p w14:paraId="415B4754">
            <w:pPr>
              <w:spacing w:before="120"/>
              <w:jc w:val="center"/>
              <w:rPr>
                <w:rFonts w:hint="eastAsia" w:asciiTheme="minorEastAsia" w:hAnsiTheme="minorEastAsia" w:eastAsiaTheme="minorEastAsia"/>
                <w:sz w:val="28"/>
              </w:rPr>
            </w:pPr>
          </w:p>
        </w:tc>
        <w:tc>
          <w:tcPr>
            <w:tcW w:w="1276" w:type="dxa"/>
          </w:tcPr>
          <w:p w14:paraId="65CC42FF">
            <w:pPr>
              <w:spacing w:before="120"/>
              <w:jc w:val="center"/>
              <w:rPr>
                <w:rFonts w:hint="eastAsia" w:asciiTheme="minorEastAsia" w:hAnsiTheme="minorEastAsia" w:eastAsiaTheme="minorEastAsia"/>
                <w:sz w:val="28"/>
              </w:rPr>
            </w:pPr>
          </w:p>
        </w:tc>
        <w:tc>
          <w:tcPr>
            <w:tcW w:w="1363" w:type="dxa"/>
            <w:vAlign w:val="center"/>
          </w:tcPr>
          <w:p w14:paraId="68331689">
            <w:pPr>
              <w:spacing w:before="120"/>
              <w:jc w:val="center"/>
              <w:rPr>
                <w:rFonts w:hint="eastAsia" w:asciiTheme="minorEastAsia" w:hAnsiTheme="minorEastAsia" w:eastAsiaTheme="minorEastAsia"/>
                <w:sz w:val="28"/>
              </w:rPr>
            </w:pPr>
          </w:p>
        </w:tc>
      </w:tr>
      <w:tr w14:paraId="3FC94E9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623" w:hRule="atLeast"/>
          <w:jc w:val="center"/>
        </w:trPr>
        <w:tc>
          <w:tcPr>
            <w:tcW w:w="969" w:type="dxa"/>
            <w:vAlign w:val="center"/>
          </w:tcPr>
          <w:p w14:paraId="61F2710F">
            <w:pPr>
              <w:spacing w:before="120"/>
              <w:jc w:val="center"/>
              <w:rPr>
                <w:rFonts w:hint="eastAsia" w:asciiTheme="minorEastAsia" w:hAnsiTheme="minorEastAsia" w:eastAsiaTheme="minorEastAsia"/>
                <w:sz w:val="28"/>
              </w:rPr>
            </w:pPr>
          </w:p>
        </w:tc>
        <w:tc>
          <w:tcPr>
            <w:tcW w:w="1183" w:type="dxa"/>
            <w:vAlign w:val="center"/>
          </w:tcPr>
          <w:p w14:paraId="2CE830A1">
            <w:pPr>
              <w:spacing w:before="120"/>
              <w:jc w:val="center"/>
              <w:rPr>
                <w:rFonts w:hint="eastAsia" w:asciiTheme="minorEastAsia" w:hAnsiTheme="minorEastAsia" w:eastAsiaTheme="minorEastAsia"/>
                <w:sz w:val="28"/>
              </w:rPr>
            </w:pPr>
          </w:p>
        </w:tc>
        <w:tc>
          <w:tcPr>
            <w:tcW w:w="1701" w:type="dxa"/>
            <w:vAlign w:val="center"/>
          </w:tcPr>
          <w:p w14:paraId="629E64B5">
            <w:pPr>
              <w:spacing w:before="120"/>
              <w:jc w:val="center"/>
              <w:rPr>
                <w:rFonts w:hint="eastAsia" w:asciiTheme="minorEastAsia" w:hAnsiTheme="minorEastAsia" w:eastAsiaTheme="minorEastAsia"/>
                <w:sz w:val="28"/>
              </w:rPr>
            </w:pPr>
          </w:p>
        </w:tc>
        <w:tc>
          <w:tcPr>
            <w:tcW w:w="1417" w:type="dxa"/>
          </w:tcPr>
          <w:p w14:paraId="718A53E2">
            <w:pPr>
              <w:spacing w:before="120"/>
              <w:jc w:val="center"/>
              <w:rPr>
                <w:rFonts w:hint="eastAsia" w:asciiTheme="minorEastAsia" w:hAnsiTheme="minorEastAsia" w:eastAsiaTheme="minorEastAsia"/>
                <w:sz w:val="28"/>
              </w:rPr>
            </w:pPr>
          </w:p>
        </w:tc>
        <w:tc>
          <w:tcPr>
            <w:tcW w:w="1369" w:type="dxa"/>
            <w:vAlign w:val="center"/>
          </w:tcPr>
          <w:p w14:paraId="62C10707">
            <w:pPr>
              <w:spacing w:before="120"/>
              <w:jc w:val="center"/>
              <w:rPr>
                <w:rFonts w:hint="eastAsia" w:asciiTheme="minorEastAsia" w:hAnsiTheme="minorEastAsia" w:eastAsiaTheme="minorEastAsia"/>
                <w:sz w:val="28"/>
              </w:rPr>
            </w:pPr>
          </w:p>
        </w:tc>
        <w:tc>
          <w:tcPr>
            <w:tcW w:w="1276" w:type="dxa"/>
          </w:tcPr>
          <w:p w14:paraId="2237702F">
            <w:pPr>
              <w:spacing w:before="120"/>
              <w:jc w:val="center"/>
              <w:rPr>
                <w:rFonts w:hint="eastAsia" w:asciiTheme="minorEastAsia" w:hAnsiTheme="minorEastAsia" w:eastAsiaTheme="minorEastAsia"/>
                <w:sz w:val="28"/>
              </w:rPr>
            </w:pPr>
          </w:p>
        </w:tc>
        <w:tc>
          <w:tcPr>
            <w:tcW w:w="1363" w:type="dxa"/>
            <w:vAlign w:val="center"/>
          </w:tcPr>
          <w:p w14:paraId="43D79058">
            <w:pPr>
              <w:spacing w:before="120"/>
              <w:jc w:val="center"/>
              <w:rPr>
                <w:rFonts w:hint="eastAsia" w:asciiTheme="minorEastAsia" w:hAnsiTheme="minorEastAsia" w:eastAsiaTheme="minorEastAsia"/>
                <w:sz w:val="28"/>
              </w:rPr>
            </w:pPr>
          </w:p>
        </w:tc>
      </w:tr>
      <w:tr w14:paraId="761FE3E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cantSplit/>
          <w:trHeight w:val="799" w:hRule="atLeast"/>
          <w:jc w:val="center"/>
        </w:trPr>
        <w:tc>
          <w:tcPr>
            <w:tcW w:w="969" w:type="dxa"/>
            <w:vAlign w:val="center"/>
          </w:tcPr>
          <w:p w14:paraId="28D7FF46">
            <w:pPr>
              <w:spacing w:before="120"/>
              <w:jc w:val="center"/>
              <w:rPr>
                <w:rFonts w:hint="eastAsia" w:asciiTheme="minorEastAsia" w:hAnsiTheme="minorEastAsia" w:eastAsiaTheme="minorEastAsia"/>
                <w:sz w:val="28"/>
              </w:rPr>
            </w:pPr>
          </w:p>
        </w:tc>
        <w:tc>
          <w:tcPr>
            <w:tcW w:w="1183" w:type="dxa"/>
            <w:vAlign w:val="center"/>
          </w:tcPr>
          <w:p w14:paraId="0168D7CE">
            <w:pPr>
              <w:spacing w:before="120"/>
              <w:jc w:val="center"/>
              <w:rPr>
                <w:rFonts w:hint="eastAsia" w:asciiTheme="minorEastAsia" w:hAnsiTheme="minorEastAsia" w:eastAsiaTheme="minorEastAsia"/>
                <w:sz w:val="28"/>
              </w:rPr>
            </w:pPr>
          </w:p>
        </w:tc>
        <w:tc>
          <w:tcPr>
            <w:tcW w:w="1701" w:type="dxa"/>
            <w:vAlign w:val="center"/>
          </w:tcPr>
          <w:p w14:paraId="2E2BB63B">
            <w:pPr>
              <w:spacing w:before="120"/>
              <w:jc w:val="center"/>
              <w:rPr>
                <w:rFonts w:hint="eastAsia" w:asciiTheme="minorEastAsia" w:hAnsiTheme="minorEastAsia" w:eastAsiaTheme="minorEastAsia"/>
                <w:sz w:val="28"/>
              </w:rPr>
            </w:pPr>
          </w:p>
        </w:tc>
        <w:tc>
          <w:tcPr>
            <w:tcW w:w="1417" w:type="dxa"/>
          </w:tcPr>
          <w:p w14:paraId="5DFAB858">
            <w:pPr>
              <w:spacing w:before="120"/>
              <w:jc w:val="center"/>
              <w:rPr>
                <w:rFonts w:hint="eastAsia" w:asciiTheme="minorEastAsia" w:hAnsiTheme="minorEastAsia" w:eastAsiaTheme="minorEastAsia"/>
                <w:sz w:val="28"/>
              </w:rPr>
            </w:pPr>
          </w:p>
        </w:tc>
        <w:tc>
          <w:tcPr>
            <w:tcW w:w="1369" w:type="dxa"/>
            <w:vAlign w:val="center"/>
          </w:tcPr>
          <w:p w14:paraId="767EF52C">
            <w:pPr>
              <w:spacing w:before="120"/>
              <w:jc w:val="center"/>
              <w:rPr>
                <w:rFonts w:hint="eastAsia" w:asciiTheme="minorEastAsia" w:hAnsiTheme="minorEastAsia" w:eastAsiaTheme="minorEastAsia"/>
                <w:sz w:val="28"/>
              </w:rPr>
            </w:pPr>
          </w:p>
        </w:tc>
        <w:tc>
          <w:tcPr>
            <w:tcW w:w="1276" w:type="dxa"/>
          </w:tcPr>
          <w:p w14:paraId="7F90A266">
            <w:pPr>
              <w:spacing w:before="120"/>
              <w:jc w:val="center"/>
              <w:rPr>
                <w:rFonts w:hint="eastAsia" w:asciiTheme="minorEastAsia" w:hAnsiTheme="minorEastAsia" w:eastAsiaTheme="minorEastAsia"/>
                <w:sz w:val="28"/>
              </w:rPr>
            </w:pPr>
          </w:p>
        </w:tc>
        <w:tc>
          <w:tcPr>
            <w:tcW w:w="1363" w:type="dxa"/>
            <w:vAlign w:val="center"/>
          </w:tcPr>
          <w:p w14:paraId="6AB3285A">
            <w:pPr>
              <w:spacing w:before="120"/>
              <w:jc w:val="center"/>
              <w:rPr>
                <w:rFonts w:hint="eastAsia" w:asciiTheme="minorEastAsia" w:hAnsiTheme="minorEastAsia" w:eastAsiaTheme="minorEastAsia"/>
                <w:sz w:val="28"/>
              </w:rPr>
            </w:pPr>
          </w:p>
        </w:tc>
      </w:tr>
      <w:tr w14:paraId="60C4725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623" w:hRule="atLeast"/>
          <w:jc w:val="center"/>
        </w:trPr>
        <w:tc>
          <w:tcPr>
            <w:tcW w:w="969" w:type="dxa"/>
            <w:vAlign w:val="center"/>
          </w:tcPr>
          <w:p w14:paraId="4077F621">
            <w:pPr>
              <w:spacing w:before="120"/>
              <w:jc w:val="center"/>
              <w:rPr>
                <w:rFonts w:hint="eastAsia" w:asciiTheme="minorEastAsia" w:hAnsiTheme="minorEastAsia" w:eastAsiaTheme="minorEastAsia"/>
                <w:sz w:val="28"/>
              </w:rPr>
            </w:pPr>
          </w:p>
        </w:tc>
        <w:tc>
          <w:tcPr>
            <w:tcW w:w="1183" w:type="dxa"/>
            <w:vAlign w:val="center"/>
          </w:tcPr>
          <w:p w14:paraId="552A33B8">
            <w:pPr>
              <w:spacing w:before="120"/>
              <w:jc w:val="center"/>
              <w:rPr>
                <w:rFonts w:hint="eastAsia" w:asciiTheme="minorEastAsia" w:hAnsiTheme="minorEastAsia" w:eastAsiaTheme="minorEastAsia"/>
                <w:sz w:val="28"/>
              </w:rPr>
            </w:pPr>
          </w:p>
        </w:tc>
        <w:tc>
          <w:tcPr>
            <w:tcW w:w="1701" w:type="dxa"/>
            <w:vAlign w:val="center"/>
          </w:tcPr>
          <w:p w14:paraId="4F0EEA9E">
            <w:pPr>
              <w:spacing w:before="120"/>
              <w:jc w:val="center"/>
              <w:rPr>
                <w:rFonts w:hint="eastAsia" w:asciiTheme="minorEastAsia" w:hAnsiTheme="minorEastAsia" w:eastAsiaTheme="minorEastAsia"/>
                <w:sz w:val="28"/>
              </w:rPr>
            </w:pPr>
          </w:p>
        </w:tc>
        <w:tc>
          <w:tcPr>
            <w:tcW w:w="1417" w:type="dxa"/>
          </w:tcPr>
          <w:p w14:paraId="0A4B81E6">
            <w:pPr>
              <w:spacing w:before="120"/>
              <w:jc w:val="center"/>
              <w:rPr>
                <w:rFonts w:hint="eastAsia" w:asciiTheme="minorEastAsia" w:hAnsiTheme="minorEastAsia" w:eastAsiaTheme="minorEastAsia"/>
                <w:sz w:val="28"/>
              </w:rPr>
            </w:pPr>
          </w:p>
        </w:tc>
        <w:tc>
          <w:tcPr>
            <w:tcW w:w="1369" w:type="dxa"/>
            <w:vAlign w:val="center"/>
          </w:tcPr>
          <w:p w14:paraId="0DC30782">
            <w:pPr>
              <w:spacing w:before="120"/>
              <w:jc w:val="center"/>
              <w:rPr>
                <w:rFonts w:hint="eastAsia" w:asciiTheme="minorEastAsia" w:hAnsiTheme="minorEastAsia" w:eastAsiaTheme="minorEastAsia"/>
                <w:sz w:val="28"/>
              </w:rPr>
            </w:pPr>
          </w:p>
        </w:tc>
        <w:tc>
          <w:tcPr>
            <w:tcW w:w="1276" w:type="dxa"/>
          </w:tcPr>
          <w:p w14:paraId="0E03CD7D">
            <w:pPr>
              <w:spacing w:before="120"/>
              <w:jc w:val="center"/>
              <w:rPr>
                <w:rFonts w:hint="eastAsia" w:asciiTheme="minorEastAsia" w:hAnsiTheme="minorEastAsia" w:eastAsiaTheme="minorEastAsia"/>
                <w:sz w:val="28"/>
              </w:rPr>
            </w:pPr>
          </w:p>
        </w:tc>
        <w:tc>
          <w:tcPr>
            <w:tcW w:w="1363" w:type="dxa"/>
            <w:vAlign w:val="center"/>
          </w:tcPr>
          <w:p w14:paraId="42EEDDEC">
            <w:pPr>
              <w:spacing w:before="120"/>
              <w:jc w:val="center"/>
              <w:rPr>
                <w:rFonts w:hint="eastAsia" w:asciiTheme="minorEastAsia" w:hAnsiTheme="minorEastAsia" w:eastAsiaTheme="minorEastAsia"/>
                <w:sz w:val="28"/>
              </w:rPr>
            </w:pPr>
          </w:p>
        </w:tc>
      </w:tr>
      <w:tr w14:paraId="49AA5E3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623" w:hRule="atLeast"/>
          <w:jc w:val="center"/>
        </w:trPr>
        <w:tc>
          <w:tcPr>
            <w:tcW w:w="969" w:type="dxa"/>
            <w:vAlign w:val="center"/>
          </w:tcPr>
          <w:p w14:paraId="6B6331A5">
            <w:pPr>
              <w:spacing w:before="120"/>
              <w:jc w:val="center"/>
              <w:rPr>
                <w:rFonts w:hint="eastAsia" w:asciiTheme="minorEastAsia" w:hAnsiTheme="minorEastAsia" w:eastAsiaTheme="minorEastAsia"/>
                <w:sz w:val="28"/>
              </w:rPr>
            </w:pPr>
          </w:p>
        </w:tc>
        <w:tc>
          <w:tcPr>
            <w:tcW w:w="1183" w:type="dxa"/>
            <w:vAlign w:val="center"/>
          </w:tcPr>
          <w:p w14:paraId="57747011">
            <w:pPr>
              <w:spacing w:before="120"/>
              <w:jc w:val="center"/>
              <w:rPr>
                <w:rFonts w:hint="eastAsia" w:asciiTheme="minorEastAsia" w:hAnsiTheme="minorEastAsia" w:eastAsiaTheme="minorEastAsia"/>
                <w:sz w:val="28"/>
              </w:rPr>
            </w:pPr>
          </w:p>
        </w:tc>
        <w:tc>
          <w:tcPr>
            <w:tcW w:w="1701" w:type="dxa"/>
            <w:vAlign w:val="center"/>
          </w:tcPr>
          <w:p w14:paraId="28FC1006">
            <w:pPr>
              <w:spacing w:before="120"/>
              <w:jc w:val="center"/>
              <w:rPr>
                <w:rFonts w:hint="eastAsia" w:asciiTheme="minorEastAsia" w:hAnsiTheme="minorEastAsia" w:eastAsiaTheme="minorEastAsia"/>
                <w:sz w:val="28"/>
              </w:rPr>
            </w:pPr>
          </w:p>
        </w:tc>
        <w:tc>
          <w:tcPr>
            <w:tcW w:w="1417" w:type="dxa"/>
          </w:tcPr>
          <w:p w14:paraId="68FF7378">
            <w:pPr>
              <w:spacing w:before="120"/>
              <w:jc w:val="center"/>
              <w:rPr>
                <w:rFonts w:hint="eastAsia" w:asciiTheme="minorEastAsia" w:hAnsiTheme="minorEastAsia" w:eastAsiaTheme="minorEastAsia"/>
                <w:sz w:val="28"/>
              </w:rPr>
            </w:pPr>
          </w:p>
        </w:tc>
        <w:tc>
          <w:tcPr>
            <w:tcW w:w="1369" w:type="dxa"/>
            <w:vAlign w:val="center"/>
          </w:tcPr>
          <w:p w14:paraId="2AFDB2C3">
            <w:pPr>
              <w:spacing w:before="120"/>
              <w:jc w:val="center"/>
              <w:rPr>
                <w:rFonts w:hint="eastAsia" w:asciiTheme="minorEastAsia" w:hAnsiTheme="minorEastAsia" w:eastAsiaTheme="minorEastAsia"/>
                <w:sz w:val="28"/>
              </w:rPr>
            </w:pPr>
          </w:p>
        </w:tc>
        <w:tc>
          <w:tcPr>
            <w:tcW w:w="1276" w:type="dxa"/>
          </w:tcPr>
          <w:p w14:paraId="61BFB975">
            <w:pPr>
              <w:spacing w:before="120"/>
              <w:jc w:val="center"/>
              <w:rPr>
                <w:rFonts w:hint="eastAsia" w:asciiTheme="minorEastAsia" w:hAnsiTheme="minorEastAsia" w:eastAsiaTheme="minorEastAsia"/>
                <w:sz w:val="28"/>
              </w:rPr>
            </w:pPr>
          </w:p>
        </w:tc>
        <w:tc>
          <w:tcPr>
            <w:tcW w:w="1363" w:type="dxa"/>
            <w:vAlign w:val="center"/>
          </w:tcPr>
          <w:p w14:paraId="133A9672">
            <w:pPr>
              <w:spacing w:before="120"/>
              <w:jc w:val="center"/>
              <w:rPr>
                <w:rFonts w:hint="eastAsia" w:asciiTheme="minorEastAsia" w:hAnsiTheme="minorEastAsia" w:eastAsiaTheme="minorEastAsia"/>
                <w:sz w:val="28"/>
              </w:rPr>
            </w:pPr>
          </w:p>
        </w:tc>
      </w:tr>
      <w:tr w14:paraId="521BFDA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cantSplit/>
          <w:trHeight w:val="715" w:hRule="atLeast"/>
          <w:jc w:val="center"/>
        </w:trPr>
        <w:tc>
          <w:tcPr>
            <w:tcW w:w="969" w:type="dxa"/>
            <w:vAlign w:val="center"/>
          </w:tcPr>
          <w:p w14:paraId="27EC6248">
            <w:pPr>
              <w:spacing w:before="120"/>
              <w:jc w:val="center"/>
              <w:rPr>
                <w:rFonts w:hint="eastAsia" w:asciiTheme="minorEastAsia" w:hAnsiTheme="minorEastAsia" w:eastAsiaTheme="minorEastAsia"/>
                <w:sz w:val="28"/>
              </w:rPr>
            </w:pPr>
          </w:p>
        </w:tc>
        <w:tc>
          <w:tcPr>
            <w:tcW w:w="1183" w:type="dxa"/>
            <w:vAlign w:val="center"/>
          </w:tcPr>
          <w:p w14:paraId="32832DE3">
            <w:pPr>
              <w:spacing w:before="120"/>
              <w:jc w:val="center"/>
              <w:rPr>
                <w:rFonts w:hint="eastAsia" w:asciiTheme="minorEastAsia" w:hAnsiTheme="minorEastAsia" w:eastAsiaTheme="minorEastAsia"/>
                <w:sz w:val="28"/>
              </w:rPr>
            </w:pPr>
          </w:p>
        </w:tc>
        <w:tc>
          <w:tcPr>
            <w:tcW w:w="1701" w:type="dxa"/>
            <w:vAlign w:val="center"/>
          </w:tcPr>
          <w:p w14:paraId="6D842D1C">
            <w:pPr>
              <w:spacing w:before="120"/>
              <w:jc w:val="center"/>
              <w:rPr>
                <w:rFonts w:hint="eastAsia" w:asciiTheme="minorEastAsia" w:hAnsiTheme="minorEastAsia" w:eastAsiaTheme="minorEastAsia"/>
                <w:sz w:val="28"/>
              </w:rPr>
            </w:pPr>
          </w:p>
        </w:tc>
        <w:tc>
          <w:tcPr>
            <w:tcW w:w="1417" w:type="dxa"/>
          </w:tcPr>
          <w:p w14:paraId="02C38E9A">
            <w:pPr>
              <w:spacing w:before="120"/>
              <w:jc w:val="center"/>
              <w:rPr>
                <w:rFonts w:hint="eastAsia" w:asciiTheme="minorEastAsia" w:hAnsiTheme="minorEastAsia" w:eastAsiaTheme="minorEastAsia"/>
                <w:sz w:val="28"/>
              </w:rPr>
            </w:pPr>
          </w:p>
        </w:tc>
        <w:tc>
          <w:tcPr>
            <w:tcW w:w="1369" w:type="dxa"/>
            <w:vAlign w:val="center"/>
          </w:tcPr>
          <w:p w14:paraId="23424E23">
            <w:pPr>
              <w:spacing w:before="120"/>
              <w:jc w:val="center"/>
              <w:rPr>
                <w:rFonts w:hint="eastAsia" w:asciiTheme="minorEastAsia" w:hAnsiTheme="minorEastAsia" w:eastAsiaTheme="minorEastAsia"/>
                <w:sz w:val="28"/>
              </w:rPr>
            </w:pPr>
          </w:p>
        </w:tc>
        <w:tc>
          <w:tcPr>
            <w:tcW w:w="1276" w:type="dxa"/>
          </w:tcPr>
          <w:p w14:paraId="41BC644B">
            <w:pPr>
              <w:spacing w:before="120"/>
              <w:jc w:val="center"/>
              <w:rPr>
                <w:rFonts w:hint="eastAsia" w:asciiTheme="minorEastAsia" w:hAnsiTheme="minorEastAsia" w:eastAsiaTheme="minorEastAsia"/>
                <w:sz w:val="28"/>
              </w:rPr>
            </w:pPr>
          </w:p>
        </w:tc>
        <w:tc>
          <w:tcPr>
            <w:tcW w:w="1363" w:type="dxa"/>
            <w:vAlign w:val="center"/>
          </w:tcPr>
          <w:p w14:paraId="736057FA">
            <w:pPr>
              <w:spacing w:before="120"/>
              <w:jc w:val="center"/>
              <w:rPr>
                <w:rFonts w:hint="eastAsia" w:asciiTheme="minorEastAsia" w:hAnsiTheme="minorEastAsia" w:eastAsiaTheme="minorEastAsia"/>
                <w:sz w:val="28"/>
              </w:rPr>
            </w:pPr>
          </w:p>
        </w:tc>
      </w:tr>
      <w:tr w14:paraId="3145D5A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623" w:hRule="atLeast"/>
          <w:jc w:val="center"/>
        </w:trPr>
        <w:tc>
          <w:tcPr>
            <w:tcW w:w="969" w:type="dxa"/>
            <w:vAlign w:val="center"/>
          </w:tcPr>
          <w:p w14:paraId="16DE651B">
            <w:pPr>
              <w:spacing w:before="120"/>
              <w:jc w:val="center"/>
              <w:rPr>
                <w:rFonts w:hint="eastAsia" w:asciiTheme="minorEastAsia" w:hAnsiTheme="minorEastAsia" w:eastAsiaTheme="minorEastAsia"/>
                <w:sz w:val="28"/>
              </w:rPr>
            </w:pPr>
          </w:p>
        </w:tc>
        <w:tc>
          <w:tcPr>
            <w:tcW w:w="1183" w:type="dxa"/>
            <w:vAlign w:val="center"/>
          </w:tcPr>
          <w:p w14:paraId="6CD97F31">
            <w:pPr>
              <w:spacing w:before="120"/>
              <w:jc w:val="center"/>
              <w:rPr>
                <w:rFonts w:hint="eastAsia" w:asciiTheme="minorEastAsia" w:hAnsiTheme="minorEastAsia" w:eastAsiaTheme="minorEastAsia"/>
                <w:sz w:val="28"/>
              </w:rPr>
            </w:pPr>
          </w:p>
        </w:tc>
        <w:tc>
          <w:tcPr>
            <w:tcW w:w="1701" w:type="dxa"/>
            <w:vAlign w:val="center"/>
          </w:tcPr>
          <w:p w14:paraId="6EF17874">
            <w:pPr>
              <w:spacing w:before="120"/>
              <w:jc w:val="center"/>
              <w:rPr>
                <w:rFonts w:hint="eastAsia" w:asciiTheme="minorEastAsia" w:hAnsiTheme="minorEastAsia" w:eastAsiaTheme="minorEastAsia"/>
                <w:sz w:val="28"/>
              </w:rPr>
            </w:pPr>
          </w:p>
        </w:tc>
        <w:tc>
          <w:tcPr>
            <w:tcW w:w="1417" w:type="dxa"/>
          </w:tcPr>
          <w:p w14:paraId="40A6EB82">
            <w:pPr>
              <w:spacing w:before="120"/>
              <w:jc w:val="center"/>
              <w:rPr>
                <w:rFonts w:hint="eastAsia" w:asciiTheme="minorEastAsia" w:hAnsiTheme="minorEastAsia" w:eastAsiaTheme="minorEastAsia"/>
                <w:sz w:val="28"/>
              </w:rPr>
            </w:pPr>
          </w:p>
        </w:tc>
        <w:tc>
          <w:tcPr>
            <w:tcW w:w="1369" w:type="dxa"/>
            <w:vAlign w:val="center"/>
          </w:tcPr>
          <w:p w14:paraId="5EA5AD52">
            <w:pPr>
              <w:spacing w:before="120"/>
              <w:jc w:val="center"/>
              <w:rPr>
                <w:rFonts w:hint="eastAsia" w:asciiTheme="minorEastAsia" w:hAnsiTheme="minorEastAsia" w:eastAsiaTheme="minorEastAsia"/>
                <w:sz w:val="28"/>
              </w:rPr>
            </w:pPr>
          </w:p>
        </w:tc>
        <w:tc>
          <w:tcPr>
            <w:tcW w:w="1276" w:type="dxa"/>
          </w:tcPr>
          <w:p w14:paraId="14F70D7D">
            <w:pPr>
              <w:spacing w:before="120"/>
              <w:jc w:val="center"/>
              <w:rPr>
                <w:rFonts w:hint="eastAsia" w:asciiTheme="minorEastAsia" w:hAnsiTheme="minorEastAsia" w:eastAsiaTheme="minorEastAsia"/>
                <w:sz w:val="28"/>
              </w:rPr>
            </w:pPr>
          </w:p>
        </w:tc>
        <w:tc>
          <w:tcPr>
            <w:tcW w:w="1363" w:type="dxa"/>
            <w:vAlign w:val="center"/>
          </w:tcPr>
          <w:p w14:paraId="64CD410F">
            <w:pPr>
              <w:spacing w:before="120"/>
              <w:jc w:val="center"/>
              <w:rPr>
                <w:rFonts w:hint="eastAsia" w:asciiTheme="minorEastAsia" w:hAnsiTheme="minorEastAsia" w:eastAsiaTheme="minorEastAsia"/>
                <w:sz w:val="28"/>
              </w:rPr>
            </w:pPr>
          </w:p>
        </w:tc>
      </w:tr>
    </w:tbl>
    <w:p w14:paraId="5F23705E">
      <w:pPr>
        <w:tabs>
          <w:tab w:val="left" w:pos="1680"/>
        </w:tabs>
        <w:snapToGrid w:val="0"/>
        <w:jc w:val="left"/>
        <w:rPr>
          <w:rFonts w:hint="eastAsia" w:asciiTheme="minorEastAsia" w:hAnsiTheme="minorEastAsia" w:eastAsiaTheme="minorEastAsia"/>
          <w:szCs w:val="21"/>
        </w:rPr>
      </w:pPr>
      <w:r>
        <w:rPr>
          <w:rFonts w:hint="eastAsia" w:asciiTheme="minorEastAsia" w:hAnsiTheme="minorEastAsia" w:eastAsiaTheme="minorEastAsia"/>
          <w:szCs w:val="21"/>
        </w:rPr>
        <w:t>注：</w:t>
      </w:r>
      <w:r>
        <w:rPr>
          <w:rFonts w:asciiTheme="minorEastAsia" w:hAnsiTheme="minorEastAsia" w:eastAsiaTheme="minorEastAsia"/>
          <w:szCs w:val="21"/>
        </w:rPr>
        <w:t>1、应随此表附上相关的业绩证明（合同首页、</w:t>
      </w:r>
      <w:r>
        <w:rPr>
          <w:rFonts w:hint="eastAsia" w:asciiTheme="minorEastAsia" w:hAnsiTheme="minorEastAsia" w:eastAsiaTheme="minorEastAsia"/>
          <w:szCs w:val="21"/>
        </w:rPr>
        <w:t>合同内容及</w:t>
      </w:r>
      <w:r>
        <w:rPr>
          <w:rFonts w:asciiTheme="minorEastAsia" w:hAnsiTheme="minorEastAsia" w:eastAsiaTheme="minorEastAsia"/>
          <w:szCs w:val="21"/>
        </w:rPr>
        <w:t>金额页</w:t>
      </w:r>
      <w:r>
        <w:rPr>
          <w:rFonts w:hint="eastAsia" w:asciiTheme="minorEastAsia" w:hAnsiTheme="minorEastAsia" w:eastAsiaTheme="minorEastAsia"/>
          <w:szCs w:val="21"/>
        </w:rPr>
        <w:t>、合同</w:t>
      </w:r>
      <w:r>
        <w:rPr>
          <w:rFonts w:asciiTheme="minorEastAsia" w:hAnsiTheme="minorEastAsia" w:eastAsiaTheme="minorEastAsia"/>
          <w:szCs w:val="21"/>
        </w:rPr>
        <w:t>签字盖章页</w:t>
      </w:r>
      <w:r>
        <w:rPr>
          <w:rFonts w:hint="eastAsia" w:asciiTheme="minorEastAsia" w:hAnsiTheme="minorEastAsia" w:eastAsiaTheme="minorEastAsia"/>
          <w:szCs w:val="21"/>
        </w:rPr>
        <w:t>及竣工验收单</w:t>
      </w:r>
      <w:r>
        <w:rPr>
          <w:rFonts w:asciiTheme="minorEastAsia" w:hAnsiTheme="minorEastAsia" w:eastAsiaTheme="minorEastAsia"/>
          <w:szCs w:val="21"/>
        </w:rPr>
        <w:t>）。</w:t>
      </w:r>
    </w:p>
    <w:p w14:paraId="6D9A9F29">
      <w:pPr>
        <w:spacing w:before="120"/>
        <w:ind w:firstLine="405" w:firstLineChars="193"/>
        <w:rPr>
          <w:rFonts w:hint="eastAsia" w:asciiTheme="minorEastAsia" w:hAnsiTheme="minorEastAsia" w:eastAsiaTheme="minorEastAsia"/>
          <w:szCs w:val="21"/>
        </w:rPr>
      </w:pPr>
      <w:r>
        <w:rPr>
          <w:rFonts w:asciiTheme="minorEastAsia" w:hAnsiTheme="minorEastAsia" w:eastAsiaTheme="minorEastAsia"/>
          <w:szCs w:val="21"/>
        </w:rPr>
        <w:t>2、如有多个类似</w:t>
      </w:r>
      <w:r>
        <w:rPr>
          <w:rFonts w:hint="eastAsia" w:asciiTheme="minorEastAsia" w:hAnsiTheme="minorEastAsia" w:eastAsiaTheme="minorEastAsia"/>
          <w:szCs w:val="21"/>
        </w:rPr>
        <w:t>项目，可按此表格扩展。</w:t>
      </w:r>
    </w:p>
    <w:p w14:paraId="5FD8E001">
      <w:pPr>
        <w:spacing w:before="120"/>
        <w:ind w:firstLine="405" w:firstLineChars="193"/>
        <w:rPr>
          <w:rFonts w:hint="eastAsia" w:asciiTheme="minorEastAsia" w:hAnsiTheme="minorEastAsia" w:eastAsiaTheme="minorEastAsia"/>
          <w:szCs w:val="21"/>
        </w:rPr>
      </w:pPr>
      <w:r>
        <w:rPr>
          <w:rFonts w:asciiTheme="minorEastAsia" w:hAnsiTheme="minorEastAsia" w:eastAsiaTheme="minorEastAsia"/>
          <w:szCs w:val="21"/>
        </w:rPr>
        <w:t>3、类似项目业绩是指：</w:t>
      </w:r>
      <w:r>
        <w:rPr>
          <w:rFonts w:hint="eastAsia" w:asciiTheme="minorEastAsia" w:hAnsiTheme="minorEastAsia" w:eastAsiaTheme="minorEastAsia"/>
          <w:szCs w:val="21"/>
        </w:rPr>
        <w:t>防水工程类似业绩</w:t>
      </w:r>
      <w:r>
        <w:rPr>
          <w:rFonts w:asciiTheme="minorEastAsia" w:hAnsiTheme="minorEastAsia" w:eastAsiaTheme="minorEastAsia"/>
          <w:szCs w:val="21"/>
        </w:rPr>
        <w:t>。</w:t>
      </w:r>
      <w:r>
        <w:rPr>
          <w:rFonts w:asciiTheme="minorEastAsia" w:hAnsiTheme="minorEastAsia" w:eastAsiaTheme="minorEastAsia"/>
          <w:szCs w:val="21"/>
        </w:rPr>
        <w:tab/>
      </w:r>
    </w:p>
    <w:p w14:paraId="1E1666CC">
      <w:pPr>
        <w:spacing w:before="120"/>
        <w:ind w:firstLine="405" w:firstLineChars="193"/>
        <w:rPr>
          <w:rFonts w:hint="eastAsia" w:asciiTheme="minorEastAsia" w:hAnsiTheme="minorEastAsia" w:eastAsiaTheme="minorEastAsia"/>
          <w:szCs w:val="21"/>
        </w:rPr>
      </w:pPr>
      <w:r>
        <w:rPr>
          <w:rFonts w:asciiTheme="minorEastAsia" w:hAnsiTheme="minorEastAsia" w:eastAsiaTheme="minorEastAsia"/>
          <w:szCs w:val="21"/>
        </w:rPr>
        <w:t>4、近</w:t>
      </w:r>
      <w:r>
        <w:rPr>
          <w:rFonts w:hint="eastAsia" w:asciiTheme="minorEastAsia" w:hAnsiTheme="minorEastAsia" w:eastAsiaTheme="minorEastAsia"/>
          <w:szCs w:val="21"/>
        </w:rPr>
        <w:t>三</w:t>
      </w:r>
      <w:r>
        <w:rPr>
          <w:rFonts w:asciiTheme="minorEastAsia" w:hAnsiTheme="minorEastAsia" w:eastAsiaTheme="minorEastAsia"/>
          <w:szCs w:val="21"/>
        </w:rPr>
        <w:t>年是指20</w:t>
      </w:r>
      <w:r>
        <w:rPr>
          <w:rFonts w:hint="eastAsia" w:asciiTheme="minorEastAsia" w:hAnsiTheme="minorEastAsia" w:eastAsiaTheme="minorEastAsia"/>
          <w:szCs w:val="21"/>
        </w:rPr>
        <w:t>23年04月01日至提交响应文件截止时间前。</w:t>
      </w:r>
    </w:p>
    <w:p w14:paraId="5C72712E">
      <w:pPr>
        <w:spacing w:before="120"/>
        <w:ind w:firstLine="405" w:firstLineChars="193"/>
        <w:rPr>
          <w:rFonts w:hint="eastAsia" w:asciiTheme="minorEastAsia" w:hAnsiTheme="minorEastAsia" w:eastAsiaTheme="minorEastAsia"/>
          <w:szCs w:val="21"/>
        </w:rPr>
      </w:pPr>
    </w:p>
    <w:p w14:paraId="2D6CE015">
      <w:pPr>
        <w:ind w:firstLine="420" w:firstLineChars="200"/>
        <w:rPr>
          <w:rFonts w:hint="eastAsia" w:asciiTheme="minorEastAsia" w:hAnsiTheme="minorEastAsia" w:eastAsiaTheme="minorEastAsia"/>
        </w:rPr>
      </w:pPr>
    </w:p>
    <w:p w14:paraId="44DD4E76">
      <w:pPr>
        <w:ind w:firstLine="420" w:firstLineChars="200"/>
        <w:rPr>
          <w:rFonts w:hint="eastAsia" w:asciiTheme="minorEastAsia" w:hAnsiTheme="minorEastAsia" w:eastAsiaTheme="minorEastAsia"/>
        </w:rPr>
      </w:pPr>
    </w:p>
    <w:p w14:paraId="7917CD9F">
      <w:pPr>
        <w:ind w:firstLine="420" w:firstLineChars="200"/>
        <w:rPr>
          <w:rFonts w:hint="eastAsia" w:asciiTheme="minorEastAsia" w:hAnsiTheme="minorEastAsia" w:eastAsiaTheme="minorEastAsia"/>
        </w:rPr>
      </w:pPr>
    </w:p>
    <w:p w14:paraId="213834EA">
      <w:pPr>
        <w:ind w:firstLine="420" w:firstLineChars="200"/>
        <w:rPr>
          <w:rFonts w:hint="eastAsia" w:asciiTheme="minorEastAsia" w:hAnsiTheme="minorEastAsia" w:eastAsiaTheme="minorEastAsia"/>
        </w:rPr>
      </w:pPr>
    </w:p>
    <w:p w14:paraId="0452BB12">
      <w:pPr>
        <w:tabs>
          <w:tab w:val="left" w:pos="1680"/>
        </w:tabs>
        <w:snapToGrid w:val="0"/>
        <w:spacing w:line="480" w:lineRule="auto"/>
        <w:ind w:firstLine="424" w:firstLineChars="177"/>
        <w:jc w:val="left"/>
        <w:rPr>
          <w:rFonts w:hint="eastAsia" w:asciiTheme="minorEastAsia" w:hAnsiTheme="minorEastAsia" w:eastAsiaTheme="minorEastAsia"/>
          <w:sz w:val="24"/>
          <w:u w:val="single"/>
        </w:rPr>
      </w:pPr>
      <w:r>
        <w:rPr>
          <w:rFonts w:hint="eastAsia" w:asciiTheme="minorEastAsia" w:hAnsiTheme="minorEastAsia" w:eastAsiaTheme="minorEastAsia"/>
          <w:sz w:val="24"/>
        </w:rPr>
        <w:t xml:space="preserve">供应商名称（加盖公章)： </w:t>
      </w:r>
      <w:r>
        <w:rPr>
          <w:rFonts w:hint="eastAsia" w:asciiTheme="minorEastAsia" w:hAnsiTheme="minorEastAsia" w:eastAsiaTheme="minorEastAsia"/>
          <w:sz w:val="24"/>
          <w:u w:val="single"/>
        </w:rPr>
        <w:t xml:space="preserve">                          </w:t>
      </w:r>
    </w:p>
    <w:p w14:paraId="74DF4EA5">
      <w:pPr>
        <w:spacing w:line="480" w:lineRule="auto"/>
        <w:ind w:firstLine="424" w:firstLineChars="177"/>
        <w:rPr>
          <w:rFonts w:hint="eastAsia" w:asciiTheme="minorEastAsia" w:hAnsiTheme="minorEastAsia" w:eastAsiaTheme="minorEastAsia"/>
          <w:sz w:val="24"/>
          <w:u w:val="single"/>
        </w:rPr>
        <w:sectPr>
          <w:headerReference r:id="rId21" w:type="first"/>
          <w:headerReference r:id="rId20" w:type="even"/>
          <w:pgSz w:w="11907" w:h="16840"/>
          <w:pgMar w:top="1418" w:right="1418" w:bottom="1418" w:left="1418" w:header="850" w:footer="851" w:gutter="0"/>
          <w:cols w:space="720" w:num="1"/>
          <w:docGrid w:linePitch="462" w:charSpace="0"/>
        </w:sectPr>
      </w:pPr>
      <w:r>
        <w:rPr>
          <w:rFonts w:hint="eastAsia" w:asciiTheme="minorEastAsia" w:hAnsiTheme="minorEastAsia" w:eastAsiaTheme="minorEastAsia"/>
          <w:sz w:val="24"/>
        </w:rPr>
        <w:t>日      期：</w:t>
      </w:r>
      <w:r>
        <w:rPr>
          <w:rFonts w:hint="eastAsia" w:asciiTheme="minorEastAsia" w:hAnsiTheme="minorEastAsia" w:eastAsiaTheme="minorEastAsia"/>
          <w:sz w:val="24"/>
          <w:u w:val="single"/>
        </w:rPr>
        <w:t xml:space="preserve"> </w:t>
      </w:r>
      <w:r>
        <w:rPr>
          <w:rFonts w:asciiTheme="minorEastAsia" w:hAnsiTheme="minorEastAsia" w:eastAsiaTheme="minorEastAsia"/>
          <w:sz w:val="24"/>
          <w:u w:val="single"/>
        </w:rPr>
        <w:t xml:space="preserve">    </w:t>
      </w:r>
      <w:r>
        <w:rPr>
          <w:rFonts w:hint="eastAsia" w:asciiTheme="minorEastAsia" w:hAnsiTheme="minorEastAsia" w:eastAsiaTheme="minorEastAsia"/>
          <w:sz w:val="24"/>
        </w:rPr>
        <w:t>年</w:t>
      </w:r>
      <w:r>
        <w:rPr>
          <w:rFonts w:hint="eastAsia" w:asciiTheme="minorEastAsia" w:hAnsiTheme="minorEastAsia" w:eastAsiaTheme="minorEastAsia"/>
          <w:sz w:val="24"/>
          <w:u w:val="single"/>
        </w:rPr>
        <w:t xml:space="preserve"> </w:t>
      </w:r>
      <w:r>
        <w:rPr>
          <w:rFonts w:asciiTheme="minorEastAsia" w:hAnsiTheme="minorEastAsia" w:eastAsiaTheme="minorEastAsia"/>
          <w:sz w:val="24"/>
          <w:u w:val="single"/>
        </w:rPr>
        <w:t xml:space="preserve">   </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rPr>
        <w:t>月</w:t>
      </w:r>
      <w:r>
        <w:rPr>
          <w:rFonts w:hint="eastAsia" w:asciiTheme="minorEastAsia" w:hAnsiTheme="minorEastAsia" w:eastAsiaTheme="minorEastAsia"/>
          <w:sz w:val="24"/>
          <w:u w:val="single"/>
        </w:rPr>
        <w:t xml:space="preserve">  </w:t>
      </w:r>
      <w:r>
        <w:rPr>
          <w:rFonts w:asciiTheme="minorEastAsia" w:hAnsiTheme="minorEastAsia" w:eastAsiaTheme="minorEastAsia"/>
          <w:sz w:val="24"/>
          <w:u w:val="single"/>
        </w:rPr>
        <w:t xml:space="preserve">   </w:t>
      </w:r>
      <w:r>
        <w:rPr>
          <w:rFonts w:hint="eastAsia" w:asciiTheme="minorEastAsia" w:hAnsiTheme="minorEastAsia" w:eastAsiaTheme="minorEastAsia"/>
          <w:sz w:val="24"/>
        </w:rPr>
        <w:t>日</w:t>
      </w:r>
      <w:bookmarkEnd w:id="2301"/>
    </w:p>
    <w:bookmarkEnd w:id="2294"/>
    <w:bookmarkEnd w:id="2295"/>
    <w:bookmarkEnd w:id="2296"/>
    <w:bookmarkEnd w:id="2297"/>
    <w:bookmarkEnd w:id="2298"/>
    <w:bookmarkEnd w:id="2299"/>
    <w:bookmarkEnd w:id="2300"/>
    <w:p w14:paraId="35D8F71E">
      <w:pPr>
        <w:pStyle w:val="4"/>
        <w:widowControl/>
        <w:spacing w:line="360" w:lineRule="auto"/>
        <w:jc w:val="left"/>
        <w:rPr>
          <w:rFonts w:hint="eastAsia" w:cs="宋体" w:asciiTheme="minorEastAsia" w:hAnsiTheme="minorEastAsia" w:eastAsiaTheme="minorEastAsia"/>
          <w:b w:val="0"/>
          <w:bCs/>
          <w:sz w:val="28"/>
          <w:szCs w:val="28"/>
        </w:rPr>
      </w:pPr>
      <w:bookmarkStart w:id="2302" w:name="_Toc102994649"/>
      <w:bookmarkStart w:id="2303" w:name="_Toc102994383"/>
      <w:bookmarkStart w:id="2304" w:name="_Toc102759332"/>
      <w:bookmarkStart w:id="2305" w:name="_Toc102994385"/>
      <w:bookmarkStart w:id="2306" w:name="_Toc102759339"/>
      <w:bookmarkStart w:id="2307" w:name="_Toc102994651"/>
      <w:r>
        <w:rPr>
          <w:rFonts w:hint="eastAsia" w:cs="宋体" w:asciiTheme="minorEastAsia" w:hAnsiTheme="minorEastAsia" w:eastAsiaTheme="minorEastAsia"/>
          <w:b w:val="0"/>
          <w:bCs/>
          <w:sz w:val="24"/>
          <w:szCs w:val="24"/>
        </w:rPr>
        <w:t>11</w:t>
      </w:r>
      <w:r>
        <w:rPr>
          <w:rFonts w:cs="宋体" w:asciiTheme="minorEastAsia" w:hAnsiTheme="minorEastAsia" w:eastAsiaTheme="minorEastAsia"/>
          <w:b w:val="0"/>
          <w:bCs/>
          <w:sz w:val="24"/>
          <w:szCs w:val="24"/>
        </w:rPr>
        <w:t xml:space="preserve">  </w:t>
      </w:r>
      <w:bookmarkEnd w:id="2302"/>
      <w:bookmarkEnd w:id="2303"/>
      <w:bookmarkEnd w:id="2304"/>
      <w:r>
        <w:rPr>
          <w:rFonts w:hint="eastAsia" w:cs="宋体" w:asciiTheme="minorEastAsia" w:hAnsiTheme="minorEastAsia" w:eastAsiaTheme="minorEastAsia"/>
          <w:b w:val="0"/>
          <w:bCs/>
          <w:sz w:val="24"/>
          <w:szCs w:val="24"/>
        </w:rPr>
        <w:t>项目管理机构配备情况表</w:t>
      </w:r>
      <w:r>
        <w:rPr>
          <w:rFonts w:hint="eastAsia" w:cs="宋体" w:asciiTheme="minorEastAsia" w:hAnsiTheme="minorEastAsia" w:eastAsiaTheme="minorEastAsia"/>
          <w:b w:val="0"/>
          <w:sz w:val="24"/>
          <w:szCs w:val="24"/>
        </w:rPr>
        <w:t>（非实质性格式）</w:t>
      </w:r>
    </w:p>
    <w:p w14:paraId="5F8D1862">
      <w:pPr>
        <w:widowControl/>
        <w:jc w:val="center"/>
        <w:rPr>
          <w:rFonts w:hint="eastAsia" w:cs="Arial" w:asciiTheme="minorEastAsia" w:hAnsiTheme="minorEastAsia" w:eastAsiaTheme="minorEastAsia"/>
          <w:b/>
          <w:sz w:val="32"/>
          <w:szCs w:val="32"/>
        </w:rPr>
      </w:pPr>
      <w:r>
        <w:rPr>
          <w:rFonts w:hint="eastAsia" w:cs="Arial" w:asciiTheme="minorEastAsia" w:hAnsiTheme="minorEastAsia" w:eastAsiaTheme="minorEastAsia"/>
          <w:b/>
          <w:sz w:val="32"/>
          <w:szCs w:val="32"/>
        </w:rPr>
        <w:t>（一）项目管理机构配备情况表</w:t>
      </w:r>
    </w:p>
    <w:p w14:paraId="42ED4350">
      <w:pPr>
        <w:spacing w:line="440" w:lineRule="atLeast"/>
        <w:rPr>
          <w:rFonts w:hint="eastAsia" w:asciiTheme="minorEastAsia" w:hAnsiTheme="minorEastAsia" w:eastAsiaTheme="minorEastAsia"/>
          <w:szCs w:val="21"/>
        </w:rPr>
      </w:pPr>
      <w:bookmarkStart w:id="2308" w:name="_Hlk203602379"/>
      <w:r>
        <w:rPr>
          <w:rFonts w:hint="eastAsia" w:asciiTheme="minorEastAsia" w:hAnsiTheme="minorEastAsia" w:eastAsiaTheme="minorEastAsia"/>
          <w:color w:val="000000"/>
          <w:szCs w:val="21"/>
        </w:rPr>
        <w:t>项目编号：______________________     项目名称：________________________</w:t>
      </w:r>
      <w:r>
        <w:rPr>
          <w:rFonts w:asciiTheme="minorEastAsia" w:hAnsiTheme="minorEastAsia" w:eastAsiaTheme="minorEastAsia"/>
          <w:szCs w:val="21"/>
        </w:rPr>
        <w:t xml:space="preserve"> </w:t>
      </w:r>
    </w:p>
    <w:bookmarkEnd w:id="2308"/>
    <w:tbl>
      <w:tblPr>
        <w:tblStyle w:val="88"/>
        <w:tblW w:w="93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0"/>
        <w:gridCol w:w="851"/>
        <w:gridCol w:w="850"/>
        <w:gridCol w:w="1143"/>
        <w:gridCol w:w="834"/>
        <w:gridCol w:w="1044"/>
        <w:gridCol w:w="1086"/>
        <w:gridCol w:w="1134"/>
        <w:gridCol w:w="1559"/>
      </w:tblGrid>
      <w:tr w14:paraId="34A04D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6" w:hRule="atLeast"/>
          <w:jc w:val="center"/>
        </w:trPr>
        <w:tc>
          <w:tcPr>
            <w:tcW w:w="850" w:type="dxa"/>
            <w:vMerge w:val="restart"/>
            <w:vAlign w:val="center"/>
          </w:tcPr>
          <w:p w14:paraId="233C3A7E">
            <w:pPr>
              <w:spacing w:line="440" w:lineRule="atLeast"/>
              <w:jc w:val="center"/>
              <w:rPr>
                <w:rFonts w:hint="eastAsia" w:asciiTheme="minorEastAsia" w:hAnsiTheme="minorEastAsia" w:eastAsiaTheme="minorEastAsia"/>
                <w:szCs w:val="21"/>
              </w:rPr>
            </w:pPr>
            <w:r>
              <w:rPr>
                <w:rFonts w:asciiTheme="minorEastAsia" w:hAnsiTheme="minorEastAsia" w:eastAsiaTheme="minorEastAsia"/>
                <w:szCs w:val="21"/>
              </w:rPr>
              <w:t>职务</w:t>
            </w:r>
          </w:p>
        </w:tc>
        <w:tc>
          <w:tcPr>
            <w:tcW w:w="851" w:type="dxa"/>
            <w:vMerge w:val="restart"/>
            <w:vAlign w:val="center"/>
          </w:tcPr>
          <w:p w14:paraId="589CB2DD">
            <w:pPr>
              <w:spacing w:line="440" w:lineRule="atLeast"/>
              <w:jc w:val="center"/>
              <w:rPr>
                <w:rFonts w:hint="eastAsia" w:asciiTheme="minorEastAsia" w:hAnsiTheme="minorEastAsia" w:eastAsiaTheme="minorEastAsia"/>
                <w:szCs w:val="21"/>
              </w:rPr>
            </w:pPr>
            <w:r>
              <w:rPr>
                <w:rFonts w:asciiTheme="minorEastAsia" w:hAnsiTheme="minorEastAsia" w:eastAsiaTheme="minorEastAsia"/>
                <w:szCs w:val="21"/>
              </w:rPr>
              <w:t>姓名</w:t>
            </w:r>
          </w:p>
        </w:tc>
        <w:tc>
          <w:tcPr>
            <w:tcW w:w="850" w:type="dxa"/>
            <w:vMerge w:val="restart"/>
            <w:vAlign w:val="center"/>
          </w:tcPr>
          <w:p w14:paraId="0E869FE1">
            <w:pPr>
              <w:spacing w:line="440" w:lineRule="atLeast"/>
              <w:jc w:val="center"/>
              <w:rPr>
                <w:rFonts w:hint="eastAsia" w:asciiTheme="minorEastAsia" w:hAnsiTheme="minorEastAsia" w:eastAsiaTheme="minorEastAsia"/>
                <w:szCs w:val="21"/>
              </w:rPr>
            </w:pPr>
            <w:r>
              <w:rPr>
                <w:rFonts w:asciiTheme="minorEastAsia" w:hAnsiTheme="minorEastAsia" w:eastAsiaTheme="minorEastAsia"/>
                <w:szCs w:val="21"/>
              </w:rPr>
              <w:t>职称</w:t>
            </w:r>
          </w:p>
        </w:tc>
        <w:tc>
          <w:tcPr>
            <w:tcW w:w="4107" w:type="dxa"/>
            <w:gridSpan w:val="4"/>
            <w:vAlign w:val="center"/>
          </w:tcPr>
          <w:p w14:paraId="5DB03B2D">
            <w:pPr>
              <w:spacing w:line="440" w:lineRule="atLeast"/>
              <w:jc w:val="center"/>
              <w:rPr>
                <w:rFonts w:hint="eastAsia" w:asciiTheme="minorEastAsia" w:hAnsiTheme="minorEastAsia" w:eastAsiaTheme="minorEastAsia"/>
                <w:szCs w:val="21"/>
              </w:rPr>
            </w:pPr>
            <w:r>
              <w:rPr>
                <w:rFonts w:asciiTheme="minorEastAsia" w:hAnsiTheme="minorEastAsia" w:eastAsiaTheme="minorEastAsia"/>
                <w:szCs w:val="21"/>
              </w:rPr>
              <w:t>执业或职业资格证明</w:t>
            </w:r>
          </w:p>
        </w:tc>
        <w:tc>
          <w:tcPr>
            <w:tcW w:w="2693" w:type="dxa"/>
            <w:gridSpan w:val="2"/>
            <w:vAlign w:val="center"/>
          </w:tcPr>
          <w:p w14:paraId="4CDB0F47">
            <w:pPr>
              <w:spacing w:line="440" w:lineRule="atLeast"/>
              <w:jc w:val="center"/>
              <w:rPr>
                <w:rFonts w:hint="eastAsia" w:asciiTheme="minorEastAsia" w:hAnsiTheme="minorEastAsia" w:eastAsiaTheme="minorEastAsia"/>
                <w:szCs w:val="21"/>
              </w:rPr>
            </w:pPr>
            <w:r>
              <w:rPr>
                <w:rFonts w:asciiTheme="minorEastAsia" w:hAnsiTheme="minorEastAsia" w:eastAsiaTheme="minorEastAsia"/>
                <w:szCs w:val="21"/>
              </w:rPr>
              <w:t>已承担在建</w:t>
            </w:r>
          </w:p>
          <w:p w14:paraId="0AE60025">
            <w:pPr>
              <w:spacing w:line="440" w:lineRule="atLeast"/>
              <w:jc w:val="center"/>
              <w:rPr>
                <w:rFonts w:hint="eastAsia" w:asciiTheme="minorEastAsia" w:hAnsiTheme="minorEastAsia" w:eastAsiaTheme="minorEastAsia"/>
                <w:szCs w:val="21"/>
              </w:rPr>
            </w:pPr>
            <w:r>
              <w:rPr>
                <w:rFonts w:asciiTheme="minorEastAsia" w:hAnsiTheme="minorEastAsia" w:eastAsiaTheme="minorEastAsia"/>
                <w:szCs w:val="21"/>
              </w:rPr>
              <w:t>工 程 情 况</w:t>
            </w:r>
          </w:p>
        </w:tc>
      </w:tr>
      <w:tr w14:paraId="00BB44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1" w:hRule="atLeast"/>
          <w:jc w:val="center"/>
        </w:trPr>
        <w:tc>
          <w:tcPr>
            <w:tcW w:w="850" w:type="dxa"/>
            <w:vMerge w:val="continue"/>
            <w:vAlign w:val="center"/>
          </w:tcPr>
          <w:p w14:paraId="04D3B571">
            <w:pPr>
              <w:spacing w:line="440" w:lineRule="atLeast"/>
              <w:rPr>
                <w:rFonts w:hint="eastAsia" w:asciiTheme="minorEastAsia" w:hAnsiTheme="minorEastAsia" w:eastAsiaTheme="minorEastAsia"/>
                <w:szCs w:val="21"/>
              </w:rPr>
            </w:pPr>
          </w:p>
        </w:tc>
        <w:tc>
          <w:tcPr>
            <w:tcW w:w="851" w:type="dxa"/>
            <w:vMerge w:val="continue"/>
            <w:vAlign w:val="center"/>
          </w:tcPr>
          <w:p w14:paraId="48E458BD">
            <w:pPr>
              <w:spacing w:line="440" w:lineRule="atLeast"/>
              <w:rPr>
                <w:rFonts w:hint="eastAsia" w:asciiTheme="minorEastAsia" w:hAnsiTheme="minorEastAsia" w:eastAsiaTheme="minorEastAsia"/>
                <w:szCs w:val="21"/>
              </w:rPr>
            </w:pPr>
          </w:p>
        </w:tc>
        <w:tc>
          <w:tcPr>
            <w:tcW w:w="850" w:type="dxa"/>
            <w:vMerge w:val="continue"/>
            <w:vAlign w:val="center"/>
          </w:tcPr>
          <w:p w14:paraId="7B2D1656">
            <w:pPr>
              <w:spacing w:line="440" w:lineRule="atLeast"/>
              <w:rPr>
                <w:rFonts w:hint="eastAsia" w:asciiTheme="minorEastAsia" w:hAnsiTheme="minorEastAsia" w:eastAsiaTheme="minorEastAsia"/>
                <w:szCs w:val="21"/>
              </w:rPr>
            </w:pPr>
          </w:p>
        </w:tc>
        <w:tc>
          <w:tcPr>
            <w:tcW w:w="1143" w:type="dxa"/>
            <w:vAlign w:val="center"/>
          </w:tcPr>
          <w:p w14:paraId="0BBECC9E">
            <w:pPr>
              <w:spacing w:line="440" w:lineRule="atLeast"/>
              <w:jc w:val="center"/>
              <w:rPr>
                <w:rFonts w:hint="eastAsia" w:asciiTheme="minorEastAsia" w:hAnsiTheme="minorEastAsia" w:eastAsiaTheme="minorEastAsia"/>
                <w:szCs w:val="21"/>
              </w:rPr>
            </w:pPr>
            <w:r>
              <w:rPr>
                <w:rFonts w:asciiTheme="minorEastAsia" w:hAnsiTheme="minorEastAsia" w:eastAsiaTheme="minorEastAsia"/>
                <w:szCs w:val="21"/>
              </w:rPr>
              <w:t>证书名称</w:t>
            </w:r>
          </w:p>
        </w:tc>
        <w:tc>
          <w:tcPr>
            <w:tcW w:w="834" w:type="dxa"/>
            <w:vAlign w:val="center"/>
          </w:tcPr>
          <w:p w14:paraId="31BC881D">
            <w:pPr>
              <w:spacing w:line="440" w:lineRule="atLeast"/>
              <w:jc w:val="center"/>
              <w:rPr>
                <w:rFonts w:hint="eastAsia" w:asciiTheme="minorEastAsia" w:hAnsiTheme="minorEastAsia" w:eastAsiaTheme="minorEastAsia"/>
                <w:szCs w:val="21"/>
              </w:rPr>
            </w:pPr>
            <w:r>
              <w:rPr>
                <w:rFonts w:asciiTheme="minorEastAsia" w:hAnsiTheme="minorEastAsia" w:eastAsiaTheme="minorEastAsia"/>
                <w:szCs w:val="21"/>
              </w:rPr>
              <w:t>级别</w:t>
            </w:r>
          </w:p>
        </w:tc>
        <w:tc>
          <w:tcPr>
            <w:tcW w:w="1044" w:type="dxa"/>
            <w:vAlign w:val="center"/>
          </w:tcPr>
          <w:p w14:paraId="28BE9BA6">
            <w:pPr>
              <w:spacing w:line="440" w:lineRule="atLeast"/>
              <w:jc w:val="center"/>
              <w:rPr>
                <w:rFonts w:hint="eastAsia" w:asciiTheme="minorEastAsia" w:hAnsiTheme="minorEastAsia" w:eastAsiaTheme="minorEastAsia"/>
                <w:szCs w:val="21"/>
              </w:rPr>
            </w:pPr>
            <w:r>
              <w:rPr>
                <w:rFonts w:asciiTheme="minorEastAsia" w:hAnsiTheme="minorEastAsia" w:eastAsiaTheme="minorEastAsia"/>
                <w:szCs w:val="21"/>
              </w:rPr>
              <w:t>证号</w:t>
            </w:r>
          </w:p>
        </w:tc>
        <w:tc>
          <w:tcPr>
            <w:tcW w:w="1086" w:type="dxa"/>
            <w:vAlign w:val="center"/>
          </w:tcPr>
          <w:p w14:paraId="33660459">
            <w:pPr>
              <w:spacing w:line="440" w:lineRule="atLeast"/>
              <w:jc w:val="center"/>
              <w:rPr>
                <w:rFonts w:hint="eastAsia" w:asciiTheme="minorEastAsia" w:hAnsiTheme="minorEastAsia" w:eastAsiaTheme="minorEastAsia"/>
                <w:szCs w:val="21"/>
              </w:rPr>
            </w:pPr>
            <w:r>
              <w:rPr>
                <w:rFonts w:asciiTheme="minorEastAsia" w:hAnsiTheme="minorEastAsia" w:eastAsiaTheme="minorEastAsia"/>
                <w:szCs w:val="21"/>
              </w:rPr>
              <w:t>专业</w:t>
            </w:r>
          </w:p>
        </w:tc>
        <w:tc>
          <w:tcPr>
            <w:tcW w:w="1134" w:type="dxa"/>
            <w:vAlign w:val="center"/>
          </w:tcPr>
          <w:p w14:paraId="6BC1AA63">
            <w:pPr>
              <w:spacing w:line="440" w:lineRule="atLeast"/>
              <w:jc w:val="center"/>
              <w:rPr>
                <w:rFonts w:hint="eastAsia" w:asciiTheme="minorEastAsia" w:hAnsiTheme="minorEastAsia" w:eastAsiaTheme="minorEastAsia"/>
                <w:szCs w:val="21"/>
              </w:rPr>
            </w:pPr>
            <w:r>
              <w:rPr>
                <w:rFonts w:asciiTheme="minorEastAsia" w:hAnsiTheme="minorEastAsia" w:eastAsiaTheme="minorEastAsia"/>
                <w:szCs w:val="21"/>
              </w:rPr>
              <w:t>项目数</w:t>
            </w:r>
          </w:p>
        </w:tc>
        <w:tc>
          <w:tcPr>
            <w:tcW w:w="1559" w:type="dxa"/>
            <w:vAlign w:val="center"/>
          </w:tcPr>
          <w:p w14:paraId="7FB292EB">
            <w:pPr>
              <w:spacing w:line="440" w:lineRule="atLeast"/>
              <w:jc w:val="center"/>
              <w:rPr>
                <w:rFonts w:hint="eastAsia" w:asciiTheme="minorEastAsia" w:hAnsiTheme="minorEastAsia" w:eastAsiaTheme="minorEastAsia"/>
                <w:szCs w:val="21"/>
              </w:rPr>
            </w:pPr>
            <w:r>
              <w:rPr>
                <w:rFonts w:asciiTheme="minorEastAsia" w:hAnsiTheme="minorEastAsia" w:eastAsiaTheme="minorEastAsia"/>
                <w:szCs w:val="21"/>
              </w:rPr>
              <w:t>主要项目名称</w:t>
            </w:r>
          </w:p>
        </w:tc>
      </w:tr>
      <w:tr w14:paraId="580403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850" w:type="dxa"/>
            <w:vAlign w:val="center"/>
          </w:tcPr>
          <w:p w14:paraId="2B3CB13C">
            <w:pPr>
              <w:spacing w:line="440" w:lineRule="atLeast"/>
              <w:rPr>
                <w:rFonts w:hint="eastAsia" w:asciiTheme="minorEastAsia" w:hAnsiTheme="minorEastAsia" w:eastAsiaTheme="minorEastAsia"/>
                <w:szCs w:val="21"/>
              </w:rPr>
            </w:pPr>
          </w:p>
        </w:tc>
        <w:tc>
          <w:tcPr>
            <w:tcW w:w="851" w:type="dxa"/>
            <w:vAlign w:val="center"/>
          </w:tcPr>
          <w:p w14:paraId="52682802">
            <w:pPr>
              <w:spacing w:line="440" w:lineRule="atLeast"/>
              <w:rPr>
                <w:rFonts w:hint="eastAsia" w:asciiTheme="minorEastAsia" w:hAnsiTheme="minorEastAsia" w:eastAsiaTheme="minorEastAsia"/>
                <w:szCs w:val="21"/>
              </w:rPr>
            </w:pPr>
          </w:p>
        </w:tc>
        <w:tc>
          <w:tcPr>
            <w:tcW w:w="850" w:type="dxa"/>
            <w:vAlign w:val="center"/>
          </w:tcPr>
          <w:p w14:paraId="00D3B893">
            <w:pPr>
              <w:spacing w:line="440" w:lineRule="atLeast"/>
              <w:rPr>
                <w:rFonts w:hint="eastAsia" w:asciiTheme="minorEastAsia" w:hAnsiTheme="minorEastAsia" w:eastAsiaTheme="minorEastAsia"/>
                <w:szCs w:val="21"/>
              </w:rPr>
            </w:pPr>
          </w:p>
        </w:tc>
        <w:tc>
          <w:tcPr>
            <w:tcW w:w="1143" w:type="dxa"/>
            <w:vAlign w:val="center"/>
          </w:tcPr>
          <w:p w14:paraId="555C811E">
            <w:pPr>
              <w:spacing w:line="440" w:lineRule="atLeast"/>
              <w:rPr>
                <w:rFonts w:hint="eastAsia" w:asciiTheme="minorEastAsia" w:hAnsiTheme="minorEastAsia" w:eastAsiaTheme="minorEastAsia"/>
                <w:szCs w:val="21"/>
              </w:rPr>
            </w:pPr>
          </w:p>
        </w:tc>
        <w:tc>
          <w:tcPr>
            <w:tcW w:w="834" w:type="dxa"/>
            <w:vAlign w:val="center"/>
          </w:tcPr>
          <w:p w14:paraId="58D2520F">
            <w:pPr>
              <w:spacing w:line="440" w:lineRule="atLeast"/>
              <w:rPr>
                <w:rFonts w:hint="eastAsia" w:asciiTheme="minorEastAsia" w:hAnsiTheme="minorEastAsia" w:eastAsiaTheme="minorEastAsia"/>
                <w:szCs w:val="21"/>
              </w:rPr>
            </w:pPr>
          </w:p>
        </w:tc>
        <w:tc>
          <w:tcPr>
            <w:tcW w:w="1044" w:type="dxa"/>
            <w:vAlign w:val="center"/>
          </w:tcPr>
          <w:p w14:paraId="17A2FFEA">
            <w:pPr>
              <w:spacing w:line="440" w:lineRule="atLeast"/>
              <w:rPr>
                <w:rFonts w:hint="eastAsia" w:asciiTheme="minorEastAsia" w:hAnsiTheme="minorEastAsia" w:eastAsiaTheme="minorEastAsia"/>
                <w:szCs w:val="21"/>
              </w:rPr>
            </w:pPr>
          </w:p>
        </w:tc>
        <w:tc>
          <w:tcPr>
            <w:tcW w:w="1086" w:type="dxa"/>
            <w:vAlign w:val="center"/>
          </w:tcPr>
          <w:p w14:paraId="63406E26">
            <w:pPr>
              <w:spacing w:line="440" w:lineRule="atLeast"/>
              <w:rPr>
                <w:rFonts w:hint="eastAsia" w:asciiTheme="minorEastAsia" w:hAnsiTheme="minorEastAsia" w:eastAsiaTheme="minorEastAsia"/>
                <w:szCs w:val="21"/>
              </w:rPr>
            </w:pPr>
          </w:p>
        </w:tc>
        <w:tc>
          <w:tcPr>
            <w:tcW w:w="1134" w:type="dxa"/>
            <w:vAlign w:val="center"/>
          </w:tcPr>
          <w:p w14:paraId="39CEA636">
            <w:pPr>
              <w:spacing w:line="440" w:lineRule="atLeast"/>
              <w:rPr>
                <w:rFonts w:hint="eastAsia" w:asciiTheme="minorEastAsia" w:hAnsiTheme="minorEastAsia" w:eastAsiaTheme="minorEastAsia"/>
                <w:szCs w:val="21"/>
              </w:rPr>
            </w:pPr>
          </w:p>
        </w:tc>
        <w:tc>
          <w:tcPr>
            <w:tcW w:w="1559" w:type="dxa"/>
            <w:vAlign w:val="center"/>
          </w:tcPr>
          <w:p w14:paraId="47CB2981">
            <w:pPr>
              <w:spacing w:line="440" w:lineRule="atLeast"/>
              <w:rPr>
                <w:rFonts w:hint="eastAsia" w:asciiTheme="minorEastAsia" w:hAnsiTheme="minorEastAsia" w:eastAsiaTheme="minorEastAsia"/>
                <w:szCs w:val="21"/>
              </w:rPr>
            </w:pPr>
          </w:p>
        </w:tc>
      </w:tr>
      <w:tr w14:paraId="355C0C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850" w:type="dxa"/>
            <w:vAlign w:val="center"/>
          </w:tcPr>
          <w:p w14:paraId="2CF68EC6">
            <w:pPr>
              <w:spacing w:line="440" w:lineRule="atLeast"/>
              <w:rPr>
                <w:rFonts w:hint="eastAsia" w:asciiTheme="minorEastAsia" w:hAnsiTheme="minorEastAsia" w:eastAsiaTheme="minorEastAsia"/>
                <w:szCs w:val="21"/>
              </w:rPr>
            </w:pPr>
          </w:p>
        </w:tc>
        <w:tc>
          <w:tcPr>
            <w:tcW w:w="851" w:type="dxa"/>
            <w:vAlign w:val="center"/>
          </w:tcPr>
          <w:p w14:paraId="09D0157A">
            <w:pPr>
              <w:spacing w:line="440" w:lineRule="atLeast"/>
              <w:rPr>
                <w:rFonts w:hint="eastAsia" w:asciiTheme="minorEastAsia" w:hAnsiTheme="minorEastAsia" w:eastAsiaTheme="minorEastAsia"/>
                <w:szCs w:val="21"/>
              </w:rPr>
            </w:pPr>
          </w:p>
        </w:tc>
        <w:tc>
          <w:tcPr>
            <w:tcW w:w="850" w:type="dxa"/>
            <w:vAlign w:val="center"/>
          </w:tcPr>
          <w:p w14:paraId="0ED4B11B">
            <w:pPr>
              <w:spacing w:line="440" w:lineRule="atLeast"/>
              <w:rPr>
                <w:rFonts w:hint="eastAsia" w:asciiTheme="minorEastAsia" w:hAnsiTheme="minorEastAsia" w:eastAsiaTheme="minorEastAsia"/>
                <w:szCs w:val="21"/>
              </w:rPr>
            </w:pPr>
          </w:p>
        </w:tc>
        <w:tc>
          <w:tcPr>
            <w:tcW w:w="1143" w:type="dxa"/>
            <w:vAlign w:val="center"/>
          </w:tcPr>
          <w:p w14:paraId="109B0CBD">
            <w:pPr>
              <w:spacing w:line="440" w:lineRule="atLeast"/>
              <w:rPr>
                <w:rFonts w:hint="eastAsia" w:asciiTheme="minorEastAsia" w:hAnsiTheme="minorEastAsia" w:eastAsiaTheme="minorEastAsia"/>
                <w:szCs w:val="21"/>
              </w:rPr>
            </w:pPr>
          </w:p>
        </w:tc>
        <w:tc>
          <w:tcPr>
            <w:tcW w:w="834" w:type="dxa"/>
            <w:vAlign w:val="center"/>
          </w:tcPr>
          <w:p w14:paraId="27445D6B">
            <w:pPr>
              <w:spacing w:line="440" w:lineRule="atLeast"/>
              <w:rPr>
                <w:rFonts w:hint="eastAsia" w:asciiTheme="minorEastAsia" w:hAnsiTheme="minorEastAsia" w:eastAsiaTheme="minorEastAsia"/>
                <w:szCs w:val="21"/>
              </w:rPr>
            </w:pPr>
          </w:p>
        </w:tc>
        <w:tc>
          <w:tcPr>
            <w:tcW w:w="1044" w:type="dxa"/>
            <w:vAlign w:val="center"/>
          </w:tcPr>
          <w:p w14:paraId="04C0928A">
            <w:pPr>
              <w:spacing w:line="440" w:lineRule="atLeast"/>
              <w:rPr>
                <w:rFonts w:hint="eastAsia" w:asciiTheme="minorEastAsia" w:hAnsiTheme="minorEastAsia" w:eastAsiaTheme="minorEastAsia"/>
                <w:szCs w:val="21"/>
              </w:rPr>
            </w:pPr>
          </w:p>
        </w:tc>
        <w:tc>
          <w:tcPr>
            <w:tcW w:w="1086" w:type="dxa"/>
            <w:vAlign w:val="center"/>
          </w:tcPr>
          <w:p w14:paraId="6AC2623D">
            <w:pPr>
              <w:spacing w:line="440" w:lineRule="atLeast"/>
              <w:rPr>
                <w:rFonts w:hint="eastAsia" w:asciiTheme="minorEastAsia" w:hAnsiTheme="minorEastAsia" w:eastAsiaTheme="minorEastAsia"/>
                <w:szCs w:val="21"/>
              </w:rPr>
            </w:pPr>
          </w:p>
        </w:tc>
        <w:tc>
          <w:tcPr>
            <w:tcW w:w="1134" w:type="dxa"/>
            <w:vAlign w:val="center"/>
          </w:tcPr>
          <w:p w14:paraId="3E3FC183">
            <w:pPr>
              <w:spacing w:line="440" w:lineRule="atLeast"/>
              <w:rPr>
                <w:rFonts w:hint="eastAsia" w:asciiTheme="minorEastAsia" w:hAnsiTheme="minorEastAsia" w:eastAsiaTheme="minorEastAsia"/>
                <w:szCs w:val="21"/>
              </w:rPr>
            </w:pPr>
          </w:p>
        </w:tc>
        <w:tc>
          <w:tcPr>
            <w:tcW w:w="1559" w:type="dxa"/>
            <w:vAlign w:val="center"/>
          </w:tcPr>
          <w:p w14:paraId="2EEF8207">
            <w:pPr>
              <w:spacing w:line="440" w:lineRule="atLeast"/>
              <w:rPr>
                <w:rFonts w:hint="eastAsia" w:asciiTheme="minorEastAsia" w:hAnsiTheme="minorEastAsia" w:eastAsiaTheme="minorEastAsia"/>
                <w:szCs w:val="21"/>
              </w:rPr>
            </w:pPr>
          </w:p>
        </w:tc>
      </w:tr>
      <w:tr w14:paraId="709B4B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850" w:type="dxa"/>
            <w:vAlign w:val="center"/>
          </w:tcPr>
          <w:p w14:paraId="2750C3EF">
            <w:pPr>
              <w:spacing w:line="440" w:lineRule="atLeast"/>
              <w:rPr>
                <w:rFonts w:hint="eastAsia" w:asciiTheme="minorEastAsia" w:hAnsiTheme="minorEastAsia" w:eastAsiaTheme="minorEastAsia"/>
                <w:szCs w:val="21"/>
              </w:rPr>
            </w:pPr>
          </w:p>
        </w:tc>
        <w:tc>
          <w:tcPr>
            <w:tcW w:w="851" w:type="dxa"/>
            <w:vAlign w:val="center"/>
          </w:tcPr>
          <w:p w14:paraId="6079791F">
            <w:pPr>
              <w:spacing w:line="440" w:lineRule="atLeast"/>
              <w:rPr>
                <w:rFonts w:hint="eastAsia" w:asciiTheme="minorEastAsia" w:hAnsiTheme="minorEastAsia" w:eastAsiaTheme="minorEastAsia"/>
                <w:szCs w:val="21"/>
              </w:rPr>
            </w:pPr>
          </w:p>
        </w:tc>
        <w:tc>
          <w:tcPr>
            <w:tcW w:w="850" w:type="dxa"/>
            <w:vAlign w:val="center"/>
          </w:tcPr>
          <w:p w14:paraId="2F28772D">
            <w:pPr>
              <w:spacing w:line="440" w:lineRule="atLeast"/>
              <w:rPr>
                <w:rFonts w:hint="eastAsia" w:asciiTheme="minorEastAsia" w:hAnsiTheme="minorEastAsia" w:eastAsiaTheme="minorEastAsia"/>
                <w:szCs w:val="21"/>
              </w:rPr>
            </w:pPr>
          </w:p>
        </w:tc>
        <w:tc>
          <w:tcPr>
            <w:tcW w:w="1143" w:type="dxa"/>
            <w:vAlign w:val="center"/>
          </w:tcPr>
          <w:p w14:paraId="3E70B5D1">
            <w:pPr>
              <w:spacing w:line="440" w:lineRule="atLeast"/>
              <w:rPr>
                <w:rFonts w:hint="eastAsia" w:asciiTheme="minorEastAsia" w:hAnsiTheme="minorEastAsia" w:eastAsiaTheme="minorEastAsia"/>
                <w:szCs w:val="21"/>
              </w:rPr>
            </w:pPr>
          </w:p>
        </w:tc>
        <w:tc>
          <w:tcPr>
            <w:tcW w:w="834" w:type="dxa"/>
            <w:vAlign w:val="center"/>
          </w:tcPr>
          <w:p w14:paraId="04FBDCCF">
            <w:pPr>
              <w:spacing w:line="440" w:lineRule="atLeast"/>
              <w:rPr>
                <w:rFonts w:hint="eastAsia" w:asciiTheme="minorEastAsia" w:hAnsiTheme="minorEastAsia" w:eastAsiaTheme="minorEastAsia"/>
                <w:szCs w:val="21"/>
              </w:rPr>
            </w:pPr>
          </w:p>
        </w:tc>
        <w:tc>
          <w:tcPr>
            <w:tcW w:w="1044" w:type="dxa"/>
            <w:vAlign w:val="center"/>
          </w:tcPr>
          <w:p w14:paraId="4D52A86C">
            <w:pPr>
              <w:spacing w:line="440" w:lineRule="atLeast"/>
              <w:rPr>
                <w:rFonts w:hint="eastAsia" w:asciiTheme="minorEastAsia" w:hAnsiTheme="minorEastAsia" w:eastAsiaTheme="minorEastAsia"/>
                <w:szCs w:val="21"/>
              </w:rPr>
            </w:pPr>
          </w:p>
        </w:tc>
        <w:tc>
          <w:tcPr>
            <w:tcW w:w="1086" w:type="dxa"/>
            <w:vAlign w:val="center"/>
          </w:tcPr>
          <w:p w14:paraId="77140C0D">
            <w:pPr>
              <w:spacing w:line="440" w:lineRule="atLeast"/>
              <w:rPr>
                <w:rFonts w:hint="eastAsia" w:asciiTheme="minorEastAsia" w:hAnsiTheme="minorEastAsia" w:eastAsiaTheme="minorEastAsia"/>
                <w:szCs w:val="21"/>
              </w:rPr>
            </w:pPr>
          </w:p>
        </w:tc>
        <w:tc>
          <w:tcPr>
            <w:tcW w:w="1134" w:type="dxa"/>
            <w:vAlign w:val="center"/>
          </w:tcPr>
          <w:p w14:paraId="571F403D">
            <w:pPr>
              <w:spacing w:line="440" w:lineRule="atLeast"/>
              <w:rPr>
                <w:rFonts w:hint="eastAsia" w:asciiTheme="minorEastAsia" w:hAnsiTheme="minorEastAsia" w:eastAsiaTheme="minorEastAsia"/>
                <w:szCs w:val="21"/>
              </w:rPr>
            </w:pPr>
          </w:p>
        </w:tc>
        <w:tc>
          <w:tcPr>
            <w:tcW w:w="1559" w:type="dxa"/>
            <w:vAlign w:val="center"/>
          </w:tcPr>
          <w:p w14:paraId="64F04531">
            <w:pPr>
              <w:spacing w:line="440" w:lineRule="atLeast"/>
              <w:rPr>
                <w:rFonts w:hint="eastAsia" w:asciiTheme="minorEastAsia" w:hAnsiTheme="minorEastAsia" w:eastAsiaTheme="minorEastAsia"/>
                <w:szCs w:val="21"/>
              </w:rPr>
            </w:pPr>
          </w:p>
        </w:tc>
      </w:tr>
      <w:tr w14:paraId="19F51B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850" w:type="dxa"/>
            <w:vAlign w:val="center"/>
          </w:tcPr>
          <w:p w14:paraId="10A2F061">
            <w:pPr>
              <w:spacing w:line="440" w:lineRule="atLeast"/>
              <w:rPr>
                <w:rFonts w:hint="eastAsia" w:asciiTheme="minorEastAsia" w:hAnsiTheme="minorEastAsia" w:eastAsiaTheme="minorEastAsia"/>
                <w:szCs w:val="21"/>
              </w:rPr>
            </w:pPr>
          </w:p>
        </w:tc>
        <w:tc>
          <w:tcPr>
            <w:tcW w:w="851" w:type="dxa"/>
            <w:vAlign w:val="center"/>
          </w:tcPr>
          <w:p w14:paraId="55EC8524">
            <w:pPr>
              <w:spacing w:line="440" w:lineRule="atLeast"/>
              <w:rPr>
                <w:rFonts w:hint="eastAsia" w:asciiTheme="minorEastAsia" w:hAnsiTheme="minorEastAsia" w:eastAsiaTheme="minorEastAsia"/>
                <w:szCs w:val="21"/>
              </w:rPr>
            </w:pPr>
          </w:p>
        </w:tc>
        <w:tc>
          <w:tcPr>
            <w:tcW w:w="850" w:type="dxa"/>
            <w:vAlign w:val="center"/>
          </w:tcPr>
          <w:p w14:paraId="6DBC8FFD">
            <w:pPr>
              <w:spacing w:line="440" w:lineRule="atLeast"/>
              <w:rPr>
                <w:rFonts w:hint="eastAsia" w:asciiTheme="minorEastAsia" w:hAnsiTheme="minorEastAsia" w:eastAsiaTheme="minorEastAsia"/>
                <w:szCs w:val="21"/>
              </w:rPr>
            </w:pPr>
          </w:p>
        </w:tc>
        <w:tc>
          <w:tcPr>
            <w:tcW w:w="1143" w:type="dxa"/>
            <w:vAlign w:val="center"/>
          </w:tcPr>
          <w:p w14:paraId="75ECDBE9">
            <w:pPr>
              <w:spacing w:line="440" w:lineRule="atLeast"/>
              <w:rPr>
                <w:rFonts w:hint="eastAsia" w:asciiTheme="minorEastAsia" w:hAnsiTheme="minorEastAsia" w:eastAsiaTheme="minorEastAsia"/>
                <w:szCs w:val="21"/>
              </w:rPr>
            </w:pPr>
          </w:p>
        </w:tc>
        <w:tc>
          <w:tcPr>
            <w:tcW w:w="834" w:type="dxa"/>
            <w:vAlign w:val="center"/>
          </w:tcPr>
          <w:p w14:paraId="1ABD755B">
            <w:pPr>
              <w:spacing w:line="440" w:lineRule="atLeast"/>
              <w:rPr>
                <w:rFonts w:hint="eastAsia" w:asciiTheme="minorEastAsia" w:hAnsiTheme="minorEastAsia" w:eastAsiaTheme="minorEastAsia"/>
                <w:szCs w:val="21"/>
              </w:rPr>
            </w:pPr>
          </w:p>
        </w:tc>
        <w:tc>
          <w:tcPr>
            <w:tcW w:w="1044" w:type="dxa"/>
            <w:vAlign w:val="center"/>
          </w:tcPr>
          <w:p w14:paraId="714BD356">
            <w:pPr>
              <w:spacing w:line="440" w:lineRule="atLeast"/>
              <w:rPr>
                <w:rFonts w:hint="eastAsia" w:asciiTheme="minorEastAsia" w:hAnsiTheme="minorEastAsia" w:eastAsiaTheme="minorEastAsia"/>
                <w:szCs w:val="21"/>
              </w:rPr>
            </w:pPr>
          </w:p>
        </w:tc>
        <w:tc>
          <w:tcPr>
            <w:tcW w:w="1086" w:type="dxa"/>
            <w:vAlign w:val="center"/>
          </w:tcPr>
          <w:p w14:paraId="04F77BB0">
            <w:pPr>
              <w:spacing w:line="440" w:lineRule="atLeast"/>
              <w:rPr>
                <w:rFonts w:hint="eastAsia" w:asciiTheme="minorEastAsia" w:hAnsiTheme="minorEastAsia" w:eastAsiaTheme="minorEastAsia"/>
                <w:szCs w:val="21"/>
              </w:rPr>
            </w:pPr>
          </w:p>
        </w:tc>
        <w:tc>
          <w:tcPr>
            <w:tcW w:w="1134" w:type="dxa"/>
            <w:vAlign w:val="center"/>
          </w:tcPr>
          <w:p w14:paraId="2550C2B7">
            <w:pPr>
              <w:spacing w:line="440" w:lineRule="atLeast"/>
              <w:rPr>
                <w:rFonts w:hint="eastAsia" w:asciiTheme="minorEastAsia" w:hAnsiTheme="minorEastAsia" w:eastAsiaTheme="minorEastAsia"/>
                <w:szCs w:val="21"/>
              </w:rPr>
            </w:pPr>
          </w:p>
        </w:tc>
        <w:tc>
          <w:tcPr>
            <w:tcW w:w="1559" w:type="dxa"/>
            <w:vAlign w:val="center"/>
          </w:tcPr>
          <w:p w14:paraId="264AADAA">
            <w:pPr>
              <w:spacing w:line="440" w:lineRule="atLeast"/>
              <w:rPr>
                <w:rFonts w:hint="eastAsia" w:asciiTheme="minorEastAsia" w:hAnsiTheme="minorEastAsia" w:eastAsiaTheme="minorEastAsia"/>
                <w:szCs w:val="21"/>
              </w:rPr>
            </w:pPr>
          </w:p>
        </w:tc>
      </w:tr>
      <w:tr w14:paraId="451AEA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850" w:type="dxa"/>
            <w:vAlign w:val="center"/>
          </w:tcPr>
          <w:p w14:paraId="6B33187B">
            <w:pPr>
              <w:spacing w:line="440" w:lineRule="atLeast"/>
              <w:rPr>
                <w:rFonts w:hint="eastAsia" w:asciiTheme="minorEastAsia" w:hAnsiTheme="minorEastAsia" w:eastAsiaTheme="minorEastAsia"/>
                <w:szCs w:val="21"/>
              </w:rPr>
            </w:pPr>
          </w:p>
        </w:tc>
        <w:tc>
          <w:tcPr>
            <w:tcW w:w="851" w:type="dxa"/>
            <w:vAlign w:val="center"/>
          </w:tcPr>
          <w:p w14:paraId="223F0AB7">
            <w:pPr>
              <w:spacing w:line="440" w:lineRule="atLeast"/>
              <w:rPr>
                <w:rFonts w:hint="eastAsia" w:asciiTheme="minorEastAsia" w:hAnsiTheme="minorEastAsia" w:eastAsiaTheme="minorEastAsia"/>
                <w:szCs w:val="21"/>
              </w:rPr>
            </w:pPr>
          </w:p>
        </w:tc>
        <w:tc>
          <w:tcPr>
            <w:tcW w:w="850" w:type="dxa"/>
            <w:vAlign w:val="center"/>
          </w:tcPr>
          <w:p w14:paraId="678AD4D6">
            <w:pPr>
              <w:spacing w:line="440" w:lineRule="atLeast"/>
              <w:rPr>
                <w:rFonts w:hint="eastAsia" w:asciiTheme="minorEastAsia" w:hAnsiTheme="minorEastAsia" w:eastAsiaTheme="minorEastAsia"/>
                <w:szCs w:val="21"/>
              </w:rPr>
            </w:pPr>
          </w:p>
        </w:tc>
        <w:tc>
          <w:tcPr>
            <w:tcW w:w="1143" w:type="dxa"/>
            <w:vAlign w:val="center"/>
          </w:tcPr>
          <w:p w14:paraId="54140516">
            <w:pPr>
              <w:spacing w:line="440" w:lineRule="atLeast"/>
              <w:rPr>
                <w:rFonts w:hint="eastAsia" w:asciiTheme="minorEastAsia" w:hAnsiTheme="minorEastAsia" w:eastAsiaTheme="minorEastAsia"/>
                <w:szCs w:val="21"/>
              </w:rPr>
            </w:pPr>
          </w:p>
        </w:tc>
        <w:tc>
          <w:tcPr>
            <w:tcW w:w="834" w:type="dxa"/>
            <w:vAlign w:val="center"/>
          </w:tcPr>
          <w:p w14:paraId="1F13F3B0">
            <w:pPr>
              <w:spacing w:line="440" w:lineRule="atLeast"/>
              <w:rPr>
                <w:rFonts w:hint="eastAsia" w:asciiTheme="minorEastAsia" w:hAnsiTheme="minorEastAsia" w:eastAsiaTheme="minorEastAsia"/>
                <w:szCs w:val="21"/>
              </w:rPr>
            </w:pPr>
          </w:p>
        </w:tc>
        <w:tc>
          <w:tcPr>
            <w:tcW w:w="1044" w:type="dxa"/>
            <w:vAlign w:val="center"/>
          </w:tcPr>
          <w:p w14:paraId="5B78607B">
            <w:pPr>
              <w:spacing w:line="440" w:lineRule="atLeast"/>
              <w:rPr>
                <w:rFonts w:hint="eastAsia" w:asciiTheme="minorEastAsia" w:hAnsiTheme="minorEastAsia" w:eastAsiaTheme="minorEastAsia"/>
                <w:szCs w:val="21"/>
              </w:rPr>
            </w:pPr>
          </w:p>
        </w:tc>
        <w:tc>
          <w:tcPr>
            <w:tcW w:w="1086" w:type="dxa"/>
            <w:vAlign w:val="center"/>
          </w:tcPr>
          <w:p w14:paraId="341A3BB5">
            <w:pPr>
              <w:spacing w:line="440" w:lineRule="atLeast"/>
              <w:rPr>
                <w:rFonts w:hint="eastAsia" w:asciiTheme="minorEastAsia" w:hAnsiTheme="minorEastAsia" w:eastAsiaTheme="minorEastAsia"/>
                <w:szCs w:val="21"/>
              </w:rPr>
            </w:pPr>
          </w:p>
        </w:tc>
        <w:tc>
          <w:tcPr>
            <w:tcW w:w="1134" w:type="dxa"/>
            <w:vAlign w:val="center"/>
          </w:tcPr>
          <w:p w14:paraId="6D714D3E">
            <w:pPr>
              <w:spacing w:line="440" w:lineRule="atLeast"/>
              <w:rPr>
                <w:rFonts w:hint="eastAsia" w:asciiTheme="minorEastAsia" w:hAnsiTheme="minorEastAsia" w:eastAsiaTheme="minorEastAsia"/>
                <w:szCs w:val="21"/>
              </w:rPr>
            </w:pPr>
          </w:p>
        </w:tc>
        <w:tc>
          <w:tcPr>
            <w:tcW w:w="1559" w:type="dxa"/>
            <w:vAlign w:val="center"/>
          </w:tcPr>
          <w:p w14:paraId="2EAD3019">
            <w:pPr>
              <w:spacing w:line="440" w:lineRule="atLeast"/>
              <w:rPr>
                <w:rFonts w:hint="eastAsia" w:asciiTheme="minorEastAsia" w:hAnsiTheme="minorEastAsia" w:eastAsiaTheme="minorEastAsia"/>
                <w:szCs w:val="21"/>
              </w:rPr>
            </w:pPr>
          </w:p>
        </w:tc>
      </w:tr>
      <w:tr w14:paraId="2F8CB0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850" w:type="dxa"/>
            <w:vAlign w:val="center"/>
          </w:tcPr>
          <w:p w14:paraId="34978C6E">
            <w:pPr>
              <w:spacing w:line="440" w:lineRule="atLeast"/>
              <w:rPr>
                <w:rFonts w:hint="eastAsia" w:asciiTheme="minorEastAsia" w:hAnsiTheme="minorEastAsia" w:eastAsiaTheme="minorEastAsia"/>
                <w:szCs w:val="21"/>
              </w:rPr>
            </w:pPr>
          </w:p>
        </w:tc>
        <w:tc>
          <w:tcPr>
            <w:tcW w:w="851" w:type="dxa"/>
            <w:vAlign w:val="center"/>
          </w:tcPr>
          <w:p w14:paraId="34F33300">
            <w:pPr>
              <w:spacing w:line="440" w:lineRule="atLeast"/>
              <w:rPr>
                <w:rFonts w:hint="eastAsia" w:asciiTheme="minorEastAsia" w:hAnsiTheme="minorEastAsia" w:eastAsiaTheme="minorEastAsia"/>
                <w:szCs w:val="21"/>
              </w:rPr>
            </w:pPr>
          </w:p>
        </w:tc>
        <w:tc>
          <w:tcPr>
            <w:tcW w:w="850" w:type="dxa"/>
            <w:vAlign w:val="center"/>
          </w:tcPr>
          <w:p w14:paraId="70F85513">
            <w:pPr>
              <w:spacing w:line="440" w:lineRule="atLeast"/>
              <w:rPr>
                <w:rFonts w:hint="eastAsia" w:asciiTheme="minorEastAsia" w:hAnsiTheme="minorEastAsia" w:eastAsiaTheme="minorEastAsia"/>
                <w:szCs w:val="21"/>
              </w:rPr>
            </w:pPr>
          </w:p>
        </w:tc>
        <w:tc>
          <w:tcPr>
            <w:tcW w:w="1143" w:type="dxa"/>
            <w:vAlign w:val="center"/>
          </w:tcPr>
          <w:p w14:paraId="01E49E16">
            <w:pPr>
              <w:spacing w:line="440" w:lineRule="atLeast"/>
              <w:rPr>
                <w:rFonts w:hint="eastAsia" w:asciiTheme="minorEastAsia" w:hAnsiTheme="minorEastAsia" w:eastAsiaTheme="minorEastAsia"/>
                <w:szCs w:val="21"/>
              </w:rPr>
            </w:pPr>
          </w:p>
        </w:tc>
        <w:tc>
          <w:tcPr>
            <w:tcW w:w="834" w:type="dxa"/>
            <w:vAlign w:val="center"/>
          </w:tcPr>
          <w:p w14:paraId="3A915FED">
            <w:pPr>
              <w:spacing w:line="440" w:lineRule="atLeast"/>
              <w:rPr>
                <w:rFonts w:hint="eastAsia" w:asciiTheme="minorEastAsia" w:hAnsiTheme="minorEastAsia" w:eastAsiaTheme="minorEastAsia"/>
                <w:szCs w:val="21"/>
              </w:rPr>
            </w:pPr>
          </w:p>
        </w:tc>
        <w:tc>
          <w:tcPr>
            <w:tcW w:w="1044" w:type="dxa"/>
            <w:vAlign w:val="center"/>
          </w:tcPr>
          <w:p w14:paraId="7619C7D6">
            <w:pPr>
              <w:spacing w:line="440" w:lineRule="atLeast"/>
              <w:rPr>
                <w:rFonts w:hint="eastAsia" w:asciiTheme="minorEastAsia" w:hAnsiTheme="minorEastAsia" w:eastAsiaTheme="minorEastAsia"/>
                <w:szCs w:val="21"/>
              </w:rPr>
            </w:pPr>
          </w:p>
        </w:tc>
        <w:tc>
          <w:tcPr>
            <w:tcW w:w="1086" w:type="dxa"/>
            <w:vAlign w:val="center"/>
          </w:tcPr>
          <w:p w14:paraId="56144B2F">
            <w:pPr>
              <w:spacing w:line="440" w:lineRule="atLeast"/>
              <w:rPr>
                <w:rFonts w:hint="eastAsia" w:asciiTheme="minorEastAsia" w:hAnsiTheme="minorEastAsia" w:eastAsiaTheme="minorEastAsia"/>
                <w:szCs w:val="21"/>
              </w:rPr>
            </w:pPr>
          </w:p>
        </w:tc>
        <w:tc>
          <w:tcPr>
            <w:tcW w:w="1134" w:type="dxa"/>
            <w:vAlign w:val="center"/>
          </w:tcPr>
          <w:p w14:paraId="63954062">
            <w:pPr>
              <w:spacing w:line="440" w:lineRule="atLeast"/>
              <w:rPr>
                <w:rFonts w:hint="eastAsia" w:asciiTheme="minorEastAsia" w:hAnsiTheme="minorEastAsia" w:eastAsiaTheme="minorEastAsia"/>
                <w:szCs w:val="21"/>
              </w:rPr>
            </w:pPr>
          </w:p>
        </w:tc>
        <w:tc>
          <w:tcPr>
            <w:tcW w:w="1559" w:type="dxa"/>
            <w:vAlign w:val="center"/>
          </w:tcPr>
          <w:p w14:paraId="6FD3E889">
            <w:pPr>
              <w:spacing w:line="440" w:lineRule="atLeast"/>
              <w:rPr>
                <w:rFonts w:hint="eastAsia" w:asciiTheme="minorEastAsia" w:hAnsiTheme="minorEastAsia" w:eastAsiaTheme="minorEastAsia"/>
                <w:szCs w:val="21"/>
              </w:rPr>
            </w:pPr>
          </w:p>
        </w:tc>
      </w:tr>
      <w:tr w14:paraId="6A0FA2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850" w:type="dxa"/>
            <w:vAlign w:val="center"/>
          </w:tcPr>
          <w:p w14:paraId="434ACC4C">
            <w:pPr>
              <w:spacing w:line="440" w:lineRule="atLeast"/>
              <w:rPr>
                <w:rFonts w:hint="eastAsia" w:asciiTheme="minorEastAsia" w:hAnsiTheme="minorEastAsia" w:eastAsiaTheme="minorEastAsia"/>
                <w:szCs w:val="21"/>
              </w:rPr>
            </w:pPr>
          </w:p>
        </w:tc>
        <w:tc>
          <w:tcPr>
            <w:tcW w:w="851" w:type="dxa"/>
            <w:vAlign w:val="center"/>
          </w:tcPr>
          <w:p w14:paraId="278C56D4">
            <w:pPr>
              <w:spacing w:line="440" w:lineRule="atLeast"/>
              <w:rPr>
                <w:rFonts w:hint="eastAsia" w:asciiTheme="minorEastAsia" w:hAnsiTheme="minorEastAsia" w:eastAsiaTheme="minorEastAsia"/>
                <w:szCs w:val="21"/>
              </w:rPr>
            </w:pPr>
          </w:p>
        </w:tc>
        <w:tc>
          <w:tcPr>
            <w:tcW w:w="850" w:type="dxa"/>
            <w:vAlign w:val="center"/>
          </w:tcPr>
          <w:p w14:paraId="4DEBC6FA">
            <w:pPr>
              <w:spacing w:line="440" w:lineRule="atLeast"/>
              <w:rPr>
                <w:rFonts w:hint="eastAsia" w:asciiTheme="minorEastAsia" w:hAnsiTheme="minorEastAsia" w:eastAsiaTheme="minorEastAsia"/>
                <w:szCs w:val="21"/>
              </w:rPr>
            </w:pPr>
          </w:p>
        </w:tc>
        <w:tc>
          <w:tcPr>
            <w:tcW w:w="1143" w:type="dxa"/>
            <w:vAlign w:val="center"/>
          </w:tcPr>
          <w:p w14:paraId="693D34FE">
            <w:pPr>
              <w:spacing w:line="440" w:lineRule="atLeast"/>
              <w:rPr>
                <w:rFonts w:hint="eastAsia" w:asciiTheme="minorEastAsia" w:hAnsiTheme="minorEastAsia" w:eastAsiaTheme="minorEastAsia"/>
                <w:szCs w:val="21"/>
              </w:rPr>
            </w:pPr>
          </w:p>
        </w:tc>
        <w:tc>
          <w:tcPr>
            <w:tcW w:w="834" w:type="dxa"/>
            <w:vAlign w:val="center"/>
          </w:tcPr>
          <w:p w14:paraId="6C26DBBF">
            <w:pPr>
              <w:spacing w:line="440" w:lineRule="atLeast"/>
              <w:rPr>
                <w:rFonts w:hint="eastAsia" w:asciiTheme="minorEastAsia" w:hAnsiTheme="minorEastAsia" w:eastAsiaTheme="minorEastAsia"/>
                <w:szCs w:val="21"/>
              </w:rPr>
            </w:pPr>
          </w:p>
        </w:tc>
        <w:tc>
          <w:tcPr>
            <w:tcW w:w="1044" w:type="dxa"/>
            <w:vAlign w:val="center"/>
          </w:tcPr>
          <w:p w14:paraId="29C928AC">
            <w:pPr>
              <w:spacing w:line="440" w:lineRule="atLeast"/>
              <w:rPr>
                <w:rFonts w:hint="eastAsia" w:asciiTheme="minorEastAsia" w:hAnsiTheme="minorEastAsia" w:eastAsiaTheme="minorEastAsia"/>
                <w:szCs w:val="21"/>
              </w:rPr>
            </w:pPr>
          </w:p>
        </w:tc>
        <w:tc>
          <w:tcPr>
            <w:tcW w:w="1086" w:type="dxa"/>
            <w:vAlign w:val="center"/>
          </w:tcPr>
          <w:p w14:paraId="252A12BF">
            <w:pPr>
              <w:spacing w:line="440" w:lineRule="atLeast"/>
              <w:rPr>
                <w:rFonts w:hint="eastAsia" w:asciiTheme="minorEastAsia" w:hAnsiTheme="minorEastAsia" w:eastAsiaTheme="minorEastAsia"/>
                <w:szCs w:val="21"/>
              </w:rPr>
            </w:pPr>
          </w:p>
        </w:tc>
        <w:tc>
          <w:tcPr>
            <w:tcW w:w="1134" w:type="dxa"/>
            <w:vAlign w:val="center"/>
          </w:tcPr>
          <w:p w14:paraId="5A1DEF12">
            <w:pPr>
              <w:spacing w:line="440" w:lineRule="atLeast"/>
              <w:rPr>
                <w:rFonts w:hint="eastAsia" w:asciiTheme="minorEastAsia" w:hAnsiTheme="minorEastAsia" w:eastAsiaTheme="minorEastAsia"/>
                <w:szCs w:val="21"/>
              </w:rPr>
            </w:pPr>
          </w:p>
        </w:tc>
        <w:tc>
          <w:tcPr>
            <w:tcW w:w="1559" w:type="dxa"/>
            <w:vAlign w:val="center"/>
          </w:tcPr>
          <w:p w14:paraId="49695C88">
            <w:pPr>
              <w:spacing w:line="440" w:lineRule="atLeast"/>
              <w:rPr>
                <w:rFonts w:hint="eastAsia" w:asciiTheme="minorEastAsia" w:hAnsiTheme="minorEastAsia" w:eastAsiaTheme="minorEastAsia"/>
                <w:szCs w:val="21"/>
              </w:rPr>
            </w:pPr>
          </w:p>
        </w:tc>
      </w:tr>
      <w:tr w14:paraId="23225E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850" w:type="dxa"/>
            <w:vAlign w:val="center"/>
          </w:tcPr>
          <w:p w14:paraId="74E65530">
            <w:pPr>
              <w:spacing w:line="440" w:lineRule="atLeast"/>
              <w:rPr>
                <w:rFonts w:hint="eastAsia" w:asciiTheme="minorEastAsia" w:hAnsiTheme="minorEastAsia" w:eastAsiaTheme="minorEastAsia"/>
                <w:szCs w:val="21"/>
              </w:rPr>
            </w:pPr>
          </w:p>
        </w:tc>
        <w:tc>
          <w:tcPr>
            <w:tcW w:w="851" w:type="dxa"/>
            <w:vAlign w:val="center"/>
          </w:tcPr>
          <w:p w14:paraId="435EF8CA">
            <w:pPr>
              <w:spacing w:line="440" w:lineRule="atLeast"/>
              <w:rPr>
                <w:rFonts w:hint="eastAsia" w:asciiTheme="minorEastAsia" w:hAnsiTheme="minorEastAsia" w:eastAsiaTheme="minorEastAsia"/>
                <w:szCs w:val="21"/>
              </w:rPr>
            </w:pPr>
          </w:p>
        </w:tc>
        <w:tc>
          <w:tcPr>
            <w:tcW w:w="850" w:type="dxa"/>
            <w:vAlign w:val="center"/>
          </w:tcPr>
          <w:p w14:paraId="2D7B3C05">
            <w:pPr>
              <w:spacing w:line="440" w:lineRule="atLeast"/>
              <w:rPr>
                <w:rFonts w:hint="eastAsia" w:asciiTheme="minorEastAsia" w:hAnsiTheme="minorEastAsia" w:eastAsiaTheme="minorEastAsia"/>
                <w:szCs w:val="21"/>
              </w:rPr>
            </w:pPr>
          </w:p>
        </w:tc>
        <w:tc>
          <w:tcPr>
            <w:tcW w:w="1143" w:type="dxa"/>
            <w:vAlign w:val="center"/>
          </w:tcPr>
          <w:p w14:paraId="6BBA4F1A">
            <w:pPr>
              <w:spacing w:line="440" w:lineRule="atLeast"/>
              <w:rPr>
                <w:rFonts w:hint="eastAsia" w:asciiTheme="minorEastAsia" w:hAnsiTheme="minorEastAsia" w:eastAsiaTheme="minorEastAsia"/>
                <w:szCs w:val="21"/>
              </w:rPr>
            </w:pPr>
          </w:p>
        </w:tc>
        <w:tc>
          <w:tcPr>
            <w:tcW w:w="834" w:type="dxa"/>
            <w:vAlign w:val="center"/>
          </w:tcPr>
          <w:p w14:paraId="657976A1">
            <w:pPr>
              <w:spacing w:line="440" w:lineRule="atLeast"/>
              <w:rPr>
                <w:rFonts w:hint="eastAsia" w:asciiTheme="minorEastAsia" w:hAnsiTheme="minorEastAsia" w:eastAsiaTheme="minorEastAsia"/>
                <w:szCs w:val="21"/>
              </w:rPr>
            </w:pPr>
          </w:p>
        </w:tc>
        <w:tc>
          <w:tcPr>
            <w:tcW w:w="1044" w:type="dxa"/>
            <w:vAlign w:val="center"/>
          </w:tcPr>
          <w:p w14:paraId="7FC8E4C3">
            <w:pPr>
              <w:spacing w:line="440" w:lineRule="atLeast"/>
              <w:rPr>
                <w:rFonts w:hint="eastAsia" w:asciiTheme="minorEastAsia" w:hAnsiTheme="minorEastAsia" w:eastAsiaTheme="minorEastAsia"/>
                <w:szCs w:val="21"/>
              </w:rPr>
            </w:pPr>
          </w:p>
        </w:tc>
        <w:tc>
          <w:tcPr>
            <w:tcW w:w="1086" w:type="dxa"/>
            <w:vAlign w:val="center"/>
          </w:tcPr>
          <w:p w14:paraId="58FD0AB8">
            <w:pPr>
              <w:spacing w:line="440" w:lineRule="atLeast"/>
              <w:rPr>
                <w:rFonts w:hint="eastAsia" w:asciiTheme="minorEastAsia" w:hAnsiTheme="minorEastAsia" w:eastAsiaTheme="minorEastAsia"/>
                <w:szCs w:val="21"/>
              </w:rPr>
            </w:pPr>
          </w:p>
        </w:tc>
        <w:tc>
          <w:tcPr>
            <w:tcW w:w="1134" w:type="dxa"/>
            <w:vAlign w:val="center"/>
          </w:tcPr>
          <w:p w14:paraId="7E9114AC">
            <w:pPr>
              <w:spacing w:line="440" w:lineRule="atLeast"/>
              <w:rPr>
                <w:rFonts w:hint="eastAsia" w:asciiTheme="minorEastAsia" w:hAnsiTheme="minorEastAsia" w:eastAsiaTheme="minorEastAsia"/>
                <w:szCs w:val="21"/>
              </w:rPr>
            </w:pPr>
          </w:p>
        </w:tc>
        <w:tc>
          <w:tcPr>
            <w:tcW w:w="1559" w:type="dxa"/>
            <w:vAlign w:val="center"/>
          </w:tcPr>
          <w:p w14:paraId="1ED316E7">
            <w:pPr>
              <w:spacing w:line="440" w:lineRule="atLeast"/>
              <w:rPr>
                <w:rFonts w:hint="eastAsia" w:asciiTheme="minorEastAsia" w:hAnsiTheme="minorEastAsia" w:eastAsiaTheme="minorEastAsia"/>
                <w:szCs w:val="21"/>
              </w:rPr>
            </w:pPr>
          </w:p>
        </w:tc>
      </w:tr>
      <w:tr w14:paraId="3CA62B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16" w:hRule="atLeast"/>
          <w:jc w:val="center"/>
        </w:trPr>
        <w:tc>
          <w:tcPr>
            <w:tcW w:w="850" w:type="dxa"/>
            <w:vAlign w:val="center"/>
          </w:tcPr>
          <w:p w14:paraId="78970CFA">
            <w:pPr>
              <w:spacing w:line="440" w:lineRule="atLeast"/>
              <w:rPr>
                <w:rFonts w:hint="eastAsia" w:asciiTheme="minorEastAsia" w:hAnsiTheme="minorEastAsia" w:eastAsiaTheme="minorEastAsia"/>
                <w:szCs w:val="21"/>
              </w:rPr>
            </w:pPr>
          </w:p>
        </w:tc>
        <w:tc>
          <w:tcPr>
            <w:tcW w:w="851" w:type="dxa"/>
            <w:vAlign w:val="center"/>
          </w:tcPr>
          <w:p w14:paraId="55D9D5DE">
            <w:pPr>
              <w:spacing w:line="440" w:lineRule="atLeast"/>
              <w:rPr>
                <w:rFonts w:hint="eastAsia" w:asciiTheme="minorEastAsia" w:hAnsiTheme="minorEastAsia" w:eastAsiaTheme="minorEastAsia"/>
                <w:szCs w:val="21"/>
              </w:rPr>
            </w:pPr>
          </w:p>
        </w:tc>
        <w:tc>
          <w:tcPr>
            <w:tcW w:w="850" w:type="dxa"/>
            <w:vAlign w:val="center"/>
          </w:tcPr>
          <w:p w14:paraId="20EE9A04">
            <w:pPr>
              <w:spacing w:line="440" w:lineRule="atLeast"/>
              <w:rPr>
                <w:rFonts w:hint="eastAsia" w:asciiTheme="minorEastAsia" w:hAnsiTheme="minorEastAsia" w:eastAsiaTheme="minorEastAsia"/>
                <w:szCs w:val="21"/>
              </w:rPr>
            </w:pPr>
          </w:p>
        </w:tc>
        <w:tc>
          <w:tcPr>
            <w:tcW w:w="1143" w:type="dxa"/>
            <w:vAlign w:val="center"/>
          </w:tcPr>
          <w:p w14:paraId="7C97424C">
            <w:pPr>
              <w:spacing w:line="440" w:lineRule="atLeast"/>
              <w:rPr>
                <w:rFonts w:hint="eastAsia" w:asciiTheme="minorEastAsia" w:hAnsiTheme="minorEastAsia" w:eastAsiaTheme="minorEastAsia"/>
                <w:szCs w:val="21"/>
              </w:rPr>
            </w:pPr>
          </w:p>
        </w:tc>
        <w:tc>
          <w:tcPr>
            <w:tcW w:w="834" w:type="dxa"/>
            <w:vAlign w:val="center"/>
          </w:tcPr>
          <w:p w14:paraId="51D75C50">
            <w:pPr>
              <w:spacing w:line="440" w:lineRule="atLeast"/>
              <w:rPr>
                <w:rFonts w:hint="eastAsia" w:asciiTheme="minorEastAsia" w:hAnsiTheme="minorEastAsia" w:eastAsiaTheme="minorEastAsia"/>
                <w:szCs w:val="21"/>
              </w:rPr>
            </w:pPr>
          </w:p>
        </w:tc>
        <w:tc>
          <w:tcPr>
            <w:tcW w:w="1044" w:type="dxa"/>
            <w:vAlign w:val="center"/>
          </w:tcPr>
          <w:p w14:paraId="4DFD48E5">
            <w:pPr>
              <w:spacing w:line="440" w:lineRule="atLeast"/>
              <w:rPr>
                <w:rFonts w:hint="eastAsia" w:asciiTheme="minorEastAsia" w:hAnsiTheme="minorEastAsia" w:eastAsiaTheme="minorEastAsia"/>
                <w:szCs w:val="21"/>
              </w:rPr>
            </w:pPr>
          </w:p>
        </w:tc>
        <w:tc>
          <w:tcPr>
            <w:tcW w:w="1086" w:type="dxa"/>
            <w:vAlign w:val="center"/>
          </w:tcPr>
          <w:p w14:paraId="08E25F3F">
            <w:pPr>
              <w:spacing w:line="440" w:lineRule="atLeast"/>
              <w:rPr>
                <w:rFonts w:hint="eastAsia" w:asciiTheme="minorEastAsia" w:hAnsiTheme="minorEastAsia" w:eastAsiaTheme="minorEastAsia"/>
                <w:szCs w:val="21"/>
              </w:rPr>
            </w:pPr>
          </w:p>
        </w:tc>
        <w:tc>
          <w:tcPr>
            <w:tcW w:w="1134" w:type="dxa"/>
            <w:vAlign w:val="center"/>
          </w:tcPr>
          <w:p w14:paraId="6F6CB67F">
            <w:pPr>
              <w:spacing w:line="440" w:lineRule="atLeast"/>
              <w:rPr>
                <w:rFonts w:hint="eastAsia" w:asciiTheme="minorEastAsia" w:hAnsiTheme="minorEastAsia" w:eastAsiaTheme="minorEastAsia"/>
                <w:szCs w:val="21"/>
              </w:rPr>
            </w:pPr>
          </w:p>
        </w:tc>
        <w:tc>
          <w:tcPr>
            <w:tcW w:w="1559" w:type="dxa"/>
            <w:vAlign w:val="center"/>
          </w:tcPr>
          <w:p w14:paraId="38A21255">
            <w:pPr>
              <w:spacing w:line="440" w:lineRule="atLeast"/>
              <w:rPr>
                <w:rFonts w:hint="eastAsia" w:asciiTheme="minorEastAsia" w:hAnsiTheme="minorEastAsia" w:eastAsiaTheme="minorEastAsia"/>
                <w:szCs w:val="21"/>
              </w:rPr>
            </w:pPr>
          </w:p>
        </w:tc>
      </w:tr>
      <w:tr w14:paraId="5C694D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3" w:hRule="atLeast"/>
          <w:jc w:val="center"/>
        </w:trPr>
        <w:tc>
          <w:tcPr>
            <w:tcW w:w="9351" w:type="dxa"/>
            <w:gridSpan w:val="9"/>
            <w:vAlign w:val="center"/>
          </w:tcPr>
          <w:p w14:paraId="4DEB7160">
            <w:pPr>
              <w:spacing w:line="440" w:lineRule="atLeast"/>
              <w:ind w:firstLine="360"/>
              <w:rPr>
                <w:rFonts w:hint="eastAsia" w:asciiTheme="minorEastAsia" w:hAnsiTheme="minorEastAsia" w:eastAsiaTheme="minorEastAsia"/>
                <w:szCs w:val="21"/>
              </w:rPr>
            </w:pPr>
            <w:r>
              <w:rPr>
                <w:rFonts w:asciiTheme="minorEastAsia" w:hAnsiTheme="minorEastAsia" w:eastAsiaTheme="minorEastAsia"/>
                <w:szCs w:val="21"/>
              </w:rPr>
              <w:t>一旦我单位</w:t>
            </w:r>
            <w:r>
              <w:rPr>
                <w:rFonts w:hint="eastAsia" w:asciiTheme="minorEastAsia" w:hAnsiTheme="minorEastAsia" w:eastAsiaTheme="minorEastAsia"/>
                <w:szCs w:val="21"/>
              </w:rPr>
              <w:t>成交</w:t>
            </w:r>
            <w:r>
              <w:rPr>
                <w:rFonts w:asciiTheme="minorEastAsia" w:hAnsiTheme="minorEastAsia" w:eastAsiaTheme="minorEastAsia"/>
                <w:szCs w:val="21"/>
              </w:rPr>
              <w:t xml:space="preserve">，将实行项目经理负责制，我方保证并配备上述项目管理机构。上述填报内容真实，若不真实，愿按有关规定接受处理。             </w:t>
            </w:r>
          </w:p>
        </w:tc>
      </w:tr>
    </w:tbl>
    <w:p w14:paraId="4EC1FD34">
      <w:pPr>
        <w:spacing w:line="440" w:lineRule="atLeast"/>
        <w:rPr>
          <w:rFonts w:hint="eastAsia" w:asciiTheme="minorEastAsia" w:hAnsiTheme="minorEastAsia" w:eastAsiaTheme="minorEastAsia"/>
          <w:szCs w:val="21"/>
        </w:rPr>
      </w:pPr>
      <w:r>
        <w:rPr>
          <w:rFonts w:hint="eastAsia" w:asciiTheme="minorEastAsia" w:hAnsiTheme="minorEastAsia" w:eastAsiaTheme="minorEastAsia"/>
          <w:szCs w:val="21"/>
        </w:rPr>
        <w:t>注：供应商需提供相关人员</w:t>
      </w:r>
      <w:bookmarkStart w:id="2309" w:name="_Hlk201845089"/>
      <w:r>
        <w:rPr>
          <w:rFonts w:hint="eastAsia" w:asciiTheme="minorEastAsia" w:hAnsiTheme="minorEastAsia" w:eastAsiaTheme="minorEastAsia"/>
          <w:szCs w:val="21"/>
        </w:rPr>
        <w:t>身份证件、职称证书（如有）、执业或职业资格证书（如有）、社保证明或劳动合同等证明资料复印件并加盖公章。</w:t>
      </w:r>
      <w:bookmarkEnd w:id="2309"/>
    </w:p>
    <w:p w14:paraId="031B8F88">
      <w:pPr>
        <w:spacing w:line="440" w:lineRule="atLeast"/>
        <w:rPr>
          <w:rFonts w:hint="eastAsia" w:asciiTheme="minorEastAsia" w:hAnsiTheme="minorEastAsia" w:eastAsiaTheme="minorEastAsia"/>
          <w:sz w:val="24"/>
        </w:rPr>
      </w:pPr>
    </w:p>
    <w:p w14:paraId="535E0D80">
      <w:pPr>
        <w:spacing w:line="440" w:lineRule="atLeast"/>
        <w:rPr>
          <w:rFonts w:hint="eastAsia" w:asciiTheme="minorEastAsia" w:hAnsiTheme="minorEastAsia" w:eastAsiaTheme="minorEastAsia"/>
          <w:sz w:val="24"/>
        </w:rPr>
      </w:pPr>
    </w:p>
    <w:p w14:paraId="5A38D113">
      <w:pPr>
        <w:widowControl/>
        <w:jc w:val="left"/>
        <w:rPr>
          <w:rFonts w:hint="eastAsia" w:cs="宋体" w:asciiTheme="minorEastAsia" w:hAnsiTheme="minorEastAsia" w:eastAsiaTheme="minorEastAsia"/>
          <w:sz w:val="24"/>
        </w:rPr>
      </w:pPr>
      <w:r>
        <w:rPr>
          <w:rFonts w:cs="宋体" w:asciiTheme="minorEastAsia" w:hAnsiTheme="minorEastAsia" w:eastAsiaTheme="minorEastAsia"/>
          <w:sz w:val="24"/>
        </w:rPr>
        <w:br w:type="page"/>
      </w:r>
    </w:p>
    <w:p w14:paraId="50B9B41F">
      <w:pPr>
        <w:pStyle w:val="4"/>
        <w:widowControl/>
        <w:spacing w:line="360" w:lineRule="auto"/>
        <w:jc w:val="left"/>
        <w:rPr>
          <w:rFonts w:hint="eastAsia" w:cs="宋体" w:asciiTheme="minorEastAsia" w:hAnsiTheme="minorEastAsia" w:eastAsiaTheme="minorEastAsia"/>
          <w:b w:val="0"/>
          <w:bCs/>
          <w:sz w:val="28"/>
          <w:szCs w:val="28"/>
        </w:rPr>
      </w:pPr>
      <w:r>
        <w:rPr>
          <w:rFonts w:hint="eastAsia" w:cs="宋体" w:asciiTheme="minorEastAsia" w:hAnsiTheme="minorEastAsia" w:eastAsiaTheme="minorEastAsia"/>
          <w:b w:val="0"/>
          <w:bCs/>
          <w:sz w:val="24"/>
          <w:szCs w:val="24"/>
        </w:rPr>
        <w:t>12</w:t>
      </w:r>
      <w:r>
        <w:rPr>
          <w:rFonts w:cs="宋体" w:asciiTheme="minorEastAsia" w:hAnsiTheme="minorEastAsia" w:eastAsiaTheme="minorEastAsia"/>
          <w:b w:val="0"/>
          <w:bCs/>
          <w:sz w:val="24"/>
          <w:szCs w:val="24"/>
        </w:rPr>
        <w:t xml:space="preserve">  </w:t>
      </w:r>
      <w:r>
        <w:rPr>
          <w:rFonts w:hint="eastAsia" w:cs="宋体" w:asciiTheme="minorEastAsia" w:hAnsiTheme="minorEastAsia" w:eastAsiaTheme="minorEastAsia"/>
          <w:b w:val="0"/>
          <w:bCs/>
          <w:sz w:val="24"/>
          <w:szCs w:val="24"/>
          <w:highlight w:val="none"/>
        </w:rPr>
        <w:t>项目经理简历表（实质性格式）</w:t>
      </w:r>
    </w:p>
    <w:p w14:paraId="7F3FEA84">
      <w:pPr>
        <w:widowControl/>
        <w:jc w:val="center"/>
        <w:rPr>
          <w:rFonts w:hint="eastAsia" w:cs="Arial" w:asciiTheme="minorEastAsia" w:hAnsiTheme="minorEastAsia" w:eastAsiaTheme="minorEastAsia"/>
          <w:b/>
          <w:sz w:val="32"/>
          <w:szCs w:val="32"/>
        </w:rPr>
      </w:pPr>
      <w:r>
        <w:rPr>
          <w:rFonts w:hint="eastAsia" w:cs="Arial" w:asciiTheme="minorEastAsia" w:hAnsiTheme="minorEastAsia" w:eastAsiaTheme="minorEastAsia"/>
          <w:b/>
          <w:sz w:val="32"/>
          <w:szCs w:val="32"/>
        </w:rPr>
        <w:t>（二）项目经理简历表</w:t>
      </w:r>
    </w:p>
    <w:p w14:paraId="5214C150">
      <w:pPr>
        <w:spacing w:line="440" w:lineRule="atLeast"/>
        <w:rPr>
          <w:rFonts w:hint="eastAsia" w:asciiTheme="minorEastAsia" w:hAnsiTheme="minorEastAsia" w:eastAsiaTheme="minorEastAsia"/>
          <w:szCs w:val="21"/>
        </w:rPr>
      </w:pPr>
      <w:r>
        <w:rPr>
          <w:rFonts w:hint="eastAsia" w:asciiTheme="minorEastAsia" w:hAnsiTheme="minorEastAsia" w:eastAsiaTheme="minorEastAsia"/>
          <w:color w:val="000000"/>
          <w:szCs w:val="21"/>
        </w:rPr>
        <w:t>项目编号：______________________     项目名称：________________________</w:t>
      </w:r>
    </w:p>
    <w:tbl>
      <w:tblPr>
        <w:tblStyle w:val="8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492"/>
        <w:gridCol w:w="1355"/>
        <w:gridCol w:w="325"/>
        <w:gridCol w:w="185"/>
        <w:gridCol w:w="840"/>
        <w:gridCol w:w="540"/>
        <w:gridCol w:w="15"/>
        <w:gridCol w:w="1125"/>
        <w:gridCol w:w="435"/>
        <w:gridCol w:w="645"/>
        <w:gridCol w:w="405"/>
        <w:gridCol w:w="1576"/>
      </w:tblGrid>
      <w:tr w14:paraId="567E14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988" w:type="dxa"/>
            <w:vAlign w:val="center"/>
          </w:tcPr>
          <w:p w14:paraId="0149018B">
            <w:pPr>
              <w:spacing w:line="440" w:lineRule="atLeast"/>
              <w:jc w:val="center"/>
              <w:rPr>
                <w:rFonts w:hint="eastAsia" w:asciiTheme="minorEastAsia" w:hAnsiTheme="minorEastAsia" w:eastAsiaTheme="minorEastAsia"/>
                <w:szCs w:val="21"/>
              </w:rPr>
            </w:pPr>
            <w:r>
              <w:rPr>
                <w:rFonts w:asciiTheme="minorEastAsia" w:hAnsiTheme="minorEastAsia" w:eastAsiaTheme="minorEastAsia"/>
                <w:szCs w:val="21"/>
              </w:rPr>
              <w:t>姓名</w:t>
            </w:r>
          </w:p>
        </w:tc>
        <w:tc>
          <w:tcPr>
            <w:tcW w:w="2357" w:type="dxa"/>
            <w:gridSpan w:val="4"/>
            <w:vAlign w:val="center"/>
          </w:tcPr>
          <w:p w14:paraId="68CCDF0D">
            <w:pPr>
              <w:spacing w:line="440" w:lineRule="atLeast"/>
              <w:jc w:val="center"/>
              <w:rPr>
                <w:rFonts w:hint="eastAsia" w:asciiTheme="minorEastAsia" w:hAnsiTheme="minorEastAsia" w:eastAsiaTheme="minorEastAsia"/>
                <w:szCs w:val="21"/>
              </w:rPr>
            </w:pPr>
          </w:p>
        </w:tc>
        <w:tc>
          <w:tcPr>
            <w:tcW w:w="840" w:type="dxa"/>
            <w:vAlign w:val="center"/>
          </w:tcPr>
          <w:p w14:paraId="1695E05A">
            <w:pPr>
              <w:spacing w:line="440" w:lineRule="atLeast"/>
              <w:jc w:val="center"/>
              <w:rPr>
                <w:rFonts w:hint="eastAsia" w:asciiTheme="minorEastAsia" w:hAnsiTheme="minorEastAsia" w:eastAsiaTheme="minorEastAsia"/>
                <w:szCs w:val="21"/>
              </w:rPr>
            </w:pPr>
            <w:r>
              <w:rPr>
                <w:rFonts w:asciiTheme="minorEastAsia" w:hAnsiTheme="minorEastAsia" w:eastAsiaTheme="minorEastAsia"/>
                <w:szCs w:val="21"/>
              </w:rPr>
              <w:t>性别</w:t>
            </w:r>
          </w:p>
        </w:tc>
        <w:tc>
          <w:tcPr>
            <w:tcW w:w="1680" w:type="dxa"/>
            <w:gridSpan w:val="3"/>
            <w:vAlign w:val="center"/>
          </w:tcPr>
          <w:p w14:paraId="0ECC877C">
            <w:pPr>
              <w:spacing w:line="440" w:lineRule="atLeast"/>
              <w:jc w:val="center"/>
              <w:rPr>
                <w:rFonts w:hint="eastAsia" w:asciiTheme="minorEastAsia" w:hAnsiTheme="minorEastAsia" w:eastAsiaTheme="minorEastAsia"/>
                <w:szCs w:val="21"/>
              </w:rPr>
            </w:pPr>
          </w:p>
        </w:tc>
        <w:tc>
          <w:tcPr>
            <w:tcW w:w="1080" w:type="dxa"/>
            <w:gridSpan w:val="2"/>
            <w:vAlign w:val="center"/>
          </w:tcPr>
          <w:p w14:paraId="577648A8">
            <w:pPr>
              <w:spacing w:line="440" w:lineRule="atLeast"/>
              <w:jc w:val="center"/>
              <w:rPr>
                <w:rFonts w:hint="eastAsia" w:asciiTheme="minorEastAsia" w:hAnsiTheme="minorEastAsia" w:eastAsiaTheme="minorEastAsia"/>
                <w:szCs w:val="21"/>
              </w:rPr>
            </w:pPr>
            <w:r>
              <w:rPr>
                <w:rFonts w:asciiTheme="minorEastAsia" w:hAnsiTheme="minorEastAsia" w:eastAsiaTheme="minorEastAsia"/>
                <w:szCs w:val="21"/>
              </w:rPr>
              <w:t>年龄</w:t>
            </w:r>
          </w:p>
        </w:tc>
        <w:tc>
          <w:tcPr>
            <w:tcW w:w="1981" w:type="dxa"/>
            <w:gridSpan w:val="2"/>
            <w:vAlign w:val="center"/>
          </w:tcPr>
          <w:p w14:paraId="6FCE401A">
            <w:pPr>
              <w:spacing w:line="440" w:lineRule="atLeast"/>
              <w:jc w:val="center"/>
              <w:rPr>
                <w:rFonts w:hint="eastAsia" w:asciiTheme="minorEastAsia" w:hAnsiTheme="minorEastAsia" w:eastAsiaTheme="minorEastAsia"/>
                <w:szCs w:val="21"/>
              </w:rPr>
            </w:pPr>
          </w:p>
        </w:tc>
      </w:tr>
      <w:tr w14:paraId="663FDC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988" w:type="dxa"/>
            <w:vAlign w:val="center"/>
          </w:tcPr>
          <w:p w14:paraId="3DF61FD1">
            <w:pPr>
              <w:spacing w:line="440" w:lineRule="atLeast"/>
              <w:jc w:val="center"/>
              <w:rPr>
                <w:rFonts w:hint="eastAsia" w:asciiTheme="minorEastAsia" w:hAnsiTheme="minorEastAsia" w:eastAsiaTheme="minorEastAsia"/>
                <w:szCs w:val="21"/>
              </w:rPr>
            </w:pPr>
            <w:r>
              <w:rPr>
                <w:rFonts w:asciiTheme="minorEastAsia" w:hAnsiTheme="minorEastAsia" w:eastAsiaTheme="minorEastAsia"/>
                <w:szCs w:val="21"/>
              </w:rPr>
              <w:t>职务</w:t>
            </w:r>
          </w:p>
        </w:tc>
        <w:tc>
          <w:tcPr>
            <w:tcW w:w="2357" w:type="dxa"/>
            <w:gridSpan w:val="4"/>
            <w:vAlign w:val="center"/>
          </w:tcPr>
          <w:p w14:paraId="262F6C98">
            <w:pPr>
              <w:spacing w:line="440" w:lineRule="atLeast"/>
              <w:jc w:val="center"/>
              <w:rPr>
                <w:rFonts w:hint="eastAsia" w:asciiTheme="minorEastAsia" w:hAnsiTheme="minorEastAsia" w:eastAsiaTheme="minorEastAsia"/>
                <w:szCs w:val="21"/>
              </w:rPr>
            </w:pPr>
          </w:p>
        </w:tc>
        <w:tc>
          <w:tcPr>
            <w:tcW w:w="840" w:type="dxa"/>
            <w:vAlign w:val="center"/>
          </w:tcPr>
          <w:p w14:paraId="0465CAA1">
            <w:pPr>
              <w:spacing w:line="440" w:lineRule="atLeast"/>
              <w:jc w:val="center"/>
              <w:rPr>
                <w:rFonts w:hint="eastAsia" w:asciiTheme="minorEastAsia" w:hAnsiTheme="minorEastAsia" w:eastAsiaTheme="minorEastAsia"/>
                <w:szCs w:val="21"/>
              </w:rPr>
            </w:pPr>
            <w:r>
              <w:rPr>
                <w:rFonts w:asciiTheme="minorEastAsia" w:hAnsiTheme="minorEastAsia" w:eastAsiaTheme="minorEastAsia"/>
                <w:szCs w:val="21"/>
              </w:rPr>
              <w:t>职称</w:t>
            </w:r>
          </w:p>
        </w:tc>
        <w:tc>
          <w:tcPr>
            <w:tcW w:w="1680" w:type="dxa"/>
            <w:gridSpan w:val="3"/>
            <w:vAlign w:val="center"/>
          </w:tcPr>
          <w:p w14:paraId="501B39EF">
            <w:pPr>
              <w:spacing w:line="440" w:lineRule="atLeast"/>
              <w:jc w:val="center"/>
              <w:rPr>
                <w:rFonts w:hint="eastAsia" w:asciiTheme="minorEastAsia" w:hAnsiTheme="minorEastAsia" w:eastAsiaTheme="minorEastAsia"/>
                <w:szCs w:val="21"/>
              </w:rPr>
            </w:pPr>
          </w:p>
        </w:tc>
        <w:tc>
          <w:tcPr>
            <w:tcW w:w="1080" w:type="dxa"/>
            <w:gridSpan w:val="2"/>
            <w:vAlign w:val="center"/>
          </w:tcPr>
          <w:p w14:paraId="3F8A6F8C">
            <w:pPr>
              <w:spacing w:line="440" w:lineRule="atLeast"/>
              <w:jc w:val="center"/>
              <w:rPr>
                <w:rFonts w:hint="eastAsia" w:asciiTheme="minorEastAsia" w:hAnsiTheme="minorEastAsia" w:eastAsiaTheme="minorEastAsia"/>
                <w:szCs w:val="21"/>
              </w:rPr>
            </w:pPr>
            <w:r>
              <w:rPr>
                <w:rFonts w:asciiTheme="minorEastAsia" w:hAnsiTheme="minorEastAsia" w:eastAsiaTheme="minorEastAsia"/>
                <w:szCs w:val="21"/>
              </w:rPr>
              <w:t>学历</w:t>
            </w:r>
          </w:p>
        </w:tc>
        <w:tc>
          <w:tcPr>
            <w:tcW w:w="1981" w:type="dxa"/>
            <w:gridSpan w:val="2"/>
            <w:vAlign w:val="center"/>
          </w:tcPr>
          <w:p w14:paraId="3CE63303">
            <w:pPr>
              <w:spacing w:line="440" w:lineRule="atLeast"/>
              <w:jc w:val="center"/>
              <w:rPr>
                <w:rFonts w:hint="eastAsia" w:asciiTheme="minorEastAsia" w:hAnsiTheme="minorEastAsia" w:eastAsiaTheme="minorEastAsia"/>
                <w:szCs w:val="21"/>
              </w:rPr>
            </w:pPr>
          </w:p>
        </w:tc>
      </w:tr>
      <w:tr w14:paraId="7BCAB0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2835" w:type="dxa"/>
            <w:gridSpan w:val="3"/>
            <w:vAlign w:val="center"/>
          </w:tcPr>
          <w:p w14:paraId="3AEE54E8">
            <w:pPr>
              <w:spacing w:line="440" w:lineRule="atLeast"/>
              <w:jc w:val="center"/>
              <w:rPr>
                <w:rFonts w:hint="eastAsia" w:asciiTheme="minorEastAsia" w:hAnsiTheme="minorEastAsia" w:eastAsiaTheme="minorEastAsia"/>
                <w:szCs w:val="21"/>
              </w:rPr>
            </w:pPr>
            <w:r>
              <w:rPr>
                <w:rFonts w:asciiTheme="minorEastAsia" w:hAnsiTheme="minorEastAsia" w:eastAsiaTheme="minorEastAsia"/>
                <w:szCs w:val="21"/>
              </w:rPr>
              <w:t>参加工作时间</w:t>
            </w:r>
          </w:p>
        </w:tc>
        <w:tc>
          <w:tcPr>
            <w:tcW w:w="1890" w:type="dxa"/>
            <w:gridSpan w:val="4"/>
            <w:vAlign w:val="center"/>
          </w:tcPr>
          <w:p w14:paraId="643C28B6">
            <w:pPr>
              <w:spacing w:line="440" w:lineRule="atLeast"/>
              <w:jc w:val="center"/>
              <w:rPr>
                <w:rFonts w:hint="eastAsia" w:asciiTheme="minorEastAsia" w:hAnsiTheme="minorEastAsia" w:eastAsiaTheme="minorEastAsia"/>
                <w:szCs w:val="21"/>
              </w:rPr>
            </w:pPr>
          </w:p>
        </w:tc>
        <w:tc>
          <w:tcPr>
            <w:tcW w:w="2625" w:type="dxa"/>
            <w:gridSpan w:val="5"/>
            <w:vAlign w:val="center"/>
          </w:tcPr>
          <w:p w14:paraId="72F2C58D">
            <w:pPr>
              <w:spacing w:line="440" w:lineRule="atLeast"/>
              <w:jc w:val="center"/>
              <w:rPr>
                <w:rFonts w:hint="eastAsia" w:asciiTheme="minorEastAsia" w:hAnsiTheme="minorEastAsia" w:eastAsiaTheme="minorEastAsia"/>
                <w:szCs w:val="21"/>
              </w:rPr>
            </w:pPr>
            <w:r>
              <w:rPr>
                <w:rFonts w:asciiTheme="minorEastAsia" w:hAnsiTheme="minorEastAsia" w:eastAsiaTheme="minorEastAsia"/>
                <w:szCs w:val="21"/>
              </w:rPr>
              <w:t>担任项目经理年限</w:t>
            </w:r>
          </w:p>
        </w:tc>
        <w:tc>
          <w:tcPr>
            <w:tcW w:w="1576" w:type="dxa"/>
            <w:vAlign w:val="center"/>
          </w:tcPr>
          <w:p w14:paraId="6691A097">
            <w:pPr>
              <w:spacing w:line="440" w:lineRule="atLeast"/>
              <w:jc w:val="center"/>
              <w:rPr>
                <w:rFonts w:hint="eastAsia" w:asciiTheme="minorEastAsia" w:hAnsiTheme="minorEastAsia" w:eastAsiaTheme="minorEastAsia"/>
                <w:szCs w:val="21"/>
              </w:rPr>
            </w:pPr>
          </w:p>
        </w:tc>
      </w:tr>
      <w:tr w14:paraId="11F4EB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8" w:hRule="atLeast"/>
          <w:jc w:val="center"/>
        </w:trPr>
        <w:tc>
          <w:tcPr>
            <w:tcW w:w="2835" w:type="dxa"/>
            <w:gridSpan w:val="3"/>
            <w:vAlign w:val="center"/>
          </w:tcPr>
          <w:p w14:paraId="29D38B5A">
            <w:pPr>
              <w:spacing w:line="440" w:lineRule="atLeast"/>
              <w:jc w:val="center"/>
              <w:rPr>
                <w:rFonts w:hint="eastAsia" w:asciiTheme="minorEastAsia" w:hAnsiTheme="minorEastAsia" w:eastAsiaTheme="minorEastAsia"/>
                <w:szCs w:val="21"/>
              </w:rPr>
            </w:pPr>
            <w:r>
              <w:rPr>
                <w:rFonts w:asciiTheme="minorEastAsia" w:hAnsiTheme="minorEastAsia" w:eastAsiaTheme="minorEastAsia"/>
                <w:szCs w:val="21"/>
              </w:rPr>
              <w:t>项目经理资格证书编号</w:t>
            </w:r>
          </w:p>
        </w:tc>
        <w:tc>
          <w:tcPr>
            <w:tcW w:w="6091" w:type="dxa"/>
            <w:gridSpan w:val="10"/>
            <w:vAlign w:val="center"/>
          </w:tcPr>
          <w:p w14:paraId="3395B95D">
            <w:pPr>
              <w:spacing w:line="440" w:lineRule="atLeast"/>
              <w:jc w:val="center"/>
              <w:rPr>
                <w:rFonts w:hint="eastAsia" w:asciiTheme="minorEastAsia" w:hAnsiTheme="minorEastAsia" w:eastAsiaTheme="minorEastAsia"/>
                <w:szCs w:val="21"/>
              </w:rPr>
            </w:pPr>
          </w:p>
        </w:tc>
      </w:tr>
      <w:tr w14:paraId="7AC2A3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8926" w:type="dxa"/>
            <w:gridSpan w:val="13"/>
            <w:vAlign w:val="center"/>
          </w:tcPr>
          <w:p w14:paraId="7BEAD38C">
            <w:pPr>
              <w:spacing w:line="440" w:lineRule="atLeast"/>
              <w:jc w:val="center"/>
              <w:rPr>
                <w:rFonts w:hint="eastAsia" w:asciiTheme="minorEastAsia" w:hAnsiTheme="minorEastAsia" w:eastAsiaTheme="minorEastAsia"/>
                <w:szCs w:val="21"/>
              </w:rPr>
            </w:pPr>
            <w:r>
              <w:rPr>
                <w:rFonts w:asciiTheme="minorEastAsia" w:hAnsiTheme="minorEastAsia" w:eastAsiaTheme="minorEastAsia"/>
                <w:szCs w:val="21"/>
              </w:rPr>
              <w:t>在建和已完工程项目情况</w:t>
            </w:r>
          </w:p>
        </w:tc>
      </w:tr>
      <w:tr w14:paraId="5A8C9C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480" w:type="dxa"/>
            <w:gridSpan w:val="2"/>
            <w:vAlign w:val="center"/>
          </w:tcPr>
          <w:p w14:paraId="17F56FCE">
            <w:pPr>
              <w:spacing w:line="440" w:lineRule="atLeast"/>
              <w:jc w:val="center"/>
              <w:rPr>
                <w:rFonts w:hint="eastAsia" w:asciiTheme="minorEastAsia" w:hAnsiTheme="minorEastAsia" w:eastAsiaTheme="minorEastAsia"/>
                <w:szCs w:val="21"/>
              </w:rPr>
            </w:pPr>
            <w:r>
              <w:rPr>
                <w:rFonts w:asciiTheme="minorEastAsia" w:hAnsiTheme="minorEastAsia" w:eastAsiaTheme="minorEastAsia"/>
                <w:szCs w:val="21"/>
              </w:rPr>
              <w:t>建设单位</w:t>
            </w:r>
          </w:p>
        </w:tc>
        <w:tc>
          <w:tcPr>
            <w:tcW w:w="1680" w:type="dxa"/>
            <w:gridSpan w:val="2"/>
            <w:vAlign w:val="center"/>
          </w:tcPr>
          <w:p w14:paraId="3DCEFC17">
            <w:pPr>
              <w:spacing w:line="440" w:lineRule="atLeast"/>
              <w:jc w:val="center"/>
              <w:rPr>
                <w:rFonts w:hint="eastAsia" w:asciiTheme="minorEastAsia" w:hAnsiTheme="minorEastAsia" w:eastAsiaTheme="minorEastAsia"/>
                <w:szCs w:val="21"/>
              </w:rPr>
            </w:pPr>
            <w:r>
              <w:rPr>
                <w:rFonts w:asciiTheme="minorEastAsia" w:hAnsiTheme="minorEastAsia" w:eastAsiaTheme="minorEastAsia"/>
                <w:szCs w:val="21"/>
              </w:rPr>
              <w:t>项目名称</w:t>
            </w:r>
          </w:p>
        </w:tc>
        <w:tc>
          <w:tcPr>
            <w:tcW w:w="1580" w:type="dxa"/>
            <w:gridSpan w:val="4"/>
            <w:vAlign w:val="center"/>
          </w:tcPr>
          <w:p w14:paraId="48A9D86B">
            <w:pPr>
              <w:spacing w:line="440" w:lineRule="atLeast"/>
              <w:jc w:val="center"/>
              <w:rPr>
                <w:rFonts w:hint="eastAsia" w:asciiTheme="minorEastAsia" w:hAnsiTheme="minorEastAsia" w:eastAsiaTheme="minorEastAsia"/>
                <w:szCs w:val="21"/>
              </w:rPr>
            </w:pPr>
            <w:r>
              <w:rPr>
                <w:rFonts w:asciiTheme="minorEastAsia" w:hAnsiTheme="minorEastAsia" w:eastAsiaTheme="minorEastAsia"/>
                <w:szCs w:val="21"/>
              </w:rPr>
              <w:t>建设规模</w:t>
            </w:r>
          </w:p>
        </w:tc>
        <w:tc>
          <w:tcPr>
            <w:tcW w:w="1560" w:type="dxa"/>
            <w:gridSpan w:val="2"/>
            <w:vAlign w:val="center"/>
          </w:tcPr>
          <w:p w14:paraId="36E06773">
            <w:pPr>
              <w:spacing w:line="440" w:lineRule="atLeast"/>
              <w:jc w:val="center"/>
              <w:rPr>
                <w:rFonts w:hint="eastAsia" w:asciiTheme="minorEastAsia" w:hAnsiTheme="minorEastAsia" w:eastAsiaTheme="minorEastAsia"/>
                <w:szCs w:val="21"/>
              </w:rPr>
            </w:pPr>
            <w:r>
              <w:rPr>
                <w:rFonts w:asciiTheme="minorEastAsia" w:hAnsiTheme="minorEastAsia" w:eastAsiaTheme="minorEastAsia"/>
                <w:szCs w:val="21"/>
              </w:rPr>
              <w:t>开、竣工</w:t>
            </w:r>
          </w:p>
          <w:p w14:paraId="59ED73CD">
            <w:pPr>
              <w:spacing w:line="440" w:lineRule="atLeast"/>
              <w:jc w:val="center"/>
              <w:rPr>
                <w:rFonts w:hint="eastAsia" w:asciiTheme="minorEastAsia" w:hAnsiTheme="minorEastAsia" w:eastAsiaTheme="minorEastAsia"/>
                <w:szCs w:val="21"/>
              </w:rPr>
            </w:pPr>
            <w:r>
              <w:rPr>
                <w:rFonts w:asciiTheme="minorEastAsia" w:hAnsiTheme="minorEastAsia" w:eastAsiaTheme="minorEastAsia"/>
                <w:szCs w:val="21"/>
              </w:rPr>
              <w:t>日期</w:t>
            </w:r>
          </w:p>
        </w:tc>
        <w:tc>
          <w:tcPr>
            <w:tcW w:w="1050" w:type="dxa"/>
            <w:gridSpan w:val="2"/>
            <w:vAlign w:val="center"/>
          </w:tcPr>
          <w:p w14:paraId="05807530">
            <w:pPr>
              <w:spacing w:line="440" w:lineRule="atLeast"/>
              <w:jc w:val="center"/>
              <w:rPr>
                <w:rFonts w:hint="eastAsia" w:asciiTheme="minorEastAsia" w:hAnsiTheme="minorEastAsia" w:eastAsiaTheme="minorEastAsia"/>
                <w:szCs w:val="21"/>
              </w:rPr>
            </w:pPr>
            <w:r>
              <w:rPr>
                <w:rFonts w:asciiTheme="minorEastAsia" w:hAnsiTheme="minorEastAsia" w:eastAsiaTheme="minorEastAsia"/>
                <w:szCs w:val="21"/>
              </w:rPr>
              <w:t>在建或已 完</w:t>
            </w:r>
          </w:p>
        </w:tc>
        <w:tc>
          <w:tcPr>
            <w:tcW w:w="1576" w:type="dxa"/>
            <w:vAlign w:val="center"/>
          </w:tcPr>
          <w:p w14:paraId="2C1C73A0">
            <w:pPr>
              <w:spacing w:line="440" w:lineRule="atLeast"/>
              <w:jc w:val="center"/>
              <w:rPr>
                <w:rFonts w:hint="eastAsia" w:asciiTheme="minorEastAsia" w:hAnsiTheme="minorEastAsia" w:eastAsiaTheme="minorEastAsia"/>
                <w:szCs w:val="21"/>
              </w:rPr>
            </w:pPr>
            <w:r>
              <w:rPr>
                <w:rFonts w:asciiTheme="minorEastAsia" w:hAnsiTheme="minorEastAsia" w:eastAsiaTheme="minorEastAsia"/>
                <w:szCs w:val="21"/>
              </w:rPr>
              <w:t>工程质量</w:t>
            </w:r>
          </w:p>
        </w:tc>
      </w:tr>
      <w:tr w14:paraId="3EEFDB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480" w:type="dxa"/>
            <w:gridSpan w:val="2"/>
            <w:vAlign w:val="center"/>
          </w:tcPr>
          <w:p w14:paraId="5F4A0597">
            <w:pPr>
              <w:spacing w:line="440" w:lineRule="atLeast"/>
              <w:jc w:val="center"/>
              <w:rPr>
                <w:rFonts w:hint="eastAsia" w:asciiTheme="minorEastAsia" w:hAnsiTheme="minorEastAsia" w:eastAsiaTheme="minorEastAsia"/>
                <w:szCs w:val="21"/>
              </w:rPr>
            </w:pPr>
          </w:p>
        </w:tc>
        <w:tc>
          <w:tcPr>
            <w:tcW w:w="1680" w:type="dxa"/>
            <w:gridSpan w:val="2"/>
            <w:vAlign w:val="center"/>
          </w:tcPr>
          <w:p w14:paraId="35C55E47">
            <w:pPr>
              <w:spacing w:line="440" w:lineRule="atLeast"/>
              <w:jc w:val="center"/>
              <w:rPr>
                <w:rFonts w:hint="eastAsia" w:asciiTheme="minorEastAsia" w:hAnsiTheme="minorEastAsia" w:eastAsiaTheme="minorEastAsia"/>
                <w:szCs w:val="21"/>
              </w:rPr>
            </w:pPr>
          </w:p>
        </w:tc>
        <w:tc>
          <w:tcPr>
            <w:tcW w:w="1580" w:type="dxa"/>
            <w:gridSpan w:val="4"/>
            <w:vAlign w:val="center"/>
          </w:tcPr>
          <w:p w14:paraId="6FBE9D43">
            <w:pPr>
              <w:spacing w:line="440" w:lineRule="atLeast"/>
              <w:jc w:val="center"/>
              <w:rPr>
                <w:rFonts w:hint="eastAsia" w:asciiTheme="minorEastAsia" w:hAnsiTheme="minorEastAsia" w:eastAsiaTheme="minorEastAsia"/>
                <w:szCs w:val="21"/>
              </w:rPr>
            </w:pPr>
          </w:p>
        </w:tc>
        <w:tc>
          <w:tcPr>
            <w:tcW w:w="1560" w:type="dxa"/>
            <w:gridSpan w:val="2"/>
            <w:vAlign w:val="center"/>
          </w:tcPr>
          <w:p w14:paraId="7EA3FA83">
            <w:pPr>
              <w:spacing w:line="440" w:lineRule="atLeast"/>
              <w:jc w:val="center"/>
              <w:rPr>
                <w:rFonts w:hint="eastAsia" w:asciiTheme="minorEastAsia" w:hAnsiTheme="minorEastAsia" w:eastAsiaTheme="minorEastAsia"/>
                <w:szCs w:val="21"/>
              </w:rPr>
            </w:pPr>
          </w:p>
        </w:tc>
        <w:tc>
          <w:tcPr>
            <w:tcW w:w="1050" w:type="dxa"/>
            <w:gridSpan w:val="2"/>
            <w:vAlign w:val="center"/>
          </w:tcPr>
          <w:p w14:paraId="73CE786F">
            <w:pPr>
              <w:spacing w:line="440" w:lineRule="atLeast"/>
              <w:jc w:val="center"/>
              <w:rPr>
                <w:rFonts w:hint="eastAsia" w:asciiTheme="minorEastAsia" w:hAnsiTheme="minorEastAsia" w:eastAsiaTheme="minorEastAsia"/>
                <w:szCs w:val="21"/>
              </w:rPr>
            </w:pPr>
          </w:p>
        </w:tc>
        <w:tc>
          <w:tcPr>
            <w:tcW w:w="1576" w:type="dxa"/>
            <w:vAlign w:val="center"/>
          </w:tcPr>
          <w:p w14:paraId="52EF3C79">
            <w:pPr>
              <w:spacing w:line="440" w:lineRule="atLeast"/>
              <w:jc w:val="center"/>
              <w:rPr>
                <w:rFonts w:hint="eastAsia" w:asciiTheme="minorEastAsia" w:hAnsiTheme="minorEastAsia" w:eastAsiaTheme="minorEastAsia"/>
                <w:szCs w:val="21"/>
              </w:rPr>
            </w:pPr>
          </w:p>
        </w:tc>
      </w:tr>
      <w:tr w14:paraId="69C0F7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16" w:hRule="atLeast"/>
          <w:jc w:val="center"/>
        </w:trPr>
        <w:tc>
          <w:tcPr>
            <w:tcW w:w="1480" w:type="dxa"/>
            <w:gridSpan w:val="2"/>
            <w:vAlign w:val="center"/>
          </w:tcPr>
          <w:p w14:paraId="12C1CCE7">
            <w:pPr>
              <w:spacing w:line="440" w:lineRule="atLeast"/>
              <w:jc w:val="center"/>
              <w:rPr>
                <w:rFonts w:hint="eastAsia" w:asciiTheme="minorEastAsia" w:hAnsiTheme="minorEastAsia" w:eastAsiaTheme="minorEastAsia"/>
                <w:szCs w:val="21"/>
              </w:rPr>
            </w:pPr>
          </w:p>
        </w:tc>
        <w:tc>
          <w:tcPr>
            <w:tcW w:w="1680" w:type="dxa"/>
            <w:gridSpan w:val="2"/>
            <w:vAlign w:val="center"/>
          </w:tcPr>
          <w:p w14:paraId="2FDE6767">
            <w:pPr>
              <w:spacing w:line="440" w:lineRule="atLeast"/>
              <w:jc w:val="center"/>
              <w:rPr>
                <w:rFonts w:hint="eastAsia" w:asciiTheme="minorEastAsia" w:hAnsiTheme="minorEastAsia" w:eastAsiaTheme="minorEastAsia"/>
                <w:szCs w:val="21"/>
              </w:rPr>
            </w:pPr>
          </w:p>
        </w:tc>
        <w:tc>
          <w:tcPr>
            <w:tcW w:w="1580" w:type="dxa"/>
            <w:gridSpan w:val="4"/>
            <w:vAlign w:val="center"/>
          </w:tcPr>
          <w:p w14:paraId="023197B7">
            <w:pPr>
              <w:spacing w:line="440" w:lineRule="atLeast"/>
              <w:jc w:val="center"/>
              <w:rPr>
                <w:rFonts w:hint="eastAsia" w:asciiTheme="minorEastAsia" w:hAnsiTheme="minorEastAsia" w:eastAsiaTheme="minorEastAsia"/>
                <w:szCs w:val="21"/>
              </w:rPr>
            </w:pPr>
          </w:p>
        </w:tc>
        <w:tc>
          <w:tcPr>
            <w:tcW w:w="1560" w:type="dxa"/>
            <w:gridSpan w:val="2"/>
            <w:vAlign w:val="center"/>
          </w:tcPr>
          <w:p w14:paraId="4395EAEC">
            <w:pPr>
              <w:spacing w:line="440" w:lineRule="atLeast"/>
              <w:jc w:val="center"/>
              <w:rPr>
                <w:rFonts w:hint="eastAsia" w:asciiTheme="minorEastAsia" w:hAnsiTheme="minorEastAsia" w:eastAsiaTheme="minorEastAsia"/>
                <w:szCs w:val="21"/>
              </w:rPr>
            </w:pPr>
          </w:p>
        </w:tc>
        <w:tc>
          <w:tcPr>
            <w:tcW w:w="1050" w:type="dxa"/>
            <w:gridSpan w:val="2"/>
            <w:vAlign w:val="center"/>
          </w:tcPr>
          <w:p w14:paraId="6962365A">
            <w:pPr>
              <w:spacing w:line="440" w:lineRule="atLeast"/>
              <w:jc w:val="center"/>
              <w:rPr>
                <w:rFonts w:hint="eastAsia" w:asciiTheme="minorEastAsia" w:hAnsiTheme="minorEastAsia" w:eastAsiaTheme="minorEastAsia"/>
                <w:szCs w:val="21"/>
              </w:rPr>
            </w:pPr>
          </w:p>
        </w:tc>
        <w:tc>
          <w:tcPr>
            <w:tcW w:w="1576" w:type="dxa"/>
            <w:vAlign w:val="center"/>
          </w:tcPr>
          <w:p w14:paraId="77CC0AA3">
            <w:pPr>
              <w:spacing w:line="440" w:lineRule="atLeast"/>
              <w:jc w:val="center"/>
              <w:rPr>
                <w:rFonts w:hint="eastAsia" w:asciiTheme="minorEastAsia" w:hAnsiTheme="minorEastAsia" w:eastAsiaTheme="minorEastAsia"/>
                <w:szCs w:val="21"/>
              </w:rPr>
            </w:pPr>
          </w:p>
        </w:tc>
      </w:tr>
      <w:tr w14:paraId="046894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16" w:hRule="atLeast"/>
          <w:jc w:val="center"/>
        </w:trPr>
        <w:tc>
          <w:tcPr>
            <w:tcW w:w="1480" w:type="dxa"/>
            <w:gridSpan w:val="2"/>
            <w:vAlign w:val="center"/>
          </w:tcPr>
          <w:p w14:paraId="2ADBB743">
            <w:pPr>
              <w:spacing w:line="440" w:lineRule="atLeast"/>
              <w:jc w:val="center"/>
              <w:rPr>
                <w:rFonts w:hint="eastAsia" w:asciiTheme="minorEastAsia" w:hAnsiTheme="minorEastAsia" w:eastAsiaTheme="minorEastAsia"/>
                <w:szCs w:val="21"/>
              </w:rPr>
            </w:pPr>
          </w:p>
        </w:tc>
        <w:tc>
          <w:tcPr>
            <w:tcW w:w="1680" w:type="dxa"/>
            <w:gridSpan w:val="2"/>
            <w:vAlign w:val="center"/>
          </w:tcPr>
          <w:p w14:paraId="4A1255F6">
            <w:pPr>
              <w:spacing w:line="440" w:lineRule="atLeast"/>
              <w:jc w:val="center"/>
              <w:rPr>
                <w:rFonts w:hint="eastAsia" w:asciiTheme="minorEastAsia" w:hAnsiTheme="minorEastAsia" w:eastAsiaTheme="minorEastAsia"/>
                <w:szCs w:val="21"/>
              </w:rPr>
            </w:pPr>
          </w:p>
        </w:tc>
        <w:tc>
          <w:tcPr>
            <w:tcW w:w="1580" w:type="dxa"/>
            <w:gridSpan w:val="4"/>
            <w:vAlign w:val="center"/>
          </w:tcPr>
          <w:p w14:paraId="3C78A94A">
            <w:pPr>
              <w:spacing w:line="440" w:lineRule="atLeast"/>
              <w:jc w:val="center"/>
              <w:rPr>
                <w:rFonts w:hint="eastAsia" w:asciiTheme="minorEastAsia" w:hAnsiTheme="minorEastAsia" w:eastAsiaTheme="minorEastAsia"/>
                <w:szCs w:val="21"/>
              </w:rPr>
            </w:pPr>
          </w:p>
        </w:tc>
        <w:tc>
          <w:tcPr>
            <w:tcW w:w="1560" w:type="dxa"/>
            <w:gridSpan w:val="2"/>
            <w:vAlign w:val="center"/>
          </w:tcPr>
          <w:p w14:paraId="7C035D70">
            <w:pPr>
              <w:spacing w:line="440" w:lineRule="atLeast"/>
              <w:jc w:val="center"/>
              <w:rPr>
                <w:rFonts w:hint="eastAsia" w:asciiTheme="minorEastAsia" w:hAnsiTheme="minorEastAsia" w:eastAsiaTheme="minorEastAsia"/>
                <w:szCs w:val="21"/>
              </w:rPr>
            </w:pPr>
          </w:p>
        </w:tc>
        <w:tc>
          <w:tcPr>
            <w:tcW w:w="1050" w:type="dxa"/>
            <w:gridSpan w:val="2"/>
            <w:vAlign w:val="center"/>
          </w:tcPr>
          <w:p w14:paraId="28247E8F">
            <w:pPr>
              <w:spacing w:line="440" w:lineRule="atLeast"/>
              <w:jc w:val="center"/>
              <w:rPr>
                <w:rFonts w:hint="eastAsia" w:asciiTheme="minorEastAsia" w:hAnsiTheme="minorEastAsia" w:eastAsiaTheme="minorEastAsia"/>
                <w:szCs w:val="21"/>
              </w:rPr>
            </w:pPr>
          </w:p>
        </w:tc>
        <w:tc>
          <w:tcPr>
            <w:tcW w:w="1576" w:type="dxa"/>
            <w:vAlign w:val="center"/>
          </w:tcPr>
          <w:p w14:paraId="1B180AF2">
            <w:pPr>
              <w:spacing w:line="440" w:lineRule="atLeast"/>
              <w:jc w:val="center"/>
              <w:rPr>
                <w:rFonts w:hint="eastAsia" w:asciiTheme="minorEastAsia" w:hAnsiTheme="minorEastAsia" w:eastAsiaTheme="minorEastAsia"/>
                <w:szCs w:val="21"/>
              </w:rPr>
            </w:pPr>
          </w:p>
        </w:tc>
      </w:tr>
      <w:tr w14:paraId="3D9977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480" w:type="dxa"/>
            <w:gridSpan w:val="2"/>
            <w:vAlign w:val="center"/>
          </w:tcPr>
          <w:p w14:paraId="3B27CAA1">
            <w:pPr>
              <w:spacing w:line="440" w:lineRule="atLeast"/>
              <w:jc w:val="center"/>
              <w:rPr>
                <w:rFonts w:hint="eastAsia" w:asciiTheme="minorEastAsia" w:hAnsiTheme="minorEastAsia" w:eastAsiaTheme="minorEastAsia"/>
                <w:szCs w:val="21"/>
              </w:rPr>
            </w:pPr>
          </w:p>
        </w:tc>
        <w:tc>
          <w:tcPr>
            <w:tcW w:w="1680" w:type="dxa"/>
            <w:gridSpan w:val="2"/>
            <w:vAlign w:val="center"/>
          </w:tcPr>
          <w:p w14:paraId="009568D8">
            <w:pPr>
              <w:spacing w:line="440" w:lineRule="atLeast"/>
              <w:jc w:val="center"/>
              <w:rPr>
                <w:rFonts w:hint="eastAsia" w:asciiTheme="minorEastAsia" w:hAnsiTheme="minorEastAsia" w:eastAsiaTheme="minorEastAsia"/>
                <w:szCs w:val="21"/>
              </w:rPr>
            </w:pPr>
          </w:p>
        </w:tc>
        <w:tc>
          <w:tcPr>
            <w:tcW w:w="1580" w:type="dxa"/>
            <w:gridSpan w:val="4"/>
            <w:vAlign w:val="center"/>
          </w:tcPr>
          <w:p w14:paraId="7EE3DE96">
            <w:pPr>
              <w:spacing w:line="440" w:lineRule="atLeast"/>
              <w:jc w:val="center"/>
              <w:rPr>
                <w:rFonts w:hint="eastAsia" w:asciiTheme="minorEastAsia" w:hAnsiTheme="minorEastAsia" w:eastAsiaTheme="minorEastAsia"/>
                <w:szCs w:val="21"/>
              </w:rPr>
            </w:pPr>
          </w:p>
        </w:tc>
        <w:tc>
          <w:tcPr>
            <w:tcW w:w="1560" w:type="dxa"/>
            <w:gridSpan w:val="2"/>
            <w:vAlign w:val="center"/>
          </w:tcPr>
          <w:p w14:paraId="06DF2293">
            <w:pPr>
              <w:spacing w:line="440" w:lineRule="atLeast"/>
              <w:jc w:val="center"/>
              <w:rPr>
                <w:rFonts w:hint="eastAsia" w:asciiTheme="minorEastAsia" w:hAnsiTheme="minorEastAsia" w:eastAsiaTheme="minorEastAsia"/>
                <w:szCs w:val="21"/>
              </w:rPr>
            </w:pPr>
          </w:p>
        </w:tc>
        <w:tc>
          <w:tcPr>
            <w:tcW w:w="1050" w:type="dxa"/>
            <w:gridSpan w:val="2"/>
            <w:vAlign w:val="center"/>
          </w:tcPr>
          <w:p w14:paraId="393E06A4">
            <w:pPr>
              <w:spacing w:line="440" w:lineRule="atLeast"/>
              <w:jc w:val="center"/>
              <w:rPr>
                <w:rFonts w:hint="eastAsia" w:asciiTheme="minorEastAsia" w:hAnsiTheme="minorEastAsia" w:eastAsiaTheme="minorEastAsia"/>
                <w:szCs w:val="21"/>
              </w:rPr>
            </w:pPr>
          </w:p>
        </w:tc>
        <w:tc>
          <w:tcPr>
            <w:tcW w:w="1576" w:type="dxa"/>
            <w:vAlign w:val="center"/>
          </w:tcPr>
          <w:p w14:paraId="1B91A5FC">
            <w:pPr>
              <w:spacing w:line="440" w:lineRule="atLeast"/>
              <w:jc w:val="center"/>
              <w:rPr>
                <w:rFonts w:hint="eastAsia" w:asciiTheme="minorEastAsia" w:hAnsiTheme="minorEastAsia" w:eastAsiaTheme="minorEastAsia"/>
                <w:szCs w:val="21"/>
              </w:rPr>
            </w:pPr>
          </w:p>
        </w:tc>
      </w:tr>
      <w:tr w14:paraId="08231C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16" w:hRule="atLeast"/>
          <w:jc w:val="center"/>
        </w:trPr>
        <w:tc>
          <w:tcPr>
            <w:tcW w:w="1480" w:type="dxa"/>
            <w:gridSpan w:val="2"/>
            <w:vAlign w:val="center"/>
          </w:tcPr>
          <w:p w14:paraId="4382E578">
            <w:pPr>
              <w:spacing w:line="440" w:lineRule="atLeast"/>
              <w:jc w:val="center"/>
              <w:rPr>
                <w:rFonts w:hint="eastAsia" w:asciiTheme="minorEastAsia" w:hAnsiTheme="minorEastAsia" w:eastAsiaTheme="minorEastAsia"/>
                <w:szCs w:val="21"/>
              </w:rPr>
            </w:pPr>
          </w:p>
        </w:tc>
        <w:tc>
          <w:tcPr>
            <w:tcW w:w="1680" w:type="dxa"/>
            <w:gridSpan w:val="2"/>
            <w:vAlign w:val="center"/>
          </w:tcPr>
          <w:p w14:paraId="0FAA0949">
            <w:pPr>
              <w:spacing w:line="440" w:lineRule="atLeast"/>
              <w:jc w:val="center"/>
              <w:rPr>
                <w:rFonts w:hint="eastAsia" w:asciiTheme="minorEastAsia" w:hAnsiTheme="minorEastAsia" w:eastAsiaTheme="minorEastAsia"/>
                <w:szCs w:val="21"/>
              </w:rPr>
            </w:pPr>
          </w:p>
        </w:tc>
        <w:tc>
          <w:tcPr>
            <w:tcW w:w="1580" w:type="dxa"/>
            <w:gridSpan w:val="4"/>
            <w:vAlign w:val="center"/>
          </w:tcPr>
          <w:p w14:paraId="0932DD16">
            <w:pPr>
              <w:spacing w:line="440" w:lineRule="atLeast"/>
              <w:jc w:val="center"/>
              <w:rPr>
                <w:rFonts w:hint="eastAsia" w:asciiTheme="minorEastAsia" w:hAnsiTheme="minorEastAsia" w:eastAsiaTheme="minorEastAsia"/>
                <w:szCs w:val="21"/>
              </w:rPr>
            </w:pPr>
          </w:p>
        </w:tc>
        <w:tc>
          <w:tcPr>
            <w:tcW w:w="1560" w:type="dxa"/>
            <w:gridSpan w:val="2"/>
            <w:vAlign w:val="center"/>
          </w:tcPr>
          <w:p w14:paraId="7F5844DE">
            <w:pPr>
              <w:spacing w:line="440" w:lineRule="atLeast"/>
              <w:jc w:val="center"/>
              <w:rPr>
                <w:rFonts w:hint="eastAsia" w:asciiTheme="minorEastAsia" w:hAnsiTheme="minorEastAsia" w:eastAsiaTheme="minorEastAsia"/>
                <w:szCs w:val="21"/>
              </w:rPr>
            </w:pPr>
          </w:p>
        </w:tc>
        <w:tc>
          <w:tcPr>
            <w:tcW w:w="1050" w:type="dxa"/>
            <w:gridSpan w:val="2"/>
            <w:vAlign w:val="center"/>
          </w:tcPr>
          <w:p w14:paraId="7856FB78">
            <w:pPr>
              <w:spacing w:line="440" w:lineRule="atLeast"/>
              <w:jc w:val="center"/>
              <w:rPr>
                <w:rFonts w:hint="eastAsia" w:asciiTheme="minorEastAsia" w:hAnsiTheme="minorEastAsia" w:eastAsiaTheme="minorEastAsia"/>
                <w:szCs w:val="21"/>
              </w:rPr>
            </w:pPr>
          </w:p>
        </w:tc>
        <w:tc>
          <w:tcPr>
            <w:tcW w:w="1576" w:type="dxa"/>
            <w:vAlign w:val="center"/>
          </w:tcPr>
          <w:p w14:paraId="3BFA307E">
            <w:pPr>
              <w:spacing w:line="440" w:lineRule="atLeast"/>
              <w:jc w:val="center"/>
              <w:rPr>
                <w:rFonts w:hint="eastAsia" w:asciiTheme="minorEastAsia" w:hAnsiTheme="minorEastAsia" w:eastAsiaTheme="minorEastAsia"/>
                <w:szCs w:val="21"/>
              </w:rPr>
            </w:pPr>
          </w:p>
        </w:tc>
      </w:tr>
      <w:tr w14:paraId="560BCB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480" w:type="dxa"/>
            <w:gridSpan w:val="2"/>
            <w:vAlign w:val="center"/>
          </w:tcPr>
          <w:p w14:paraId="45F7129B">
            <w:pPr>
              <w:spacing w:line="440" w:lineRule="atLeast"/>
              <w:jc w:val="center"/>
              <w:rPr>
                <w:rFonts w:hint="eastAsia" w:asciiTheme="minorEastAsia" w:hAnsiTheme="minorEastAsia" w:eastAsiaTheme="minorEastAsia"/>
                <w:szCs w:val="21"/>
              </w:rPr>
            </w:pPr>
          </w:p>
        </w:tc>
        <w:tc>
          <w:tcPr>
            <w:tcW w:w="1680" w:type="dxa"/>
            <w:gridSpan w:val="2"/>
            <w:vAlign w:val="center"/>
          </w:tcPr>
          <w:p w14:paraId="3291AAE3">
            <w:pPr>
              <w:spacing w:line="440" w:lineRule="atLeast"/>
              <w:jc w:val="center"/>
              <w:rPr>
                <w:rFonts w:hint="eastAsia" w:asciiTheme="minorEastAsia" w:hAnsiTheme="minorEastAsia" w:eastAsiaTheme="minorEastAsia"/>
                <w:szCs w:val="21"/>
              </w:rPr>
            </w:pPr>
          </w:p>
        </w:tc>
        <w:tc>
          <w:tcPr>
            <w:tcW w:w="1580" w:type="dxa"/>
            <w:gridSpan w:val="4"/>
            <w:vAlign w:val="center"/>
          </w:tcPr>
          <w:p w14:paraId="1955937E">
            <w:pPr>
              <w:spacing w:line="440" w:lineRule="atLeast"/>
              <w:jc w:val="center"/>
              <w:rPr>
                <w:rFonts w:hint="eastAsia" w:asciiTheme="minorEastAsia" w:hAnsiTheme="minorEastAsia" w:eastAsiaTheme="minorEastAsia"/>
                <w:szCs w:val="21"/>
              </w:rPr>
            </w:pPr>
          </w:p>
        </w:tc>
        <w:tc>
          <w:tcPr>
            <w:tcW w:w="1560" w:type="dxa"/>
            <w:gridSpan w:val="2"/>
            <w:vAlign w:val="center"/>
          </w:tcPr>
          <w:p w14:paraId="03081820">
            <w:pPr>
              <w:spacing w:line="440" w:lineRule="atLeast"/>
              <w:jc w:val="center"/>
              <w:rPr>
                <w:rFonts w:hint="eastAsia" w:asciiTheme="minorEastAsia" w:hAnsiTheme="minorEastAsia" w:eastAsiaTheme="minorEastAsia"/>
                <w:szCs w:val="21"/>
              </w:rPr>
            </w:pPr>
          </w:p>
        </w:tc>
        <w:tc>
          <w:tcPr>
            <w:tcW w:w="1050" w:type="dxa"/>
            <w:gridSpan w:val="2"/>
            <w:vAlign w:val="center"/>
          </w:tcPr>
          <w:p w14:paraId="689244CF">
            <w:pPr>
              <w:spacing w:line="440" w:lineRule="atLeast"/>
              <w:jc w:val="center"/>
              <w:rPr>
                <w:rFonts w:hint="eastAsia" w:asciiTheme="minorEastAsia" w:hAnsiTheme="minorEastAsia" w:eastAsiaTheme="minorEastAsia"/>
                <w:szCs w:val="21"/>
              </w:rPr>
            </w:pPr>
          </w:p>
        </w:tc>
        <w:tc>
          <w:tcPr>
            <w:tcW w:w="1576" w:type="dxa"/>
            <w:vAlign w:val="center"/>
          </w:tcPr>
          <w:p w14:paraId="4E66BA74">
            <w:pPr>
              <w:spacing w:line="440" w:lineRule="atLeast"/>
              <w:jc w:val="center"/>
              <w:rPr>
                <w:rFonts w:hint="eastAsia" w:asciiTheme="minorEastAsia" w:hAnsiTheme="minorEastAsia" w:eastAsiaTheme="minorEastAsia"/>
                <w:szCs w:val="21"/>
              </w:rPr>
            </w:pPr>
          </w:p>
        </w:tc>
      </w:tr>
      <w:tr w14:paraId="2FC9F6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16" w:hRule="atLeast"/>
          <w:jc w:val="center"/>
        </w:trPr>
        <w:tc>
          <w:tcPr>
            <w:tcW w:w="1480" w:type="dxa"/>
            <w:gridSpan w:val="2"/>
            <w:vAlign w:val="center"/>
          </w:tcPr>
          <w:p w14:paraId="1D826C83">
            <w:pPr>
              <w:spacing w:line="440" w:lineRule="atLeast"/>
              <w:jc w:val="center"/>
              <w:rPr>
                <w:rFonts w:hint="eastAsia" w:asciiTheme="minorEastAsia" w:hAnsiTheme="minorEastAsia" w:eastAsiaTheme="minorEastAsia"/>
                <w:szCs w:val="21"/>
              </w:rPr>
            </w:pPr>
          </w:p>
        </w:tc>
        <w:tc>
          <w:tcPr>
            <w:tcW w:w="1680" w:type="dxa"/>
            <w:gridSpan w:val="2"/>
            <w:vAlign w:val="center"/>
          </w:tcPr>
          <w:p w14:paraId="2F89B1E3">
            <w:pPr>
              <w:spacing w:line="440" w:lineRule="atLeast"/>
              <w:jc w:val="center"/>
              <w:rPr>
                <w:rFonts w:hint="eastAsia" w:asciiTheme="minorEastAsia" w:hAnsiTheme="minorEastAsia" w:eastAsiaTheme="minorEastAsia"/>
                <w:szCs w:val="21"/>
              </w:rPr>
            </w:pPr>
          </w:p>
        </w:tc>
        <w:tc>
          <w:tcPr>
            <w:tcW w:w="1580" w:type="dxa"/>
            <w:gridSpan w:val="4"/>
            <w:vAlign w:val="center"/>
          </w:tcPr>
          <w:p w14:paraId="507A1234">
            <w:pPr>
              <w:spacing w:line="440" w:lineRule="atLeast"/>
              <w:jc w:val="center"/>
              <w:rPr>
                <w:rFonts w:hint="eastAsia" w:asciiTheme="minorEastAsia" w:hAnsiTheme="minorEastAsia" w:eastAsiaTheme="minorEastAsia"/>
                <w:szCs w:val="21"/>
              </w:rPr>
            </w:pPr>
          </w:p>
        </w:tc>
        <w:tc>
          <w:tcPr>
            <w:tcW w:w="1560" w:type="dxa"/>
            <w:gridSpan w:val="2"/>
            <w:vAlign w:val="center"/>
          </w:tcPr>
          <w:p w14:paraId="76192C54">
            <w:pPr>
              <w:spacing w:line="440" w:lineRule="atLeast"/>
              <w:jc w:val="center"/>
              <w:rPr>
                <w:rFonts w:hint="eastAsia" w:asciiTheme="minorEastAsia" w:hAnsiTheme="minorEastAsia" w:eastAsiaTheme="minorEastAsia"/>
                <w:szCs w:val="21"/>
              </w:rPr>
            </w:pPr>
          </w:p>
        </w:tc>
        <w:tc>
          <w:tcPr>
            <w:tcW w:w="1050" w:type="dxa"/>
            <w:gridSpan w:val="2"/>
            <w:vAlign w:val="center"/>
          </w:tcPr>
          <w:p w14:paraId="3EC691BF">
            <w:pPr>
              <w:spacing w:line="440" w:lineRule="atLeast"/>
              <w:jc w:val="center"/>
              <w:rPr>
                <w:rFonts w:hint="eastAsia" w:asciiTheme="minorEastAsia" w:hAnsiTheme="minorEastAsia" w:eastAsiaTheme="minorEastAsia"/>
                <w:szCs w:val="21"/>
              </w:rPr>
            </w:pPr>
          </w:p>
        </w:tc>
        <w:tc>
          <w:tcPr>
            <w:tcW w:w="1576" w:type="dxa"/>
            <w:vAlign w:val="center"/>
          </w:tcPr>
          <w:p w14:paraId="62D21058">
            <w:pPr>
              <w:spacing w:line="440" w:lineRule="atLeast"/>
              <w:jc w:val="center"/>
              <w:rPr>
                <w:rFonts w:hint="eastAsia" w:asciiTheme="minorEastAsia" w:hAnsiTheme="minorEastAsia" w:eastAsiaTheme="minorEastAsia"/>
                <w:szCs w:val="21"/>
              </w:rPr>
            </w:pPr>
          </w:p>
        </w:tc>
      </w:tr>
      <w:tr w14:paraId="6AA9A1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16" w:hRule="atLeast"/>
          <w:jc w:val="center"/>
        </w:trPr>
        <w:tc>
          <w:tcPr>
            <w:tcW w:w="1480" w:type="dxa"/>
            <w:gridSpan w:val="2"/>
            <w:vAlign w:val="center"/>
          </w:tcPr>
          <w:p w14:paraId="72029A56">
            <w:pPr>
              <w:spacing w:line="440" w:lineRule="atLeast"/>
              <w:jc w:val="center"/>
              <w:rPr>
                <w:rFonts w:hint="eastAsia" w:asciiTheme="minorEastAsia" w:hAnsiTheme="minorEastAsia" w:eastAsiaTheme="minorEastAsia"/>
                <w:szCs w:val="21"/>
              </w:rPr>
            </w:pPr>
          </w:p>
        </w:tc>
        <w:tc>
          <w:tcPr>
            <w:tcW w:w="1680" w:type="dxa"/>
            <w:gridSpan w:val="2"/>
            <w:vAlign w:val="center"/>
          </w:tcPr>
          <w:p w14:paraId="68E7CF86">
            <w:pPr>
              <w:spacing w:line="440" w:lineRule="atLeast"/>
              <w:jc w:val="center"/>
              <w:rPr>
                <w:rFonts w:hint="eastAsia" w:asciiTheme="minorEastAsia" w:hAnsiTheme="minorEastAsia" w:eastAsiaTheme="minorEastAsia"/>
                <w:szCs w:val="21"/>
              </w:rPr>
            </w:pPr>
          </w:p>
        </w:tc>
        <w:tc>
          <w:tcPr>
            <w:tcW w:w="1580" w:type="dxa"/>
            <w:gridSpan w:val="4"/>
            <w:vAlign w:val="center"/>
          </w:tcPr>
          <w:p w14:paraId="2011324E">
            <w:pPr>
              <w:spacing w:line="440" w:lineRule="atLeast"/>
              <w:jc w:val="center"/>
              <w:rPr>
                <w:rFonts w:hint="eastAsia" w:asciiTheme="minorEastAsia" w:hAnsiTheme="minorEastAsia" w:eastAsiaTheme="minorEastAsia"/>
                <w:szCs w:val="21"/>
              </w:rPr>
            </w:pPr>
          </w:p>
        </w:tc>
        <w:tc>
          <w:tcPr>
            <w:tcW w:w="1560" w:type="dxa"/>
            <w:gridSpan w:val="2"/>
            <w:vAlign w:val="center"/>
          </w:tcPr>
          <w:p w14:paraId="4EC3A005">
            <w:pPr>
              <w:spacing w:line="440" w:lineRule="atLeast"/>
              <w:jc w:val="center"/>
              <w:rPr>
                <w:rFonts w:hint="eastAsia" w:asciiTheme="minorEastAsia" w:hAnsiTheme="minorEastAsia" w:eastAsiaTheme="minorEastAsia"/>
                <w:szCs w:val="21"/>
              </w:rPr>
            </w:pPr>
          </w:p>
        </w:tc>
        <w:tc>
          <w:tcPr>
            <w:tcW w:w="1050" w:type="dxa"/>
            <w:gridSpan w:val="2"/>
            <w:vAlign w:val="center"/>
          </w:tcPr>
          <w:p w14:paraId="41DEB6CF">
            <w:pPr>
              <w:spacing w:line="440" w:lineRule="atLeast"/>
              <w:jc w:val="center"/>
              <w:rPr>
                <w:rFonts w:hint="eastAsia" w:asciiTheme="minorEastAsia" w:hAnsiTheme="minorEastAsia" w:eastAsiaTheme="minorEastAsia"/>
                <w:szCs w:val="21"/>
              </w:rPr>
            </w:pPr>
          </w:p>
        </w:tc>
        <w:tc>
          <w:tcPr>
            <w:tcW w:w="1576" w:type="dxa"/>
            <w:vAlign w:val="center"/>
          </w:tcPr>
          <w:p w14:paraId="1817F89F">
            <w:pPr>
              <w:spacing w:line="440" w:lineRule="atLeast"/>
              <w:jc w:val="center"/>
              <w:rPr>
                <w:rFonts w:hint="eastAsia" w:asciiTheme="minorEastAsia" w:hAnsiTheme="minorEastAsia" w:eastAsiaTheme="minorEastAsia"/>
                <w:szCs w:val="21"/>
              </w:rPr>
            </w:pPr>
          </w:p>
        </w:tc>
      </w:tr>
      <w:tr w14:paraId="6724D9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16" w:hRule="atLeast"/>
          <w:jc w:val="center"/>
        </w:trPr>
        <w:tc>
          <w:tcPr>
            <w:tcW w:w="1480" w:type="dxa"/>
            <w:gridSpan w:val="2"/>
            <w:vAlign w:val="center"/>
          </w:tcPr>
          <w:p w14:paraId="08B6342E">
            <w:pPr>
              <w:spacing w:line="440" w:lineRule="atLeast"/>
              <w:jc w:val="center"/>
              <w:rPr>
                <w:rFonts w:hint="eastAsia" w:asciiTheme="minorEastAsia" w:hAnsiTheme="minorEastAsia" w:eastAsiaTheme="minorEastAsia"/>
                <w:szCs w:val="21"/>
              </w:rPr>
            </w:pPr>
          </w:p>
        </w:tc>
        <w:tc>
          <w:tcPr>
            <w:tcW w:w="1680" w:type="dxa"/>
            <w:gridSpan w:val="2"/>
            <w:vAlign w:val="center"/>
          </w:tcPr>
          <w:p w14:paraId="50FC80D5">
            <w:pPr>
              <w:spacing w:line="440" w:lineRule="atLeast"/>
              <w:jc w:val="center"/>
              <w:rPr>
                <w:rFonts w:hint="eastAsia" w:asciiTheme="minorEastAsia" w:hAnsiTheme="minorEastAsia" w:eastAsiaTheme="minorEastAsia"/>
                <w:szCs w:val="21"/>
              </w:rPr>
            </w:pPr>
          </w:p>
        </w:tc>
        <w:tc>
          <w:tcPr>
            <w:tcW w:w="1580" w:type="dxa"/>
            <w:gridSpan w:val="4"/>
            <w:vAlign w:val="center"/>
          </w:tcPr>
          <w:p w14:paraId="01E74718">
            <w:pPr>
              <w:spacing w:line="440" w:lineRule="atLeast"/>
              <w:jc w:val="center"/>
              <w:rPr>
                <w:rFonts w:hint="eastAsia" w:asciiTheme="minorEastAsia" w:hAnsiTheme="minorEastAsia" w:eastAsiaTheme="minorEastAsia"/>
                <w:szCs w:val="21"/>
              </w:rPr>
            </w:pPr>
          </w:p>
        </w:tc>
        <w:tc>
          <w:tcPr>
            <w:tcW w:w="1560" w:type="dxa"/>
            <w:gridSpan w:val="2"/>
            <w:vAlign w:val="center"/>
          </w:tcPr>
          <w:p w14:paraId="209F23C9">
            <w:pPr>
              <w:spacing w:line="440" w:lineRule="atLeast"/>
              <w:jc w:val="center"/>
              <w:rPr>
                <w:rFonts w:hint="eastAsia" w:asciiTheme="minorEastAsia" w:hAnsiTheme="minorEastAsia" w:eastAsiaTheme="minorEastAsia"/>
                <w:szCs w:val="21"/>
              </w:rPr>
            </w:pPr>
          </w:p>
        </w:tc>
        <w:tc>
          <w:tcPr>
            <w:tcW w:w="1050" w:type="dxa"/>
            <w:gridSpan w:val="2"/>
            <w:vAlign w:val="center"/>
          </w:tcPr>
          <w:p w14:paraId="142C951D">
            <w:pPr>
              <w:spacing w:line="440" w:lineRule="atLeast"/>
              <w:jc w:val="center"/>
              <w:rPr>
                <w:rFonts w:hint="eastAsia" w:asciiTheme="minorEastAsia" w:hAnsiTheme="minorEastAsia" w:eastAsiaTheme="minorEastAsia"/>
                <w:szCs w:val="21"/>
              </w:rPr>
            </w:pPr>
          </w:p>
        </w:tc>
        <w:tc>
          <w:tcPr>
            <w:tcW w:w="1576" w:type="dxa"/>
            <w:vAlign w:val="center"/>
          </w:tcPr>
          <w:p w14:paraId="0D6141C5">
            <w:pPr>
              <w:spacing w:line="440" w:lineRule="atLeast"/>
              <w:jc w:val="center"/>
              <w:rPr>
                <w:rFonts w:hint="eastAsia" w:asciiTheme="minorEastAsia" w:hAnsiTheme="minorEastAsia" w:eastAsiaTheme="minorEastAsia"/>
                <w:szCs w:val="21"/>
              </w:rPr>
            </w:pPr>
          </w:p>
        </w:tc>
      </w:tr>
      <w:tr w14:paraId="35B241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16" w:hRule="atLeast"/>
          <w:jc w:val="center"/>
        </w:trPr>
        <w:tc>
          <w:tcPr>
            <w:tcW w:w="1480" w:type="dxa"/>
            <w:gridSpan w:val="2"/>
            <w:vAlign w:val="center"/>
          </w:tcPr>
          <w:p w14:paraId="0BC9AEF2">
            <w:pPr>
              <w:spacing w:line="440" w:lineRule="atLeast"/>
              <w:jc w:val="center"/>
              <w:rPr>
                <w:rFonts w:hint="eastAsia" w:asciiTheme="minorEastAsia" w:hAnsiTheme="minorEastAsia" w:eastAsiaTheme="minorEastAsia"/>
                <w:szCs w:val="21"/>
              </w:rPr>
            </w:pPr>
          </w:p>
        </w:tc>
        <w:tc>
          <w:tcPr>
            <w:tcW w:w="1680" w:type="dxa"/>
            <w:gridSpan w:val="2"/>
            <w:vAlign w:val="center"/>
          </w:tcPr>
          <w:p w14:paraId="53493CD3">
            <w:pPr>
              <w:spacing w:line="440" w:lineRule="atLeast"/>
              <w:jc w:val="center"/>
              <w:rPr>
                <w:rFonts w:hint="eastAsia" w:asciiTheme="minorEastAsia" w:hAnsiTheme="minorEastAsia" w:eastAsiaTheme="minorEastAsia"/>
                <w:szCs w:val="21"/>
              </w:rPr>
            </w:pPr>
          </w:p>
        </w:tc>
        <w:tc>
          <w:tcPr>
            <w:tcW w:w="1580" w:type="dxa"/>
            <w:gridSpan w:val="4"/>
            <w:vAlign w:val="center"/>
          </w:tcPr>
          <w:p w14:paraId="3BAF4C5C">
            <w:pPr>
              <w:spacing w:line="440" w:lineRule="atLeast"/>
              <w:jc w:val="center"/>
              <w:rPr>
                <w:rFonts w:hint="eastAsia" w:asciiTheme="minorEastAsia" w:hAnsiTheme="minorEastAsia" w:eastAsiaTheme="minorEastAsia"/>
                <w:szCs w:val="21"/>
              </w:rPr>
            </w:pPr>
          </w:p>
        </w:tc>
        <w:tc>
          <w:tcPr>
            <w:tcW w:w="1560" w:type="dxa"/>
            <w:gridSpan w:val="2"/>
            <w:vAlign w:val="center"/>
          </w:tcPr>
          <w:p w14:paraId="4F1139DE">
            <w:pPr>
              <w:spacing w:line="440" w:lineRule="atLeast"/>
              <w:jc w:val="center"/>
              <w:rPr>
                <w:rFonts w:hint="eastAsia" w:asciiTheme="minorEastAsia" w:hAnsiTheme="minorEastAsia" w:eastAsiaTheme="minorEastAsia"/>
                <w:szCs w:val="21"/>
              </w:rPr>
            </w:pPr>
          </w:p>
        </w:tc>
        <w:tc>
          <w:tcPr>
            <w:tcW w:w="1050" w:type="dxa"/>
            <w:gridSpan w:val="2"/>
            <w:vAlign w:val="center"/>
          </w:tcPr>
          <w:p w14:paraId="62E5C852">
            <w:pPr>
              <w:spacing w:line="440" w:lineRule="atLeast"/>
              <w:jc w:val="center"/>
              <w:rPr>
                <w:rFonts w:hint="eastAsia" w:asciiTheme="minorEastAsia" w:hAnsiTheme="minorEastAsia" w:eastAsiaTheme="minorEastAsia"/>
                <w:szCs w:val="21"/>
              </w:rPr>
            </w:pPr>
          </w:p>
        </w:tc>
        <w:tc>
          <w:tcPr>
            <w:tcW w:w="1576" w:type="dxa"/>
            <w:vAlign w:val="center"/>
          </w:tcPr>
          <w:p w14:paraId="2442E75B">
            <w:pPr>
              <w:spacing w:line="440" w:lineRule="atLeast"/>
              <w:jc w:val="center"/>
              <w:rPr>
                <w:rFonts w:hint="eastAsia" w:asciiTheme="minorEastAsia" w:hAnsiTheme="minorEastAsia" w:eastAsiaTheme="minorEastAsia"/>
                <w:szCs w:val="21"/>
              </w:rPr>
            </w:pPr>
          </w:p>
        </w:tc>
      </w:tr>
      <w:tr w14:paraId="1819CE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16" w:hRule="atLeast"/>
          <w:jc w:val="center"/>
        </w:trPr>
        <w:tc>
          <w:tcPr>
            <w:tcW w:w="1480" w:type="dxa"/>
            <w:gridSpan w:val="2"/>
            <w:vAlign w:val="center"/>
          </w:tcPr>
          <w:p w14:paraId="128056D5">
            <w:pPr>
              <w:spacing w:line="440" w:lineRule="atLeast"/>
              <w:jc w:val="center"/>
              <w:rPr>
                <w:rFonts w:hint="eastAsia" w:asciiTheme="minorEastAsia" w:hAnsiTheme="minorEastAsia" w:eastAsiaTheme="minorEastAsia"/>
                <w:szCs w:val="21"/>
              </w:rPr>
            </w:pPr>
          </w:p>
        </w:tc>
        <w:tc>
          <w:tcPr>
            <w:tcW w:w="1680" w:type="dxa"/>
            <w:gridSpan w:val="2"/>
            <w:vAlign w:val="center"/>
          </w:tcPr>
          <w:p w14:paraId="608FE8C4">
            <w:pPr>
              <w:spacing w:line="440" w:lineRule="atLeast"/>
              <w:jc w:val="center"/>
              <w:rPr>
                <w:rFonts w:hint="eastAsia" w:asciiTheme="minorEastAsia" w:hAnsiTheme="minorEastAsia" w:eastAsiaTheme="minorEastAsia"/>
                <w:szCs w:val="21"/>
              </w:rPr>
            </w:pPr>
          </w:p>
        </w:tc>
        <w:tc>
          <w:tcPr>
            <w:tcW w:w="1580" w:type="dxa"/>
            <w:gridSpan w:val="4"/>
            <w:vAlign w:val="center"/>
          </w:tcPr>
          <w:p w14:paraId="0BE19AAC">
            <w:pPr>
              <w:spacing w:line="440" w:lineRule="atLeast"/>
              <w:jc w:val="center"/>
              <w:rPr>
                <w:rFonts w:hint="eastAsia" w:asciiTheme="minorEastAsia" w:hAnsiTheme="minorEastAsia" w:eastAsiaTheme="minorEastAsia"/>
                <w:szCs w:val="21"/>
              </w:rPr>
            </w:pPr>
          </w:p>
        </w:tc>
        <w:tc>
          <w:tcPr>
            <w:tcW w:w="1560" w:type="dxa"/>
            <w:gridSpan w:val="2"/>
            <w:vAlign w:val="center"/>
          </w:tcPr>
          <w:p w14:paraId="68F76870">
            <w:pPr>
              <w:spacing w:line="440" w:lineRule="atLeast"/>
              <w:jc w:val="center"/>
              <w:rPr>
                <w:rFonts w:hint="eastAsia" w:asciiTheme="minorEastAsia" w:hAnsiTheme="minorEastAsia" w:eastAsiaTheme="minorEastAsia"/>
                <w:szCs w:val="21"/>
              </w:rPr>
            </w:pPr>
          </w:p>
        </w:tc>
        <w:tc>
          <w:tcPr>
            <w:tcW w:w="1050" w:type="dxa"/>
            <w:gridSpan w:val="2"/>
            <w:vAlign w:val="center"/>
          </w:tcPr>
          <w:p w14:paraId="766E741D">
            <w:pPr>
              <w:spacing w:line="440" w:lineRule="atLeast"/>
              <w:jc w:val="center"/>
              <w:rPr>
                <w:rFonts w:hint="eastAsia" w:asciiTheme="minorEastAsia" w:hAnsiTheme="minorEastAsia" w:eastAsiaTheme="minorEastAsia"/>
                <w:szCs w:val="21"/>
              </w:rPr>
            </w:pPr>
          </w:p>
        </w:tc>
        <w:tc>
          <w:tcPr>
            <w:tcW w:w="1576" w:type="dxa"/>
            <w:vAlign w:val="center"/>
          </w:tcPr>
          <w:p w14:paraId="06697E2A">
            <w:pPr>
              <w:spacing w:line="440" w:lineRule="atLeast"/>
              <w:jc w:val="center"/>
              <w:rPr>
                <w:rFonts w:hint="eastAsia" w:asciiTheme="minorEastAsia" w:hAnsiTheme="minorEastAsia" w:eastAsiaTheme="minorEastAsia"/>
                <w:szCs w:val="21"/>
              </w:rPr>
            </w:pPr>
          </w:p>
        </w:tc>
      </w:tr>
    </w:tbl>
    <w:p w14:paraId="3101A1EF">
      <w:pPr>
        <w:pStyle w:val="50"/>
        <w:spacing w:line="440" w:lineRule="atLeast"/>
        <w:ind w:left="99" w:leftChars="47"/>
        <w:rPr>
          <w:rFonts w:hint="eastAsia" w:cs="宋体" w:asciiTheme="minorEastAsia" w:hAnsiTheme="minorEastAsia" w:eastAsiaTheme="minorEastAsia"/>
        </w:rPr>
      </w:pPr>
      <w:r>
        <w:rPr>
          <w:rFonts w:asciiTheme="minorEastAsia" w:hAnsiTheme="minorEastAsia" w:eastAsiaTheme="minorEastAsia"/>
          <w:sz w:val="21"/>
          <w:szCs w:val="21"/>
        </w:rPr>
        <w:t>注：</w:t>
      </w:r>
      <w:r>
        <w:rPr>
          <w:rFonts w:hint="eastAsia" w:asciiTheme="minorEastAsia" w:hAnsiTheme="minorEastAsia" w:eastAsiaTheme="minorEastAsia"/>
          <w:sz w:val="21"/>
          <w:szCs w:val="21"/>
        </w:rPr>
        <w:t>供应商需提供项目经理的资格证明文件，包括但不限于身份证、执业资格证书、安全生产考核合格证书（B 本）、职称证书（如有）、社保证明或劳动合同等证明资料。</w:t>
      </w:r>
      <w:r>
        <w:rPr>
          <w:rFonts w:cs="Arial" w:asciiTheme="minorEastAsia" w:hAnsiTheme="minorEastAsia" w:eastAsiaTheme="minorEastAsia"/>
          <w:bCs/>
        </w:rPr>
        <w:br w:type="page"/>
      </w:r>
    </w:p>
    <w:p w14:paraId="26AE1AED">
      <w:pPr>
        <w:pStyle w:val="4"/>
        <w:widowControl/>
        <w:spacing w:line="360" w:lineRule="auto"/>
        <w:jc w:val="left"/>
        <w:rPr>
          <w:rFonts w:hint="eastAsia" w:cs="宋体" w:asciiTheme="minorEastAsia" w:hAnsiTheme="minorEastAsia" w:eastAsiaTheme="minorEastAsia"/>
          <w:b w:val="0"/>
          <w:bCs/>
          <w:sz w:val="28"/>
          <w:szCs w:val="28"/>
        </w:rPr>
      </w:pPr>
      <w:r>
        <w:rPr>
          <w:rFonts w:hint="eastAsia" w:cs="宋体" w:asciiTheme="minorEastAsia" w:hAnsiTheme="minorEastAsia" w:eastAsiaTheme="minorEastAsia"/>
          <w:b w:val="0"/>
          <w:bCs/>
          <w:sz w:val="24"/>
          <w:szCs w:val="24"/>
        </w:rPr>
        <w:t>13  项目技术负责人简历表</w:t>
      </w:r>
      <w:r>
        <w:rPr>
          <w:rFonts w:hint="eastAsia" w:cs="宋体" w:asciiTheme="minorEastAsia" w:hAnsiTheme="minorEastAsia" w:eastAsiaTheme="minorEastAsia"/>
          <w:b w:val="0"/>
          <w:sz w:val="24"/>
          <w:szCs w:val="24"/>
        </w:rPr>
        <w:t>（非实质性格式）</w:t>
      </w:r>
    </w:p>
    <w:p w14:paraId="004BCC6B">
      <w:pPr>
        <w:widowControl/>
        <w:jc w:val="center"/>
        <w:rPr>
          <w:rFonts w:hint="eastAsia" w:cs="Arial" w:asciiTheme="minorEastAsia" w:hAnsiTheme="minorEastAsia" w:eastAsiaTheme="minorEastAsia"/>
          <w:b/>
          <w:sz w:val="32"/>
          <w:szCs w:val="32"/>
        </w:rPr>
      </w:pPr>
      <w:r>
        <w:rPr>
          <w:rFonts w:hint="eastAsia" w:cs="Arial" w:asciiTheme="minorEastAsia" w:hAnsiTheme="minorEastAsia" w:eastAsiaTheme="minorEastAsia"/>
          <w:b/>
          <w:sz w:val="32"/>
          <w:szCs w:val="32"/>
        </w:rPr>
        <w:t>（三）项目技术负责人简历表</w:t>
      </w:r>
    </w:p>
    <w:p w14:paraId="76EDE1EF">
      <w:pPr>
        <w:spacing w:line="440" w:lineRule="atLeast"/>
        <w:rPr>
          <w:rFonts w:hint="eastAsia" w:asciiTheme="minorEastAsia" w:hAnsiTheme="minorEastAsia" w:eastAsiaTheme="minorEastAsia"/>
          <w:szCs w:val="21"/>
        </w:rPr>
      </w:pPr>
      <w:r>
        <w:rPr>
          <w:rFonts w:asciiTheme="minorEastAsia" w:hAnsiTheme="minorEastAsia" w:eastAsiaTheme="minorEastAsia"/>
          <w:color w:val="000000"/>
          <w:szCs w:val="21"/>
        </w:rPr>
        <w:t>项目编号：______________________</w:t>
      </w:r>
      <w:r>
        <w:rPr>
          <w:rFonts w:hint="eastAsia" w:asciiTheme="minorEastAsia" w:hAnsiTheme="minorEastAsia" w:eastAsiaTheme="minorEastAsia"/>
          <w:color w:val="000000"/>
          <w:szCs w:val="21"/>
        </w:rPr>
        <w:t xml:space="preserve">     </w:t>
      </w:r>
      <w:r>
        <w:rPr>
          <w:rFonts w:asciiTheme="minorEastAsia" w:hAnsiTheme="minorEastAsia" w:eastAsiaTheme="minorEastAsia"/>
          <w:color w:val="000000"/>
          <w:szCs w:val="21"/>
        </w:rPr>
        <w:t>项目名称：________________________</w:t>
      </w:r>
    </w:p>
    <w:tbl>
      <w:tblPr>
        <w:tblStyle w:val="8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745"/>
        <w:gridCol w:w="935"/>
        <w:gridCol w:w="745"/>
        <w:gridCol w:w="185"/>
        <w:gridCol w:w="840"/>
        <w:gridCol w:w="540"/>
        <w:gridCol w:w="15"/>
        <w:gridCol w:w="1485"/>
        <w:gridCol w:w="75"/>
        <w:gridCol w:w="825"/>
        <w:gridCol w:w="225"/>
        <w:gridCol w:w="315"/>
        <w:gridCol w:w="1512"/>
      </w:tblGrid>
      <w:tr w14:paraId="4344C7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735" w:type="dxa"/>
            <w:vAlign w:val="center"/>
          </w:tcPr>
          <w:p w14:paraId="1F018F74">
            <w:pPr>
              <w:spacing w:line="440" w:lineRule="atLeast"/>
              <w:jc w:val="center"/>
              <w:rPr>
                <w:rFonts w:hint="eastAsia" w:asciiTheme="minorEastAsia" w:hAnsiTheme="minorEastAsia" w:eastAsiaTheme="minorEastAsia"/>
                <w:szCs w:val="21"/>
              </w:rPr>
            </w:pPr>
            <w:r>
              <w:rPr>
                <w:rFonts w:asciiTheme="minorEastAsia" w:hAnsiTheme="minorEastAsia" w:eastAsiaTheme="minorEastAsia"/>
                <w:szCs w:val="21"/>
              </w:rPr>
              <w:t>姓名</w:t>
            </w:r>
          </w:p>
        </w:tc>
        <w:tc>
          <w:tcPr>
            <w:tcW w:w="2610" w:type="dxa"/>
            <w:gridSpan w:val="4"/>
            <w:vAlign w:val="center"/>
          </w:tcPr>
          <w:p w14:paraId="19E92026">
            <w:pPr>
              <w:spacing w:line="440" w:lineRule="atLeast"/>
              <w:jc w:val="center"/>
              <w:rPr>
                <w:rFonts w:hint="eastAsia" w:asciiTheme="minorEastAsia" w:hAnsiTheme="minorEastAsia" w:eastAsiaTheme="minorEastAsia"/>
                <w:szCs w:val="21"/>
              </w:rPr>
            </w:pPr>
          </w:p>
        </w:tc>
        <w:tc>
          <w:tcPr>
            <w:tcW w:w="840" w:type="dxa"/>
            <w:vAlign w:val="center"/>
          </w:tcPr>
          <w:p w14:paraId="1F82FE77">
            <w:pPr>
              <w:spacing w:line="440" w:lineRule="atLeast"/>
              <w:jc w:val="center"/>
              <w:rPr>
                <w:rFonts w:hint="eastAsia" w:asciiTheme="minorEastAsia" w:hAnsiTheme="minorEastAsia" w:eastAsiaTheme="minorEastAsia"/>
                <w:szCs w:val="21"/>
              </w:rPr>
            </w:pPr>
            <w:r>
              <w:rPr>
                <w:rFonts w:asciiTheme="minorEastAsia" w:hAnsiTheme="minorEastAsia" w:eastAsiaTheme="minorEastAsia"/>
                <w:szCs w:val="21"/>
              </w:rPr>
              <w:t>性别</w:t>
            </w:r>
          </w:p>
        </w:tc>
        <w:tc>
          <w:tcPr>
            <w:tcW w:w="2040" w:type="dxa"/>
            <w:gridSpan w:val="3"/>
            <w:vAlign w:val="center"/>
          </w:tcPr>
          <w:p w14:paraId="7F68D898">
            <w:pPr>
              <w:spacing w:line="440" w:lineRule="atLeast"/>
              <w:jc w:val="center"/>
              <w:rPr>
                <w:rFonts w:hint="eastAsia" w:asciiTheme="minorEastAsia" w:hAnsiTheme="minorEastAsia" w:eastAsiaTheme="minorEastAsia"/>
                <w:szCs w:val="21"/>
              </w:rPr>
            </w:pPr>
          </w:p>
        </w:tc>
        <w:tc>
          <w:tcPr>
            <w:tcW w:w="900" w:type="dxa"/>
            <w:gridSpan w:val="2"/>
            <w:vAlign w:val="center"/>
          </w:tcPr>
          <w:p w14:paraId="744A365A">
            <w:pPr>
              <w:spacing w:line="440" w:lineRule="atLeast"/>
              <w:jc w:val="center"/>
              <w:rPr>
                <w:rFonts w:hint="eastAsia" w:asciiTheme="minorEastAsia" w:hAnsiTheme="minorEastAsia" w:eastAsiaTheme="minorEastAsia"/>
                <w:szCs w:val="21"/>
              </w:rPr>
            </w:pPr>
            <w:r>
              <w:rPr>
                <w:rFonts w:asciiTheme="minorEastAsia" w:hAnsiTheme="minorEastAsia" w:eastAsiaTheme="minorEastAsia"/>
                <w:szCs w:val="21"/>
              </w:rPr>
              <w:t>年龄</w:t>
            </w:r>
          </w:p>
        </w:tc>
        <w:tc>
          <w:tcPr>
            <w:tcW w:w="2052" w:type="dxa"/>
            <w:gridSpan w:val="3"/>
            <w:vAlign w:val="center"/>
          </w:tcPr>
          <w:p w14:paraId="5E1413B4">
            <w:pPr>
              <w:spacing w:line="440" w:lineRule="atLeast"/>
              <w:jc w:val="center"/>
              <w:rPr>
                <w:rFonts w:hint="eastAsia" w:asciiTheme="minorEastAsia" w:hAnsiTheme="minorEastAsia" w:eastAsiaTheme="minorEastAsia"/>
                <w:szCs w:val="21"/>
              </w:rPr>
            </w:pPr>
          </w:p>
        </w:tc>
      </w:tr>
      <w:tr w14:paraId="59D7A9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735" w:type="dxa"/>
            <w:vAlign w:val="center"/>
          </w:tcPr>
          <w:p w14:paraId="40AEA3D4">
            <w:pPr>
              <w:spacing w:line="440" w:lineRule="atLeast"/>
              <w:jc w:val="center"/>
              <w:rPr>
                <w:rFonts w:hint="eastAsia" w:asciiTheme="minorEastAsia" w:hAnsiTheme="minorEastAsia" w:eastAsiaTheme="minorEastAsia"/>
                <w:szCs w:val="21"/>
              </w:rPr>
            </w:pPr>
            <w:r>
              <w:rPr>
                <w:rFonts w:asciiTheme="minorEastAsia" w:hAnsiTheme="minorEastAsia" w:eastAsiaTheme="minorEastAsia"/>
                <w:szCs w:val="21"/>
              </w:rPr>
              <w:t>职务</w:t>
            </w:r>
          </w:p>
        </w:tc>
        <w:tc>
          <w:tcPr>
            <w:tcW w:w="2610" w:type="dxa"/>
            <w:gridSpan w:val="4"/>
            <w:vAlign w:val="center"/>
          </w:tcPr>
          <w:p w14:paraId="06CFC885">
            <w:pPr>
              <w:spacing w:line="440" w:lineRule="atLeast"/>
              <w:jc w:val="center"/>
              <w:rPr>
                <w:rFonts w:hint="eastAsia" w:asciiTheme="minorEastAsia" w:hAnsiTheme="minorEastAsia" w:eastAsiaTheme="minorEastAsia"/>
                <w:szCs w:val="21"/>
              </w:rPr>
            </w:pPr>
          </w:p>
        </w:tc>
        <w:tc>
          <w:tcPr>
            <w:tcW w:w="840" w:type="dxa"/>
            <w:vAlign w:val="center"/>
          </w:tcPr>
          <w:p w14:paraId="6C4C5B40">
            <w:pPr>
              <w:spacing w:line="440" w:lineRule="atLeast"/>
              <w:jc w:val="center"/>
              <w:rPr>
                <w:rFonts w:hint="eastAsia" w:asciiTheme="minorEastAsia" w:hAnsiTheme="minorEastAsia" w:eastAsiaTheme="minorEastAsia"/>
                <w:szCs w:val="21"/>
              </w:rPr>
            </w:pPr>
            <w:r>
              <w:rPr>
                <w:rFonts w:asciiTheme="minorEastAsia" w:hAnsiTheme="minorEastAsia" w:eastAsiaTheme="minorEastAsia"/>
                <w:szCs w:val="21"/>
              </w:rPr>
              <w:t>职称</w:t>
            </w:r>
          </w:p>
        </w:tc>
        <w:tc>
          <w:tcPr>
            <w:tcW w:w="2040" w:type="dxa"/>
            <w:gridSpan w:val="3"/>
            <w:vAlign w:val="center"/>
          </w:tcPr>
          <w:p w14:paraId="48558449">
            <w:pPr>
              <w:spacing w:line="440" w:lineRule="atLeast"/>
              <w:jc w:val="center"/>
              <w:rPr>
                <w:rFonts w:hint="eastAsia" w:asciiTheme="minorEastAsia" w:hAnsiTheme="minorEastAsia" w:eastAsiaTheme="minorEastAsia"/>
                <w:szCs w:val="21"/>
              </w:rPr>
            </w:pPr>
          </w:p>
        </w:tc>
        <w:tc>
          <w:tcPr>
            <w:tcW w:w="900" w:type="dxa"/>
            <w:gridSpan w:val="2"/>
            <w:vAlign w:val="center"/>
          </w:tcPr>
          <w:p w14:paraId="13C0BCDD">
            <w:pPr>
              <w:spacing w:line="440" w:lineRule="atLeast"/>
              <w:jc w:val="center"/>
              <w:rPr>
                <w:rFonts w:hint="eastAsia" w:asciiTheme="minorEastAsia" w:hAnsiTheme="minorEastAsia" w:eastAsiaTheme="minorEastAsia"/>
                <w:szCs w:val="21"/>
              </w:rPr>
            </w:pPr>
            <w:r>
              <w:rPr>
                <w:rFonts w:asciiTheme="minorEastAsia" w:hAnsiTheme="minorEastAsia" w:eastAsiaTheme="minorEastAsia"/>
                <w:szCs w:val="21"/>
              </w:rPr>
              <w:t>学历</w:t>
            </w:r>
          </w:p>
        </w:tc>
        <w:tc>
          <w:tcPr>
            <w:tcW w:w="2052" w:type="dxa"/>
            <w:gridSpan w:val="3"/>
            <w:vAlign w:val="center"/>
          </w:tcPr>
          <w:p w14:paraId="641A23AE">
            <w:pPr>
              <w:spacing w:line="440" w:lineRule="atLeast"/>
              <w:jc w:val="center"/>
              <w:rPr>
                <w:rFonts w:hint="eastAsia" w:asciiTheme="minorEastAsia" w:hAnsiTheme="minorEastAsia" w:eastAsiaTheme="minorEastAsia"/>
                <w:szCs w:val="21"/>
              </w:rPr>
            </w:pPr>
          </w:p>
        </w:tc>
      </w:tr>
      <w:tr w14:paraId="0044AC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2415" w:type="dxa"/>
            <w:gridSpan w:val="3"/>
            <w:vAlign w:val="center"/>
          </w:tcPr>
          <w:p w14:paraId="41868F58">
            <w:pPr>
              <w:spacing w:line="440" w:lineRule="atLeast"/>
              <w:jc w:val="center"/>
              <w:rPr>
                <w:rFonts w:hint="eastAsia" w:asciiTheme="minorEastAsia" w:hAnsiTheme="minorEastAsia" w:eastAsiaTheme="minorEastAsia"/>
                <w:szCs w:val="21"/>
              </w:rPr>
            </w:pPr>
            <w:r>
              <w:rPr>
                <w:rFonts w:asciiTheme="minorEastAsia" w:hAnsiTheme="minorEastAsia" w:eastAsiaTheme="minorEastAsia"/>
                <w:szCs w:val="21"/>
              </w:rPr>
              <w:t>参加工作时间</w:t>
            </w:r>
          </w:p>
        </w:tc>
        <w:tc>
          <w:tcPr>
            <w:tcW w:w="2310" w:type="dxa"/>
            <w:gridSpan w:val="4"/>
            <w:vAlign w:val="center"/>
          </w:tcPr>
          <w:p w14:paraId="6235E86D">
            <w:pPr>
              <w:spacing w:line="440" w:lineRule="atLeast"/>
              <w:jc w:val="center"/>
              <w:rPr>
                <w:rFonts w:hint="eastAsia" w:asciiTheme="minorEastAsia" w:hAnsiTheme="minorEastAsia" w:eastAsiaTheme="minorEastAsia"/>
                <w:szCs w:val="21"/>
              </w:rPr>
            </w:pPr>
          </w:p>
        </w:tc>
        <w:tc>
          <w:tcPr>
            <w:tcW w:w="2625" w:type="dxa"/>
            <w:gridSpan w:val="5"/>
            <w:vAlign w:val="center"/>
          </w:tcPr>
          <w:p w14:paraId="4922860C">
            <w:pPr>
              <w:spacing w:line="440" w:lineRule="atLeast"/>
              <w:jc w:val="center"/>
              <w:rPr>
                <w:rFonts w:hint="eastAsia" w:asciiTheme="minorEastAsia" w:hAnsiTheme="minorEastAsia" w:eastAsiaTheme="minorEastAsia"/>
                <w:szCs w:val="21"/>
              </w:rPr>
            </w:pPr>
            <w:r>
              <w:rPr>
                <w:rFonts w:asciiTheme="minorEastAsia" w:hAnsiTheme="minorEastAsia" w:eastAsiaTheme="minorEastAsia"/>
                <w:szCs w:val="21"/>
              </w:rPr>
              <w:t>担任技术负责人年限</w:t>
            </w:r>
          </w:p>
        </w:tc>
        <w:tc>
          <w:tcPr>
            <w:tcW w:w="1827" w:type="dxa"/>
            <w:gridSpan w:val="2"/>
            <w:vAlign w:val="center"/>
          </w:tcPr>
          <w:p w14:paraId="4C7D5C24">
            <w:pPr>
              <w:spacing w:line="440" w:lineRule="atLeast"/>
              <w:jc w:val="center"/>
              <w:rPr>
                <w:rFonts w:hint="eastAsia" w:asciiTheme="minorEastAsia" w:hAnsiTheme="minorEastAsia" w:eastAsiaTheme="minorEastAsia"/>
                <w:szCs w:val="21"/>
              </w:rPr>
            </w:pPr>
          </w:p>
        </w:tc>
      </w:tr>
      <w:tr w14:paraId="6609EE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0" w:hRule="atLeast"/>
          <w:jc w:val="center"/>
        </w:trPr>
        <w:tc>
          <w:tcPr>
            <w:tcW w:w="9177" w:type="dxa"/>
            <w:gridSpan w:val="14"/>
            <w:vAlign w:val="center"/>
          </w:tcPr>
          <w:p w14:paraId="659A2853">
            <w:pPr>
              <w:spacing w:line="440" w:lineRule="atLeast"/>
              <w:jc w:val="center"/>
              <w:rPr>
                <w:rFonts w:hint="eastAsia" w:asciiTheme="minorEastAsia" w:hAnsiTheme="minorEastAsia" w:eastAsiaTheme="minorEastAsia"/>
                <w:szCs w:val="21"/>
              </w:rPr>
            </w:pPr>
            <w:r>
              <w:rPr>
                <w:rFonts w:asciiTheme="minorEastAsia" w:hAnsiTheme="minorEastAsia" w:eastAsiaTheme="minorEastAsia"/>
                <w:szCs w:val="21"/>
              </w:rPr>
              <w:t>在建和已完工程项目情况</w:t>
            </w:r>
          </w:p>
        </w:tc>
      </w:tr>
      <w:tr w14:paraId="34A78D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480" w:type="dxa"/>
            <w:gridSpan w:val="2"/>
            <w:vAlign w:val="center"/>
          </w:tcPr>
          <w:p w14:paraId="25FFCCD6">
            <w:pPr>
              <w:spacing w:line="440" w:lineRule="atLeast"/>
              <w:jc w:val="center"/>
              <w:rPr>
                <w:rFonts w:hint="eastAsia" w:asciiTheme="minorEastAsia" w:hAnsiTheme="minorEastAsia" w:eastAsiaTheme="minorEastAsia"/>
                <w:szCs w:val="21"/>
              </w:rPr>
            </w:pPr>
            <w:r>
              <w:rPr>
                <w:rFonts w:asciiTheme="minorEastAsia" w:hAnsiTheme="minorEastAsia" w:eastAsiaTheme="minorEastAsia"/>
                <w:szCs w:val="21"/>
              </w:rPr>
              <w:t>建设单位</w:t>
            </w:r>
          </w:p>
        </w:tc>
        <w:tc>
          <w:tcPr>
            <w:tcW w:w="1680" w:type="dxa"/>
            <w:gridSpan w:val="2"/>
            <w:vAlign w:val="center"/>
          </w:tcPr>
          <w:p w14:paraId="6161F778">
            <w:pPr>
              <w:spacing w:line="440" w:lineRule="atLeast"/>
              <w:jc w:val="center"/>
              <w:rPr>
                <w:rFonts w:hint="eastAsia" w:asciiTheme="minorEastAsia" w:hAnsiTheme="minorEastAsia" w:eastAsiaTheme="minorEastAsia"/>
                <w:szCs w:val="21"/>
              </w:rPr>
            </w:pPr>
            <w:r>
              <w:rPr>
                <w:rFonts w:asciiTheme="minorEastAsia" w:hAnsiTheme="minorEastAsia" w:eastAsiaTheme="minorEastAsia"/>
                <w:szCs w:val="21"/>
              </w:rPr>
              <w:t>项目名称</w:t>
            </w:r>
          </w:p>
        </w:tc>
        <w:tc>
          <w:tcPr>
            <w:tcW w:w="1580" w:type="dxa"/>
            <w:gridSpan w:val="4"/>
            <w:vAlign w:val="center"/>
          </w:tcPr>
          <w:p w14:paraId="065FAC9C">
            <w:pPr>
              <w:spacing w:line="440" w:lineRule="atLeast"/>
              <w:jc w:val="center"/>
              <w:rPr>
                <w:rFonts w:hint="eastAsia" w:asciiTheme="minorEastAsia" w:hAnsiTheme="minorEastAsia" w:eastAsiaTheme="minorEastAsia"/>
                <w:szCs w:val="21"/>
              </w:rPr>
            </w:pPr>
            <w:r>
              <w:rPr>
                <w:rFonts w:asciiTheme="minorEastAsia" w:hAnsiTheme="minorEastAsia" w:eastAsiaTheme="minorEastAsia"/>
                <w:szCs w:val="21"/>
              </w:rPr>
              <w:t>建设规模</w:t>
            </w:r>
          </w:p>
        </w:tc>
        <w:tc>
          <w:tcPr>
            <w:tcW w:w="1560" w:type="dxa"/>
            <w:gridSpan w:val="2"/>
            <w:vAlign w:val="center"/>
          </w:tcPr>
          <w:p w14:paraId="1F6D935F">
            <w:pPr>
              <w:spacing w:line="440" w:lineRule="atLeast"/>
              <w:jc w:val="center"/>
              <w:rPr>
                <w:rFonts w:hint="eastAsia" w:asciiTheme="minorEastAsia" w:hAnsiTheme="minorEastAsia" w:eastAsiaTheme="minorEastAsia"/>
                <w:szCs w:val="21"/>
              </w:rPr>
            </w:pPr>
            <w:r>
              <w:rPr>
                <w:rFonts w:asciiTheme="minorEastAsia" w:hAnsiTheme="minorEastAsia" w:eastAsiaTheme="minorEastAsia"/>
                <w:szCs w:val="21"/>
              </w:rPr>
              <w:t>开、竣工</w:t>
            </w:r>
          </w:p>
          <w:p w14:paraId="49BB6DEA">
            <w:pPr>
              <w:spacing w:line="440" w:lineRule="atLeast"/>
              <w:jc w:val="center"/>
              <w:rPr>
                <w:rFonts w:hint="eastAsia" w:asciiTheme="minorEastAsia" w:hAnsiTheme="minorEastAsia" w:eastAsiaTheme="minorEastAsia"/>
                <w:szCs w:val="21"/>
              </w:rPr>
            </w:pPr>
            <w:r>
              <w:rPr>
                <w:rFonts w:asciiTheme="minorEastAsia" w:hAnsiTheme="minorEastAsia" w:eastAsiaTheme="minorEastAsia"/>
                <w:szCs w:val="21"/>
              </w:rPr>
              <w:t>日期</w:t>
            </w:r>
          </w:p>
        </w:tc>
        <w:tc>
          <w:tcPr>
            <w:tcW w:w="1365" w:type="dxa"/>
            <w:gridSpan w:val="3"/>
            <w:vAlign w:val="center"/>
          </w:tcPr>
          <w:p w14:paraId="36749202">
            <w:pPr>
              <w:spacing w:line="440" w:lineRule="atLeast"/>
              <w:jc w:val="center"/>
              <w:rPr>
                <w:rFonts w:hint="eastAsia" w:asciiTheme="minorEastAsia" w:hAnsiTheme="minorEastAsia" w:eastAsiaTheme="minorEastAsia"/>
                <w:szCs w:val="21"/>
              </w:rPr>
            </w:pPr>
            <w:r>
              <w:rPr>
                <w:rFonts w:asciiTheme="minorEastAsia" w:hAnsiTheme="minorEastAsia" w:eastAsiaTheme="minorEastAsia"/>
                <w:szCs w:val="21"/>
              </w:rPr>
              <w:t>在建或</w:t>
            </w:r>
          </w:p>
          <w:p w14:paraId="31123510">
            <w:pPr>
              <w:spacing w:line="440" w:lineRule="atLeast"/>
              <w:jc w:val="center"/>
              <w:rPr>
                <w:rFonts w:hint="eastAsia" w:asciiTheme="minorEastAsia" w:hAnsiTheme="minorEastAsia" w:eastAsiaTheme="minorEastAsia"/>
                <w:szCs w:val="21"/>
              </w:rPr>
            </w:pPr>
            <w:r>
              <w:rPr>
                <w:rFonts w:asciiTheme="minorEastAsia" w:hAnsiTheme="minorEastAsia" w:eastAsiaTheme="minorEastAsia"/>
                <w:szCs w:val="21"/>
              </w:rPr>
              <w:t>已 完</w:t>
            </w:r>
          </w:p>
        </w:tc>
        <w:tc>
          <w:tcPr>
            <w:tcW w:w="1512" w:type="dxa"/>
            <w:vAlign w:val="center"/>
          </w:tcPr>
          <w:p w14:paraId="228A7497">
            <w:pPr>
              <w:spacing w:line="440" w:lineRule="atLeast"/>
              <w:jc w:val="center"/>
              <w:rPr>
                <w:rFonts w:hint="eastAsia" w:asciiTheme="minorEastAsia" w:hAnsiTheme="minorEastAsia" w:eastAsiaTheme="minorEastAsia"/>
                <w:szCs w:val="21"/>
              </w:rPr>
            </w:pPr>
            <w:r>
              <w:rPr>
                <w:rFonts w:asciiTheme="minorEastAsia" w:hAnsiTheme="minorEastAsia" w:eastAsiaTheme="minorEastAsia"/>
                <w:szCs w:val="21"/>
              </w:rPr>
              <w:t>工程质量</w:t>
            </w:r>
          </w:p>
        </w:tc>
      </w:tr>
      <w:tr w14:paraId="62C60C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480" w:type="dxa"/>
            <w:gridSpan w:val="2"/>
            <w:vAlign w:val="center"/>
          </w:tcPr>
          <w:p w14:paraId="1ADF429A">
            <w:pPr>
              <w:spacing w:line="440" w:lineRule="atLeast"/>
              <w:jc w:val="center"/>
              <w:rPr>
                <w:rFonts w:hint="eastAsia" w:asciiTheme="minorEastAsia" w:hAnsiTheme="minorEastAsia" w:eastAsiaTheme="minorEastAsia"/>
                <w:szCs w:val="21"/>
              </w:rPr>
            </w:pPr>
          </w:p>
        </w:tc>
        <w:tc>
          <w:tcPr>
            <w:tcW w:w="1680" w:type="dxa"/>
            <w:gridSpan w:val="2"/>
            <w:vAlign w:val="center"/>
          </w:tcPr>
          <w:p w14:paraId="020AC638">
            <w:pPr>
              <w:spacing w:line="440" w:lineRule="atLeast"/>
              <w:jc w:val="center"/>
              <w:rPr>
                <w:rFonts w:hint="eastAsia" w:asciiTheme="minorEastAsia" w:hAnsiTheme="minorEastAsia" w:eastAsiaTheme="minorEastAsia"/>
                <w:szCs w:val="21"/>
              </w:rPr>
            </w:pPr>
          </w:p>
        </w:tc>
        <w:tc>
          <w:tcPr>
            <w:tcW w:w="1580" w:type="dxa"/>
            <w:gridSpan w:val="4"/>
            <w:vAlign w:val="center"/>
          </w:tcPr>
          <w:p w14:paraId="726315A0">
            <w:pPr>
              <w:spacing w:line="440" w:lineRule="atLeast"/>
              <w:jc w:val="center"/>
              <w:rPr>
                <w:rFonts w:hint="eastAsia" w:asciiTheme="minorEastAsia" w:hAnsiTheme="minorEastAsia" w:eastAsiaTheme="minorEastAsia"/>
                <w:szCs w:val="21"/>
              </w:rPr>
            </w:pPr>
          </w:p>
        </w:tc>
        <w:tc>
          <w:tcPr>
            <w:tcW w:w="1560" w:type="dxa"/>
            <w:gridSpan w:val="2"/>
            <w:vAlign w:val="center"/>
          </w:tcPr>
          <w:p w14:paraId="5E419FAD">
            <w:pPr>
              <w:spacing w:line="440" w:lineRule="atLeast"/>
              <w:jc w:val="center"/>
              <w:rPr>
                <w:rFonts w:hint="eastAsia" w:asciiTheme="minorEastAsia" w:hAnsiTheme="minorEastAsia" w:eastAsiaTheme="minorEastAsia"/>
                <w:szCs w:val="21"/>
              </w:rPr>
            </w:pPr>
          </w:p>
        </w:tc>
        <w:tc>
          <w:tcPr>
            <w:tcW w:w="1365" w:type="dxa"/>
            <w:gridSpan w:val="3"/>
            <w:vAlign w:val="center"/>
          </w:tcPr>
          <w:p w14:paraId="169786B1">
            <w:pPr>
              <w:spacing w:line="440" w:lineRule="atLeast"/>
              <w:jc w:val="center"/>
              <w:rPr>
                <w:rFonts w:hint="eastAsia" w:asciiTheme="minorEastAsia" w:hAnsiTheme="minorEastAsia" w:eastAsiaTheme="minorEastAsia"/>
                <w:szCs w:val="21"/>
              </w:rPr>
            </w:pPr>
          </w:p>
        </w:tc>
        <w:tc>
          <w:tcPr>
            <w:tcW w:w="1512" w:type="dxa"/>
            <w:vAlign w:val="center"/>
          </w:tcPr>
          <w:p w14:paraId="4E16FBC8">
            <w:pPr>
              <w:spacing w:line="440" w:lineRule="atLeast"/>
              <w:jc w:val="center"/>
              <w:rPr>
                <w:rFonts w:hint="eastAsia" w:asciiTheme="minorEastAsia" w:hAnsiTheme="minorEastAsia" w:eastAsiaTheme="minorEastAsia"/>
                <w:szCs w:val="21"/>
              </w:rPr>
            </w:pPr>
          </w:p>
        </w:tc>
      </w:tr>
      <w:tr w14:paraId="74151C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480" w:type="dxa"/>
            <w:gridSpan w:val="2"/>
            <w:vAlign w:val="center"/>
          </w:tcPr>
          <w:p w14:paraId="62D7E3ED">
            <w:pPr>
              <w:spacing w:line="440" w:lineRule="atLeast"/>
              <w:jc w:val="center"/>
              <w:rPr>
                <w:rFonts w:hint="eastAsia" w:asciiTheme="minorEastAsia" w:hAnsiTheme="minorEastAsia" w:eastAsiaTheme="minorEastAsia"/>
                <w:szCs w:val="21"/>
              </w:rPr>
            </w:pPr>
          </w:p>
        </w:tc>
        <w:tc>
          <w:tcPr>
            <w:tcW w:w="1680" w:type="dxa"/>
            <w:gridSpan w:val="2"/>
            <w:vAlign w:val="center"/>
          </w:tcPr>
          <w:p w14:paraId="0F4FE0A1">
            <w:pPr>
              <w:spacing w:line="440" w:lineRule="atLeast"/>
              <w:jc w:val="center"/>
              <w:rPr>
                <w:rFonts w:hint="eastAsia" w:asciiTheme="minorEastAsia" w:hAnsiTheme="minorEastAsia" w:eastAsiaTheme="minorEastAsia"/>
                <w:szCs w:val="21"/>
              </w:rPr>
            </w:pPr>
          </w:p>
        </w:tc>
        <w:tc>
          <w:tcPr>
            <w:tcW w:w="1580" w:type="dxa"/>
            <w:gridSpan w:val="4"/>
            <w:vAlign w:val="center"/>
          </w:tcPr>
          <w:p w14:paraId="066938B0">
            <w:pPr>
              <w:spacing w:line="440" w:lineRule="atLeast"/>
              <w:jc w:val="center"/>
              <w:rPr>
                <w:rFonts w:hint="eastAsia" w:asciiTheme="minorEastAsia" w:hAnsiTheme="minorEastAsia" w:eastAsiaTheme="minorEastAsia"/>
                <w:szCs w:val="21"/>
              </w:rPr>
            </w:pPr>
          </w:p>
        </w:tc>
        <w:tc>
          <w:tcPr>
            <w:tcW w:w="1560" w:type="dxa"/>
            <w:gridSpan w:val="2"/>
            <w:vAlign w:val="center"/>
          </w:tcPr>
          <w:p w14:paraId="0DB07442">
            <w:pPr>
              <w:spacing w:line="440" w:lineRule="atLeast"/>
              <w:jc w:val="center"/>
              <w:rPr>
                <w:rFonts w:hint="eastAsia" w:asciiTheme="minorEastAsia" w:hAnsiTheme="minorEastAsia" w:eastAsiaTheme="minorEastAsia"/>
                <w:szCs w:val="21"/>
              </w:rPr>
            </w:pPr>
          </w:p>
        </w:tc>
        <w:tc>
          <w:tcPr>
            <w:tcW w:w="1365" w:type="dxa"/>
            <w:gridSpan w:val="3"/>
            <w:vAlign w:val="center"/>
          </w:tcPr>
          <w:p w14:paraId="4568C3EB">
            <w:pPr>
              <w:spacing w:line="440" w:lineRule="atLeast"/>
              <w:jc w:val="center"/>
              <w:rPr>
                <w:rFonts w:hint="eastAsia" w:asciiTheme="minorEastAsia" w:hAnsiTheme="minorEastAsia" w:eastAsiaTheme="minorEastAsia"/>
                <w:szCs w:val="21"/>
              </w:rPr>
            </w:pPr>
          </w:p>
        </w:tc>
        <w:tc>
          <w:tcPr>
            <w:tcW w:w="1512" w:type="dxa"/>
            <w:vAlign w:val="center"/>
          </w:tcPr>
          <w:p w14:paraId="5F30F432">
            <w:pPr>
              <w:spacing w:line="440" w:lineRule="atLeast"/>
              <w:jc w:val="center"/>
              <w:rPr>
                <w:rFonts w:hint="eastAsia" w:asciiTheme="minorEastAsia" w:hAnsiTheme="minorEastAsia" w:eastAsiaTheme="minorEastAsia"/>
                <w:szCs w:val="21"/>
              </w:rPr>
            </w:pPr>
          </w:p>
        </w:tc>
      </w:tr>
      <w:tr w14:paraId="56F640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480" w:type="dxa"/>
            <w:gridSpan w:val="2"/>
            <w:vAlign w:val="center"/>
          </w:tcPr>
          <w:p w14:paraId="68F6EBC7">
            <w:pPr>
              <w:spacing w:line="440" w:lineRule="atLeast"/>
              <w:jc w:val="center"/>
              <w:rPr>
                <w:rFonts w:hint="eastAsia" w:asciiTheme="minorEastAsia" w:hAnsiTheme="minorEastAsia" w:eastAsiaTheme="minorEastAsia"/>
                <w:szCs w:val="21"/>
              </w:rPr>
            </w:pPr>
          </w:p>
        </w:tc>
        <w:tc>
          <w:tcPr>
            <w:tcW w:w="1680" w:type="dxa"/>
            <w:gridSpan w:val="2"/>
            <w:vAlign w:val="center"/>
          </w:tcPr>
          <w:p w14:paraId="63C0152C">
            <w:pPr>
              <w:spacing w:line="440" w:lineRule="atLeast"/>
              <w:jc w:val="center"/>
              <w:rPr>
                <w:rFonts w:hint="eastAsia" w:asciiTheme="minorEastAsia" w:hAnsiTheme="minorEastAsia" w:eastAsiaTheme="minorEastAsia"/>
                <w:szCs w:val="21"/>
              </w:rPr>
            </w:pPr>
          </w:p>
        </w:tc>
        <w:tc>
          <w:tcPr>
            <w:tcW w:w="1580" w:type="dxa"/>
            <w:gridSpan w:val="4"/>
            <w:vAlign w:val="center"/>
          </w:tcPr>
          <w:p w14:paraId="5AF917B1">
            <w:pPr>
              <w:spacing w:line="440" w:lineRule="atLeast"/>
              <w:jc w:val="center"/>
              <w:rPr>
                <w:rFonts w:hint="eastAsia" w:asciiTheme="minorEastAsia" w:hAnsiTheme="minorEastAsia" w:eastAsiaTheme="minorEastAsia"/>
                <w:szCs w:val="21"/>
              </w:rPr>
            </w:pPr>
          </w:p>
        </w:tc>
        <w:tc>
          <w:tcPr>
            <w:tcW w:w="1560" w:type="dxa"/>
            <w:gridSpan w:val="2"/>
            <w:vAlign w:val="center"/>
          </w:tcPr>
          <w:p w14:paraId="210ED1EC">
            <w:pPr>
              <w:spacing w:line="440" w:lineRule="atLeast"/>
              <w:jc w:val="center"/>
              <w:rPr>
                <w:rFonts w:hint="eastAsia" w:asciiTheme="minorEastAsia" w:hAnsiTheme="minorEastAsia" w:eastAsiaTheme="minorEastAsia"/>
                <w:szCs w:val="21"/>
              </w:rPr>
            </w:pPr>
          </w:p>
        </w:tc>
        <w:tc>
          <w:tcPr>
            <w:tcW w:w="1365" w:type="dxa"/>
            <w:gridSpan w:val="3"/>
            <w:vAlign w:val="center"/>
          </w:tcPr>
          <w:p w14:paraId="5097FE6F">
            <w:pPr>
              <w:spacing w:line="440" w:lineRule="atLeast"/>
              <w:jc w:val="center"/>
              <w:rPr>
                <w:rFonts w:hint="eastAsia" w:asciiTheme="minorEastAsia" w:hAnsiTheme="minorEastAsia" w:eastAsiaTheme="minorEastAsia"/>
                <w:szCs w:val="21"/>
              </w:rPr>
            </w:pPr>
          </w:p>
        </w:tc>
        <w:tc>
          <w:tcPr>
            <w:tcW w:w="1512" w:type="dxa"/>
            <w:vAlign w:val="center"/>
          </w:tcPr>
          <w:p w14:paraId="7208CEE6">
            <w:pPr>
              <w:spacing w:line="440" w:lineRule="atLeast"/>
              <w:jc w:val="center"/>
              <w:rPr>
                <w:rFonts w:hint="eastAsia" w:asciiTheme="minorEastAsia" w:hAnsiTheme="minorEastAsia" w:eastAsiaTheme="minorEastAsia"/>
                <w:szCs w:val="21"/>
              </w:rPr>
            </w:pPr>
          </w:p>
        </w:tc>
      </w:tr>
      <w:tr w14:paraId="4DAAEA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480" w:type="dxa"/>
            <w:gridSpan w:val="2"/>
            <w:vAlign w:val="center"/>
          </w:tcPr>
          <w:p w14:paraId="40265343">
            <w:pPr>
              <w:spacing w:line="440" w:lineRule="atLeast"/>
              <w:jc w:val="center"/>
              <w:rPr>
                <w:rFonts w:hint="eastAsia" w:asciiTheme="minorEastAsia" w:hAnsiTheme="minorEastAsia" w:eastAsiaTheme="minorEastAsia"/>
                <w:szCs w:val="21"/>
              </w:rPr>
            </w:pPr>
          </w:p>
        </w:tc>
        <w:tc>
          <w:tcPr>
            <w:tcW w:w="1680" w:type="dxa"/>
            <w:gridSpan w:val="2"/>
            <w:vAlign w:val="center"/>
          </w:tcPr>
          <w:p w14:paraId="195518E5">
            <w:pPr>
              <w:spacing w:line="440" w:lineRule="atLeast"/>
              <w:jc w:val="center"/>
              <w:rPr>
                <w:rFonts w:hint="eastAsia" w:asciiTheme="minorEastAsia" w:hAnsiTheme="minorEastAsia" w:eastAsiaTheme="minorEastAsia"/>
                <w:szCs w:val="21"/>
              </w:rPr>
            </w:pPr>
          </w:p>
        </w:tc>
        <w:tc>
          <w:tcPr>
            <w:tcW w:w="1580" w:type="dxa"/>
            <w:gridSpan w:val="4"/>
            <w:vAlign w:val="center"/>
          </w:tcPr>
          <w:p w14:paraId="70A8BDB7">
            <w:pPr>
              <w:spacing w:line="440" w:lineRule="atLeast"/>
              <w:jc w:val="center"/>
              <w:rPr>
                <w:rFonts w:hint="eastAsia" w:asciiTheme="minorEastAsia" w:hAnsiTheme="minorEastAsia" w:eastAsiaTheme="minorEastAsia"/>
                <w:szCs w:val="21"/>
              </w:rPr>
            </w:pPr>
          </w:p>
        </w:tc>
        <w:tc>
          <w:tcPr>
            <w:tcW w:w="1560" w:type="dxa"/>
            <w:gridSpan w:val="2"/>
            <w:vAlign w:val="center"/>
          </w:tcPr>
          <w:p w14:paraId="1482FBFC">
            <w:pPr>
              <w:spacing w:line="440" w:lineRule="atLeast"/>
              <w:jc w:val="center"/>
              <w:rPr>
                <w:rFonts w:hint="eastAsia" w:asciiTheme="minorEastAsia" w:hAnsiTheme="minorEastAsia" w:eastAsiaTheme="minorEastAsia"/>
                <w:szCs w:val="21"/>
              </w:rPr>
            </w:pPr>
          </w:p>
        </w:tc>
        <w:tc>
          <w:tcPr>
            <w:tcW w:w="1365" w:type="dxa"/>
            <w:gridSpan w:val="3"/>
            <w:vAlign w:val="center"/>
          </w:tcPr>
          <w:p w14:paraId="0009B89C">
            <w:pPr>
              <w:spacing w:line="440" w:lineRule="atLeast"/>
              <w:jc w:val="center"/>
              <w:rPr>
                <w:rFonts w:hint="eastAsia" w:asciiTheme="minorEastAsia" w:hAnsiTheme="minorEastAsia" w:eastAsiaTheme="minorEastAsia"/>
                <w:szCs w:val="21"/>
              </w:rPr>
            </w:pPr>
          </w:p>
        </w:tc>
        <w:tc>
          <w:tcPr>
            <w:tcW w:w="1512" w:type="dxa"/>
            <w:vAlign w:val="center"/>
          </w:tcPr>
          <w:p w14:paraId="0FFBE5C8">
            <w:pPr>
              <w:spacing w:line="440" w:lineRule="atLeast"/>
              <w:jc w:val="center"/>
              <w:rPr>
                <w:rFonts w:hint="eastAsia" w:asciiTheme="minorEastAsia" w:hAnsiTheme="minorEastAsia" w:eastAsiaTheme="minorEastAsia"/>
                <w:szCs w:val="21"/>
              </w:rPr>
            </w:pPr>
          </w:p>
        </w:tc>
      </w:tr>
      <w:tr w14:paraId="51111A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480" w:type="dxa"/>
            <w:gridSpan w:val="2"/>
            <w:vAlign w:val="center"/>
          </w:tcPr>
          <w:p w14:paraId="30F1E9A9">
            <w:pPr>
              <w:spacing w:line="440" w:lineRule="atLeast"/>
              <w:jc w:val="center"/>
              <w:rPr>
                <w:rFonts w:hint="eastAsia" w:asciiTheme="minorEastAsia" w:hAnsiTheme="minorEastAsia" w:eastAsiaTheme="minorEastAsia"/>
                <w:szCs w:val="21"/>
              </w:rPr>
            </w:pPr>
          </w:p>
        </w:tc>
        <w:tc>
          <w:tcPr>
            <w:tcW w:w="1680" w:type="dxa"/>
            <w:gridSpan w:val="2"/>
            <w:vAlign w:val="center"/>
          </w:tcPr>
          <w:p w14:paraId="4B9DC785">
            <w:pPr>
              <w:spacing w:line="440" w:lineRule="atLeast"/>
              <w:jc w:val="center"/>
              <w:rPr>
                <w:rFonts w:hint="eastAsia" w:asciiTheme="minorEastAsia" w:hAnsiTheme="minorEastAsia" w:eastAsiaTheme="minorEastAsia"/>
                <w:szCs w:val="21"/>
              </w:rPr>
            </w:pPr>
          </w:p>
        </w:tc>
        <w:tc>
          <w:tcPr>
            <w:tcW w:w="1580" w:type="dxa"/>
            <w:gridSpan w:val="4"/>
            <w:vAlign w:val="center"/>
          </w:tcPr>
          <w:p w14:paraId="7EFC0BF5">
            <w:pPr>
              <w:spacing w:line="440" w:lineRule="atLeast"/>
              <w:jc w:val="center"/>
              <w:rPr>
                <w:rFonts w:hint="eastAsia" w:asciiTheme="minorEastAsia" w:hAnsiTheme="minorEastAsia" w:eastAsiaTheme="minorEastAsia"/>
                <w:szCs w:val="21"/>
              </w:rPr>
            </w:pPr>
          </w:p>
        </w:tc>
        <w:tc>
          <w:tcPr>
            <w:tcW w:w="1560" w:type="dxa"/>
            <w:gridSpan w:val="2"/>
            <w:vAlign w:val="center"/>
          </w:tcPr>
          <w:p w14:paraId="2663C39F">
            <w:pPr>
              <w:spacing w:line="440" w:lineRule="atLeast"/>
              <w:jc w:val="center"/>
              <w:rPr>
                <w:rFonts w:hint="eastAsia" w:asciiTheme="minorEastAsia" w:hAnsiTheme="minorEastAsia" w:eastAsiaTheme="minorEastAsia"/>
                <w:szCs w:val="21"/>
              </w:rPr>
            </w:pPr>
          </w:p>
        </w:tc>
        <w:tc>
          <w:tcPr>
            <w:tcW w:w="1365" w:type="dxa"/>
            <w:gridSpan w:val="3"/>
            <w:vAlign w:val="center"/>
          </w:tcPr>
          <w:p w14:paraId="5C5469ED">
            <w:pPr>
              <w:spacing w:line="440" w:lineRule="atLeast"/>
              <w:jc w:val="center"/>
              <w:rPr>
                <w:rFonts w:hint="eastAsia" w:asciiTheme="minorEastAsia" w:hAnsiTheme="minorEastAsia" w:eastAsiaTheme="minorEastAsia"/>
                <w:szCs w:val="21"/>
              </w:rPr>
            </w:pPr>
          </w:p>
        </w:tc>
        <w:tc>
          <w:tcPr>
            <w:tcW w:w="1512" w:type="dxa"/>
            <w:vAlign w:val="center"/>
          </w:tcPr>
          <w:p w14:paraId="2D7087A9">
            <w:pPr>
              <w:spacing w:line="440" w:lineRule="atLeast"/>
              <w:jc w:val="center"/>
              <w:rPr>
                <w:rFonts w:hint="eastAsia" w:asciiTheme="minorEastAsia" w:hAnsiTheme="minorEastAsia" w:eastAsiaTheme="minorEastAsia"/>
                <w:szCs w:val="21"/>
              </w:rPr>
            </w:pPr>
          </w:p>
        </w:tc>
      </w:tr>
      <w:tr w14:paraId="72DA94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480" w:type="dxa"/>
            <w:gridSpan w:val="2"/>
            <w:vAlign w:val="center"/>
          </w:tcPr>
          <w:p w14:paraId="183A9A6D">
            <w:pPr>
              <w:spacing w:line="440" w:lineRule="atLeast"/>
              <w:jc w:val="center"/>
              <w:rPr>
                <w:rFonts w:hint="eastAsia" w:asciiTheme="minorEastAsia" w:hAnsiTheme="minorEastAsia" w:eastAsiaTheme="minorEastAsia"/>
                <w:szCs w:val="21"/>
              </w:rPr>
            </w:pPr>
          </w:p>
        </w:tc>
        <w:tc>
          <w:tcPr>
            <w:tcW w:w="1680" w:type="dxa"/>
            <w:gridSpan w:val="2"/>
            <w:vAlign w:val="center"/>
          </w:tcPr>
          <w:p w14:paraId="1B430711">
            <w:pPr>
              <w:spacing w:line="440" w:lineRule="atLeast"/>
              <w:jc w:val="center"/>
              <w:rPr>
                <w:rFonts w:hint="eastAsia" w:asciiTheme="minorEastAsia" w:hAnsiTheme="minorEastAsia" w:eastAsiaTheme="minorEastAsia"/>
                <w:szCs w:val="21"/>
              </w:rPr>
            </w:pPr>
          </w:p>
        </w:tc>
        <w:tc>
          <w:tcPr>
            <w:tcW w:w="1580" w:type="dxa"/>
            <w:gridSpan w:val="4"/>
            <w:vAlign w:val="center"/>
          </w:tcPr>
          <w:p w14:paraId="7572C4E1">
            <w:pPr>
              <w:spacing w:line="440" w:lineRule="atLeast"/>
              <w:jc w:val="center"/>
              <w:rPr>
                <w:rFonts w:hint="eastAsia" w:asciiTheme="minorEastAsia" w:hAnsiTheme="minorEastAsia" w:eastAsiaTheme="minorEastAsia"/>
                <w:szCs w:val="21"/>
              </w:rPr>
            </w:pPr>
          </w:p>
        </w:tc>
        <w:tc>
          <w:tcPr>
            <w:tcW w:w="1560" w:type="dxa"/>
            <w:gridSpan w:val="2"/>
            <w:vAlign w:val="center"/>
          </w:tcPr>
          <w:p w14:paraId="4EF7E44C">
            <w:pPr>
              <w:spacing w:line="440" w:lineRule="atLeast"/>
              <w:jc w:val="center"/>
              <w:rPr>
                <w:rFonts w:hint="eastAsia" w:asciiTheme="minorEastAsia" w:hAnsiTheme="minorEastAsia" w:eastAsiaTheme="minorEastAsia"/>
                <w:szCs w:val="21"/>
              </w:rPr>
            </w:pPr>
          </w:p>
        </w:tc>
        <w:tc>
          <w:tcPr>
            <w:tcW w:w="1365" w:type="dxa"/>
            <w:gridSpan w:val="3"/>
            <w:vAlign w:val="center"/>
          </w:tcPr>
          <w:p w14:paraId="16FE1B7E">
            <w:pPr>
              <w:spacing w:line="440" w:lineRule="atLeast"/>
              <w:jc w:val="center"/>
              <w:rPr>
                <w:rFonts w:hint="eastAsia" w:asciiTheme="minorEastAsia" w:hAnsiTheme="minorEastAsia" w:eastAsiaTheme="minorEastAsia"/>
                <w:szCs w:val="21"/>
              </w:rPr>
            </w:pPr>
          </w:p>
        </w:tc>
        <w:tc>
          <w:tcPr>
            <w:tcW w:w="1512" w:type="dxa"/>
            <w:vAlign w:val="center"/>
          </w:tcPr>
          <w:p w14:paraId="2D71691F">
            <w:pPr>
              <w:spacing w:line="440" w:lineRule="atLeast"/>
              <w:jc w:val="center"/>
              <w:rPr>
                <w:rFonts w:hint="eastAsia" w:asciiTheme="minorEastAsia" w:hAnsiTheme="minorEastAsia" w:eastAsiaTheme="minorEastAsia"/>
                <w:szCs w:val="21"/>
              </w:rPr>
            </w:pPr>
          </w:p>
        </w:tc>
      </w:tr>
      <w:tr w14:paraId="0993AF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480" w:type="dxa"/>
            <w:gridSpan w:val="2"/>
            <w:vAlign w:val="center"/>
          </w:tcPr>
          <w:p w14:paraId="46806604">
            <w:pPr>
              <w:spacing w:line="440" w:lineRule="atLeast"/>
              <w:jc w:val="center"/>
              <w:rPr>
                <w:rFonts w:hint="eastAsia" w:asciiTheme="minorEastAsia" w:hAnsiTheme="minorEastAsia" w:eastAsiaTheme="minorEastAsia"/>
                <w:szCs w:val="21"/>
              </w:rPr>
            </w:pPr>
          </w:p>
        </w:tc>
        <w:tc>
          <w:tcPr>
            <w:tcW w:w="1680" w:type="dxa"/>
            <w:gridSpan w:val="2"/>
            <w:vAlign w:val="center"/>
          </w:tcPr>
          <w:p w14:paraId="46D68E2E">
            <w:pPr>
              <w:spacing w:line="440" w:lineRule="atLeast"/>
              <w:jc w:val="center"/>
              <w:rPr>
                <w:rFonts w:hint="eastAsia" w:asciiTheme="minorEastAsia" w:hAnsiTheme="minorEastAsia" w:eastAsiaTheme="minorEastAsia"/>
                <w:szCs w:val="21"/>
              </w:rPr>
            </w:pPr>
          </w:p>
        </w:tc>
        <w:tc>
          <w:tcPr>
            <w:tcW w:w="1580" w:type="dxa"/>
            <w:gridSpan w:val="4"/>
            <w:vAlign w:val="center"/>
          </w:tcPr>
          <w:p w14:paraId="301955AD">
            <w:pPr>
              <w:spacing w:line="440" w:lineRule="atLeast"/>
              <w:jc w:val="center"/>
              <w:rPr>
                <w:rFonts w:hint="eastAsia" w:asciiTheme="minorEastAsia" w:hAnsiTheme="minorEastAsia" w:eastAsiaTheme="minorEastAsia"/>
                <w:szCs w:val="21"/>
              </w:rPr>
            </w:pPr>
          </w:p>
        </w:tc>
        <w:tc>
          <w:tcPr>
            <w:tcW w:w="1560" w:type="dxa"/>
            <w:gridSpan w:val="2"/>
            <w:vAlign w:val="center"/>
          </w:tcPr>
          <w:p w14:paraId="56F894F4">
            <w:pPr>
              <w:spacing w:line="440" w:lineRule="atLeast"/>
              <w:jc w:val="center"/>
              <w:rPr>
                <w:rFonts w:hint="eastAsia" w:asciiTheme="minorEastAsia" w:hAnsiTheme="minorEastAsia" w:eastAsiaTheme="minorEastAsia"/>
                <w:szCs w:val="21"/>
              </w:rPr>
            </w:pPr>
          </w:p>
        </w:tc>
        <w:tc>
          <w:tcPr>
            <w:tcW w:w="1365" w:type="dxa"/>
            <w:gridSpan w:val="3"/>
            <w:vAlign w:val="center"/>
          </w:tcPr>
          <w:p w14:paraId="19773CF2">
            <w:pPr>
              <w:spacing w:line="440" w:lineRule="atLeast"/>
              <w:jc w:val="center"/>
              <w:rPr>
                <w:rFonts w:hint="eastAsia" w:asciiTheme="minorEastAsia" w:hAnsiTheme="minorEastAsia" w:eastAsiaTheme="minorEastAsia"/>
                <w:szCs w:val="21"/>
              </w:rPr>
            </w:pPr>
          </w:p>
        </w:tc>
        <w:tc>
          <w:tcPr>
            <w:tcW w:w="1512" w:type="dxa"/>
            <w:vAlign w:val="center"/>
          </w:tcPr>
          <w:p w14:paraId="0E69BD66">
            <w:pPr>
              <w:spacing w:line="440" w:lineRule="atLeast"/>
              <w:jc w:val="center"/>
              <w:rPr>
                <w:rFonts w:hint="eastAsia" w:asciiTheme="minorEastAsia" w:hAnsiTheme="minorEastAsia" w:eastAsiaTheme="minorEastAsia"/>
                <w:szCs w:val="21"/>
              </w:rPr>
            </w:pPr>
          </w:p>
        </w:tc>
      </w:tr>
      <w:tr w14:paraId="1CAB64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480" w:type="dxa"/>
            <w:gridSpan w:val="2"/>
            <w:vAlign w:val="center"/>
          </w:tcPr>
          <w:p w14:paraId="01BAB324">
            <w:pPr>
              <w:spacing w:line="440" w:lineRule="atLeast"/>
              <w:jc w:val="center"/>
              <w:rPr>
                <w:rFonts w:hint="eastAsia" w:asciiTheme="minorEastAsia" w:hAnsiTheme="minorEastAsia" w:eastAsiaTheme="minorEastAsia"/>
                <w:szCs w:val="21"/>
              </w:rPr>
            </w:pPr>
          </w:p>
        </w:tc>
        <w:tc>
          <w:tcPr>
            <w:tcW w:w="1680" w:type="dxa"/>
            <w:gridSpan w:val="2"/>
            <w:vAlign w:val="center"/>
          </w:tcPr>
          <w:p w14:paraId="72771C54">
            <w:pPr>
              <w:spacing w:line="440" w:lineRule="atLeast"/>
              <w:jc w:val="center"/>
              <w:rPr>
                <w:rFonts w:hint="eastAsia" w:asciiTheme="minorEastAsia" w:hAnsiTheme="minorEastAsia" w:eastAsiaTheme="minorEastAsia"/>
                <w:szCs w:val="21"/>
              </w:rPr>
            </w:pPr>
          </w:p>
        </w:tc>
        <w:tc>
          <w:tcPr>
            <w:tcW w:w="1580" w:type="dxa"/>
            <w:gridSpan w:val="4"/>
            <w:vAlign w:val="center"/>
          </w:tcPr>
          <w:p w14:paraId="5E86C1D2">
            <w:pPr>
              <w:spacing w:line="440" w:lineRule="atLeast"/>
              <w:jc w:val="center"/>
              <w:rPr>
                <w:rFonts w:hint="eastAsia" w:asciiTheme="minorEastAsia" w:hAnsiTheme="minorEastAsia" w:eastAsiaTheme="minorEastAsia"/>
                <w:szCs w:val="21"/>
              </w:rPr>
            </w:pPr>
          </w:p>
        </w:tc>
        <w:tc>
          <w:tcPr>
            <w:tcW w:w="1560" w:type="dxa"/>
            <w:gridSpan w:val="2"/>
            <w:vAlign w:val="center"/>
          </w:tcPr>
          <w:p w14:paraId="72C67711">
            <w:pPr>
              <w:spacing w:line="440" w:lineRule="atLeast"/>
              <w:jc w:val="center"/>
              <w:rPr>
                <w:rFonts w:hint="eastAsia" w:asciiTheme="minorEastAsia" w:hAnsiTheme="minorEastAsia" w:eastAsiaTheme="minorEastAsia"/>
                <w:szCs w:val="21"/>
              </w:rPr>
            </w:pPr>
          </w:p>
        </w:tc>
        <w:tc>
          <w:tcPr>
            <w:tcW w:w="1365" w:type="dxa"/>
            <w:gridSpan w:val="3"/>
            <w:vAlign w:val="center"/>
          </w:tcPr>
          <w:p w14:paraId="42D2C8F4">
            <w:pPr>
              <w:spacing w:line="440" w:lineRule="atLeast"/>
              <w:jc w:val="center"/>
              <w:rPr>
                <w:rFonts w:hint="eastAsia" w:asciiTheme="minorEastAsia" w:hAnsiTheme="minorEastAsia" w:eastAsiaTheme="minorEastAsia"/>
                <w:szCs w:val="21"/>
              </w:rPr>
            </w:pPr>
          </w:p>
        </w:tc>
        <w:tc>
          <w:tcPr>
            <w:tcW w:w="1512" w:type="dxa"/>
            <w:vAlign w:val="center"/>
          </w:tcPr>
          <w:p w14:paraId="2B740332">
            <w:pPr>
              <w:spacing w:line="440" w:lineRule="atLeast"/>
              <w:jc w:val="center"/>
              <w:rPr>
                <w:rFonts w:hint="eastAsia" w:asciiTheme="minorEastAsia" w:hAnsiTheme="minorEastAsia" w:eastAsiaTheme="minorEastAsia"/>
                <w:szCs w:val="21"/>
              </w:rPr>
            </w:pPr>
          </w:p>
        </w:tc>
      </w:tr>
      <w:tr w14:paraId="1960EC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480" w:type="dxa"/>
            <w:gridSpan w:val="2"/>
            <w:vAlign w:val="center"/>
          </w:tcPr>
          <w:p w14:paraId="76447CC0">
            <w:pPr>
              <w:spacing w:line="440" w:lineRule="atLeast"/>
              <w:jc w:val="center"/>
              <w:rPr>
                <w:rFonts w:hint="eastAsia" w:asciiTheme="minorEastAsia" w:hAnsiTheme="minorEastAsia" w:eastAsiaTheme="minorEastAsia"/>
                <w:szCs w:val="21"/>
              </w:rPr>
            </w:pPr>
          </w:p>
        </w:tc>
        <w:tc>
          <w:tcPr>
            <w:tcW w:w="1680" w:type="dxa"/>
            <w:gridSpan w:val="2"/>
            <w:vAlign w:val="center"/>
          </w:tcPr>
          <w:p w14:paraId="3C72C6A4">
            <w:pPr>
              <w:spacing w:line="440" w:lineRule="atLeast"/>
              <w:jc w:val="center"/>
              <w:rPr>
                <w:rFonts w:hint="eastAsia" w:asciiTheme="minorEastAsia" w:hAnsiTheme="minorEastAsia" w:eastAsiaTheme="minorEastAsia"/>
                <w:szCs w:val="21"/>
              </w:rPr>
            </w:pPr>
          </w:p>
        </w:tc>
        <w:tc>
          <w:tcPr>
            <w:tcW w:w="1580" w:type="dxa"/>
            <w:gridSpan w:val="4"/>
            <w:vAlign w:val="center"/>
          </w:tcPr>
          <w:p w14:paraId="1A3B42D8">
            <w:pPr>
              <w:spacing w:line="440" w:lineRule="atLeast"/>
              <w:jc w:val="center"/>
              <w:rPr>
                <w:rFonts w:hint="eastAsia" w:asciiTheme="minorEastAsia" w:hAnsiTheme="minorEastAsia" w:eastAsiaTheme="minorEastAsia"/>
                <w:szCs w:val="21"/>
              </w:rPr>
            </w:pPr>
          </w:p>
        </w:tc>
        <w:tc>
          <w:tcPr>
            <w:tcW w:w="1560" w:type="dxa"/>
            <w:gridSpan w:val="2"/>
            <w:vAlign w:val="center"/>
          </w:tcPr>
          <w:p w14:paraId="6E8013F6">
            <w:pPr>
              <w:spacing w:line="440" w:lineRule="atLeast"/>
              <w:jc w:val="center"/>
              <w:rPr>
                <w:rFonts w:hint="eastAsia" w:asciiTheme="minorEastAsia" w:hAnsiTheme="minorEastAsia" w:eastAsiaTheme="minorEastAsia"/>
                <w:szCs w:val="21"/>
              </w:rPr>
            </w:pPr>
          </w:p>
        </w:tc>
        <w:tc>
          <w:tcPr>
            <w:tcW w:w="1365" w:type="dxa"/>
            <w:gridSpan w:val="3"/>
            <w:vAlign w:val="center"/>
          </w:tcPr>
          <w:p w14:paraId="428AA6C0">
            <w:pPr>
              <w:spacing w:line="440" w:lineRule="atLeast"/>
              <w:jc w:val="center"/>
              <w:rPr>
                <w:rFonts w:hint="eastAsia" w:asciiTheme="minorEastAsia" w:hAnsiTheme="minorEastAsia" w:eastAsiaTheme="minorEastAsia"/>
                <w:szCs w:val="21"/>
              </w:rPr>
            </w:pPr>
          </w:p>
        </w:tc>
        <w:tc>
          <w:tcPr>
            <w:tcW w:w="1512" w:type="dxa"/>
            <w:vAlign w:val="center"/>
          </w:tcPr>
          <w:p w14:paraId="5C2BDA42">
            <w:pPr>
              <w:spacing w:line="440" w:lineRule="atLeast"/>
              <w:jc w:val="center"/>
              <w:rPr>
                <w:rFonts w:hint="eastAsia" w:asciiTheme="minorEastAsia" w:hAnsiTheme="minorEastAsia" w:eastAsiaTheme="minorEastAsia"/>
                <w:szCs w:val="21"/>
              </w:rPr>
            </w:pPr>
          </w:p>
        </w:tc>
      </w:tr>
      <w:tr w14:paraId="4B0200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480" w:type="dxa"/>
            <w:gridSpan w:val="2"/>
            <w:vAlign w:val="center"/>
          </w:tcPr>
          <w:p w14:paraId="366CDBA4">
            <w:pPr>
              <w:spacing w:line="440" w:lineRule="atLeast"/>
              <w:jc w:val="center"/>
              <w:rPr>
                <w:rFonts w:hint="eastAsia" w:asciiTheme="minorEastAsia" w:hAnsiTheme="minorEastAsia" w:eastAsiaTheme="minorEastAsia"/>
                <w:szCs w:val="21"/>
              </w:rPr>
            </w:pPr>
          </w:p>
        </w:tc>
        <w:tc>
          <w:tcPr>
            <w:tcW w:w="1680" w:type="dxa"/>
            <w:gridSpan w:val="2"/>
            <w:vAlign w:val="center"/>
          </w:tcPr>
          <w:p w14:paraId="0933033D">
            <w:pPr>
              <w:spacing w:line="440" w:lineRule="atLeast"/>
              <w:jc w:val="center"/>
              <w:rPr>
                <w:rFonts w:hint="eastAsia" w:asciiTheme="minorEastAsia" w:hAnsiTheme="minorEastAsia" w:eastAsiaTheme="minorEastAsia"/>
                <w:szCs w:val="21"/>
              </w:rPr>
            </w:pPr>
          </w:p>
        </w:tc>
        <w:tc>
          <w:tcPr>
            <w:tcW w:w="1580" w:type="dxa"/>
            <w:gridSpan w:val="4"/>
            <w:vAlign w:val="center"/>
          </w:tcPr>
          <w:p w14:paraId="050FFAC7">
            <w:pPr>
              <w:spacing w:line="440" w:lineRule="atLeast"/>
              <w:jc w:val="center"/>
              <w:rPr>
                <w:rFonts w:hint="eastAsia" w:asciiTheme="minorEastAsia" w:hAnsiTheme="minorEastAsia" w:eastAsiaTheme="minorEastAsia"/>
                <w:szCs w:val="21"/>
              </w:rPr>
            </w:pPr>
          </w:p>
        </w:tc>
        <w:tc>
          <w:tcPr>
            <w:tcW w:w="1560" w:type="dxa"/>
            <w:gridSpan w:val="2"/>
            <w:vAlign w:val="center"/>
          </w:tcPr>
          <w:p w14:paraId="51145FEF">
            <w:pPr>
              <w:spacing w:line="440" w:lineRule="atLeast"/>
              <w:jc w:val="center"/>
              <w:rPr>
                <w:rFonts w:hint="eastAsia" w:asciiTheme="minorEastAsia" w:hAnsiTheme="minorEastAsia" w:eastAsiaTheme="minorEastAsia"/>
                <w:szCs w:val="21"/>
              </w:rPr>
            </w:pPr>
          </w:p>
        </w:tc>
        <w:tc>
          <w:tcPr>
            <w:tcW w:w="1365" w:type="dxa"/>
            <w:gridSpan w:val="3"/>
            <w:vAlign w:val="center"/>
          </w:tcPr>
          <w:p w14:paraId="15B14425">
            <w:pPr>
              <w:spacing w:line="440" w:lineRule="atLeast"/>
              <w:jc w:val="center"/>
              <w:rPr>
                <w:rFonts w:hint="eastAsia" w:asciiTheme="minorEastAsia" w:hAnsiTheme="minorEastAsia" w:eastAsiaTheme="minorEastAsia"/>
                <w:szCs w:val="21"/>
              </w:rPr>
            </w:pPr>
          </w:p>
        </w:tc>
        <w:tc>
          <w:tcPr>
            <w:tcW w:w="1512" w:type="dxa"/>
            <w:vAlign w:val="center"/>
          </w:tcPr>
          <w:p w14:paraId="4C8FFDA2">
            <w:pPr>
              <w:spacing w:line="440" w:lineRule="atLeast"/>
              <w:jc w:val="center"/>
              <w:rPr>
                <w:rFonts w:hint="eastAsia" w:asciiTheme="minorEastAsia" w:hAnsiTheme="minorEastAsia" w:eastAsiaTheme="minorEastAsia"/>
                <w:szCs w:val="21"/>
              </w:rPr>
            </w:pPr>
          </w:p>
        </w:tc>
      </w:tr>
      <w:tr w14:paraId="0E202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480" w:type="dxa"/>
            <w:gridSpan w:val="2"/>
            <w:vAlign w:val="center"/>
          </w:tcPr>
          <w:p w14:paraId="26DBECC1">
            <w:pPr>
              <w:spacing w:line="440" w:lineRule="atLeast"/>
              <w:jc w:val="center"/>
              <w:rPr>
                <w:rFonts w:hint="eastAsia" w:asciiTheme="minorEastAsia" w:hAnsiTheme="minorEastAsia" w:eastAsiaTheme="minorEastAsia"/>
                <w:szCs w:val="21"/>
              </w:rPr>
            </w:pPr>
          </w:p>
        </w:tc>
        <w:tc>
          <w:tcPr>
            <w:tcW w:w="1680" w:type="dxa"/>
            <w:gridSpan w:val="2"/>
            <w:vAlign w:val="center"/>
          </w:tcPr>
          <w:p w14:paraId="5E165F2F">
            <w:pPr>
              <w:spacing w:line="440" w:lineRule="atLeast"/>
              <w:jc w:val="center"/>
              <w:rPr>
                <w:rFonts w:hint="eastAsia" w:asciiTheme="minorEastAsia" w:hAnsiTheme="minorEastAsia" w:eastAsiaTheme="minorEastAsia"/>
                <w:szCs w:val="21"/>
              </w:rPr>
            </w:pPr>
          </w:p>
        </w:tc>
        <w:tc>
          <w:tcPr>
            <w:tcW w:w="1580" w:type="dxa"/>
            <w:gridSpan w:val="4"/>
            <w:vAlign w:val="center"/>
          </w:tcPr>
          <w:p w14:paraId="1B4E7B52">
            <w:pPr>
              <w:spacing w:line="440" w:lineRule="atLeast"/>
              <w:jc w:val="center"/>
              <w:rPr>
                <w:rFonts w:hint="eastAsia" w:asciiTheme="minorEastAsia" w:hAnsiTheme="minorEastAsia" w:eastAsiaTheme="minorEastAsia"/>
                <w:szCs w:val="21"/>
              </w:rPr>
            </w:pPr>
          </w:p>
        </w:tc>
        <w:tc>
          <w:tcPr>
            <w:tcW w:w="1560" w:type="dxa"/>
            <w:gridSpan w:val="2"/>
            <w:vAlign w:val="center"/>
          </w:tcPr>
          <w:p w14:paraId="2CDDCC30">
            <w:pPr>
              <w:spacing w:line="440" w:lineRule="atLeast"/>
              <w:jc w:val="center"/>
              <w:rPr>
                <w:rFonts w:hint="eastAsia" w:asciiTheme="minorEastAsia" w:hAnsiTheme="minorEastAsia" w:eastAsiaTheme="minorEastAsia"/>
                <w:szCs w:val="21"/>
              </w:rPr>
            </w:pPr>
          </w:p>
        </w:tc>
        <w:tc>
          <w:tcPr>
            <w:tcW w:w="1365" w:type="dxa"/>
            <w:gridSpan w:val="3"/>
            <w:vAlign w:val="center"/>
          </w:tcPr>
          <w:p w14:paraId="53EF0748">
            <w:pPr>
              <w:spacing w:line="440" w:lineRule="atLeast"/>
              <w:jc w:val="center"/>
              <w:rPr>
                <w:rFonts w:hint="eastAsia" w:asciiTheme="minorEastAsia" w:hAnsiTheme="minorEastAsia" w:eastAsiaTheme="minorEastAsia"/>
                <w:szCs w:val="21"/>
              </w:rPr>
            </w:pPr>
          </w:p>
        </w:tc>
        <w:tc>
          <w:tcPr>
            <w:tcW w:w="1512" w:type="dxa"/>
            <w:vAlign w:val="center"/>
          </w:tcPr>
          <w:p w14:paraId="13F737B1">
            <w:pPr>
              <w:spacing w:line="440" w:lineRule="atLeast"/>
              <w:jc w:val="center"/>
              <w:rPr>
                <w:rFonts w:hint="eastAsia" w:asciiTheme="minorEastAsia" w:hAnsiTheme="minorEastAsia" w:eastAsiaTheme="minorEastAsia"/>
                <w:szCs w:val="21"/>
              </w:rPr>
            </w:pPr>
          </w:p>
        </w:tc>
      </w:tr>
      <w:tr w14:paraId="4DE59B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480" w:type="dxa"/>
            <w:gridSpan w:val="2"/>
            <w:vAlign w:val="center"/>
          </w:tcPr>
          <w:p w14:paraId="03C3B169">
            <w:pPr>
              <w:spacing w:line="440" w:lineRule="atLeast"/>
              <w:jc w:val="center"/>
              <w:rPr>
                <w:rFonts w:hint="eastAsia" w:asciiTheme="minorEastAsia" w:hAnsiTheme="minorEastAsia" w:eastAsiaTheme="minorEastAsia"/>
                <w:szCs w:val="21"/>
              </w:rPr>
            </w:pPr>
          </w:p>
        </w:tc>
        <w:tc>
          <w:tcPr>
            <w:tcW w:w="1680" w:type="dxa"/>
            <w:gridSpan w:val="2"/>
            <w:vAlign w:val="center"/>
          </w:tcPr>
          <w:p w14:paraId="0579B61B">
            <w:pPr>
              <w:spacing w:line="440" w:lineRule="atLeast"/>
              <w:jc w:val="center"/>
              <w:rPr>
                <w:rFonts w:hint="eastAsia" w:asciiTheme="minorEastAsia" w:hAnsiTheme="minorEastAsia" w:eastAsiaTheme="minorEastAsia"/>
                <w:szCs w:val="21"/>
              </w:rPr>
            </w:pPr>
          </w:p>
        </w:tc>
        <w:tc>
          <w:tcPr>
            <w:tcW w:w="1580" w:type="dxa"/>
            <w:gridSpan w:val="4"/>
            <w:vAlign w:val="center"/>
          </w:tcPr>
          <w:p w14:paraId="294BDCB0">
            <w:pPr>
              <w:spacing w:line="440" w:lineRule="atLeast"/>
              <w:jc w:val="center"/>
              <w:rPr>
                <w:rFonts w:hint="eastAsia" w:asciiTheme="minorEastAsia" w:hAnsiTheme="minorEastAsia" w:eastAsiaTheme="minorEastAsia"/>
                <w:szCs w:val="21"/>
              </w:rPr>
            </w:pPr>
          </w:p>
        </w:tc>
        <w:tc>
          <w:tcPr>
            <w:tcW w:w="1560" w:type="dxa"/>
            <w:gridSpan w:val="2"/>
            <w:vAlign w:val="center"/>
          </w:tcPr>
          <w:p w14:paraId="5E5E0C39">
            <w:pPr>
              <w:spacing w:line="440" w:lineRule="atLeast"/>
              <w:jc w:val="center"/>
              <w:rPr>
                <w:rFonts w:hint="eastAsia" w:asciiTheme="minorEastAsia" w:hAnsiTheme="minorEastAsia" w:eastAsiaTheme="minorEastAsia"/>
                <w:szCs w:val="21"/>
              </w:rPr>
            </w:pPr>
          </w:p>
        </w:tc>
        <w:tc>
          <w:tcPr>
            <w:tcW w:w="1365" w:type="dxa"/>
            <w:gridSpan w:val="3"/>
            <w:vAlign w:val="center"/>
          </w:tcPr>
          <w:p w14:paraId="5907E110">
            <w:pPr>
              <w:spacing w:line="440" w:lineRule="atLeast"/>
              <w:jc w:val="center"/>
              <w:rPr>
                <w:rFonts w:hint="eastAsia" w:asciiTheme="minorEastAsia" w:hAnsiTheme="minorEastAsia" w:eastAsiaTheme="minorEastAsia"/>
                <w:szCs w:val="21"/>
              </w:rPr>
            </w:pPr>
          </w:p>
        </w:tc>
        <w:tc>
          <w:tcPr>
            <w:tcW w:w="1512" w:type="dxa"/>
            <w:vAlign w:val="center"/>
          </w:tcPr>
          <w:p w14:paraId="1E521468">
            <w:pPr>
              <w:spacing w:line="440" w:lineRule="atLeast"/>
              <w:jc w:val="center"/>
              <w:rPr>
                <w:rFonts w:hint="eastAsia" w:asciiTheme="minorEastAsia" w:hAnsiTheme="minorEastAsia" w:eastAsiaTheme="minorEastAsia"/>
                <w:szCs w:val="21"/>
              </w:rPr>
            </w:pPr>
          </w:p>
        </w:tc>
      </w:tr>
    </w:tbl>
    <w:p w14:paraId="7C855655">
      <w:pPr>
        <w:spacing w:line="440" w:lineRule="atLeast"/>
        <w:rPr>
          <w:rFonts w:hint="eastAsia" w:asciiTheme="minorEastAsia" w:hAnsiTheme="minorEastAsia" w:eastAsiaTheme="minorEastAsia"/>
          <w:szCs w:val="21"/>
        </w:rPr>
      </w:pPr>
      <w:r>
        <w:rPr>
          <w:rFonts w:hint="eastAsia" w:asciiTheme="minorEastAsia" w:hAnsiTheme="minorEastAsia" w:eastAsiaTheme="minorEastAsia"/>
          <w:szCs w:val="21"/>
        </w:rPr>
        <w:t>注：提供技术负责人的证明资料，包括但不限于身份证、执业资格证书（如有）、职称证书（如有）、社保证明或劳动合同等证明资料。</w:t>
      </w:r>
    </w:p>
    <w:p w14:paraId="224DF324">
      <w:pPr>
        <w:pStyle w:val="50"/>
        <w:spacing w:line="440" w:lineRule="atLeast"/>
        <w:ind w:left="519" w:leftChars="47" w:hanging="420"/>
        <w:rPr>
          <w:rFonts w:hint="eastAsia" w:asciiTheme="minorEastAsia" w:hAnsiTheme="minorEastAsia" w:eastAsiaTheme="minorEastAsia"/>
          <w:sz w:val="21"/>
          <w:szCs w:val="21"/>
        </w:rPr>
      </w:pPr>
    </w:p>
    <w:p w14:paraId="23757416">
      <w:pPr>
        <w:pStyle w:val="45"/>
        <w:widowControl/>
        <w:ind w:left="1680"/>
        <w:rPr>
          <w:rFonts w:cs="宋体" w:asciiTheme="minorEastAsia" w:hAnsiTheme="minorEastAsia" w:eastAsiaTheme="minorEastAsia"/>
          <w:sz w:val="24"/>
          <w:szCs w:val="24"/>
        </w:rPr>
      </w:pPr>
    </w:p>
    <w:p w14:paraId="6BF338D2">
      <w:pPr>
        <w:widowControl/>
        <w:spacing w:line="360" w:lineRule="auto"/>
        <w:jc w:val="left"/>
        <w:outlineLvl w:val="1"/>
        <w:rPr>
          <w:rFonts w:hint="eastAsia" w:asciiTheme="minorEastAsia" w:hAnsiTheme="minorEastAsia" w:eastAsiaTheme="minorEastAsia"/>
          <w:szCs w:val="22"/>
        </w:rPr>
      </w:pPr>
      <w:r>
        <w:rPr>
          <w:rFonts w:hint="eastAsia" w:cs="宋体" w:asciiTheme="minorEastAsia" w:hAnsiTheme="minorEastAsia" w:eastAsiaTheme="minorEastAsia"/>
          <w:sz w:val="24"/>
        </w:rPr>
        <w:br w:type="page"/>
      </w:r>
      <w:r>
        <w:rPr>
          <w:rFonts w:hint="eastAsia" w:cs="宋体" w:asciiTheme="minorEastAsia" w:hAnsiTheme="minorEastAsia" w:eastAsiaTheme="minorEastAsia"/>
          <w:sz w:val="24"/>
        </w:rPr>
        <w:t>14</w:t>
      </w:r>
      <w:r>
        <w:rPr>
          <w:rFonts w:cs="宋体" w:asciiTheme="minorEastAsia" w:hAnsiTheme="minorEastAsia" w:eastAsiaTheme="minorEastAsia"/>
          <w:sz w:val="24"/>
        </w:rPr>
        <w:t xml:space="preserve">  </w:t>
      </w:r>
      <w:r>
        <w:rPr>
          <w:rFonts w:hint="eastAsia" w:cs="宋体" w:asciiTheme="minorEastAsia" w:hAnsiTheme="minorEastAsia" w:eastAsiaTheme="minorEastAsia"/>
          <w:sz w:val="24"/>
        </w:rPr>
        <w:t>项目管理机构配备情况辅助说明资料（非实质性格式）</w:t>
      </w:r>
    </w:p>
    <w:p w14:paraId="6CD7BF68">
      <w:pPr>
        <w:widowControl/>
        <w:jc w:val="center"/>
        <w:rPr>
          <w:rFonts w:hint="eastAsia" w:asciiTheme="minorEastAsia" w:hAnsiTheme="minorEastAsia" w:eastAsiaTheme="minorEastAsia"/>
          <w:b/>
          <w:bCs/>
          <w:sz w:val="24"/>
        </w:rPr>
      </w:pPr>
      <w:r>
        <w:rPr>
          <w:rFonts w:hint="eastAsia" w:cs="Arial" w:asciiTheme="minorEastAsia" w:hAnsiTheme="minorEastAsia" w:eastAsiaTheme="minorEastAsia"/>
          <w:b/>
          <w:sz w:val="32"/>
          <w:szCs w:val="32"/>
        </w:rPr>
        <w:t>项目管理机构配备情况辅助说明资料</w:t>
      </w:r>
    </w:p>
    <w:p w14:paraId="2BD6E102">
      <w:pPr>
        <w:spacing w:line="440" w:lineRule="atLeast"/>
        <w:rPr>
          <w:rFonts w:hint="eastAsia" w:asciiTheme="minorEastAsia" w:hAnsiTheme="minorEastAsia" w:eastAsiaTheme="minorEastAsia"/>
          <w:szCs w:val="21"/>
        </w:rPr>
      </w:pPr>
      <w:r>
        <w:rPr>
          <w:rFonts w:asciiTheme="minorEastAsia" w:hAnsiTheme="minorEastAsia" w:eastAsiaTheme="minorEastAsia"/>
          <w:color w:val="000000"/>
          <w:szCs w:val="21"/>
        </w:rPr>
        <w:t>项目编号：______________________</w:t>
      </w:r>
      <w:r>
        <w:rPr>
          <w:rFonts w:hint="eastAsia" w:asciiTheme="minorEastAsia" w:hAnsiTheme="minorEastAsia" w:eastAsiaTheme="minorEastAsia"/>
          <w:color w:val="000000"/>
          <w:szCs w:val="21"/>
        </w:rPr>
        <w:t xml:space="preserve">     </w:t>
      </w:r>
      <w:r>
        <w:rPr>
          <w:rFonts w:asciiTheme="minorEastAsia" w:hAnsiTheme="minorEastAsia" w:eastAsiaTheme="minorEastAsia"/>
          <w:color w:val="000000"/>
          <w:szCs w:val="21"/>
        </w:rPr>
        <w:t>项目名称：________________________</w:t>
      </w:r>
    </w:p>
    <w:tbl>
      <w:tblPr>
        <w:tblStyle w:val="8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39"/>
      </w:tblGrid>
      <w:tr w14:paraId="4F7299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48" w:hRule="atLeast"/>
          <w:jc w:val="center"/>
        </w:trPr>
        <w:tc>
          <w:tcPr>
            <w:tcW w:w="9039" w:type="dxa"/>
          </w:tcPr>
          <w:p w14:paraId="6D82D6AD">
            <w:pPr>
              <w:tabs>
                <w:tab w:val="left" w:pos="0"/>
              </w:tabs>
              <w:spacing w:line="440" w:lineRule="atLeast"/>
              <w:ind w:right="-212"/>
              <w:jc w:val="center"/>
              <w:rPr>
                <w:rFonts w:hint="eastAsia" w:asciiTheme="minorEastAsia" w:hAnsiTheme="minorEastAsia" w:eastAsiaTheme="minorEastAsia"/>
                <w:szCs w:val="21"/>
              </w:rPr>
            </w:pPr>
          </w:p>
        </w:tc>
      </w:tr>
    </w:tbl>
    <w:p w14:paraId="7A7B21AD">
      <w:pPr>
        <w:spacing w:line="440" w:lineRule="atLeast"/>
        <w:ind w:left="697" w:right="34" w:hanging="697"/>
        <w:rPr>
          <w:rFonts w:hint="eastAsia" w:asciiTheme="minorEastAsia" w:hAnsiTheme="minorEastAsia" w:eastAsiaTheme="minorEastAsia"/>
          <w:szCs w:val="21"/>
        </w:rPr>
      </w:pPr>
      <w:r>
        <w:rPr>
          <w:rFonts w:asciiTheme="minorEastAsia" w:hAnsiTheme="minorEastAsia" w:eastAsiaTheme="minorEastAsia"/>
          <w:szCs w:val="21"/>
        </w:rPr>
        <w:t>注：1.辅助说明资料主要包括管理机构的机构设置、职责分工、有关复印证明资料以及</w:t>
      </w:r>
      <w:r>
        <w:rPr>
          <w:rFonts w:hint="eastAsia" w:asciiTheme="minorEastAsia" w:hAnsiTheme="minorEastAsia" w:eastAsiaTheme="minorEastAsia"/>
          <w:szCs w:val="21"/>
        </w:rPr>
        <w:t>供应商</w:t>
      </w:r>
      <w:r>
        <w:rPr>
          <w:rFonts w:asciiTheme="minorEastAsia" w:hAnsiTheme="minorEastAsia" w:eastAsiaTheme="minorEastAsia"/>
          <w:szCs w:val="21"/>
        </w:rPr>
        <w:t>认为有必要提供的资料。辅助说明资料格式不做统一规定，由</w:t>
      </w:r>
      <w:r>
        <w:rPr>
          <w:rFonts w:hint="eastAsia" w:asciiTheme="minorEastAsia" w:hAnsiTheme="minorEastAsia" w:eastAsiaTheme="minorEastAsia"/>
          <w:szCs w:val="21"/>
        </w:rPr>
        <w:t>供应商</w:t>
      </w:r>
      <w:r>
        <w:rPr>
          <w:rFonts w:asciiTheme="minorEastAsia" w:hAnsiTheme="minorEastAsia" w:eastAsiaTheme="minorEastAsia"/>
          <w:szCs w:val="21"/>
        </w:rPr>
        <w:t>自行设计。</w:t>
      </w:r>
    </w:p>
    <w:p w14:paraId="60C7D24C">
      <w:pPr>
        <w:spacing w:line="440" w:lineRule="atLeast"/>
        <w:ind w:left="693" w:leftChars="200" w:right="34" w:hanging="273" w:hangingChars="130"/>
        <w:rPr>
          <w:rFonts w:hint="eastAsia" w:asciiTheme="minorEastAsia" w:hAnsiTheme="minorEastAsia" w:eastAsiaTheme="minorEastAsia"/>
          <w:szCs w:val="21"/>
        </w:rPr>
      </w:pPr>
      <w:r>
        <w:rPr>
          <w:rFonts w:asciiTheme="minorEastAsia" w:hAnsiTheme="minorEastAsia" w:eastAsiaTheme="minorEastAsia"/>
          <w:szCs w:val="21"/>
        </w:rPr>
        <w:t>2.项目管理班子配备情况辅助说明资料另附（与本</w:t>
      </w:r>
      <w:r>
        <w:rPr>
          <w:rFonts w:hint="eastAsia" w:asciiTheme="minorEastAsia" w:hAnsiTheme="minorEastAsia" w:eastAsiaTheme="minorEastAsia"/>
          <w:szCs w:val="21"/>
        </w:rPr>
        <w:t>响应</w:t>
      </w:r>
      <w:r>
        <w:rPr>
          <w:rFonts w:asciiTheme="minorEastAsia" w:hAnsiTheme="minorEastAsia" w:eastAsiaTheme="minorEastAsia"/>
          <w:szCs w:val="21"/>
        </w:rPr>
        <w:t>文件一起装订）。</w:t>
      </w:r>
    </w:p>
    <w:p w14:paraId="6CDB8F8A">
      <w:pPr>
        <w:widowControl/>
        <w:jc w:val="left"/>
        <w:rPr>
          <w:rFonts w:hint="eastAsia" w:asciiTheme="minorEastAsia" w:hAnsiTheme="minorEastAsia" w:eastAsiaTheme="minorEastAsia"/>
          <w:color w:val="000000"/>
          <w:szCs w:val="21"/>
        </w:rPr>
      </w:pPr>
      <w:r>
        <w:rPr>
          <w:rFonts w:hint="eastAsia" w:asciiTheme="minorEastAsia" w:hAnsiTheme="minorEastAsia" w:eastAsiaTheme="minorEastAsia"/>
          <w:szCs w:val="21"/>
        </w:rPr>
        <w:br w:type="page"/>
      </w:r>
    </w:p>
    <w:p w14:paraId="3E1E8A7C">
      <w:pPr>
        <w:tabs>
          <w:tab w:val="left" w:pos="360"/>
        </w:tabs>
        <w:snapToGrid w:val="0"/>
        <w:spacing w:line="360" w:lineRule="auto"/>
        <w:outlineLvl w:val="1"/>
        <w:rPr>
          <w:rFonts w:hint="eastAsia" w:cs="宋体" w:asciiTheme="minorEastAsia" w:hAnsiTheme="minorEastAsia" w:eastAsiaTheme="minorEastAsia"/>
          <w:sz w:val="24"/>
        </w:rPr>
      </w:pPr>
      <w:bookmarkStart w:id="2310" w:name="_Toc102994652"/>
      <w:bookmarkStart w:id="2311" w:name="_Toc102759340"/>
      <w:bookmarkStart w:id="2312" w:name="_Toc102994386"/>
      <w:bookmarkStart w:id="2313" w:name="OLE_LINK47"/>
      <w:r>
        <w:rPr>
          <w:rFonts w:hint="eastAsia" w:cs="宋体" w:asciiTheme="minorEastAsia" w:hAnsiTheme="minorEastAsia" w:eastAsiaTheme="minorEastAsia"/>
          <w:sz w:val="24"/>
        </w:rPr>
        <w:t>15 分项报价</w:t>
      </w:r>
    </w:p>
    <w:p w14:paraId="34B37982">
      <w:pPr>
        <w:spacing w:line="360" w:lineRule="auto"/>
        <w:jc w:val="center"/>
        <w:rPr>
          <w:rFonts w:hint="eastAsia" w:ascii="宋体" w:hAnsi="宋体" w:cs="仿宋"/>
          <w:b/>
          <w:bCs/>
          <w:color w:val="000000" w:themeColor="text1"/>
          <w:sz w:val="24"/>
          <w14:textFill>
            <w14:solidFill>
              <w14:schemeClr w14:val="tx1"/>
            </w14:solidFill>
          </w14:textFill>
        </w:rPr>
      </w:pPr>
      <w:r>
        <w:rPr>
          <w:rFonts w:hint="eastAsia" w:ascii="宋体" w:hAnsi="宋体" w:cs="仿宋"/>
          <w:b/>
          <w:bCs/>
          <w:color w:val="000000" w:themeColor="text1"/>
          <w:sz w:val="24"/>
          <w14:textFill>
            <w14:solidFill>
              <w14:schemeClr w14:val="tx1"/>
            </w14:solidFill>
          </w14:textFill>
        </w:rPr>
        <w:t>分项报价说明</w:t>
      </w:r>
    </w:p>
    <w:p w14:paraId="64494E7C">
      <w:pPr>
        <w:spacing w:line="360" w:lineRule="auto"/>
        <w:ind w:firstLine="240" w:firstLineChars="100"/>
        <w:jc w:val="left"/>
        <w:rPr>
          <w:rFonts w:hint="eastAsia" w:ascii="宋体" w:hAnsi="宋体" w:cs="仿宋"/>
          <w:color w:val="000000" w:themeColor="text1"/>
          <w:sz w:val="24"/>
          <w14:textFill>
            <w14:solidFill>
              <w14:schemeClr w14:val="tx1"/>
            </w14:solidFill>
          </w14:textFill>
        </w:rPr>
      </w:pPr>
      <w:r>
        <w:rPr>
          <w:rFonts w:hint="eastAsia" w:ascii="宋体" w:hAnsi="宋体" w:cs="仿宋"/>
          <w:color w:val="000000" w:themeColor="text1"/>
          <w:sz w:val="24"/>
          <w14:textFill>
            <w14:solidFill>
              <w14:schemeClr w14:val="tx1"/>
            </w14:solidFill>
          </w14:textFill>
        </w:rPr>
        <w:t>（1）供应商应根据采购文件给定的工程量清单内容提供报价，不得擅自删减或改动工程量清单内容，否则视为无效投标；</w:t>
      </w:r>
    </w:p>
    <w:p w14:paraId="6B54D837">
      <w:pPr>
        <w:spacing w:line="360" w:lineRule="auto"/>
        <w:ind w:firstLine="240" w:firstLineChars="100"/>
        <w:jc w:val="left"/>
        <w:rPr>
          <w:rFonts w:hint="eastAsia" w:ascii="宋体" w:hAnsi="宋体" w:cs="仿宋"/>
          <w:color w:val="000000" w:themeColor="text1"/>
          <w:sz w:val="24"/>
          <w14:textFill>
            <w14:solidFill>
              <w14:schemeClr w14:val="tx1"/>
            </w14:solidFill>
          </w14:textFill>
        </w:rPr>
      </w:pPr>
      <w:r>
        <w:rPr>
          <w:rFonts w:hint="eastAsia" w:ascii="宋体" w:hAnsi="宋体" w:cs="仿宋"/>
          <w:color w:val="000000" w:themeColor="text1"/>
          <w:sz w:val="24"/>
          <w14:textFill>
            <w14:solidFill>
              <w14:schemeClr w14:val="tx1"/>
            </w14:solidFill>
          </w14:textFill>
        </w:rPr>
        <w:t>（2）工程量报价表中所填入的综合单价和合价均包括人工费、材料费、设备费、机械费、企业管理费、利润、风险费用等全部费用，并按规定计取税金。供应商报价时要充分考虑施工顺序、交叉配合及采购人和管理单位根据现场情况应充分考虑有关的施工配合、赶工、垃圾清运、安全文明施工、确保质量等有关费用。</w:t>
      </w:r>
    </w:p>
    <w:p w14:paraId="30F7A8C6">
      <w:pPr>
        <w:spacing w:line="360" w:lineRule="auto"/>
        <w:ind w:firstLine="240" w:firstLineChars="100"/>
        <w:jc w:val="left"/>
        <w:rPr>
          <w:rFonts w:hint="eastAsia" w:ascii="宋体" w:hAnsi="宋体" w:cs="仿宋"/>
          <w:color w:val="000000" w:themeColor="text1"/>
          <w:sz w:val="24"/>
          <w14:textFill>
            <w14:solidFill>
              <w14:schemeClr w14:val="tx1"/>
            </w14:solidFill>
          </w14:textFill>
        </w:rPr>
      </w:pPr>
      <w:r>
        <w:rPr>
          <w:rFonts w:hint="eastAsia" w:ascii="宋体" w:hAnsi="宋体" w:cs="仿宋"/>
          <w:color w:val="000000" w:themeColor="text1"/>
          <w:sz w:val="24"/>
          <w14:textFill>
            <w14:solidFill>
              <w14:schemeClr w14:val="tx1"/>
            </w14:solidFill>
          </w14:textFill>
        </w:rPr>
        <w:t>（3）响应报价时，供应商应对采购方提供的工程量根据采购文件认真核对，并承担相应风险，若工程量不准、缺漏项或特征描述不全的，供应商须及时提出，采购人将根据情况进行答疑或补正，否则，采购人将认为所提供的工程量是完整的。</w:t>
      </w:r>
    </w:p>
    <w:p w14:paraId="281271E6">
      <w:pPr>
        <w:spacing w:line="360" w:lineRule="auto"/>
        <w:ind w:firstLine="240" w:firstLineChars="100"/>
        <w:jc w:val="left"/>
        <w:rPr>
          <w:rFonts w:hint="eastAsia" w:ascii="宋体" w:hAnsi="宋体" w:cs="仿宋"/>
          <w:color w:val="000000" w:themeColor="text1"/>
          <w:sz w:val="24"/>
          <w14:textFill>
            <w14:solidFill>
              <w14:schemeClr w14:val="tx1"/>
            </w14:solidFill>
          </w14:textFill>
        </w:rPr>
      </w:pPr>
      <w:r>
        <w:rPr>
          <w:rFonts w:hint="eastAsia" w:ascii="宋体" w:hAnsi="宋体" w:cs="仿宋"/>
          <w:color w:val="000000" w:themeColor="text1"/>
          <w:sz w:val="24"/>
          <w14:textFill>
            <w14:solidFill>
              <w14:schemeClr w14:val="tx1"/>
            </w14:solidFill>
          </w14:textFill>
        </w:rPr>
        <w:t>（4）措施项目报价表中所填入的措施项目报价，包括为完成本工程项目施工必须采取的措施所发生的费用。</w:t>
      </w:r>
    </w:p>
    <w:p w14:paraId="66A84058">
      <w:pPr>
        <w:spacing w:line="360" w:lineRule="auto"/>
        <w:ind w:firstLine="240" w:firstLineChars="100"/>
        <w:jc w:val="left"/>
        <w:rPr>
          <w:rFonts w:hint="eastAsia" w:ascii="宋体" w:hAnsi="宋体" w:cs="仿宋"/>
          <w:color w:val="000000" w:themeColor="text1"/>
          <w:sz w:val="24"/>
          <w14:textFill>
            <w14:solidFill>
              <w14:schemeClr w14:val="tx1"/>
            </w14:solidFill>
          </w14:textFill>
        </w:rPr>
      </w:pPr>
      <w:r>
        <w:rPr>
          <w:rFonts w:hint="eastAsia" w:ascii="宋体" w:hAnsi="宋体" w:cs="仿宋"/>
          <w:color w:val="000000" w:themeColor="text1"/>
          <w:sz w:val="24"/>
          <w14:textFill>
            <w14:solidFill>
              <w14:schemeClr w14:val="tx1"/>
            </w14:solidFill>
          </w14:textFill>
        </w:rPr>
        <w:t>（5）其它项目清单包括除分部分项清单项目和措施项目报价表以外的，为完成本工程项目施工必须发生的其它费用。其它项目清单中须包括但不限于下面所列项目，施工配合费等。施工单位按照有关规定，负责检查并整理所属单位工程的其他施工单位的施工技术资料，并达到工程竣工备案要求标准。所需费用应包含在响应报价中。</w:t>
      </w:r>
    </w:p>
    <w:p w14:paraId="5FB96E39">
      <w:pPr>
        <w:spacing w:line="360" w:lineRule="auto"/>
        <w:ind w:firstLine="240" w:firstLineChars="100"/>
        <w:jc w:val="left"/>
        <w:rPr>
          <w:rFonts w:hint="eastAsia" w:ascii="宋体" w:hAnsi="宋体" w:cs="仿宋"/>
          <w:color w:val="000000" w:themeColor="text1"/>
          <w:sz w:val="24"/>
          <w14:textFill>
            <w14:solidFill>
              <w14:schemeClr w14:val="tx1"/>
            </w14:solidFill>
          </w14:textFill>
        </w:rPr>
      </w:pPr>
      <w:r>
        <w:rPr>
          <w:rFonts w:hint="eastAsia" w:ascii="宋体" w:hAnsi="宋体" w:cs="仿宋"/>
          <w:color w:val="000000" w:themeColor="text1"/>
          <w:sz w:val="24"/>
          <w14:textFill>
            <w14:solidFill>
              <w14:schemeClr w14:val="tx1"/>
            </w14:solidFill>
          </w14:textFill>
        </w:rPr>
        <w:t>（6）本工程量清单报价表中的每一单项均应填写单价和合价，对没有填写单价和合价的项目费用，视为已包括在工程量清单的其它单价或合价之中。</w:t>
      </w:r>
    </w:p>
    <w:p w14:paraId="67C65D04">
      <w:pPr>
        <w:spacing w:line="360" w:lineRule="auto"/>
        <w:ind w:firstLine="240" w:firstLineChars="100"/>
        <w:jc w:val="left"/>
        <w:rPr>
          <w:rFonts w:hint="eastAsia" w:ascii="宋体" w:hAnsi="宋体" w:cs="仿宋"/>
          <w:color w:val="000000" w:themeColor="text1"/>
          <w:sz w:val="24"/>
          <w14:textFill>
            <w14:solidFill>
              <w14:schemeClr w14:val="tx1"/>
            </w14:solidFill>
          </w14:textFill>
        </w:rPr>
      </w:pPr>
      <w:r>
        <w:rPr>
          <w:rFonts w:hint="eastAsia" w:ascii="宋体" w:hAnsi="宋体" w:cs="仿宋"/>
          <w:color w:val="000000" w:themeColor="text1"/>
          <w:sz w:val="24"/>
          <w14:textFill>
            <w14:solidFill>
              <w14:schemeClr w14:val="tx1"/>
            </w14:solidFill>
          </w14:textFill>
        </w:rPr>
        <w:t>（7）供应商应将响应报价需要说明的事项，用文字书写与响应报价表一并报送。</w:t>
      </w:r>
    </w:p>
    <w:p w14:paraId="3FEB5A44">
      <w:pPr>
        <w:pStyle w:val="37"/>
        <w:ind w:left="840" w:hanging="420"/>
        <w:rPr>
          <w:rFonts w:hint="eastAsia" w:ascii="宋体" w:hAnsi="宋体"/>
        </w:rPr>
      </w:pPr>
    </w:p>
    <w:p w14:paraId="42F2A730">
      <w:pPr>
        <w:pStyle w:val="37"/>
        <w:ind w:left="840" w:hanging="420"/>
        <w:rPr>
          <w:rFonts w:hint="eastAsia" w:ascii="宋体" w:hAnsi="宋体"/>
        </w:rPr>
      </w:pPr>
    </w:p>
    <w:p w14:paraId="7204B706">
      <w:pPr>
        <w:pStyle w:val="37"/>
        <w:ind w:left="840" w:hanging="420"/>
        <w:rPr>
          <w:rFonts w:hint="eastAsia" w:ascii="宋体" w:hAnsi="宋体"/>
        </w:rPr>
      </w:pPr>
    </w:p>
    <w:p w14:paraId="39EE522C">
      <w:pPr>
        <w:pStyle w:val="37"/>
        <w:ind w:left="840" w:hanging="420"/>
        <w:rPr>
          <w:rFonts w:hint="eastAsia" w:ascii="宋体" w:hAnsi="宋体"/>
        </w:rPr>
      </w:pPr>
    </w:p>
    <w:p w14:paraId="06D33888">
      <w:pPr>
        <w:pStyle w:val="37"/>
        <w:ind w:left="840" w:hanging="420"/>
        <w:rPr>
          <w:rFonts w:hint="eastAsia" w:ascii="宋体" w:hAnsi="宋体"/>
        </w:rPr>
      </w:pPr>
    </w:p>
    <w:p w14:paraId="702C6503">
      <w:pPr>
        <w:pStyle w:val="37"/>
        <w:ind w:left="840" w:hanging="420"/>
        <w:rPr>
          <w:rFonts w:hint="eastAsia" w:ascii="宋体" w:hAnsi="宋体"/>
        </w:rPr>
      </w:pPr>
    </w:p>
    <w:p w14:paraId="722C195A">
      <w:pPr>
        <w:pStyle w:val="37"/>
        <w:ind w:left="840" w:hanging="420"/>
        <w:rPr>
          <w:rFonts w:hint="eastAsia" w:ascii="宋体" w:hAnsi="宋体"/>
        </w:rPr>
      </w:pPr>
    </w:p>
    <w:p w14:paraId="20D575E0">
      <w:pPr>
        <w:pStyle w:val="37"/>
        <w:ind w:left="840" w:hanging="420"/>
        <w:rPr>
          <w:rFonts w:hint="eastAsia" w:ascii="宋体" w:hAnsi="宋体"/>
        </w:rPr>
      </w:pPr>
    </w:p>
    <w:p w14:paraId="3817E6AC">
      <w:pPr>
        <w:pStyle w:val="37"/>
        <w:ind w:left="840" w:hanging="420"/>
        <w:rPr>
          <w:rFonts w:hint="eastAsia" w:ascii="宋体" w:hAnsi="宋体"/>
        </w:rPr>
      </w:pPr>
    </w:p>
    <w:p w14:paraId="07F9153A">
      <w:pPr>
        <w:pStyle w:val="37"/>
        <w:ind w:left="840" w:hanging="420"/>
        <w:rPr>
          <w:rFonts w:hint="eastAsia" w:ascii="宋体" w:hAnsi="宋体"/>
        </w:rPr>
      </w:pPr>
    </w:p>
    <w:p w14:paraId="79B00325">
      <w:pPr>
        <w:pStyle w:val="37"/>
        <w:ind w:left="840" w:hanging="420"/>
        <w:rPr>
          <w:rFonts w:hint="eastAsia" w:ascii="宋体" w:hAnsi="宋体"/>
        </w:rPr>
      </w:pPr>
    </w:p>
    <w:p w14:paraId="7075A1AB">
      <w:pPr>
        <w:pStyle w:val="37"/>
        <w:ind w:left="840" w:hanging="420"/>
        <w:rPr>
          <w:rFonts w:hint="eastAsia" w:ascii="宋体" w:hAnsi="宋体"/>
        </w:rPr>
      </w:pPr>
    </w:p>
    <w:p w14:paraId="6BC80771">
      <w:pPr>
        <w:pStyle w:val="37"/>
        <w:ind w:left="840" w:hanging="420"/>
        <w:rPr>
          <w:rFonts w:hint="eastAsia" w:ascii="宋体" w:hAnsi="宋体"/>
        </w:rPr>
      </w:pPr>
    </w:p>
    <w:p w14:paraId="73D270A9">
      <w:pPr>
        <w:pStyle w:val="5"/>
        <w:spacing w:line="360" w:lineRule="auto"/>
        <w:ind w:firstLine="643"/>
        <w:jc w:val="center"/>
        <w:rPr>
          <w:rFonts w:hint="eastAsia" w:cs="宋体" w:asciiTheme="minorEastAsia" w:hAnsiTheme="minorEastAsia" w:eastAsiaTheme="minorEastAsia"/>
        </w:rPr>
      </w:pPr>
    </w:p>
    <w:p w14:paraId="6B38F1E9">
      <w:pPr>
        <w:pStyle w:val="37"/>
        <w:ind w:left="900" w:hanging="480"/>
        <w:rPr>
          <w:rFonts w:hint="eastAsia" w:ascii="宋体" w:hAnsi="宋体" w:cs="宋体" w:eastAsiaTheme="minorEastAsia"/>
          <w:bCs/>
          <w:sz w:val="24"/>
        </w:rPr>
      </w:pPr>
    </w:p>
    <w:p w14:paraId="02A574DB">
      <w:pPr>
        <w:pStyle w:val="103"/>
        <w:rPr>
          <w:kern w:val="0"/>
        </w:rPr>
      </w:pPr>
      <w:r>
        <w:rPr>
          <w:rFonts w:hint="eastAsia"/>
        </w:rPr>
        <w:br w:type="page"/>
      </w:r>
    </w:p>
    <w:p w14:paraId="208096C1">
      <w:pPr>
        <w:pStyle w:val="4"/>
        <w:jc w:val="left"/>
        <w:rPr>
          <w:rFonts w:hint="eastAsia" w:asciiTheme="minorEastAsia" w:hAnsiTheme="minorEastAsia" w:eastAsiaTheme="minorEastAsia"/>
          <w:b w:val="0"/>
          <w:bCs/>
          <w:sz w:val="24"/>
          <w:szCs w:val="24"/>
        </w:rPr>
      </w:pPr>
      <w:r>
        <w:rPr>
          <w:rFonts w:hint="eastAsia" w:cs="宋体" w:asciiTheme="minorEastAsia" w:hAnsiTheme="minorEastAsia" w:eastAsiaTheme="minorEastAsia"/>
          <w:b w:val="0"/>
          <w:bCs/>
          <w:sz w:val="24"/>
          <w:szCs w:val="24"/>
        </w:rPr>
        <w:t>16</w:t>
      </w:r>
      <w:r>
        <w:rPr>
          <w:rFonts w:cs="宋体" w:asciiTheme="minorEastAsia" w:hAnsiTheme="minorEastAsia" w:eastAsiaTheme="minorEastAsia"/>
          <w:b w:val="0"/>
          <w:bCs/>
          <w:sz w:val="24"/>
          <w:szCs w:val="24"/>
        </w:rPr>
        <w:t xml:space="preserve">  </w:t>
      </w:r>
      <w:r>
        <w:rPr>
          <w:rFonts w:asciiTheme="minorEastAsia" w:hAnsiTheme="minorEastAsia" w:eastAsiaTheme="minorEastAsia"/>
          <w:b w:val="0"/>
          <w:bCs/>
          <w:sz w:val="24"/>
          <w:szCs w:val="24"/>
        </w:rPr>
        <w:t>成交服务费承诺书</w:t>
      </w:r>
      <w:bookmarkEnd w:id="2310"/>
      <w:bookmarkEnd w:id="2311"/>
      <w:bookmarkEnd w:id="2312"/>
    </w:p>
    <w:p w14:paraId="00242F81">
      <w:pPr>
        <w:pStyle w:val="5"/>
        <w:jc w:val="center"/>
        <w:rPr>
          <w:rFonts w:hint="eastAsia" w:asciiTheme="minorEastAsia" w:hAnsiTheme="minorEastAsia" w:eastAsiaTheme="minorEastAsia"/>
          <w:b/>
          <w:bCs/>
          <w:sz w:val="32"/>
          <w:szCs w:val="32"/>
        </w:rPr>
      </w:pPr>
    </w:p>
    <w:p w14:paraId="073F13A0">
      <w:pPr>
        <w:pStyle w:val="5"/>
        <w:jc w:val="center"/>
        <w:rPr>
          <w:rFonts w:hint="eastAsia" w:asciiTheme="minorEastAsia" w:hAnsiTheme="minorEastAsia" w:eastAsiaTheme="minorEastAsia"/>
          <w:sz w:val="32"/>
          <w:szCs w:val="22"/>
        </w:rPr>
      </w:pPr>
      <w:r>
        <w:rPr>
          <w:rFonts w:asciiTheme="minorEastAsia" w:hAnsiTheme="minorEastAsia" w:eastAsiaTheme="minorEastAsia"/>
          <w:b/>
          <w:bCs/>
          <w:sz w:val="32"/>
          <w:szCs w:val="32"/>
        </w:rPr>
        <w:t>成交服务费承诺书</w:t>
      </w:r>
    </w:p>
    <w:p w14:paraId="19E0979A">
      <w:pPr>
        <w:widowControl/>
        <w:spacing w:line="360" w:lineRule="auto"/>
        <w:jc w:val="left"/>
        <w:rPr>
          <w:rFonts w:hint="eastAsia" w:cs="Arial" w:asciiTheme="minorEastAsia" w:hAnsiTheme="minorEastAsia" w:eastAsiaTheme="minorEastAsia"/>
          <w:sz w:val="24"/>
          <w:u w:val="single"/>
        </w:rPr>
      </w:pPr>
    </w:p>
    <w:p w14:paraId="5824B2D2">
      <w:pPr>
        <w:widowControl/>
        <w:spacing w:line="480" w:lineRule="auto"/>
        <w:ind w:left="840" w:hanging="840" w:hangingChars="350"/>
        <w:jc w:val="left"/>
        <w:rPr>
          <w:rFonts w:hint="eastAsia" w:cs="Arial" w:asciiTheme="minorEastAsia" w:hAnsiTheme="minorEastAsia" w:eastAsiaTheme="minorEastAsia"/>
          <w:sz w:val="24"/>
          <w:u w:val="single"/>
        </w:rPr>
      </w:pPr>
    </w:p>
    <w:p w14:paraId="12ED029D">
      <w:pPr>
        <w:widowControl/>
        <w:spacing w:line="480" w:lineRule="auto"/>
        <w:ind w:left="843" w:hanging="843" w:hangingChars="350"/>
        <w:jc w:val="left"/>
        <w:rPr>
          <w:rFonts w:hint="eastAsia" w:cs="Arial" w:asciiTheme="minorEastAsia" w:hAnsiTheme="minorEastAsia" w:eastAsiaTheme="minorEastAsia"/>
          <w:sz w:val="24"/>
          <w:u w:val="single"/>
        </w:rPr>
      </w:pPr>
      <w:r>
        <w:rPr>
          <w:rFonts w:hint="eastAsia" w:ascii="宋体" w:hAnsi="宋体" w:cs="宋体" w:eastAsiaTheme="minorEastAsia"/>
          <w:b/>
          <w:sz w:val="24"/>
          <w:u w:val="single"/>
        </w:rPr>
        <w:t>北京天一圣匠工程咨询有限公司</w:t>
      </w:r>
      <w:r>
        <w:rPr>
          <w:rFonts w:hint="eastAsia" w:cs="Arial" w:asciiTheme="minorEastAsia" w:hAnsiTheme="minorEastAsia" w:eastAsiaTheme="minorEastAsia"/>
          <w:sz w:val="24"/>
          <w:u w:val="single"/>
        </w:rPr>
        <w:t>：</w:t>
      </w:r>
    </w:p>
    <w:p w14:paraId="2989F470">
      <w:pPr>
        <w:widowControl/>
        <w:spacing w:line="360" w:lineRule="auto"/>
        <w:ind w:firstLine="480" w:firstLineChars="200"/>
        <w:jc w:val="left"/>
        <w:rPr>
          <w:rFonts w:hint="eastAsia" w:cs="Arial" w:asciiTheme="minorEastAsia" w:hAnsiTheme="minorEastAsia" w:eastAsiaTheme="minorEastAsia"/>
          <w:sz w:val="24"/>
        </w:rPr>
      </w:pPr>
      <w:r>
        <w:rPr>
          <w:rFonts w:hint="eastAsia" w:cs="Arial" w:asciiTheme="minorEastAsia" w:hAnsiTheme="minorEastAsia" w:eastAsiaTheme="minorEastAsia"/>
          <w:sz w:val="24"/>
        </w:rPr>
        <w:t xml:space="preserve">本公司在贵公司组织的 </w:t>
      </w:r>
      <w:r>
        <w:rPr>
          <w:rFonts w:hint="eastAsia" w:cs="Arial" w:asciiTheme="minorEastAsia" w:hAnsiTheme="minorEastAsia" w:eastAsiaTheme="minorEastAsia"/>
          <w:sz w:val="24"/>
          <w:u w:val="single"/>
        </w:rPr>
        <w:t xml:space="preserve">              </w:t>
      </w:r>
      <w:r>
        <w:rPr>
          <w:rFonts w:hint="eastAsia" w:cs="Arial" w:asciiTheme="minorEastAsia" w:hAnsiTheme="minorEastAsia" w:eastAsiaTheme="minorEastAsia"/>
          <w:sz w:val="24"/>
        </w:rPr>
        <w:t>（项目名称）中若中标/成交，本公司保证按本项目竞争性磋商文件的约定或者按本项目采购代理合同（协议）的约定支付成交服务费。</w:t>
      </w:r>
    </w:p>
    <w:p w14:paraId="2C733764">
      <w:pPr>
        <w:widowControl/>
        <w:spacing w:line="360" w:lineRule="auto"/>
        <w:ind w:firstLine="480" w:firstLineChars="200"/>
        <w:jc w:val="left"/>
        <w:rPr>
          <w:rFonts w:hint="eastAsia" w:cs="Arial" w:asciiTheme="minorEastAsia" w:hAnsiTheme="minorEastAsia" w:eastAsiaTheme="minorEastAsia"/>
          <w:sz w:val="24"/>
          <w:u w:val="single"/>
        </w:rPr>
      </w:pPr>
    </w:p>
    <w:p w14:paraId="5B20D4D6">
      <w:pPr>
        <w:widowControl/>
        <w:spacing w:line="360" w:lineRule="auto"/>
        <w:ind w:firstLine="482" w:firstLineChars="200"/>
        <w:jc w:val="left"/>
        <w:rPr>
          <w:rFonts w:hint="eastAsia" w:cs="Arial" w:asciiTheme="minorEastAsia" w:hAnsiTheme="minorEastAsia" w:eastAsiaTheme="minorEastAsia"/>
          <w:b/>
          <w:sz w:val="24"/>
          <w:u w:val="single"/>
        </w:rPr>
      </w:pPr>
      <w:r>
        <w:rPr>
          <w:rFonts w:hint="eastAsia" w:cs="Arial" w:asciiTheme="minorEastAsia" w:hAnsiTheme="minorEastAsia" w:eastAsiaTheme="minorEastAsia"/>
          <w:b/>
          <w:sz w:val="24"/>
          <w:u w:val="single"/>
        </w:rPr>
        <w:t>收费账户信息如下：</w:t>
      </w:r>
    </w:p>
    <w:p w14:paraId="159209F5">
      <w:pPr>
        <w:widowControl/>
        <w:spacing w:line="360" w:lineRule="auto"/>
        <w:ind w:firstLine="482" w:firstLineChars="200"/>
        <w:jc w:val="left"/>
        <w:rPr>
          <w:rFonts w:hint="eastAsia" w:cs="Arial" w:asciiTheme="minorEastAsia" w:hAnsiTheme="minorEastAsia" w:eastAsiaTheme="minorEastAsia"/>
          <w:b/>
          <w:sz w:val="24"/>
          <w:u w:val="single"/>
        </w:rPr>
      </w:pPr>
      <w:r>
        <w:rPr>
          <w:rFonts w:hint="eastAsia" w:cs="Arial" w:asciiTheme="minorEastAsia" w:hAnsiTheme="minorEastAsia" w:eastAsiaTheme="minorEastAsia"/>
          <w:b/>
          <w:sz w:val="24"/>
          <w:u w:val="single"/>
        </w:rPr>
        <w:t>账户名称：北京天一圣匠工程咨询有限公司</w:t>
      </w:r>
    </w:p>
    <w:p w14:paraId="1E94CB48">
      <w:pPr>
        <w:widowControl/>
        <w:spacing w:line="360" w:lineRule="auto"/>
        <w:ind w:firstLine="482" w:firstLineChars="200"/>
        <w:jc w:val="left"/>
        <w:rPr>
          <w:rFonts w:hint="eastAsia" w:cs="Arial" w:asciiTheme="minorEastAsia" w:hAnsiTheme="minorEastAsia" w:eastAsiaTheme="minorEastAsia"/>
          <w:b/>
          <w:sz w:val="24"/>
          <w:u w:val="single"/>
        </w:rPr>
      </w:pPr>
      <w:r>
        <w:rPr>
          <w:rFonts w:hint="eastAsia" w:cs="Arial" w:asciiTheme="minorEastAsia" w:hAnsiTheme="minorEastAsia" w:eastAsiaTheme="minorEastAsia"/>
          <w:b/>
          <w:sz w:val="24"/>
          <w:u w:val="single"/>
        </w:rPr>
        <w:t>开户银行名称：中国建设银行股份有限公司北京郭公庄支行</w:t>
      </w:r>
    </w:p>
    <w:p w14:paraId="4D474360">
      <w:pPr>
        <w:widowControl/>
        <w:spacing w:line="360" w:lineRule="auto"/>
        <w:ind w:firstLine="482" w:firstLineChars="200"/>
        <w:jc w:val="left"/>
        <w:rPr>
          <w:rFonts w:hint="eastAsia" w:cs="Arial" w:asciiTheme="minorEastAsia" w:hAnsiTheme="minorEastAsia" w:eastAsiaTheme="minorEastAsia"/>
          <w:b/>
          <w:sz w:val="24"/>
          <w:u w:val="single"/>
        </w:rPr>
      </w:pPr>
      <w:r>
        <w:rPr>
          <w:rFonts w:hint="eastAsia" w:cs="Arial" w:asciiTheme="minorEastAsia" w:hAnsiTheme="minorEastAsia" w:eastAsiaTheme="minorEastAsia"/>
          <w:b/>
          <w:sz w:val="24"/>
          <w:u w:val="single"/>
        </w:rPr>
        <w:t>银行账号：348070425654</w:t>
      </w:r>
    </w:p>
    <w:p w14:paraId="41F098E2">
      <w:pPr>
        <w:spacing w:line="360" w:lineRule="auto"/>
        <w:ind w:hanging="142"/>
        <w:jc w:val="left"/>
        <w:rPr>
          <w:rFonts w:hint="eastAsia" w:cs="Arial" w:asciiTheme="minorEastAsia" w:hAnsiTheme="minorEastAsia" w:eastAsiaTheme="minorEastAsia"/>
          <w:sz w:val="24"/>
          <w:szCs w:val="21"/>
        </w:rPr>
      </w:pPr>
      <w:r>
        <w:rPr>
          <w:rFonts w:cs="Arial" w:asciiTheme="minorEastAsia" w:hAnsiTheme="minorEastAsia" w:eastAsiaTheme="minorEastAsia"/>
          <w:sz w:val="24"/>
          <w:szCs w:val="21"/>
        </w:rPr>
        <w:t>特此承诺！</w:t>
      </w:r>
    </w:p>
    <w:p w14:paraId="4625FC3B">
      <w:pPr>
        <w:spacing w:line="360" w:lineRule="auto"/>
        <w:ind w:firstLine="480"/>
        <w:jc w:val="left"/>
        <w:rPr>
          <w:rFonts w:hint="eastAsia" w:cs="Arial" w:asciiTheme="minorEastAsia" w:hAnsiTheme="minorEastAsia" w:eastAsiaTheme="minorEastAsia"/>
          <w:sz w:val="24"/>
          <w:szCs w:val="21"/>
        </w:rPr>
      </w:pPr>
    </w:p>
    <w:p w14:paraId="3A4A2D04">
      <w:pPr>
        <w:spacing w:line="360" w:lineRule="auto"/>
        <w:ind w:firstLine="480"/>
        <w:jc w:val="left"/>
        <w:rPr>
          <w:rFonts w:hint="eastAsia" w:cs="Arial" w:asciiTheme="minorEastAsia" w:hAnsiTheme="minorEastAsia" w:eastAsiaTheme="minorEastAsia"/>
          <w:sz w:val="24"/>
          <w:szCs w:val="21"/>
        </w:rPr>
      </w:pPr>
    </w:p>
    <w:p w14:paraId="4AADB42A">
      <w:pPr>
        <w:spacing w:line="360" w:lineRule="auto"/>
        <w:ind w:firstLine="480"/>
        <w:jc w:val="left"/>
        <w:rPr>
          <w:rFonts w:hint="eastAsia" w:cs="Arial" w:asciiTheme="minorEastAsia" w:hAnsiTheme="minorEastAsia" w:eastAsiaTheme="minorEastAsia"/>
          <w:sz w:val="24"/>
          <w:szCs w:val="21"/>
        </w:rPr>
      </w:pPr>
    </w:p>
    <w:p w14:paraId="04E59491">
      <w:pPr>
        <w:spacing w:line="480" w:lineRule="auto"/>
        <w:ind w:firstLine="991" w:firstLineChars="413"/>
        <w:rPr>
          <w:rFonts w:hint="eastAsia" w:asciiTheme="minorEastAsia" w:hAnsiTheme="minorEastAsia" w:eastAsiaTheme="minorEastAsia"/>
          <w:sz w:val="24"/>
          <w:szCs w:val="21"/>
          <w:u w:val="single"/>
        </w:rPr>
      </w:pPr>
      <w:r>
        <w:rPr>
          <w:rFonts w:hint="eastAsia" w:asciiTheme="minorEastAsia" w:hAnsiTheme="minorEastAsia" w:eastAsiaTheme="minorEastAsia"/>
          <w:sz w:val="24"/>
          <w:szCs w:val="21"/>
        </w:rPr>
        <w:t>供应商名称（加盖</w:t>
      </w:r>
      <w:r>
        <w:rPr>
          <w:rFonts w:asciiTheme="minorEastAsia" w:hAnsiTheme="minorEastAsia" w:eastAsiaTheme="minorEastAsia"/>
          <w:sz w:val="24"/>
          <w:szCs w:val="21"/>
        </w:rPr>
        <w:t>公</w:t>
      </w:r>
      <w:r>
        <w:rPr>
          <w:rFonts w:hint="eastAsia" w:asciiTheme="minorEastAsia" w:hAnsiTheme="minorEastAsia" w:eastAsiaTheme="minorEastAsia"/>
          <w:sz w:val="24"/>
          <w:szCs w:val="21"/>
        </w:rPr>
        <w:t>章）：</w:t>
      </w:r>
      <w:r>
        <w:rPr>
          <w:rFonts w:asciiTheme="minorEastAsia" w:hAnsiTheme="minorEastAsia" w:eastAsiaTheme="minorEastAsia"/>
          <w:sz w:val="24"/>
          <w:szCs w:val="21"/>
          <w:u w:val="single"/>
        </w:rPr>
        <w:t xml:space="preserve">                      </w:t>
      </w:r>
    </w:p>
    <w:p w14:paraId="768121F7">
      <w:pPr>
        <w:spacing w:line="480" w:lineRule="auto"/>
        <w:ind w:firstLine="991" w:firstLineChars="413"/>
        <w:rPr>
          <w:rFonts w:hint="eastAsia" w:asciiTheme="minorEastAsia" w:hAnsiTheme="minorEastAsia" w:eastAsiaTheme="minorEastAsia"/>
          <w:sz w:val="24"/>
          <w:szCs w:val="21"/>
        </w:rPr>
      </w:pPr>
      <w:r>
        <w:rPr>
          <w:rFonts w:hint="eastAsia" w:asciiTheme="minorEastAsia" w:hAnsiTheme="minorEastAsia" w:eastAsiaTheme="minorEastAsia"/>
          <w:sz w:val="24"/>
          <w:szCs w:val="21"/>
        </w:rPr>
        <w:t>法定代表人或其授权代表（签字/签章）：</w:t>
      </w:r>
      <w:r>
        <w:rPr>
          <w:rFonts w:hint="eastAsia" w:asciiTheme="minorEastAsia" w:hAnsiTheme="minorEastAsia" w:eastAsiaTheme="minorEastAsia"/>
          <w:sz w:val="24"/>
          <w:szCs w:val="21"/>
          <w:u w:val="single"/>
        </w:rPr>
        <w:t xml:space="preserve"> </w:t>
      </w:r>
      <w:r>
        <w:rPr>
          <w:rFonts w:asciiTheme="minorEastAsia" w:hAnsiTheme="minorEastAsia" w:eastAsiaTheme="minorEastAsia"/>
          <w:sz w:val="24"/>
          <w:szCs w:val="21"/>
          <w:u w:val="single"/>
        </w:rPr>
        <w:t xml:space="preserve">                     </w:t>
      </w:r>
    </w:p>
    <w:p w14:paraId="5300EFC6">
      <w:pPr>
        <w:spacing w:line="480" w:lineRule="auto"/>
        <w:ind w:firstLine="991" w:firstLineChars="413"/>
        <w:rPr>
          <w:rFonts w:hint="eastAsia" w:asciiTheme="minorEastAsia" w:hAnsiTheme="minorEastAsia" w:eastAsiaTheme="minorEastAsia"/>
          <w:sz w:val="24"/>
          <w:szCs w:val="21"/>
        </w:rPr>
      </w:pPr>
      <w:r>
        <w:rPr>
          <w:rFonts w:hint="eastAsia" w:asciiTheme="minorEastAsia" w:hAnsiTheme="minorEastAsia" w:eastAsiaTheme="minorEastAsia"/>
          <w:sz w:val="24"/>
          <w:szCs w:val="21"/>
        </w:rPr>
        <w:t>日期：</w:t>
      </w:r>
      <w:r>
        <w:rPr>
          <w:rFonts w:hint="eastAsia" w:asciiTheme="minorEastAsia" w:hAnsiTheme="minorEastAsia" w:eastAsiaTheme="minorEastAsia"/>
          <w:sz w:val="24"/>
          <w:szCs w:val="21"/>
          <w:u w:val="single"/>
        </w:rPr>
        <w:t xml:space="preserve">     </w:t>
      </w:r>
      <w:r>
        <w:rPr>
          <w:rFonts w:hint="eastAsia" w:asciiTheme="minorEastAsia" w:hAnsiTheme="minorEastAsia" w:eastAsiaTheme="minorEastAsia"/>
          <w:sz w:val="24"/>
          <w:szCs w:val="21"/>
        </w:rPr>
        <w:t>年</w:t>
      </w:r>
      <w:r>
        <w:rPr>
          <w:rFonts w:hint="eastAsia" w:asciiTheme="minorEastAsia" w:hAnsiTheme="minorEastAsia" w:eastAsiaTheme="minorEastAsia"/>
          <w:sz w:val="24"/>
          <w:szCs w:val="21"/>
          <w:u w:val="single"/>
        </w:rPr>
        <w:t xml:space="preserve">   </w:t>
      </w:r>
      <w:r>
        <w:rPr>
          <w:rFonts w:hint="eastAsia" w:asciiTheme="minorEastAsia" w:hAnsiTheme="minorEastAsia" w:eastAsiaTheme="minorEastAsia"/>
          <w:sz w:val="24"/>
          <w:szCs w:val="21"/>
        </w:rPr>
        <w:t>月</w:t>
      </w:r>
      <w:r>
        <w:rPr>
          <w:rFonts w:hint="eastAsia" w:asciiTheme="minorEastAsia" w:hAnsiTheme="minorEastAsia" w:eastAsiaTheme="minorEastAsia"/>
          <w:sz w:val="24"/>
          <w:szCs w:val="21"/>
          <w:u w:val="single"/>
        </w:rPr>
        <w:t xml:space="preserve">   </w:t>
      </w:r>
      <w:r>
        <w:rPr>
          <w:rFonts w:hint="eastAsia" w:asciiTheme="minorEastAsia" w:hAnsiTheme="minorEastAsia" w:eastAsiaTheme="minorEastAsia"/>
          <w:sz w:val="24"/>
          <w:szCs w:val="21"/>
        </w:rPr>
        <w:t>日</w:t>
      </w:r>
    </w:p>
    <w:p w14:paraId="65FB6042">
      <w:pPr>
        <w:pStyle w:val="45"/>
        <w:spacing w:line="360" w:lineRule="auto"/>
        <w:ind w:left="1680" w:right="-687"/>
        <w:rPr>
          <w:rFonts w:cs="Tahoma" w:asciiTheme="minorEastAsia" w:hAnsiTheme="minorEastAsia" w:eastAsiaTheme="minorEastAsia"/>
          <w:sz w:val="24"/>
          <w:szCs w:val="24"/>
          <w:u w:val="single"/>
        </w:rPr>
      </w:pPr>
    </w:p>
    <w:p w14:paraId="77A8C24D">
      <w:pPr>
        <w:widowControl/>
        <w:jc w:val="left"/>
        <w:rPr>
          <w:rFonts w:hint="eastAsia" w:cs="Arial" w:asciiTheme="minorEastAsia" w:hAnsiTheme="minorEastAsia" w:eastAsiaTheme="minorEastAsia"/>
          <w:b/>
          <w:bCs/>
          <w:sz w:val="28"/>
          <w:szCs w:val="28"/>
        </w:rPr>
      </w:pPr>
      <w:r>
        <w:rPr>
          <w:rFonts w:cs="Arial" w:asciiTheme="minorEastAsia" w:hAnsiTheme="minorEastAsia" w:eastAsiaTheme="minorEastAsia"/>
          <w:b/>
          <w:bCs/>
          <w:sz w:val="28"/>
          <w:szCs w:val="28"/>
        </w:rPr>
        <w:br w:type="page"/>
      </w:r>
    </w:p>
    <w:p w14:paraId="20330D9E">
      <w:pPr>
        <w:pStyle w:val="4"/>
        <w:jc w:val="left"/>
        <w:rPr>
          <w:rFonts w:hint="eastAsia" w:asciiTheme="minorEastAsia" w:hAnsiTheme="minorEastAsia" w:eastAsiaTheme="minorEastAsia"/>
          <w:sz w:val="24"/>
        </w:rPr>
      </w:pPr>
      <w:r>
        <w:rPr>
          <w:rFonts w:hint="eastAsia" w:cs="宋体" w:asciiTheme="minorEastAsia" w:hAnsiTheme="minorEastAsia" w:eastAsiaTheme="minorEastAsia"/>
          <w:b w:val="0"/>
          <w:sz w:val="24"/>
          <w:szCs w:val="24"/>
        </w:rPr>
        <w:t>17</w:t>
      </w:r>
      <w:r>
        <w:rPr>
          <w:rFonts w:cs="宋体" w:asciiTheme="minorEastAsia" w:hAnsiTheme="minorEastAsia" w:eastAsiaTheme="minorEastAsia"/>
          <w:b w:val="0"/>
          <w:sz w:val="24"/>
          <w:szCs w:val="24"/>
        </w:rPr>
        <w:t xml:space="preserve">  </w:t>
      </w:r>
      <w:r>
        <w:rPr>
          <w:rFonts w:cs="宋体" w:asciiTheme="minorEastAsia" w:hAnsiTheme="minorEastAsia" w:eastAsiaTheme="minorEastAsia"/>
          <w:b w:val="0"/>
          <w:bCs/>
          <w:sz w:val="24"/>
          <w:szCs w:val="24"/>
        </w:rPr>
        <w:t>最后报价一览表（实质性格式，磋商后提交）</w:t>
      </w:r>
    </w:p>
    <w:p w14:paraId="619E33CC">
      <w:pPr>
        <w:widowControl/>
        <w:jc w:val="left"/>
        <w:rPr>
          <w:rFonts w:hint="eastAsia" w:asciiTheme="minorEastAsia" w:hAnsiTheme="minorEastAsia" w:eastAsiaTheme="minorEastAsia"/>
          <w:kern w:val="0"/>
          <w:sz w:val="24"/>
          <w:szCs w:val="20"/>
        </w:rPr>
      </w:pPr>
    </w:p>
    <w:p w14:paraId="0D360B4E">
      <w:pPr>
        <w:spacing w:line="360" w:lineRule="exact"/>
        <w:ind w:firstLine="720"/>
        <w:jc w:val="center"/>
        <w:rPr>
          <w:rFonts w:hint="eastAsia" w:asciiTheme="minorEastAsia" w:hAnsiTheme="minorEastAsia" w:eastAsiaTheme="minorEastAsia"/>
          <w:b/>
          <w:color w:val="000000"/>
          <w:sz w:val="32"/>
          <w:szCs w:val="32"/>
        </w:rPr>
      </w:pPr>
      <w:r>
        <w:rPr>
          <w:rFonts w:hint="eastAsia" w:asciiTheme="minorEastAsia" w:hAnsiTheme="minorEastAsia" w:eastAsiaTheme="minorEastAsia"/>
          <w:b/>
          <w:color w:val="000000"/>
          <w:sz w:val="32"/>
          <w:szCs w:val="32"/>
        </w:rPr>
        <w:t>最后报价一览表</w:t>
      </w:r>
    </w:p>
    <w:p w14:paraId="6D5C5BEA">
      <w:pPr>
        <w:tabs>
          <w:tab w:val="left" w:pos="1800"/>
          <w:tab w:val="left" w:pos="5580"/>
        </w:tabs>
        <w:rPr>
          <w:rFonts w:hint="eastAsia" w:asciiTheme="minorEastAsia" w:hAnsiTheme="minorEastAsia" w:eastAsiaTheme="minorEastAsia"/>
          <w:color w:val="000000"/>
          <w:sz w:val="24"/>
        </w:rPr>
      </w:pPr>
      <w:r>
        <w:rPr>
          <w:rFonts w:asciiTheme="minorEastAsia" w:hAnsiTheme="minorEastAsia" w:eastAsiaTheme="minorEastAsia"/>
          <w:color w:val="000000"/>
          <w:sz w:val="24"/>
        </w:rPr>
        <w:t xml:space="preserve">项目名称：__________________                       </w:t>
      </w:r>
    </w:p>
    <w:p w14:paraId="0B3F2323">
      <w:pPr>
        <w:tabs>
          <w:tab w:val="left" w:pos="1800"/>
          <w:tab w:val="left" w:pos="5580"/>
        </w:tabs>
        <w:rPr>
          <w:rFonts w:hint="eastAsia" w:asciiTheme="minorEastAsia" w:hAnsiTheme="minorEastAsia" w:eastAsiaTheme="minorEastAsia"/>
          <w:color w:val="000000"/>
          <w:sz w:val="24"/>
          <w:u w:val="single"/>
        </w:rPr>
      </w:pPr>
      <w:r>
        <w:rPr>
          <w:rFonts w:asciiTheme="minorEastAsia" w:hAnsiTheme="minorEastAsia" w:eastAsiaTheme="minorEastAsia"/>
          <w:color w:val="000000"/>
          <w:sz w:val="24"/>
        </w:rPr>
        <w:t xml:space="preserve">项目编号：________                      </w:t>
      </w:r>
      <w:r>
        <w:rPr>
          <w:rFonts w:hint="eastAsia" w:asciiTheme="minorEastAsia" w:hAnsiTheme="minorEastAsia" w:eastAsiaTheme="minorEastAsia"/>
          <w:color w:val="000000"/>
          <w:sz w:val="24"/>
        </w:rPr>
        <w:t xml:space="preserve">      </w:t>
      </w:r>
      <w:r>
        <w:rPr>
          <w:rFonts w:asciiTheme="minorEastAsia" w:hAnsiTheme="minorEastAsia" w:eastAsiaTheme="minorEastAsia"/>
          <w:color w:val="000000"/>
          <w:sz w:val="24"/>
        </w:rPr>
        <w:t xml:space="preserve">      报价单位：人民币元</w:t>
      </w:r>
    </w:p>
    <w:tbl>
      <w:tblPr>
        <w:tblStyle w:val="89"/>
        <w:tblW w:w="878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16"/>
        <w:gridCol w:w="3424"/>
        <w:gridCol w:w="4644"/>
      </w:tblGrid>
      <w:tr w14:paraId="6FACC4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83" w:hRule="atLeast"/>
          <w:jc w:val="center"/>
        </w:trPr>
        <w:tc>
          <w:tcPr>
            <w:tcW w:w="4140" w:type="dxa"/>
            <w:gridSpan w:val="2"/>
            <w:vAlign w:val="center"/>
          </w:tcPr>
          <w:p w14:paraId="1033A466">
            <w:pPr>
              <w:snapToGrid w:val="0"/>
              <w:spacing w:line="360" w:lineRule="auto"/>
              <w:jc w:val="center"/>
              <w:rPr>
                <w:rFonts w:hint="eastAsia" w:asciiTheme="minorEastAsia" w:hAnsiTheme="minorEastAsia" w:eastAsiaTheme="minorEastAsia"/>
                <w:sz w:val="22"/>
                <w:szCs w:val="22"/>
              </w:rPr>
            </w:pPr>
            <w:r>
              <w:rPr>
                <w:rFonts w:hint="eastAsia" w:asciiTheme="minorEastAsia" w:hAnsiTheme="minorEastAsia" w:eastAsiaTheme="minorEastAsia"/>
                <w:sz w:val="22"/>
                <w:szCs w:val="22"/>
              </w:rPr>
              <w:t>响应报价</w:t>
            </w:r>
          </w:p>
        </w:tc>
        <w:tc>
          <w:tcPr>
            <w:tcW w:w="4644" w:type="dxa"/>
            <w:vAlign w:val="center"/>
          </w:tcPr>
          <w:p w14:paraId="283696C0">
            <w:pPr>
              <w:snapToGrid w:val="0"/>
              <w:spacing w:line="360" w:lineRule="auto"/>
              <w:jc w:val="left"/>
              <w:rPr>
                <w:rFonts w:hint="eastAsia" w:asciiTheme="minorEastAsia" w:hAnsiTheme="minorEastAsia" w:eastAsiaTheme="minorEastAsia"/>
                <w:sz w:val="22"/>
                <w:szCs w:val="22"/>
              </w:rPr>
            </w:pPr>
            <w:r>
              <w:rPr>
                <w:rFonts w:hint="eastAsia" w:asciiTheme="minorEastAsia" w:hAnsiTheme="minorEastAsia" w:eastAsiaTheme="minorEastAsia"/>
                <w:sz w:val="22"/>
                <w:szCs w:val="22"/>
              </w:rPr>
              <w:t>大写：</w:t>
            </w:r>
            <w:r>
              <w:rPr>
                <w:rFonts w:cs="Arial" w:asciiTheme="minorEastAsia" w:hAnsiTheme="minorEastAsia" w:eastAsiaTheme="minorEastAsia"/>
                <w:color w:val="000000"/>
                <w:sz w:val="22"/>
                <w:szCs w:val="22"/>
                <w:u w:val="single"/>
              </w:rPr>
              <w:t xml:space="preserve">      </w:t>
            </w:r>
            <w:r>
              <w:rPr>
                <w:rFonts w:hint="eastAsia" w:cs="Arial" w:asciiTheme="minorEastAsia" w:hAnsiTheme="minorEastAsia" w:eastAsiaTheme="minorEastAsia"/>
                <w:color w:val="000000"/>
                <w:sz w:val="22"/>
                <w:szCs w:val="22"/>
                <w:u w:val="single"/>
              </w:rPr>
              <w:t xml:space="preserve">       </w:t>
            </w:r>
            <w:r>
              <w:rPr>
                <w:rFonts w:cs="Arial" w:asciiTheme="minorEastAsia" w:hAnsiTheme="minorEastAsia" w:eastAsiaTheme="minorEastAsia"/>
                <w:color w:val="000000"/>
                <w:sz w:val="22"/>
                <w:szCs w:val="22"/>
                <w:u w:val="single"/>
              </w:rPr>
              <w:t xml:space="preserve"> </w:t>
            </w:r>
            <w:r>
              <w:rPr>
                <w:rFonts w:hint="eastAsia" w:cs="Arial" w:asciiTheme="minorEastAsia" w:hAnsiTheme="minorEastAsia" w:eastAsiaTheme="minorEastAsia"/>
                <w:color w:val="000000"/>
                <w:sz w:val="22"/>
                <w:szCs w:val="22"/>
                <w:u w:val="single"/>
              </w:rPr>
              <w:t xml:space="preserve">             </w:t>
            </w:r>
            <w:r>
              <w:rPr>
                <w:rFonts w:cs="Arial" w:asciiTheme="minorEastAsia" w:hAnsiTheme="minorEastAsia" w:eastAsiaTheme="minorEastAsia"/>
                <w:color w:val="000000"/>
                <w:sz w:val="22"/>
                <w:szCs w:val="22"/>
                <w:u w:val="single"/>
              </w:rPr>
              <w:t xml:space="preserve">    </w:t>
            </w:r>
          </w:p>
          <w:p w14:paraId="51421858">
            <w:pPr>
              <w:snapToGrid w:val="0"/>
              <w:spacing w:line="360" w:lineRule="auto"/>
              <w:jc w:val="left"/>
              <w:rPr>
                <w:rFonts w:hint="eastAsia" w:asciiTheme="minorEastAsia" w:hAnsiTheme="minorEastAsia" w:eastAsiaTheme="minorEastAsia"/>
                <w:sz w:val="22"/>
                <w:szCs w:val="22"/>
              </w:rPr>
            </w:pPr>
            <w:r>
              <w:rPr>
                <w:rFonts w:hint="eastAsia" w:asciiTheme="minorEastAsia" w:hAnsiTheme="minorEastAsia" w:eastAsiaTheme="minorEastAsia"/>
                <w:color w:val="000000"/>
                <w:sz w:val="22"/>
                <w:szCs w:val="22"/>
              </w:rPr>
              <w:t>RMB￥</w:t>
            </w:r>
            <w:r>
              <w:rPr>
                <w:rFonts w:hint="eastAsia" w:cs="Arial" w:asciiTheme="minorEastAsia" w:hAnsiTheme="minorEastAsia" w:eastAsiaTheme="minorEastAsia"/>
                <w:color w:val="000000"/>
                <w:sz w:val="22"/>
                <w:szCs w:val="22"/>
              </w:rPr>
              <w:t>：</w:t>
            </w:r>
            <w:r>
              <w:rPr>
                <w:rFonts w:cs="Arial" w:asciiTheme="minorEastAsia" w:hAnsiTheme="minorEastAsia" w:eastAsiaTheme="minorEastAsia"/>
                <w:color w:val="000000"/>
                <w:sz w:val="22"/>
                <w:szCs w:val="22"/>
                <w:u w:val="single"/>
              </w:rPr>
              <w:t xml:space="preserve">      </w:t>
            </w:r>
            <w:r>
              <w:rPr>
                <w:rFonts w:hint="eastAsia" w:cs="Arial" w:asciiTheme="minorEastAsia" w:hAnsiTheme="minorEastAsia" w:eastAsiaTheme="minorEastAsia"/>
                <w:color w:val="000000"/>
                <w:sz w:val="22"/>
                <w:szCs w:val="22"/>
                <w:u w:val="single"/>
              </w:rPr>
              <w:t xml:space="preserve">       </w:t>
            </w:r>
            <w:r>
              <w:rPr>
                <w:rFonts w:cs="Arial" w:asciiTheme="minorEastAsia" w:hAnsiTheme="minorEastAsia" w:eastAsiaTheme="minorEastAsia"/>
                <w:color w:val="000000"/>
                <w:sz w:val="22"/>
                <w:szCs w:val="22"/>
                <w:u w:val="single"/>
              </w:rPr>
              <w:t xml:space="preserve"> </w:t>
            </w:r>
            <w:r>
              <w:rPr>
                <w:rFonts w:hint="eastAsia" w:cs="Arial" w:asciiTheme="minorEastAsia" w:hAnsiTheme="minorEastAsia" w:eastAsiaTheme="minorEastAsia"/>
                <w:color w:val="000000"/>
                <w:sz w:val="22"/>
                <w:szCs w:val="22"/>
                <w:u w:val="single"/>
              </w:rPr>
              <w:t xml:space="preserve">             </w:t>
            </w:r>
            <w:r>
              <w:rPr>
                <w:rFonts w:cs="Arial" w:asciiTheme="minorEastAsia" w:hAnsiTheme="minorEastAsia" w:eastAsiaTheme="minorEastAsia"/>
                <w:color w:val="000000"/>
                <w:sz w:val="22"/>
                <w:szCs w:val="22"/>
                <w:u w:val="single"/>
              </w:rPr>
              <w:t xml:space="preserve">  </w:t>
            </w:r>
          </w:p>
        </w:tc>
      </w:tr>
      <w:tr w14:paraId="626561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4" w:hRule="atLeast"/>
          <w:jc w:val="center"/>
        </w:trPr>
        <w:tc>
          <w:tcPr>
            <w:tcW w:w="716" w:type="dxa"/>
            <w:vMerge w:val="restart"/>
            <w:vAlign w:val="center"/>
          </w:tcPr>
          <w:p w14:paraId="51FE4F16">
            <w:pPr>
              <w:snapToGrid w:val="0"/>
              <w:spacing w:line="360" w:lineRule="auto"/>
              <w:jc w:val="center"/>
              <w:rPr>
                <w:rFonts w:hint="eastAsia" w:asciiTheme="minorEastAsia" w:hAnsiTheme="minorEastAsia" w:eastAsiaTheme="minorEastAsia"/>
                <w:sz w:val="22"/>
                <w:szCs w:val="22"/>
              </w:rPr>
            </w:pPr>
            <w:r>
              <w:rPr>
                <w:rFonts w:hint="eastAsia" w:asciiTheme="minorEastAsia" w:hAnsiTheme="minorEastAsia" w:eastAsiaTheme="minorEastAsia"/>
                <w:sz w:val="22"/>
                <w:szCs w:val="22"/>
              </w:rPr>
              <w:t>其</w:t>
            </w:r>
          </w:p>
          <w:p w14:paraId="242CD96F">
            <w:pPr>
              <w:snapToGrid w:val="0"/>
              <w:spacing w:line="360" w:lineRule="auto"/>
              <w:jc w:val="center"/>
              <w:rPr>
                <w:rFonts w:hint="eastAsia" w:asciiTheme="minorEastAsia" w:hAnsiTheme="minorEastAsia" w:eastAsiaTheme="minorEastAsia"/>
                <w:sz w:val="22"/>
                <w:szCs w:val="22"/>
              </w:rPr>
            </w:pPr>
            <w:r>
              <w:rPr>
                <w:rFonts w:hint="eastAsia" w:asciiTheme="minorEastAsia" w:hAnsiTheme="minorEastAsia" w:eastAsiaTheme="minorEastAsia"/>
                <w:sz w:val="22"/>
                <w:szCs w:val="22"/>
              </w:rPr>
              <w:t>中</w:t>
            </w:r>
          </w:p>
        </w:tc>
        <w:tc>
          <w:tcPr>
            <w:tcW w:w="3424" w:type="dxa"/>
            <w:vAlign w:val="center"/>
          </w:tcPr>
          <w:p w14:paraId="679E3404">
            <w:pPr>
              <w:snapToGrid w:val="0"/>
              <w:spacing w:line="360" w:lineRule="auto"/>
              <w:jc w:val="center"/>
              <w:rPr>
                <w:rFonts w:hint="eastAsia" w:asciiTheme="minorEastAsia" w:hAnsiTheme="minorEastAsia" w:eastAsiaTheme="minorEastAsia"/>
                <w:sz w:val="22"/>
                <w:szCs w:val="22"/>
              </w:rPr>
            </w:pPr>
            <w:r>
              <w:rPr>
                <w:rFonts w:hint="eastAsia" w:asciiTheme="minorEastAsia" w:hAnsiTheme="minorEastAsia" w:eastAsiaTheme="minorEastAsia"/>
                <w:color w:val="000000"/>
                <w:sz w:val="22"/>
                <w:szCs w:val="22"/>
              </w:rPr>
              <w:t>安全生产标准化措施费（含税）</w:t>
            </w:r>
          </w:p>
        </w:tc>
        <w:tc>
          <w:tcPr>
            <w:tcW w:w="4644" w:type="dxa"/>
            <w:vAlign w:val="center"/>
          </w:tcPr>
          <w:p w14:paraId="3B3E5C3D">
            <w:pPr>
              <w:snapToGrid w:val="0"/>
              <w:spacing w:line="360" w:lineRule="auto"/>
              <w:jc w:val="left"/>
              <w:rPr>
                <w:rFonts w:hint="eastAsia" w:asciiTheme="minorEastAsia" w:hAnsiTheme="minorEastAsia" w:eastAsiaTheme="minorEastAsia"/>
                <w:sz w:val="22"/>
                <w:szCs w:val="22"/>
              </w:rPr>
            </w:pPr>
            <w:r>
              <w:rPr>
                <w:rFonts w:hint="eastAsia" w:asciiTheme="minorEastAsia" w:hAnsiTheme="minorEastAsia" w:eastAsiaTheme="minorEastAsia"/>
                <w:color w:val="000000"/>
                <w:sz w:val="22"/>
                <w:szCs w:val="22"/>
              </w:rPr>
              <w:t>RMB￥</w:t>
            </w:r>
            <w:r>
              <w:rPr>
                <w:rFonts w:hint="eastAsia" w:cs="Arial" w:asciiTheme="minorEastAsia" w:hAnsiTheme="minorEastAsia" w:eastAsiaTheme="minorEastAsia"/>
                <w:color w:val="000000"/>
                <w:sz w:val="22"/>
                <w:szCs w:val="22"/>
              </w:rPr>
              <w:t>：</w:t>
            </w:r>
            <w:r>
              <w:rPr>
                <w:rFonts w:cs="Arial" w:asciiTheme="minorEastAsia" w:hAnsiTheme="minorEastAsia" w:eastAsiaTheme="minorEastAsia"/>
                <w:color w:val="000000"/>
                <w:sz w:val="22"/>
                <w:szCs w:val="22"/>
                <w:u w:val="single"/>
              </w:rPr>
              <w:t xml:space="preserve">      </w:t>
            </w:r>
            <w:r>
              <w:rPr>
                <w:rFonts w:hint="eastAsia" w:cs="Arial" w:asciiTheme="minorEastAsia" w:hAnsiTheme="minorEastAsia" w:eastAsiaTheme="minorEastAsia"/>
                <w:color w:val="000000"/>
                <w:sz w:val="22"/>
                <w:szCs w:val="22"/>
                <w:u w:val="single"/>
              </w:rPr>
              <w:t xml:space="preserve">       </w:t>
            </w:r>
            <w:r>
              <w:rPr>
                <w:rFonts w:cs="Arial" w:asciiTheme="minorEastAsia" w:hAnsiTheme="minorEastAsia" w:eastAsiaTheme="minorEastAsia"/>
                <w:color w:val="000000"/>
                <w:sz w:val="22"/>
                <w:szCs w:val="22"/>
                <w:u w:val="single"/>
              </w:rPr>
              <w:t xml:space="preserve"> </w:t>
            </w:r>
            <w:r>
              <w:rPr>
                <w:rFonts w:hint="eastAsia" w:cs="Arial" w:asciiTheme="minorEastAsia" w:hAnsiTheme="minorEastAsia" w:eastAsiaTheme="minorEastAsia"/>
                <w:color w:val="000000"/>
                <w:sz w:val="22"/>
                <w:szCs w:val="22"/>
                <w:u w:val="single"/>
              </w:rPr>
              <w:t xml:space="preserve">             </w:t>
            </w:r>
            <w:r>
              <w:rPr>
                <w:rFonts w:cs="Arial" w:asciiTheme="minorEastAsia" w:hAnsiTheme="minorEastAsia" w:eastAsiaTheme="minorEastAsia"/>
                <w:color w:val="000000"/>
                <w:sz w:val="22"/>
                <w:szCs w:val="22"/>
                <w:u w:val="single"/>
              </w:rPr>
              <w:t xml:space="preserve">  </w:t>
            </w:r>
          </w:p>
        </w:tc>
      </w:tr>
      <w:tr w14:paraId="088519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4" w:hRule="atLeast"/>
          <w:jc w:val="center"/>
        </w:trPr>
        <w:tc>
          <w:tcPr>
            <w:tcW w:w="716" w:type="dxa"/>
            <w:vMerge w:val="continue"/>
            <w:vAlign w:val="center"/>
          </w:tcPr>
          <w:p w14:paraId="6655C28B">
            <w:pPr>
              <w:snapToGrid w:val="0"/>
              <w:spacing w:line="360" w:lineRule="auto"/>
              <w:jc w:val="center"/>
              <w:rPr>
                <w:rFonts w:hint="eastAsia" w:asciiTheme="minorEastAsia" w:hAnsiTheme="minorEastAsia" w:eastAsiaTheme="minorEastAsia"/>
                <w:sz w:val="22"/>
                <w:szCs w:val="22"/>
              </w:rPr>
            </w:pPr>
          </w:p>
        </w:tc>
        <w:tc>
          <w:tcPr>
            <w:tcW w:w="3424" w:type="dxa"/>
            <w:vAlign w:val="center"/>
          </w:tcPr>
          <w:p w14:paraId="03153574">
            <w:pPr>
              <w:snapToGrid w:val="0"/>
              <w:spacing w:line="360" w:lineRule="auto"/>
              <w:jc w:val="center"/>
              <w:rPr>
                <w:rFonts w:hint="eastAsia" w:asciiTheme="minorEastAsia" w:hAnsiTheme="minorEastAsia" w:eastAsiaTheme="minorEastAsia"/>
                <w:sz w:val="22"/>
                <w:szCs w:val="22"/>
              </w:rPr>
            </w:pPr>
            <w:r>
              <w:rPr>
                <w:rFonts w:hint="eastAsia" w:cs="Arial" w:asciiTheme="minorEastAsia" w:hAnsiTheme="minorEastAsia" w:eastAsiaTheme="minorEastAsia"/>
                <w:color w:val="000000"/>
                <w:sz w:val="22"/>
                <w:szCs w:val="22"/>
              </w:rPr>
              <w:t>建筑垃圾运输处置费(含税)</w:t>
            </w:r>
          </w:p>
        </w:tc>
        <w:tc>
          <w:tcPr>
            <w:tcW w:w="4644" w:type="dxa"/>
            <w:vAlign w:val="center"/>
          </w:tcPr>
          <w:p w14:paraId="5FB04648">
            <w:pPr>
              <w:snapToGrid w:val="0"/>
              <w:spacing w:line="360" w:lineRule="auto"/>
              <w:jc w:val="left"/>
              <w:rPr>
                <w:rFonts w:hint="eastAsia" w:asciiTheme="minorEastAsia" w:hAnsiTheme="minorEastAsia" w:eastAsiaTheme="minorEastAsia"/>
                <w:sz w:val="22"/>
                <w:szCs w:val="22"/>
              </w:rPr>
            </w:pPr>
            <w:r>
              <w:rPr>
                <w:rFonts w:hint="eastAsia" w:asciiTheme="minorEastAsia" w:hAnsiTheme="minorEastAsia" w:eastAsiaTheme="minorEastAsia"/>
                <w:color w:val="000000"/>
                <w:sz w:val="22"/>
                <w:szCs w:val="22"/>
              </w:rPr>
              <w:t>RMB￥</w:t>
            </w:r>
            <w:r>
              <w:rPr>
                <w:rFonts w:hint="eastAsia" w:cs="Arial" w:asciiTheme="minorEastAsia" w:hAnsiTheme="minorEastAsia" w:eastAsiaTheme="minorEastAsia"/>
                <w:color w:val="000000"/>
                <w:sz w:val="22"/>
                <w:szCs w:val="22"/>
              </w:rPr>
              <w:t>：</w:t>
            </w:r>
            <w:r>
              <w:rPr>
                <w:rFonts w:cs="Arial" w:asciiTheme="minorEastAsia" w:hAnsiTheme="minorEastAsia" w:eastAsiaTheme="minorEastAsia"/>
                <w:color w:val="000000"/>
                <w:sz w:val="22"/>
                <w:szCs w:val="22"/>
                <w:u w:val="single"/>
              </w:rPr>
              <w:t xml:space="preserve">      </w:t>
            </w:r>
            <w:r>
              <w:rPr>
                <w:rFonts w:hint="eastAsia" w:cs="Arial" w:asciiTheme="minorEastAsia" w:hAnsiTheme="minorEastAsia" w:eastAsiaTheme="minorEastAsia"/>
                <w:color w:val="000000"/>
                <w:sz w:val="22"/>
                <w:szCs w:val="22"/>
                <w:u w:val="single"/>
              </w:rPr>
              <w:t xml:space="preserve">       </w:t>
            </w:r>
            <w:r>
              <w:rPr>
                <w:rFonts w:cs="Arial" w:asciiTheme="minorEastAsia" w:hAnsiTheme="minorEastAsia" w:eastAsiaTheme="minorEastAsia"/>
                <w:color w:val="000000"/>
                <w:sz w:val="22"/>
                <w:szCs w:val="22"/>
                <w:u w:val="single"/>
              </w:rPr>
              <w:t xml:space="preserve"> </w:t>
            </w:r>
            <w:r>
              <w:rPr>
                <w:rFonts w:hint="eastAsia" w:cs="Arial" w:asciiTheme="minorEastAsia" w:hAnsiTheme="minorEastAsia" w:eastAsiaTheme="minorEastAsia"/>
                <w:color w:val="000000"/>
                <w:sz w:val="22"/>
                <w:szCs w:val="22"/>
                <w:u w:val="single"/>
              </w:rPr>
              <w:t xml:space="preserve">             </w:t>
            </w:r>
            <w:r>
              <w:rPr>
                <w:rFonts w:cs="Arial" w:asciiTheme="minorEastAsia" w:hAnsiTheme="minorEastAsia" w:eastAsiaTheme="minorEastAsia"/>
                <w:color w:val="000000"/>
                <w:sz w:val="22"/>
                <w:szCs w:val="22"/>
                <w:u w:val="single"/>
              </w:rPr>
              <w:t xml:space="preserve">  </w:t>
            </w:r>
          </w:p>
        </w:tc>
      </w:tr>
      <w:tr w14:paraId="3E0E41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0" w:hRule="atLeast"/>
          <w:jc w:val="center"/>
        </w:trPr>
        <w:tc>
          <w:tcPr>
            <w:tcW w:w="716" w:type="dxa"/>
            <w:vMerge w:val="continue"/>
            <w:vAlign w:val="center"/>
          </w:tcPr>
          <w:p w14:paraId="75271FC4">
            <w:pPr>
              <w:snapToGrid w:val="0"/>
              <w:spacing w:line="360" w:lineRule="auto"/>
              <w:jc w:val="center"/>
              <w:rPr>
                <w:rFonts w:hint="eastAsia" w:asciiTheme="minorEastAsia" w:hAnsiTheme="minorEastAsia" w:eastAsiaTheme="minorEastAsia"/>
                <w:sz w:val="22"/>
                <w:szCs w:val="22"/>
              </w:rPr>
            </w:pPr>
          </w:p>
        </w:tc>
        <w:tc>
          <w:tcPr>
            <w:tcW w:w="3424" w:type="dxa"/>
            <w:vAlign w:val="center"/>
          </w:tcPr>
          <w:p w14:paraId="78FA88C7">
            <w:pPr>
              <w:snapToGrid w:val="0"/>
              <w:spacing w:line="360" w:lineRule="auto"/>
              <w:jc w:val="center"/>
              <w:rPr>
                <w:rFonts w:hint="eastAsia" w:asciiTheme="minorEastAsia" w:hAnsiTheme="minorEastAsia" w:eastAsiaTheme="minorEastAsia"/>
                <w:sz w:val="22"/>
                <w:szCs w:val="22"/>
              </w:rPr>
            </w:pPr>
            <w:r>
              <w:rPr>
                <w:rFonts w:hint="eastAsia" w:cs="Arial" w:asciiTheme="minorEastAsia" w:hAnsiTheme="minorEastAsia" w:eastAsiaTheme="minorEastAsia"/>
                <w:color w:val="000000"/>
                <w:sz w:val="22"/>
                <w:szCs w:val="22"/>
              </w:rPr>
              <w:t>农民工工伤保险费</w:t>
            </w:r>
          </w:p>
        </w:tc>
        <w:tc>
          <w:tcPr>
            <w:tcW w:w="4644" w:type="dxa"/>
            <w:vAlign w:val="center"/>
          </w:tcPr>
          <w:p w14:paraId="3E5E2DC2">
            <w:pPr>
              <w:snapToGrid w:val="0"/>
              <w:spacing w:line="360" w:lineRule="auto"/>
              <w:jc w:val="left"/>
              <w:rPr>
                <w:rFonts w:hint="eastAsia" w:asciiTheme="minorEastAsia" w:hAnsiTheme="minorEastAsia" w:eastAsiaTheme="minorEastAsia"/>
                <w:sz w:val="22"/>
                <w:szCs w:val="22"/>
              </w:rPr>
            </w:pPr>
            <w:r>
              <w:rPr>
                <w:rFonts w:hint="eastAsia" w:asciiTheme="minorEastAsia" w:hAnsiTheme="minorEastAsia" w:eastAsiaTheme="minorEastAsia"/>
                <w:color w:val="000000"/>
                <w:sz w:val="22"/>
                <w:szCs w:val="22"/>
              </w:rPr>
              <w:t>RMB￥</w:t>
            </w:r>
            <w:r>
              <w:rPr>
                <w:rFonts w:hint="eastAsia" w:cs="Arial" w:asciiTheme="minorEastAsia" w:hAnsiTheme="minorEastAsia" w:eastAsiaTheme="minorEastAsia"/>
                <w:color w:val="000000"/>
                <w:sz w:val="22"/>
                <w:szCs w:val="22"/>
              </w:rPr>
              <w:t>：</w:t>
            </w:r>
            <w:r>
              <w:rPr>
                <w:rFonts w:cs="Arial" w:asciiTheme="minorEastAsia" w:hAnsiTheme="minorEastAsia" w:eastAsiaTheme="minorEastAsia"/>
                <w:color w:val="000000"/>
                <w:sz w:val="22"/>
                <w:szCs w:val="22"/>
                <w:u w:val="single"/>
              </w:rPr>
              <w:t xml:space="preserve">      </w:t>
            </w:r>
            <w:r>
              <w:rPr>
                <w:rFonts w:hint="eastAsia" w:cs="Arial" w:asciiTheme="minorEastAsia" w:hAnsiTheme="minorEastAsia" w:eastAsiaTheme="minorEastAsia"/>
                <w:color w:val="000000"/>
                <w:sz w:val="22"/>
                <w:szCs w:val="22"/>
                <w:u w:val="single"/>
              </w:rPr>
              <w:t xml:space="preserve">       </w:t>
            </w:r>
            <w:r>
              <w:rPr>
                <w:rFonts w:cs="Arial" w:asciiTheme="minorEastAsia" w:hAnsiTheme="minorEastAsia" w:eastAsiaTheme="minorEastAsia"/>
                <w:color w:val="000000"/>
                <w:sz w:val="22"/>
                <w:szCs w:val="22"/>
                <w:u w:val="single"/>
              </w:rPr>
              <w:t xml:space="preserve"> </w:t>
            </w:r>
            <w:r>
              <w:rPr>
                <w:rFonts w:hint="eastAsia" w:cs="Arial" w:asciiTheme="minorEastAsia" w:hAnsiTheme="minorEastAsia" w:eastAsiaTheme="minorEastAsia"/>
                <w:color w:val="000000"/>
                <w:sz w:val="22"/>
                <w:szCs w:val="22"/>
                <w:u w:val="single"/>
              </w:rPr>
              <w:t xml:space="preserve">             </w:t>
            </w:r>
            <w:r>
              <w:rPr>
                <w:rFonts w:cs="Arial" w:asciiTheme="minorEastAsia" w:hAnsiTheme="minorEastAsia" w:eastAsiaTheme="minorEastAsia"/>
                <w:color w:val="000000"/>
                <w:sz w:val="22"/>
                <w:szCs w:val="22"/>
                <w:u w:val="single"/>
              </w:rPr>
              <w:t xml:space="preserve">  </w:t>
            </w:r>
          </w:p>
        </w:tc>
      </w:tr>
      <w:tr w14:paraId="4197C9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8" w:hRule="atLeast"/>
          <w:jc w:val="center"/>
        </w:trPr>
        <w:tc>
          <w:tcPr>
            <w:tcW w:w="716" w:type="dxa"/>
            <w:vMerge w:val="continue"/>
            <w:vAlign w:val="center"/>
          </w:tcPr>
          <w:p w14:paraId="4401CC0C">
            <w:pPr>
              <w:snapToGrid w:val="0"/>
              <w:spacing w:line="360" w:lineRule="auto"/>
              <w:jc w:val="center"/>
              <w:rPr>
                <w:rFonts w:hint="eastAsia" w:asciiTheme="minorEastAsia" w:hAnsiTheme="minorEastAsia" w:eastAsiaTheme="minorEastAsia"/>
                <w:sz w:val="22"/>
                <w:szCs w:val="22"/>
              </w:rPr>
            </w:pPr>
          </w:p>
        </w:tc>
        <w:tc>
          <w:tcPr>
            <w:tcW w:w="3424" w:type="dxa"/>
            <w:vAlign w:val="center"/>
          </w:tcPr>
          <w:p w14:paraId="13FDBF81">
            <w:pPr>
              <w:snapToGrid w:val="0"/>
              <w:spacing w:line="360" w:lineRule="auto"/>
              <w:jc w:val="center"/>
              <w:rPr>
                <w:rFonts w:hint="eastAsia" w:asciiTheme="minorEastAsia" w:hAnsiTheme="minorEastAsia" w:eastAsiaTheme="minorEastAsia"/>
                <w:sz w:val="22"/>
                <w:szCs w:val="22"/>
              </w:rPr>
            </w:pPr>
            <w:r>
              <w:rPr>
                <w:rFonts w:hint="eastAsia" w:cs="Arial" w:asciiTheme="minorEastAsia" w:hAnsiTheme="minorEastAsia" w:eastAsiaTheme="minorEastAsia"/>
                <w:color w:val="000000"/>
                <w:sz w:val="22"/>
                <w:szCs w:val="22"/>
              </w:rPr>
              <w:t>暂列金额（不包括计日工部分）</w:t>
            </w:r>
            <w:r>
              <w:rPr>
                <w:rFonts w:hint="eastAsia" w:asciiTheme="minorEastAsia" w:hAnsiTheme="minorEastAsia" w:eastAsiaTheme="minorEastAsia"/>
                <w:sz w:val="22"/>
                <w:szCs w:val="22"/>
              </w:rPr>
              <w:t>（含税）</w:t>
            </w:r>
            <w:r>
              <w:rPr>
                <w:rFonts w:hint="eastAsia" w:cs="Arial" w:asciiTheme="minorEastAsia" w:hAnsiTheme="minorEastAsia" w:eastAsiaTheme="minorEastAsia"/>
                <w:color w:val="000000"/>
                <w:sz w:val="22"/>
                <w:szCs w:val="22"/>
              </w:rPr>
              <w:t>合计金额</w:t>
            </w:r>
          </w:p>
        </w:tc>
        <w:tc>
          <w:tcPr>
            <w:tcW w:w="4644" w:type="dxa"/>
            <w:vAlign w:val="center"/>
          </w:tcPr>
          <w:p w14:paraId="08A874DC">
            <w:pPr>
              <w:snapToGrid w:val="0"/>
              <w:spacing w:line="360" w:lineRule="auto"/>
              <w:jc w:val="left"/>
              <w:rPr>
                <w:rFonts w:hint="eastAsia" w:asciiTheme="minorEastAsia" w:hAnsiTheme="minorEastAsia" w:eastAsiaTheme="minorEastAsia"/>
                <w:sz w:val="22"/>
                <w:szCs w:val="22"/>
              </w:rPr>
            </w:pPr>
            <w:r>
              <w:rPr>
                <w:rFonts w:hint="eastAsia" w:asciiTheme="minorEastAsia" w:hAnsiTheme="minorEastAsia" w:eastAsiaTheme="minorEastAsia"/>
                <w:color w:val="000000"/>
                <w:sz w:val="22"/>
                <w:szCs w:val="22"/>
              </w:rPr>
              <w:t>RMB￥</w:t>
            </w:r>
            <w:r>
              <w:rPr>
                <w:rFonts w:hint="eastAsia" w:cs="Arial" w:asciiTheme="minorEastAsia" w:hAnsiTheme="minorEastAsia" w:eastAsiaTheme="minorEastAsia"/>
                <w:color w:val="000000"/>
                <w:sz w:val="22"/>
                <w:szCs w:val="22"/>
              </w:rPr>
              <w:t>：</w:t>
            </w:r>
            <w:r>
              <w:rPr>
                <w:rFonts w:cs="Arial" w:asciiTheme="minorEastAsia" w:hAnsiTheme="minorEastAsia" w:eastAsiaTheme="minorEastAsia"/>
                <w:color w:val="000000"/>
                <w:sz w:val="22"/>
                <w:szCs w:val="22"/>
                <w:u w:val="single"/>
              </w:rPr>
              <w:t xml:space="preserve">      </w:t>
            </w:r>
            <w:r>
              <w:rPr>
                <w:rFonts w:hint="eastAsia" w:cs="Arial" w:asciiTheme="minorEastAsia" w:hAnsiTheme="minorEastAsia" w:eastAsiaTheme="minorEastAsia"/>
                <w:color w:val="000000"/>
                <w:sz w:val="22"/>
                <w:szCs w:val="22"/>
                <w:u w:val="single"/>
              </w:rPr>
              <w:t xml:space="preserve">       </w:t>
            </w:r>
            <w:r>
              <w:rPr>
                <w:rFonts w:cs="Arial" w:asciiTheme="minorEastAsia" w:hAnsiTheme="minorEastAsia" w:eastAsiaTheme="minorEastAsia"/>
                <w:color w:val="000000"/>
                <w:sz w:val="22"/>
                <w:szCs w:val="22"/>
                <w:u w:val="single"/>
              </w:rPr>
              <w:t xml:space="preserve"> </w:t>
            </w:r>
            <w:r>
              <w:rPr>
                <w:rFonts w:hint="eastAsia" w:cs="Arial" w:asciiTheme="minorEastAsia" w:hAnsiTheme="minorEastAsia" w:eastAsiaTheme="minorEastAsia"/>
                <w:color w:val="000000"/>
                <w:sz w:val="22"/>
                <w:szCs w:val="22"/>
                <w:u w:val="single"/>
              </w:rPr>
              <w:t xml:space="preserve">             </w:t>
            </w:r>
            <w:r>
              <w:rPr>
                <w:rFonts w:cs="Arial" w:asciiTheme="minorEastAsia" w:hAnsiTheme="minorEastAsia" w:eastAsiaTheme="minorEastAsia"/>
                <w:color w:val="000000"/>
                <w:sz w:val="22"/>
                <w:szCs w:val="22"/>
                <w:u w:val="single"/>
              </w:rPr>
              <w:t xml:space="preserve">  </w:t>
            </w:r>
          </w:p>
        </w:tc>
      </w:tr>
      <w:tr w14:paraId="7140F1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0" w:hRule="atLeast"/>
          <w:jc w:val="center"/>
        </w:trPr>
        <w:tc>
          <w:tcPr>
            <w:tcW w:w="716" w:type="dxa"/>
            <w:vMerge w:val="continue"/>
            <w:vAlign w:val="center"/>
          </w:tcPr>
          <w:p w14:paraId="7727974B">
            <w:pPr>
              <w:snapToGrid w:val="0"/>
              <w:spacing w:line="360" w:lineRule="auto"/>
              <w:jc w:val="center"/>
              <w:rPr>
                <w:rFonts w:hint="eastAsia" w:asciiTheme="minorEastAsia" w:hAnsiTheme="minorEastAsia" w:eastAsiaTheme="minorEastAsia"/>
                <w:sz w:val="22"/>
                <w:szCs w:val="22"/>
              </w:rPr>
            </w:pPr>
          </w:p>
        </w:tc>
        <w:tc>
          <w:tcPr>
            <w:tcW w:w="3424" w:type="dxa"/>
            <w:vAlign w:val="center"/>
          </w:tcPr>
          <w:p w14:paraId="44E4160D">
            <w:pPr>
              <w:snapToGrid w:val="0"/>
              <w:spacing w:line="360" w:lineRule="auto"/>
              <w:jc w:val="center"/>
              <w:rPr>
                <w:rFonts w:hint="eastAsia" w:cs="Arial" w:asciiTheme="minorEastAsia" w:hAnsiTheme="minorEastAsia" w:eastAsiaTheme="minorEastAsia"/>
                <w:color w:val="000000"/>
                <w:sz w:val="22"/>
                <w:szCs w:val="22"/>
              </w:rPr>
            </w:pPr>
            <w:r>
              <w:rPr>
                <w:rFonts w:hint="eastAsia" w:cs="Arial" w:asciiTheme="minorEastAsia" w:hAnsiTheme="minorEastAsia" w:eastAsiaTheme="minorEastAsia"/>
                <w:color w:val="000000"/>
                <w:sz w:val="22"/>
                <w:szCs w:val="22"/>
              </w:rPr>
              <w:t>专业工程暂估价（含税）</w:t>
            </w:r>
          </w:p>
          <w:p w14:paraId="7D2EC9A9">
            <w:pPr>
              <w:snapToGrid w:val="0"/>
              <w:spacing w:line="360" w:lineRule="auto"/>
              <w:jc w:val="center"/>
              <w:rPr>
                <w:rFonts w:hint="eastAsia" w:asciiTheme="minorEastAsia" w:hAnsiTheme="minorEastAsia" w:eastAsiaTheme="minorEastAsia"/>
                <w:sz w:val="22"/>
                <w:szCs w:val="22"/>
              </w:rPr>
            </w:pPr>
            <w:r>
              <w:rPr>
                <w:rFonts w:hint="eastAsia" w:cs="Arial" w:asciiTheme="minorEastAsia" w:hAnsiTheme="minorEastAsia" w:eastAsiaTheme="minorEastAsia"/>
                <w:color w:val="000000"/>
                <w:sz w:val="22"/>
                <w:szCs w:val="22"/>
              </w:rPr>
              <w:t>合计金额</w:t>
            </w:r>
          </w:p>
        </w:tc>
        <w:tc>
          <w:tcPr>
            <w:tcW w:w="4644" w:type="dxa"/>
            <w:vAlign w:val="center"/>
          </w:tcPr>
          <w:p w14:paraId="06FB498A">
            <w:pPr>
              <w:snapToGrid w:val="0"/>
              <w:spacing w:line="360" w:lineRule="auto"/>
              <w:jc w:val="left"/>
              <w:rPr>
                <w:rFonts w:hint="eastAsia" w:asciiTheme="minorEastAsia" w:hAnsiTheme="minorEastAsia" w:eastAsiaTheme="minorEastAsia"/>
                <w:sz w:val="22"/>
                <w:szCs w:val="22"/>
              </w:rPr>
            </w:pPr>
            <w:r>
              <w:rPr>
                <w:rFonts w:hint="eastAsia" w:asciiTheme="minorEastAsia" w:hAnsiTheme="minorEastAsia" w:eastAsiaTheme="minorEastAsia"/>
                <w:color w:val="000000"/>
                <w:sz w:val="22"/>
                <w:szCs w:val="22"/>
              </w:rPr>
              <w:t>RMB￥</w:t>
            </w:r>
            <w:r>
              <w:rPr>
                <w:rFonts w:hint="eastAsia" w:cs="Arial" w:asciiTheme="minorEastAsia" w:hAnsiTheme="minorEastAsia" w:eastAsiaTheme="minorEastAsia"/>
                <w:color w:val="000000"/>
                <w:sz w:val="22"/>
                <w:szCs w:val="22"/>
              </w:rPr>
              <w:t>：</w:t>
            </w:r>
            <w:r>
              <w:rPr>
                <w:rFonts w:cs="Arial" w:asciiTheme="minorEastAsia" w:hAnsiTheme="minorEastAsia" w:eastAsiaTheme="minorEastAsia"/>
                <w:color w:val="000000"/>
                <w:sz w:val="22"/>
                <w:szCs w:val="22"/>
                <w:u w:val="single"/>
              </w:rPr>
              <w:t xml:space="preserve">      </w:t>
            </w:r>
            <w:r>
              <w:rPr>
                <w:rFonts w:hint="eastAsia" w:cs="Arial" w:asciiTheme="minorEastAsia" w:hAnsiTheme="minorEastAsia" w:eastAsiaTheme="minorEastAsia"/>
                <w:color w:val="000000"/>
                <w:sz w:val="22"/>
                <w:szCs w:val="22"/>
                <w:u w:val="single"/>
              </w:rPr>
              <w:t xml:space="preserve">       </w:t>
            </w:r>
            <w:r>
              <w:rPr>
                <w:rFonts w:cs="Arial" w:asciiTheme="minorEastAsia" w:hAnsiTheme="minorEastAsia" w:eastAsiaTheme="minorEastAsia"/>
                <w:color w:val="000000"/>
                <w:sz w:val="22"/>
                <w:szCs w:val="22"/>
                <w:u w:val="single"/>
              </w:rPr>
              <w:t xml:space="preserve"> </w:t>
            </w:r>
            <w:r>
              <w:rPr>
                <w:rFonts w:hint="eastAsia" w:cs="Arial" w:asciiTheme="minorEastAsia" w:hAnsiTheme="minorEastAsia" w:eastAsiaTheme="minorEastAsia"/>
                <w:color w:val="000000"/>
                <w:sz w:val="22"/>
                <w:szCs w:val="22"/>
                <w:u w:val="single"/>
              </w:rPr>
              <w:t xml:space="preserve">             </w:t>
            </w:r>
            <w:r>
              <w:rPr>
                <w:rFonts w:cs="Arial" w:asciiTheme="minorEastAsia" w:hAnsiTheme="minorEastAsia" w:eastAsiaTheme="minorEastAsia"/>
                <w:color w:val="000000"/>
                <w:sz w:val="22"/>
                <w:szCs w:val="22"/>
                <w:u w:val="single"/>
              </w:rPr>
              <w:t xml:space="preserve">  </w:t>
            </w:r>
          </w:p>
        </w:tc>
      </w:tr>
      <w:tr w14:paraId="7E2279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4" w:hRule="atLeast"/>
          <w:jc w:val="center"/>
        </w:trPr>
        <w:tc>
          <w:tcPr>
            <w:tcW w:w="4140" w:type="dxa"/>
            <w:gridSpan w:val="2"/>
            <w:vAlign w:val="center"/>
          </w:tcPr>
          <w:p w14:paraId="6379ADB8">
            <w:pPr>
              <w:snapToGrid w:val="0"/>
              <w:spacing w:line="360" w:lineRule="auto"/>
              <w:jc w:val="center"/>
              <w:rPr>
                <w:rFonts w:hint="eastAsia" w:asciiTheme="minorEastAsia" w:hAnsiTheme="minorEastAsia" w:eastAsiaTheme="minorEastAsia"/>
                <w:sz w:val="22"/>
                <w:szCs w:val="22"/>
              </w:rPr>
            </w:pPr>
            <w:r>
              <w:rPr>
                <w:rFonts w:hint="eastAsia" w:cs="宋体" w:asciiTheme="minorEastAsia" w:hAnsiTheme="minorEastAsia" w:eastAsiaTheme="minorEastAsia"/>
                <w:sz w:val="22"/>
                <w:szCs w:val="22"/>
              </w:rPr>
              <w:t>工期</w:t>
            </w:r>
          </w:p>
        </w:tc>
        <w:tc>
          <w:tcPr>
            <w:tcW w:w="4644" w:type="dxa"/>
            <w:vAlign w:val="center"/>
          </w:tcPr>
          <w:p w14:paraId="4E0A59C3">
            <w:pPr>
              <w:snapToGrid w:val="0"/>
              <w:spacing w:line="360" w:lineRule="auto"/>
              <w:jc w:val="left"/>
              <w:rPr>
                <w:rFonts w:hint="eastAsia" w:asciiTheme="minorEastAsia" w:hAnsiTheme="minorEastAsia" w:eastAsiaTheme="minorEastAsia"/>
                <w:sz w:val="22"/>
                <w:szCs w:val="22"/>
              </w:rPr>
            </w:pPr>
          </w:p>
        </w:tc>
      </w:tr>
      <w:tr w14:paraId="5E84F2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4" w:hRule="atLeast"/>
          <w:jc w:val="center"/>
        </w:trPr>
        <w:tc>
          <w:tcPr>
            <w:tcW w:w="4140" w:type="dxa"/>
            <w:gridSpan w:val="2"/>
            <w:vAlign w:val="center"/>
          </w:tcPr>
          <w:p w14:paraId="0B9F50FA">
            <w:pPr>
              <w:snapToGrid w:val="0"/>
              <w:spacing w:line="360" w:lineRule="auto"/>
              <w:jc w:val="center"/>
              <w:rPr>
                <w:rFonts w:hint="eastAsia" w:asciiTheme="minorEastAsia" w:hAnsiTheme="minorEastAsia" w:eastAsiaTheme="minorEastAsia"/>
                <w:sz w:val="22"/>
                <w:szCs w:val="22"/>
              </w:rPr>
            </w:pPr>
            <w:r>
              <w:rPr>
                <w:rFonts w:cs="宋体" w:asciiTheme="minorEastAsia" w:hAnsiTheme="minorEastAsia" w:eastAsiaTheme="minorEastAsia"/>
                <w:sz w:val="22"/>
                <w:szCs w:val="22"/>
              </w:rPr>
              <w:t>质量标准</w:t>
            </w:r>
          </w:p>
        </w:tc>
        <w:tc>
          <w:tcPr>
            <w:tcW w:w="4644" w:type="dxa"/>
            <w:vAlign w:val="center"/>
          </w:tcPr>
          <w:p w14:paraId="79F2466E">
            <w:pPr>
              <w:snapToGrid w:val="0"/>
              <w:spacing w:line="360" w:lineRule="auto"/>
              <w:jc w:val="left"/>
              <w:rPr>
                <w:rFonts w:hint="eastAsia" w:asciiTheme="minorEastAsia" w:hAnsiTheme="minorEastAsia" w:eastAsiaTheme="minorEastAsia"/>
                <w:sz w:val="22"/>
                <w:szCs w:val="22"/>
              </w:rPr>
            </w:pPr>
          </w:p>
        </w:tc>
      </w:tr>
      <w:tr w14:paraId="65D2C4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2" w:hRule="atLeast"/>
          <w:jc w:val="center"/>
        </w:trPr>
        <w:tc>
          <w:tcPr>
            <w:tcW w:w="4140" w:type="dxa"/>
            <w:gridSpan w:val="2"/>
            <w:vAlign w:val="center"/>
          </w:tcPr>
          <w:p w14:paraId="2D5170D6">
            <w:pPr>
              <w:snapToGrid w:val="0"/>
              <w:spacing w:line="360" w:lineRule="auto"/>
              <w:jc w:val="center"/>
              <w:rPr>
                <w:rFonts w:hint="eastAsia" w:asciiTheme="minorEastAsia" w:hAnsiTheme="minorEastAsia" w:eastAsiaTheme="minorEastAsia"/>
                <w:sz w:val="22"/>
                <w:szCs w:val="22"/>
              </w:rPr>
            </w:pPr>
            <w:r>
              <w:rPr>
                <w:rFonts w:hint="eastAsia" w:cs="宋体" w:asciiTheme="minorEastAsia" w:hAnsiTheme="minorEastAsia" w:eastAsiaTheme="minorEastAsia"/>
                <w:sz w:val="22"/>
                <w:szCs w:val="22"/>
              </w:rPr>
              <w:t>安全生产标准化管理目标等级</w:t>
            </w:r>
          </w:p>
        </w:tc>
        <w:tc>
          <w:tcPr>
            <w:tcW w:w="4644" w:type="dxa"/>
            <w:vAlign w:val="center"/>
          </w:tcPr>
          <w:p w14:paraId="28627FEF">
            <w:pPr>
              <w:snapToGrid w:val="0"/>
              <w:spacing w:line="360" w:lineRule="auto"/>
              <w:jc w:val="left"/>
              <w:rPr>
                <w:rFonts w:hint="eastAsia" w:asciiTheme="minorEastAsia" w:hAnsiTheme="minorEastAsia" w:eastAsiaTheme="minorEastAsia"/>
                <w:sz w:val="22"/>
                <w:szCs w:val="22"/>
              </w:rPr>
            </w:pPr>
          </w:p>
        </w:tc>
      </w:tr>
      <w:tr w14:paraId="6CB7D7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4" w:hRule="atLeast"/>
          <w:jc w:val="center"/>
        </w:trPr>
        <w:tc>
          <w:tcPr>
            <w:tcW w:w="4140" w:type="dxa"/>
            <w:gridSpan w:val="2"/>
            <w:vAlign w:val="center"/>
          </w:tcPr>
          <w:p w14:paraId="61CA1435">
            <w:pPr>
              <w:snapToGrid w:val="0"/>
              <w:spacing w:line="360" w:lineRule="auto"/>
              <w:jc w:val="center"/>
              <w:rPr>
                <w:rFonts w:hint="eastAsia" w:asciiTheme="minorEastAsia" w:hAnsiTheme="minorEastAsia" w:eastAsiaTheme="minorEastAsia"/>
                <w:sz w:val="22"/>
                <w:szCs w:val="22"/>
              </w:rPr>
            </w:pPr>
            <w:r>
              <w:rPr>
                <w:rFonts w:hint="eastAsia" w:cs="宋体" w:asciiTheme="minorEastAsia" w:hAnsiTheme="minorEastAsia" w:eastAsiaTheme="minorEastAsia"/>
                <w:sz w:val="22"/>
                <w:szCs w:val="22"/>
              </w:rPr>
              <w:t>报价中未包含内容及要求采购人的配合条件</w:t>
            </w:r>
          </w:p>
        </w:tc>
        <w:tc>
          <w:tcPr>
            <w:tcW w:w="4644" w:type="dxa"/>
            <w:vAlign w:val="center"/>
          </w:tcPr>
          <w:p w14:paraId="207612B1">
            <w:pPr>
              <w:snapToGrid w:val="0"/>
              <w:spacing w:line="360" w:lineRule="auto"/>
              <w:jc w:val="left"/>
              <w:rPr>
                <w:rFonts w:hint="eastAsia" w:asciiTheme="minorEastAsia" w:hAnsiTheme="minorEastAsia" w:eastAsiaTheme="minorEastAsia"/>
                <w:sz w:val="22"/>
                <w:szCs w:val="22"/>
              </w:rPr>
            </w:pPr>
          </w:p>
        </w:tc>
      </w:tr>
      <w:tr w14:paraId="0DF48A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8" w:hRule="atLeast"/>
          <w:jc w:val="center"/>
        </w:trPr>
        <w:tc>
          <w:tcPr>
            <w:tcW w:w="4140" w:type="dxa"/>
            <w:gridSpan w:val="2"/>
            <w:vAlign w:val="center"/>
          </w:tcPr>
          <w:p w14:paraId="63C6F978">
            <w:pPr>
              <w:snapToGrid w:val="0"/>
              <w:spacing w:line="360" w:lineRule="auto"/>
              <w:jc w:val="center"/>
              <w:rPr>
                <w:rFonts w:hint="eastAsia" w:asciiTheme="minorEastAsia" w:hAnsiTheme="minorEastAsia" w:eastAsiaTheme="minorEastAsia"/>
                <w:sz w:val="22"/>
                <w:szCs w:val="22"/>
              </w:rPr>
            </w:pPr>
            <w:r>
              <w:rPr>
                <w:rFonts w:hint="eastAsia" w:cs="宋体" w:asciiTheme="minorEastAsia" w:hAnsiTheme="minorEastAsia" w:eastAsiaTheme="minorEastAsia"/>
                <w:sz w:val="22"/>
                <w:szCs w:val="22"/>
              </w:rPr>
              <w:t>对报价需要说明的问题</w:t>
            </w:r>
          </w:p>
        </w:tc>
        <w:tc>
          <w:tcPr>
            <w:tcW w:w="4644" w:type="dxa"/>
            <w:vAlign w:val="center"/>
          </w:tcPr>
          <w:p w14:paraId="635D50E0">
            <w:pPr>
              <w:snapToGrid w:val="0"/>
              <w:spacing w:line="360" w:lineRule="auto"/>
              <w:jc w:val="left"/>
              <w:rPr>
                <w:rFonts w:hint="eastAsia" w:asciiTheme="minorEastAsia" w:hAnsiTheme="minorEastAsia" w:eastAsiaTheme="minorEastAsia"/>
                <w:sz w:val="22"/>
                <w:szCs w:val="22"/>
              </w:rPr>
            </w:pPr>
          </w:p>
        </w:tc>
      </w:tr>
    </w:tbl>
    <w:p w14:paraId="7980839F">
      <w:pPr>
        <w:snapToGrid w:val="0"/>
        <w:spacing w:line="360"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注：1.此表无需在响应文件中提交，磋商后供应商按磋商小组要求提交。</w:t>
      </w:r>
    </w:p>
    <w:p w14:paraId="52465935">
      <w:pPr>
        <w:snapToGrid w:val="0"/>
        <w:spacing w:line="360" w:lineRule="auto"/>
        <w:ind w:firstLine="420" w:firstLineChars="200"/>
        <w:rPr>
          <w:rFonts w:hint="eastAsia" w:asciiTheme="minorEastAsia" w:hAnsiTheme="minorEastAsia" w:eastAsiaTheme="minorEastAsia"/>
          <w:szCs w:val="21"/>
        </w:rPr>
      </w:pPr>
      <w:r>
        <w:rPr>
          <w:rFonts w:hint="eastAsia"/>
        </w:rPr>
        <w:t xml:space="preserve"> </w:t>
      </w:r>
      <w:r>
        <w:rPr>
          <w:rFonts w:hint="eastAsia" w:asciiTheme="minorEastAsia" w:hAnsiTheme="minorEastAsia" w:eastAsiaTheme="minorEastAsia"/>
          <w:szCs w:val="21"/>
        </w:rPr>
        <w:t xml:space="preserve">   2.《最后报价一览表》与《报价一览表》金额不一致的，需要提供最后报价的分项报价明细。</w:t>
      </w:r>
    </w:p>
    <w:p w14:paraId="6FD91633">
      <w:pPr>
        <w:widowControl/>
        <w:spacing w:line="360" w:lineRule="auto"/>
        <w:jc w:val="left"/>
        <w:rPr>
          <w:rFonts w:hint="eastAsia" w:cs="Arial" w:asciiTheme="minorEastAsia" w:hAnsiTheme="minorEastAsia" w:eastAsiaTheme="minorEastAsia"/>
          <w:b/>
          <w:sz w:val="24"/>
        </w:rPr>
      </w:pPr>
    </w:p>
    <w:p w14:paraId="76359B75">
      <w:pPr>
        <w:widowControl/>
        <w:spacing w:line="360" w:lineRule="auto"/>
        <w:jc w:val="left"/>
        <w:rPr>
          <w:rFonts w:hint="eastAsia" w:asciiTheme="minorEastAsia" w:hAnsiTheme="minorEastAsia" w:eastAsiaTheme="minorEastAsia"/>
          <w:color w:val="000000"/>
          <w:sz w:val="24"/>
        </w:rPr>
      </w:pPr>
      <w:r>
        <w:rPr>
          <w:rFonts w:hint="eastAsia" w:asciiTheme="minorEastAsia" w:hAnsiTheme="minorEastAsia" w:eastAsiaTheme="minorEastAsia"/>
          <w:color w:val="000000"/>
          <w:sz w:val="24"/>
        </w:rPr>
        <w:t>供应商名称：</w:t>
      </w:r>
      <w:r>
        <w:rPr>
          <w:rFonts w:asciiTheme="minorEastAsia" w:hAnsiTheme="minorEastAsia" w:eastAsiaTheme="minorEastAsia"/>
          <w:sz w:val="24"/>
        </w:rPr>
        <w:t>___________</w:t>
      </w:r>
    </w:p>
    <w:p w14:paraId="0199DE4E">
      <w:pPr>
        <w:autoSpaceDE w:val="0"/>
        <w:autoSpaceDN w:val="0"/>
        <w:adjustRightInd w:val="0"/>
        <w:snapToGrid w:val="0"/>
        <w:spacing w:before="25" w:line="360" w:lineRule="auto"/>
        <w:rPr>
          <w:rFonts w:hint="eastAsia" w:asciiTheme="minorEastAsia" w:hAnsiTheme="minorEastAsia" w:eastAsiaTheme="minorEastAsia"/>
          <w:color w:val="000000"/>
          <w:sz w:val="24"/>
          <w:lang w:val="zh-CN"/>
        </w:rPr>
      </w:pPr>
      <w:r>
        <w:rPr>
          <w:rFonts w:hint="eastAsia" w:asciiTheme="minorEastAsia" w:hAnsiTheme="minorEastAsia" w:eastAsiaTheme="minorEastAsia"/>
          <w:color w:val="000000"/>
          <w:sz w:val="24"/>
        </w:rPr>
        <w:t>法定代表人或其授权委托人签字（或加盖供应商</w:t>
      </w:r>
      <w:r>
        <w:rPr>
          <w:rFonts w:asciiTheme="minorEastAsia" w:hAnsiTheme="minorEastAsia" w:eastAsiaTheme="minorEastAsia"/>
          <w:color w:val="000000"/>
          <w:sz w:val="24"/>
        </w:rPr>
        <w:t>公章</w:t>
      </w:r>
      <w:r>
        <w:rPr>
          <w:rFonts w:hint="eastAsia" w:asciiTheme="minorEastAsia" w:hAnsiTheme="minorEastAsia" w:eastAsiaTheme="minorEastAsia"/>
          <w:color w:val="000000"/>
          <w:sz w:val="24"/>
        </w:rPr>
        <w:t>）</w:t>
      </w:r>
      <w:r>
        <w:rPr>
          <w:rFonts w:asciiTheme="minorEastAsia" w:hAnsiTheme="minorEastAsia" w:eastAsiaTheme="minorEastAsia"/>
          <w:color w:val="000000"/>
          <w:sz w:val="24"/>
          <w:lang w:val="zh-CN"/>
        </w:rPr>
        <w:t>：</w:t>
      </w:r>
      <w:r>
        <w:rPr>
          <w:rFonts w:asciiTheme="minorEastAsia" w:hAnsiTheme="minorEastAsia" w:eastAsiaTheme="minorEastAsia"/>
          <w:sz w:val="24"/>
        </w:rPr>
        <w:t>___________</w:t>
      </w:r>
    </w:p>
    <w:p w14:paraId="06F20120">
      <w:pPr>
        <w:autoSpaceDE w:val="0"/>
        <w:autoSpaceDN w:val="0"/>
        <w:adjustRightInd w:val="0"/>
        <w:snapToGrid w:val="0"/>
        <w:spacing w:line="360" w:lineRule="auto"/>
        <w:rPr>
          <w:rFonts w:hint="eastAsia" w:asciiTheme="minorEastAsia" w:hAnsiTheme="minorEastAsia" w:eastAsiaTheme="minorEastAsia"/>
          <w:b/>
          <w:sz w:val="28"/>
        </w:rPr>
      </w:pPr>
      <w:r>
        <w:rPr>
          <w:rFonts w:asciiTheme="minorEastAsia" w:hAnsiTheme="minorEastAsia" w:eastAsiaTheme="minorEastAsia"/>
          <w:color w:val="000000"/>
          <w:sz w:val="24"/>
        </w:rPr>
        <w:t>日期：</w:t>
      </w:r>
      <w:r>
        <w:rPr>
          <w:rFonts w:asciiTheme="minorEastAsia" w:hAnsiTheme="minorEastAsia" w:eastAsiaTheme="minorEastAsia"/>
          <w:color w:val="000000"/>
          <w:sz w:val="24"/>
          <w:szCs w:val="20"/>
        </w:rPr>
        <w:t>____年____月____日</w:t>
      </w:r>
    </w:p>
    <w:p w14:paraId="0D21D13E">
      <w:pPr>
        <w:pStyle w:val="103"/>
        <w:rPr>
          <w:rFonts w:hint="eastAsia" w:cs="宋体" w:asciiTheme="minorEastAsia" w:hAnsiTheme="minorEastAsia" w:eastAsiaTheme="minorEastAsia"/>
          <w:kern w:val="0"/>
          <w:sz w:val="24"/>
        </w:rPr>
      </w:pPr>
      <w:bookmarkStart w:id="2314" w:name="OLE_LINK49"/>
      <w:bookmarkStart w:id="2315" w:name="OLE_LINK51"/>
    </w:p>
    <w:p w14:paraId="6A26D14A">
      <w:pPr>
        <w:pStyle w:val="103"/>
        <w:rPr>
          <w:rFonts w:hint="eastAsia" w:cs="宋体" w:asciiTheme="minorEastAsia" w:hAnsiTheme="minorEastAsia" w:eastAsiaTheme="minorEastAsia"/>
          <w:kern w:val="0"/>
          <w:sz w:val="24"/>
        </w:rPr>
      </w:pPr>
    </w:p>
    <w:p w14:paraId="04CC242D">
      <w:pPr>
        <w:widowControl/>
        <w:jc w:val="left"/>
        <w:rPr>
          <w:rFonts w:hint="eastAsia" w:cs="宋体" w:asciiTheme="minorEastAsia" w:hAnsiTheme="minorEastAsia" w:eastAsiaTheme="minorEastAsia"/>
          <w:kern w:val="0"/>
          <w:sz w:val="24"/>
        </w:rPr>
      </w:pPr>
      <w:r>
        <w:rPr>
          <w:rFonts w:hint="eastAsia" w:cs="宋体" w:asciiTheme="minorEastAsia" w:hAnsiTheme="minorEastAsia" w:eastAsiaTheme="minorEastAsia"/>
          <w:kern w:val="0"/>
          <w:sz w:val="24"/>
        </w:rPr>
        <w:br w:type="page"/>
      </w:r>
    </w:p>
    <w:p w14:paraId="6E37E8E2">
      <w:pPr>
        <w:widowControl/>
        <w:spacing w:line="360" w:lineRule="auto"/>
        <w:jc w:val="left"/>
        <w:outlineLvl w:val="1"/>
        <w:rPr>
          <w:rFonts w:hint="eastAsia" w:cs="宋体" w:asciiTheme="minorEastAsia" w:hAnsiTheme="minorEastAsia" w:eastAsiaTheme="minorEastAsia"/>
          <w:kern w:val="0"/>
          <w:sz w:val="24"/>
        </w:rPr>
      </w:pPr>
      <w:r>
        <w:rPr>
          <w:rFonts w:hint="eastAsia" w:cs="宋体" w:asciiTheme="minorEastAsia" w:hAnsiTheme="minorEastAsia" w:eastAsiaTheme="minorEastAsia"/>
          <w:kern w:val="0"/>
          <w:sz w:val="24"/>
        </w:rPr>
        <w:t>18  技术方案</w:t>
      </w:r>
    </w:p>
    <w:p w14:paraId="71EE209B">
      <w:pPr>
        <w:pStyle w:val="103"/>
        <w:ind w:firstLine="0"/>
      </w:pPr>
    </w:p>
    <w:bookmarkEnd w:id="2314"/>
    <w:p w14:paraId="5765D9E9">
      <w:pPr>
        <w:widowControl/>
        <w:spacing w:line="480" w:lineRule="auto"/>
        <w:ind w:firstLine="480"/>
        <w:jc w:val="center"/>
        <w:rPr>
          <w:rFonts w:hint="eastAsia" w:cs="Arial" w:asciiTheme="minorEastAsia" w:hAnsiTheme="minorEastAsia" w:eastAsiaTheme="minorEastAsia"/>
        </w:rPr>
      </w:pPr>
      <w:r>
        <w:rPr>
          <w:rFonts w:hint="eastAsia" w:asciiTheme="minorEastAsia" w:hAnsiTheme="minorEastAsia" w:eastAsiaTheme="minorEastAsia"/>
          <w:sz w:val="24"/>
        </w:rPr>
        <w:t>（格式自拟）</w:t>
      </w:r>
    </w:p>
    <w:bookmarkEnd w:id="2315"/>
    <w:p w14:paraId="7965A65E">
      <w:pPr>
        <w:adjustRightInd w:val="0"/>
        <w:snapToGrid w:val="0"/>
        <w:spacing w:line="360" w:lineRule="auto"/>
        <w:ind w:firstLine="482"/>
        <w:rPr>
          <w:rFonts w:hint="eastAsia" w:asciiTheme="minorEastAsia" w:hAnsiTheme="minorEastAsia" w:eastAsiaTheme="minorEastAsia"/>
          <w:sz w:val="24"/>
        </w:rPr>
      </w:pPr>
    </w:p>
    <w:p w14:paraId="4BAC6579">
      <w:pPr>
        <w:adjustRightInd w:val="0"/>
        <w:snapToGrid w:val="0"/>
        <w:spacing w:line="360" w:lineRule="auto"/>
        <w:ind w:firstLine="480"/>
        <w:rPr>
          <w:rFonts w:hint="eastAsia" w:asciiTheme="minorEastAsia" w:hAnsiTheme="minorEastAsia" w:eastAsiaTheme="minorEastAsia"/>
          <w:color w:val="000000"/>
          <w:sz w:val="24"/>
        </w:rPr>
      </w:pPr>
      <w:bookmarkStart w:id="2316" w:name="_Hlk48125281"/>
      <w:r>
        <w:rPr>
          <w:rFonts w:hint="eastAsia" w:asciiTheme="minorEastAsia" w:hAnsiTheme="minorEastAsia" w:eastAsiaTheme="minorEastAsia"/>
          <w:sz w:val="24"/>
        </w:rPr>
        <w:t>技术方案内容包括但不限于：</w:t>
      </w:r>
      <w:r>
        <w:rPr>
          <w:rFonts w:hint="eastAsia" w:asciiTheme="minorEastAsia" w:hAnsiTheme="minorEastAsia" w:eastAsiaTheme="minorEastAsia"/>
          <w:color w:val="000000"/>
          <w:sz w:val="24"/>
        </w:rPr>
        <w:t>施工方案与技术措施；质量管理体系与保证措施；安全和文明施工保障措施；工程进度计划与保证措施；成品保护和工程保修工作的管理措施；紧急情况的处理措施、预案以及抵抗风险的措施等。</w:t>
      </w:r>
      <w:r>
        <w:rPr>
          <w:rFonts w:hint="eastAsia" w:cs="Arial" w:asciiTheme="minorEastAsia" w:hAnsiTheme="minorEastAsia" w:eastAsiaTheme="minorEastAsia"/>
          <w:sz w:val="24"/>
        </w:rPr>
        <w:t>要求技术部分方案总页码数不得超过15</w:t>
      </w:r>
      <w:r>
        <w:rPr>
          <w:rFonts w:cs="Arial" w:asciiTheme="minorEastAsia" w:hAnsiTheme="minorEastAsia" w:eastAsiaTheme="minorEastAsia"/>
          <w:sz w:val="24"/>
        </w:rPr>
        <w:t>0</w:t>
      </w:r>
      <w:r>
        <w:rPr>
          <w:rFonts w:hint="eastAsia" w:cs="Arial" w:asciiTheme="minorEastAsia" w:hAnsiTheme="minorEastAsia" w:eastAsiaTheme="minorEastAsia"/>
          <w:sz w:val="24"/>
        </w:rPr>
        <w:t>页。</w:t>
      </w:r>
    </w:p>
    <w:bookmarkEnd w:id="2316"/>
    <w:p w14:paraId="2FBDC094">
      <w:pPr>
        <w:rPr>
          <w:rFonts w:hint="eastAsia" w:asciiTheme="minorEastAsia" w:hAnsiTheme="minorEastAsia" w:eastAsiaTheme="minorEastAsia"/>
          <w:color w:val="000000"/>
          <w:sz w:val="24"/>
          <w:szCs w:val="20"/>
        </w:rPr>
      </w:pPr>
    </w:p>
    <w:p w14:paraId="1D91BDA4">
      <w:pPr>
        <w:rPr>
          <w:rFonts w:hint="eastAsia" w:asciiTheme="minorEastAsia" w:hAnsiTheme="minorEastAsia" w:eastAsiaTheme="minorEastAsia"/>
          <w:color w:val="000000"/>
          <w:sz w:val="24"/>
          <w:szCs w:val="20"/>
        </w:rPr>
      </w:pPr>
    </w:p>
    <w:p w14:paraId="7B25082D">
      <w:pPr>
        <w:rPr>
          <w:rFonts w:hint="eastAsia" w:asciiTheme="minorEastAsia" w:hAnsiTheme="minorEastAsia" w:eastAsiaTheme="minorEastAsia"/>
          <w:color w:val="000000"/>
          <w:sz w:val="24"/>
          <w:szCs w:val="20"/>
        </w:rPr>
      </w:pPr>
    </w:p>
    <w:p w14:paraId="56B7B11D">
      <w:pPr>
        <w:rPr>
          <w:rFonts w:hint="eastAsia" w:asciiTheme="minorEastAsia" w:hAnsiTheme="minorEastAsia" w:eastAsiaTheme="minorEastAsia"/>
          <w:color w:val="000000"/>
          <w:sz w:val="24"/>
          <w:szCs w:val="20"/>
        </w:rPr>
      </w:pPr>
    </w:p>
    <w:p w14:paraId="60128EA8">
      <w:pPr>
        <w:rPr>
          <w:rFonts w:hint="eastAsia" w:asciiTheme="minorEastAsia" w:hAnsiTheme="minorEastAsia" w:eastAsiaTheme="minorEastAsia"/>
          <w:color w:val="000000"/>
          <w:sz w:val="24"/>
          <w:szCs w:val="20"/>
        </w:rPr>
      </w:pPr>
    </w:p>
    <w:p w14:paraId="42F7BD2A">
      <w:pPr>
        <w:rPr>
          <w:rFonts w:hint="eastAsia" w:asciiTheme="minorEastAsia" w:hAnsiTheme="minorEastAsia" w:eastAsiaTheme="minorEastAsia"/>
          <w:color w:val="000000"/>
          <w:sz w:val="24"/>
          <w:szCs w:val="20"/>
        </w:rPr>
      </w:pPr>
    </w:p>
    <w:p w14:paraId="3520D0F2">
      <w:pPr>
        <w:rPr>
          <w:rFonts w:hint="eastAsia" w:asciiTheme="minorEastAsia" w:hAnsiTheme="minorEastAsia" w:eastAsiaTheme="minorEastAsia"/>
          <w:color w:val="000000"/>
          <w:sz w:val="24"/>
          <w:szCs w:val="20"/>
        </w:rPr>
      </w:pPr>
    </w:p>
    <w:p w14:paraId="46FCA1D7">
      <w:pPr>
        <w:rPr>
          <w:rFonts w:hint="eastAsia" w:asciiTheme="minorEastAsia" w:hAnsiTheme="minorEastAsia" w:eastAsiaTheme="minorEastAsia"/>
          <w:color w:val="000000"/>
          <w:sz w:val="24"/>
          <w:szCs w:val="20"/>
        </w:rPr>
      </w:pPr>
    </w:p>
    <w:p w14:paraId="64D98B59">
      <w:pPr>
        <w:rPr>
          <w:rFonts w:hint="eastAsia" w:asciiTheme="minorEastAsia" w:hAnsiTheme="minorEastAsia" w:eastAsiaTheme="minorEastAsia"/>
          <w:color w:val="000000"/>
          <w:sz w:val="24"/>
          <w:szCs w:val="20"/>
        </w:rPr>
      </w:pPr>
    </w:p>
    <w:p w14:paraId="08C3B1CC">
      <w:pPr>
        <w:rPr>
          <w:rFonts w:hint="eastAsia" w:asciiTheme="minorEastAsia" w:hAnsiTheme="minorEastAsia" w:eastAsiaTheme="minorEastAsia"/>
          <w:color w:val="000000"/>
          <w:sz w:val="24"/>
          <w:szCs w:val="20"/>
        </w:rPr>
      </w:pPr>
    </w:p>
    <w:p w14:paraId="56889821">
      <w:pPr>
        <w:rPr>
          <w:rFonts w:hint="eastAsia" w:asciiTheme="minorEastAsia" w:hAnsiTheme="minorEastAsia" w:eastAsiaTheme="minorEastAsia"/>
          <w:color w:val="000000"/>
          <w:sz w:val="24"/>
          <w:szCs w:val="20"/>
        </w:rPr>
      </w:pPr>
    </w:p>
    <w:p w14:paraId="51410C98">
      <w:pPr>
        <w:rPr>
          <w:rFonts w:hint="eastAsia" w:asciiTheme="minorEastAsia" w:hAnsiTheme="minorEastAsia" w:eastAsiaTheme="minorEastAsia"/>
          <w:color w:val="000000"/>
          <w:sz w:val="24"/>
          <w:szCs w:val="20"/>
        </w:rPr>
      </w:pPr>
    </w:p>
    <w:p w14:paraId="478CFE8E">
      <w:pPr>
        <w:rPr>
          <w:rFonts w:hint="eastAsia" w:asciiTheme="minorEastAsia" w:hAnsiTheme="minorEastAsia" w:eastAsiaTheme="minorEastAsia"/>
          <w:color w:val="000000"/>
          <w:sz w:val="24"/>
          <w:szCs w:val="20"/>
        </w:rPr>
      </w:pPr>
    </w:p>
    <w:p w14:paraId="070E778A">
      <w:pPr>
        <w:rPr>
          <w:rFonts w:hint="eastAsia" w:asciiTheme="minorEastAsia" w:hAnsiTheme="minorEastAsia" w:eastAsiaTheme="minorEastAsia"/>
          <w:color w:val="000000"/>
          <w:sz w:val="24"/>
          <w:szCs w:val="20"/>
        </w:rPr>
      </w:pPr>
    </w:p>
    <w:p w14:paraId="510C9677">
      <w:pPr>
        <w:rPr>
          <w:rFonts w:hint="eastAsia" w:asciiTheme="minorEastAsia" w:hAnsiTheme="minorEastAsia" w:eastAsiaTheme="minorEastAsia"/>
          <w:color w:val="000000"/>
          <w:sz w:val="24"/>
          <w:szCs w:val="20"/>
        </w:rPr>
      </w:pPr>
    </w:p>
    <w:p w14:paraId="6AF528F2">
      <w:pPr>
        <w:rPr>
          <w:rFonts w:hint="eastAsia" w:asciiTheme="minorEastAsia" w:hAnsiTheme="minorEastAsia" w:eastAsiaTheme="minorEastAsia"/>
          <w:color w:val="000000"/>
          <w:sz w:val="24"/>
          <w:szCs w:val="20"/>
        </w:rPr>
      </w:pPr>
    </w:p>
    <w:p w14:paraId="5A30C453">
      <w:pPr>
        <w:rPr>
          <w:rFonts w:hint="eastAsia" w:asciiTheme="minorEastAsia" w:hAnsiTheme="minorEastAsia" w:eastAsiaTheme="minorEastAsia"/>
          <w:color w:val="000000"/>
          <w:sz w:val="24"/>
          <w:szCs w:val="20"/>
        </w:rPr>
      </w:pPr>
    </w:p>
    <w:p w14:paraId="1BE87A19">
      <w:pPr>
        <w:rPr>
          <w:rFonts w:hint="eastAsia" w:asciiTheme="minorEastAsia" w:hAnsiTheme="minorEastAsia" w:eastAsiaTheme="minorEastAsia"/>
          <w:color w:val="000000"/>
          <w:sz w:val="24"/>
          <w:szCs w:val="20"/>
        </w:rPr>
      </w:pPr>
    </w:p>
    <w:p w14:paraId="40A0D1AC">
      <w:pPr>
        <w:rPr>
          <w:rFonts w:hint="eastAsia" w:asciiTheme="minorEastAsia" w:hAnsiTheme="minorEastAsia" w:eastAsiaTheme="minorEastAsia"/>
          <w:color w:val="000000"/>
          <w:sz w:val="24"/>
          <w:szCs w:val="20"/>
        </w:rPr>
      </w:pPr>
    </w:p>
    <w:bookmarkEnd w:id="2313"/>
    <w:p w14:paraId="74987CFC">
      <w:pPr>
        <w:pStyle w:val="50"/>
        <w:spacing w:line="440" w:lineRule="atLeast"/>
        <w:ind w:left="99" w:leftChars="47"/>
        <w:rPr>
          <w:rFonts w:hint="eastAsia" w:asciiTheme="minorEastAsia" w:hAnsiTheme="minorEastAsia" w:eastAsiaTheme="minorEastAsia"/>
          <w:sz w:val="21"/>
          <w:szCs w:val="21"/>
        </w:rPr>
      </w:pPr>
    </w:p>
    <w:p w14:paraId="18FFD705">
      <w:pPr>
        <w:widowControl/>
        <w:ind w:firstLine="482" w:firstLineChars="200"/>
        <w:jc w:val="left"/>
        <w:rPr>
          <w:rFonts w:hint="eastAsia" w:cs="宋体" w:asciiTheme="minorEastAsia" w:hAnsiTheme="minorEastAsia" w:eastAsiaTheme="minorEastAsia"/>
          <w:bCs/>
          <w:kern w:val="0"/>
          <w:sz w:val="24"/>
        </w:rPr>
      </w:pPr>
      <w:r>
        <w:rPr>
          <w:rFonts w:cs="宋体" w:asciiTheme="minorEastAsia" w:hAnsiTheme="minorEastAsia" w:eastAsiaTheme="minorEastAsia"/>
          <w:b/>
          <w:bCs/>
          <w:sz w:val="24"/>
        </w:rPr>
        <w:br w:type="page"/>
      </w:r>
    </w:p>
    <w:bookmarkEnd w:id="2277"/>
    <w:bookmarkEnd w:id="2278"/>
    <w:bookmarkEnd w:id="2279"/>
    <w:bookmarkEnd w:id="2280"/>
    <w:bookmarkEnd w:id="2281"/>
    <w:bookmarkEnd w:id="2282"/>
    <w:bookmarkEnd w:id="2283"/>
    <w:bookmarkEnd w:id="2284"/>
    <w:bookmarkEnd w:id="2285"/>
    <w:bookmarkEnd w:id="2286"/>
    <w:bookmarkEnd w:id="2287"/>
    <w:bookmarkEnd w:id="2288"/>
    <w:bookmarkEnd w:id="2289"/>
    <w:bookmarkEnd w:id="2305"/>
    <w:bookmarkEnd w:id="2306"/>
    <w:bookmarkEnd w:id="2307"/>
    <w:p w14:paraId="29E89DE1">
      <w:pPr>
        <w:widowControl/>
        <w:spacing w:line="360" w:lineRule="auto"/>
        <w:jc w:val="left"/>
        <w:outlineLvl w:val="1"/>
        <w:rPr>
          <w:rFonts w:hint="eastAsia" w:cs="宋体" w:asciiTheme="minorEastAsia" w:hAnsiTheme="minorEastAsia" w:eastAsiaTheme="minorEastAsia"/>
          <w:sz w:val="24"/>
        </w:rPr>
      </w:pPr>
      <w:bookmarkStart w:id="2317" w:name="_Toc152042589"/>
      <w:bookmarkStart w:id="2318" w:name="_Toc226965751"/>
      <w:bookmarkStart w:id="2319" w:name="_Toc150480798"/>
      <w:bookmarkStart w:id="2320" w:name="_Toc144974868"/>
      <w:bookmarkStart w:id="2321" w:name="_Toc152045800"/>
      <w:bookmarkStart w:id="2322" w:name="_Toc264969251"/>
      <w:bookmarkStart w:id="2323" w:name="_Toc226309805"/>
      <w:bookmarkStart w:id="2324" w:name="_Toc226965834"/>
      <w:bookmarkStart w:id="2325" w:name="_Toc127151562"/>
      <w:bookmarkStart w:id="2326" w:name="_Toc226965835"/>
      <w:bookmarkStart w:id="2327" w:name="_Toc264969252"/>
      <w:bookmarkStart w:id="2328" w:name="_Toc497584208"/>
      <w:bookmarkStart w:id="2329" w:name="_Toc150774765"/>
      <w:bookmarkStart w:id="2330" w:name="_Toc305158903"/>
      <w:bookmarkStart w:id="2331" w:name="_Toc226965752"/>
      <w:bookmarkStart w:id="2332" w:name="_Toc483684721"/>
      <w:bookmarkStart w:id="2333" w:name="_Toc241459827"/>
      <w:bookmarkStart w:id="2334" w:name="_Toc142311061"/>
      <w:bookmarkStart w:id="2335" w:name="_Toc142311062"/>
      <w:bookmarkStart w:id="2336" w:name="_Toc342296584"/>
      <w:bookmarkStart w:id="2337" w:name="_Toc179632820"/>
      <w:bookmarkStart w:id="2338" w:name="_Toc226337257"/>
      <w:bookmarkStart w:id="2339" w:name="_Toc265228400"/>
      <w:bookmarkStart w:id="2340" w:name="_Toc305158830"/>
      <w:bookmarkStart w:id="2341" w:name="_Toc480487473"/>
      <w:bookmarkStart w:id="2342" w:name="_Toc226337258"/>
      <w:bookmarkStart w:id="2343" w:name="_Toc195842926"/>
      <w:bookmarkStart w:id="2344" w:name="_Toc150774764"/>
      <w:bookmarkStart w:id="2345" w:name="_Toc127151561"/>
      <w:bookmarkStart w:id="2346" w:name="_Toc150480797"/>
      <w:bookmarkStart w:id="2347" w:name="_Toc226309806"/>
      <w:bookmarkStart w:id="2348" w:name="_Toc265228399"/>
      <w:bookmarkStart w:id="2349" w:name="_Toc305158829"/>
      <w:bookmarkStart w:id="2350" w:name="_Toc305158904"/>
      <w:bookmarkStart w:id="2351" w:name="_Toc195842927"/>
      <w:bookmarkStart w:id="2352" w:name="_Hlk202770133"/>
      <w:r>
        <w:rPr>
          <w:rFonts w:hint="eastAsia" w:cs="宋体" w:asciiTheme="minorEastAsia" w:hAnsiTheme="minorEastAsia" w:eastAsiaTheme="minorEastAsia"/>
          <w:kern w:val="0"/>
          <w:sz w:val="24"/>
        </w:rPr>
        <w:t xml:space="preserve">19 </w:t>
      </w:r>
      <w:r>
        <w:rPr>
          <w:rFonts w:hint="eastAsia" w:cs="宋体" w:asciiTheme="minorEastAsia" w:hAnsiTheme="minorEastAsia" w:eastAsiaTheme="minorEastAsia"/>
          <w:sz w:val="24"/>
        </w:rPr>
        <w:t xml:space="preserve"> 供应商信息采集表</w:t>
      </w:r>
    </w:p>
    <w:bookmarkEnd w:id="2317"/>
    <w:bookmarkEnd w:id="2318"/>
    <w:bookmarkEnd w:id="2319"/>
    <w:bookmarkEnd w:id="2320"/>
    <w:bookmarkEnd w:id="2321"/>
    <w:bookmarkEnd w:id="2322"/>
    <w:bookmarkEnd w:id="2323"/>
    <w:bookmarkEnd w:id="2324"/>
    <w:bookmarkEnd w:id="2325"/>
    <w:bookmarkEnd w:id="2326"/>
    <w:bookmarkEnd w:id="2327"/>
    <w:bookmarkEnd w:id="2328"/>
    <w:bookmarkEnd w:id="2329"/>
    <w:bookmarkEnd w:id="2330"/>
    <w:bookmarkEnd w:id="2331"/>
    <w:bookmarkEnd w:id="2332"/>
    <w:bookmarkEnd w:id="2333"/>
    <w:bookmarkEnd w:id="2334"/>
    <w:bookmarkEnd w:id="2335"/>
    <w:bookmarkEnd w:id="2336"/>
    <w:bookmarkEnd w:id="2337"/>
    <w:bookmarkEnd w:id="2338"/>
    <w:bookmarkEnd w:id="2339"/>
    <w:bookmarkEnd w:id="2340"/>
    <w:bookmarkEnd w:id="2341"/>
    <w:bookmarkEnd w:id="2342"/>
    <w:bookmarkEnd w:id="2343"/>
    <w:bookmarkEnd w:id="2344"/>
    <w:bookmarkEnd w:id="2345"/>
    <w:bookmarkEnd w:id="2346"/>
    <w:bookmarkEnd w:id="2347"/>
    <w:bookmarkEnd w:id="2348"/>
    <w:bookmarkEnd w:id="2349"/>
    <w:bookmarkEnd w:id="2350"/>
    <w:bookmarkEnd w:id="2351"/>
    <w:p w14:paraId="5BFD8A04">
      <w:pPr>
        <w:pStyle w:val="5"/>
        <w:spacing w:line="360" w:lineRule="auto"/>
        <w:ind w:firstLine="643"/>
        <w:jc w:val="center"/>
        <w:rPr>
          <w:rFonts w:hint="eastAsia" w:hAnsi="宋体" w:cs="宋体"/>
        </w:rPr>
      </w:pPr>
      <w:bookmarkStart w:id="2353" w:name="OLE_LINK50"/>
      <w:r>
        <w:rPr>
          <w:rFonts w:hint="eastAsia" w:hAnsi="宋体" w:cs="宋体"/>
          <w:b/>
          <w:bCs/>
          <w:sz w:val="28"/>
          <w:szCs w:val="28"/>
        </w:rPr>
        <w:t>供应商信息采集表</w:t>
      </w:r>
      <w:bookmarkEnd w:id="2353"/>
    </w:p>
    <w:tbl>
      <w:tblPr>
        <w:tblStyle w:val="8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43"/>
        <w:gridCol w:w="2457"/>
        <w:gridCol w:w="2299"/>
      </w:tblGrid>
      <w:tr w14:paraId="073720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jc w:val="center"/>
        </w:trPr>
        <w:tc>
          <w:tcPr>
            <w:tcW w:w="2470" w:type="pct"/>
            <w:vAlign w:val="center"/>
          </w:tcPr>
          <w:p w14:paraId="28A4AE05">
            <w:pPr>
              <w:snapToGrid w:val="0"/>
              <w:jc w:val="center"/>
              <w:rPr>
                <w:rFonts w:hint="eastAsia" w:ascii="宋体" w:hAnsi="宋体" w:cs="宋体"/>
                <w:sz w:val="24"/>
                <w:shd w:val="clear" w:color="auto" w:fill="FFFFFF"/>
              </w:rPr>
            </w:pPr>
            <w:r>
              <w:rPr>
                <w:rFonts w:hint="eastAsia" w:ascii="宋体" w:hAnsi="宋体" w:cs="宋体"/>
                <w:sz w:val="24"/>
                <w:shd w:val="clear" w:color="auto" w:fill="FFFFFF"/>
              </w:rPr>
              <w:t>供应商名称</w:t>
            </w:r>
          </w:p>
        </w:tc>
        <w:tc>
          <w:tcPr>
            <w:tcW w:w="1307" w:type="pct"/>
            <w:vAlign w:val="center"/>
          </w:tcPr>
          <w:p w14:paraId="50B4C53D">
            <w:pPr>
              <w:snapToGrid w:val="0"/>
              <w:jc w:val="center"/>
              <w:rPr>
                <w:rFonts w:hint="eastAsia" w:ascii="宋体" w:hAnsi="宋体" w:cs="宋体"/>
                <w:sz w:val="24"/>
                <w:shd w:val="clear" w:color="auto" w:fill="FFFFFF"/>
              </w:rPr>
            </w:pPr>
            <w:r>
              <w:rPr>
                <w:rFonts w:hint="eastAsia" w:ascii="宋体" w:hAnsi="宋体" w:cs="宋体"/>
                <w:sz w:val="24"/>
                <w:shd w:val="clear" w:color="auto" w:fill="FFFFFF"/>
              </w:rPr>
              <w:t>供应商所属性别</w:t>
            </w:r>
          </w:p>
        </w:tc>
        <w:tc>
          <w:tcPr>
            <w:tcW w:w="1223" w:type="pct"/>
            <w:vAlign w:val="center"/>
          </w:tcPr>
          <w:p w14:paraId="41FFA3AE">
            <w:pPr>
              <w:snapToGrid w:val="0"/>
              <w:jc w:val="center"/>
              <w:rPr>
                <w:rFonts w:hint="eastAsia" w:ascii="宋体" w:hAnsi="宋体" w:cs="宋体"/>
                <w:sz w:val="24"/>
                <w:shd w:val="clear" w:color="auto" w:fill="FFFFFF"/>
              </w:rPr>
            </w:pPr>
            <w:r>
              <w:rPr>
                <w:rFonts w:hint="eastAsia" w:ascii="宋体" w:hAnsi="宋体" w:cs="宋体"/>
                <w:sz w:val="24"/>
                <w:shd w:val="clear" w:color="auto" w:fill="FFFFFF"/>
              </w:rPr>
              <w:t>外商投资类型</w:t>
            </w:r>
          </w:p>
        </w:tc>
      </w:tr>
      <w:tr w14:paraId="64377A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jc w:val="center"/>
        </w:trPr>
        <w:tc>
          <w:tcPr>
            <w:tcW w:w="2470" w:type="pct"/>
            <w:vAlign w:val="center"/>
          </w:tcPr>
          <w:p w14:paraId="68F8FDB2">
            <w:pPr>
              <w:snapToGrid w:val="0"/>
              <w:jc w:val="center"/>
              <w:rPr>
                <w:rFonts w:hint="eastAsia" w:ascii="宋体" w:hAnsi="宋体" w:cs="宋体"/>
                <w:sz w:val="24"/>
                <w:shd w:val="clear" w:color="auto" w:fill="FFFFFF"/>
              </w:rPr>
            </w:pPr>
          </w:p>
        </w:tc>
        <w:tc>
          <w:tcPr>
            <w:tcW w:w="1307" w:type="pct"/>
            <w:vAlign w:val="center"/>
          </w:tcPr>
          <w:p w14:paraId="33297E91">
            <w:pPr>
              <w:snapToGrid w:val="0"/>
              <w:jc w:val="center"/>
              <w:rPr>
                <w:rFonts w:hint="eastAsia" w:ascii="宋体" w:hAnsi="宋体" w:cs="宋体"/>
                <w:sz w:val="24"/>
                <w:shd w:val="clear" w:color="auto" w:fill="FFFFFF"/>
              </w:rPr>
            </w:pPr>
          </w:p>
        </w:tc>
        <w:tc>
          <w:tcPr>
            <w:tcW w:w="1223" w:type="pct"/>
            <w:vAlign w:val="center"/>
          </w:tcPr>
          <w:p w14:paraId="59E93F8A">
            <w:pPr>
              <w:snapToGrid w:val="0"/>
              <w:jc w:val="center"/>
              <w:rPr>
                <w:rFonts w:hint="eastAsia" w:ascii="宋体" w:hAnsi="宋体" w:cs="宋体"/>
                <w:sz w:val="24"/>
                <w:shd w:val="clear" w:color="auto" w:fill="FFFFFF"/>
              </w:rPr>
            </w:pPr>
          </w:p>
        </w:tc>
      </w:tr>
      <w:tr w14:paraId="32C79A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jc w:val="center"/>
        </w:trPr>
        <w:tc>
          <w:tcPr>
            <w:tcW w:w="2470" w:type="pct"/>
            <w:vAlign w:val="center"/>
          </w:tcPr>
          <w:p w14:paraId="3F5729E0">
            <w:pPr>
              <w:snapToGrid w:val="0"/>
              <w:jc w:val="center"/>
              <w:rPr>
                <w:rFonts w:hint="eastAsia" w:ascii="宋体" w:hAnsi="宋体" w:cs="宋体"/>
                <w:sz w:val="24"/>
                <w:shd w:val="clear" w:color="auto" w:fill="FFFFFF"/>
              </w:rPr>
            </w:pPr>
          </w:p>
        </w:tc>
        <w:tc>
          <w:tcPr>
            <w:tcW w:w="1307" w:type="pct"/>
            <w:vAlign w:val="center"/>
          </w:tcPr>
          <w:p w14:paraId="0DEE5730">
            <w:pPr>
              <w:snapToGrid w:val="0"/>
              <w:jc w:val="center"/>
              <w:rPr>
                <w:rFonts w:hint="eastAsia" w:ascii="宋体" w:hAnsi="宋体" w:cs="宋体"/>
                <w:sz w:val="24"/>
                <w:shd w:val="clear" w:color="auto" w:fill="FFFFFF"/>
              </w:rPr>
            </w:pPr>
          </w:p>
        </w:tc>
        <w:tc>
          <w:tcPr>
            <w:tcW w:w="1223" w:type="pct"/>
            <w:vAlign w:val="center"/>
          </w:tcPr>
          <w:p w14:paraId="0B9373A1">
            <w:pPr>
              <w:snapToGrid w:val="0"/>
              <w:jc w:val="center"/>
              <w:rPr>
                <w:rFonts w:hint="eastAsia" w:ascii="宋体" w:hAnsi="宋体" w:cs="宋体"/>
                <w:sz w:val="24"/>
                <w:shd w:val="clear" w:color="auto" w:fill="FFFFFF"/>
              </w:rPr>
            </w:pPr>
          </w:p>
        </w:tc>
      </w:tr>
      <w:tr w14:paraId="60625B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jc w:val="center"/>
        </w:trPr>
        <w:tc>
          <w:tcPr>
            <w:tcW w:w="2470" w:type="pct"/>
            <w:vAlign w:val="center"/>
          </w:tcPr>
          <w:p w14:paraId="2E8DE788">
            <w:pPr>
              <w:snapToGrid w:val="0"/>
              <w:jc w:val="center"/>
              <w:rPr>
                <w:rFonts w:hint="eastAsia" w:ascii="宋体" w:hAnsi="宋体" w:cs="宋体"/>
                <w:sz w:val="24"/>
                <w:shd w:val="clear" w:color="auto" w:fill="FFFFFF"/>
              </w:rPr>
            </w:pPr>
          </w:p>
        </w:tc>
        <w:tc>
          <w:tcPr>
            <w:tcW w:w="1307" w:type="pct"/>
            <w:vAlign w:val="center"/>
          </w:tcPr>
          <w:p w14:paraId="14F829EB">
            <w:pPr>
              <w:snapToGrid w:val="0"/>
              <w:jc w:val="center"/>
              <w:rPr>
                <w:rFonts w:hint="eastAsia" w:ascii="宋体" w:hAnsi="宋体" w:cs="宋体"/>
                <w:sz w:val="24"/>
                <w:shd w:val="clear" w:color="auto" w:fill="FFFFFF"/>
              </w:rPr>
            </w:pPr>
          </w:p>
        </w:tc>
        <w:tc>
          <w:tcPr>
            <w:tcW w:w="1223" w:type="pct"/>
            <w:vAlign w:val="center"/>
          </w:tcPr>
          <w:p w14:paraId="0F6CEA3A">
            <w:pPr>
              <w:snapToGrid w:val="0"/>
              <w:jc w:val="center"/>
              <w:rPr>
                <w:rFonts w:hint="eastAsia" w:ascii="宋体" w:hAnsi="宋体" w:cs="宋体"/>
                <w:sz w:val="24"/>
                <w:shd w:val="clear" w:color="auto" w:fill="FFFFFF"/>
              </w:rPr>
            </w:pPr>
          </w:p>
        </w:tc>
      </w:tr>
    </w:tbl>
    <w:p w14:paraId="386F8CC4">
      <w:pPr>
        <w:pStyle w:val="5"/>
        <w:spacing w:line="360" w:lineRule="auto"/>
        <w:rPr>
          <w:rFonts w:hint="eastAsia" w:hAnsi="宋体" w:cs="宋体"/>
        </w:rPr>
      </w:pPr>
      <w:r>
        <w:rPr>
          <w:rFonts w:hint="eastAsia" w:hAnsi="宋体" w:cs="宋体"/>
        </w:rPr>
        <w:t>注：</w:t>
      </w:r>
    </w:p>
    <w:p w14:paraId="2A781A37">
      <w:pPr>
        <w:pStyle w:val="5"/>
        <w:spacing w:line="360" w:lineRule="auto"/>
        <w:rPr>
          <w:rFonts w:hint="eastAsia" w:hAnsi="宋体" w:cs="宋体"/>
        </w:rPr>
      </w:pPr>
      <w:r>
        <w:rPr>
          <w:rFonts w:hint="eastAsia" w:hAnsi="宋体" w:cs="宋体"/>
        </w:rPr>
        <w:t>1.供应商所属性别请填写“男”或“女”，指拥有供应商51%以上绝对所有权的性别；绝对所有权拥有者可以是一个人，也可以是多人合计计算。</w:t>
      </w:r>
    </w:p>
    <w:p w14:paraId="5C926FBE">
      <w:pPr>
        <w:pStyle w:val="5"/>
        <w:spacing w:line="360" w:lineRule="auto"/>
        <w:rPr>
          <w:rFonts w:hint="eastAsia" w:hAnsi="宋体" w:cs="宋体"/>
        </w:rPr>
      </w:pPr>
      <w:r>
        <w:rPr>
          <w:rFonts w:hint="eastAsia" w:hAnsi="宋体" w:cs="宋体"/>
        </w:rPr>
        <w:t>2.外商投资类型请填写“外商单独投资”、“外商部分投资”或“内资”。</w:t>
      </w:r>
    </w:p>
    <w:p w14:paraId="78D5BBF7">
      <w:pPr>
        <w:pStyle w:val="5"/>
        <w:spacing w:line="360" w:lineRule="auto"/>
        <w:rPr>
          <w:rFonts w:hint="eastAsia" w:hAnsi="宋体" w:cs="宋体"/>
        </w:rPr>
      </w:pPr>
      <w:r>
        <w:rPr>
          <w:rFonts w:hint="eastAsia" w:hAnsi="宋体" w:cs="宋体"/>
        </w:rPr>
        <w:t>3.供应商如为联合体，则应填写联合体各成员信息。</w:t>
      </w:r>
      <w:bookmarkEnd w:id="2246"/>
      <w:bookmarkEnd w:id="2352"/>
    </w:p>
    <w:sectPr>
      <w:footerReference r:id="rId24" w:type="first"/>
      <w:headerReference r:id="rId22" w:type="even"/>
      <w:footerReference r:id="rId23" w:type="even"/>
      <w:pgSz w:w="11905" w:h="16838"/>
      <w:pgMar w:top="1247" w:right="1361" w:bottom="1247" w:left="1361" w:header="851" w:footer="850" w:gutter="0"/>
      <w:cols w:space="0" w:num="1"/>
      <w:titlePg/>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中宋">
    <w:altName w:val="宋体"/>
    <w:panose1 w:val="02010600040101010101"/>
    <w:charset w:val="86"/>
    <w:family w:val="auto"/>
    <w:pitch w:val="default"/>
    <w:sig w:usb0="00000000" w:usb1="00000000" w:usb2="00000000" w:usb3="00000000" w:csb0="0004009F" w:csb1="DFD7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ˎ̥">
    <w:altName w:val="Times New Roman"/>
    <w:panose1 w:val="00000000000000000000"/>
    <w:charset w:val="00"/>
    <w:family w:val="roman"/>
    <w:pitch w:val="default"/>
    <w:sig w:usb0="00000000" w:usb1="00000000" w:usb2="00000000" w:usb3="00000000" w:csb0="00000000" w:csb1="00000000"/>
  </w:font>
  <w:font w:name="Arial Unicode MS">
    <w:altName w:val="宋体"/>
    <w:panose1 w:val="020B0604020202020204"/>
    <w:charset w:val="86"/>
    <w:family w:val="swiss"/>
    <w:pitch w:val="default"/>
    <w:sig w:usb0="00000000" w:usb1="00000000" w:usb2="0000003F" w:usb3="00000000" w:csb0="003F01FF"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altName w:val="楷体"/>
    <w:panose1 w:val="00000000000000000000"/>
    <w:charset w:val="86"/>
    <w:family w:val="auto"/>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Century Gothic">
    <w:altName w:val="Yu Gothic UI"/>
    <w:panose1 w:val="020B0502020202020204"/>
    <w:charset w:val="00"/>
    <w:family w:val="swiss"/>
    <w:pitch w:val="default"/>
    <w:sig w:usb0="00000000" w:usb1="00000000" w:usb2="00000000" w:usb3="00000000" w:csb0="2000009F" w:csb1="DFD70000"/>
  </w:font>
  <w:font w:name="Yu Gothic UI">
    <w:panose1 w:val="020B0500000000000000"/>
    <w:charset w:val="80"/>
    <w:family w:val="auto"/>
    <w:pitch w:val="default"/>
    <w:sig w:usb0="E00002FF" w:usb1="2AC7FDFF" w:usb2="00000016" w:usb3="00000000" w:csb0="2002009F" w:csb1="00000000"/>
  </w:font>
  <w:font w:name="Calibri Light">
    <w:panose1 w:val="020F0302020204030204"/>
    <w:charset w:val="00"/>
    <w:family w:val="swiss"/>
    <w:pitch w:val="default"/>
    <w:sig w:usb0="E4002EFF" w:usb1="C200247B" w:usb2="00000009" w:usb3="00000000" w:csb0="200001FF" w:csb1="00000000"/>
  </w:font>
  <w:font w:name="ヒラギノ角ゴ Pro W3">
    <w:altName w:val="Times New Roman"/>
    <w:panose1 w:val="00000000000000000000"/>
    <w:charset w:val="00"/>
    <w:family w:val="roman"/>
    <w:pitch w:val="default"/>
    <w:sig w:usb0="00000000" w:usb1="00000000" w:usb2="00000000" w:usb3="00000000" w:csb0="00000000" w:csb1="00000000"/>
  </w:font>
  <w:font w:name="Microsoft YaHei UI">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华文宋体">
    <w:altName w:val="宋体"/>
    <w:panose1 w:val="02010600040101010101"/>
    <w:charset w:val="86"/>
    <w:family w:val="auto"/>
    <w:pitch w:val="default"/>
    <w:sig w:usb0="00000000" w:usb1="00000000" w:usb2="00000000" w:usb3="00000000" w:csb0="0004009F" w:csb1="DFD70000"/>
  </w:font>
  <w:font w:name="华文细黑">
    <w:altName w:val="微软雅黑"/>
    <w:panose1 w:val="02010600040101010101"/>
    <w:charset w:val="86"/>
    <w:family w:val="auto"/>
    <w:pitch w:val="default"/>
    <w:sig w:usb0="00000000" w:usb1="00000000" w:usb2="00000000" w:usb3="00000000" w:csb0="0004009F" w:csb1="DFD70000"/>
  </w:font>
  <w:font w:name="微软雅黑">
    <w:panose1 w:val="020B0503020204020204"/>
    <w:charset w:val="86"/>
    <w:family w:val="swiss"/>
    <w:pitch w:val="default"/>
    <w:sig w:usb0="80000287" w:usb1="2ACF3C50" w:usb2="00000016" w:usb3="00000000" w:csb0="0004001F" w:csb1="00000000"/>
  </w:font>
  <w:font w:name="Helv">
    <w:altName w:val="Segoe Print"/>
    <w:panose1 w:val="020B0604020202030204"/>
    <w:charset w:val="00"/>
    <w:family w:val="swiss"/>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
    <w:altName w:val="Times New Roman"/>
    <w:panose1 w:val="00000000000000000000"/>
    <w:charset w:val="00"/>
    <w:family w:val="roman"/>
    <w:pitch w:val="default"/>
    <w:sig w:usb0="00000000" w:usb1="00000000" w:usb2="00000000" w:usb3="00000000" w:csb0="00000001" w:csb1="00000000"/>
  </w:font>
  <w:font w:name="eʩ">
    <w:altName w:val="Times New Roman"/>
    <w:panose1 w:val="00000000000000000000"/>
    <w:charset w:val="00"/>
    <w:family w:val="roman"/>
    <w:pitch w:val="default"/>
    <w:sig w:usb0="00000000" w:usb1="00000000" w:usb2="00000000" w:usb3="00000000" w:csb0="00040001" w:csb1="00000000"/>
  </w:font>
  <w:font w:name="Century">
    <w:altName w:val="Times New Roman"/>
    <w:panose1 w:val="02040604050505020304"/>
    <w:charset w:val="00"/>
    <w:family w:val="roman"/>
    <w:pitch w:val="default"/>
    <w:sig w:usb0="00000000" w:usb1="00000000" w:usb2="00000000" w:usb3="00000000" w:csb0="2000009F" w:csb1="DFD70000"/>
  </w:font>
  <w:font w:name="方正小标宋简体">
    <w:altName w:val="黑体"/>
    <w:panose1 w:val="00000000000000000000"/>
    <w:charset w:val="86"/>
    <w:family w:val="auto"/>
    <w:pitch w:val="default"/>
    <w:sig w:usb0="00000000" w:usb1="00000000" w:usb2="00000000" w:usb3="00000000" w:csb0="00040000" w:csb1="00000000"/>
  </w:font>
  <w:font w:name="Consolas">
    <w:panose1 w:val="020B0609020204030204"/>
    <w:charset w:val="00"/>
    <w:family w:val="modern"/>
    <w:pitch w:val="default"/>
    <w:sig w:usb0="E00006FF" w:usb1="0000FCFF" w:usb2="00000001" w:usb3="00000000" w:csb0="6000019F" w:csb1="DFD70000"/>
  </w:font>
  <w:font w:name="MS Sans Serif">
    <w:altName w:val="Arial"/>
    <w:panose1 w:val="00000000000000000000"/>
    <w:charset w:val="00"/>
    <w:family w:val="swiss"/>
    <w:pitch w:val="default"/>
    <w:sig w:usb0="00000000" w:usb1="00000000" w:usb2="00000000" w:usb3="00000000" w:csb0="00000001" w:csb1="00000000"/>
  </w:font>
  <w:font w:name="华文行楷">
    <w:altName w:val="微软雅黑"/>
    <w:panose1 w:val="02010800040101010101"/>
    <w:charset w:val="86"/>
    <w:family w:val="auto"/>
    <w:pitch w:val="default"/>
    <w:sig w:usb0="00000000" w:usb1="00000000" w:usb2="00000000" w:usb3="00000000" w:csb0="00040000" w:csb1="00000000"/>
  </w:font>
  <w:font w:name="等线 Light">
    <w:panose1 w:val="02010600030101010101"/>
    <w:charset w:val="86"/>
    <w:family w:val="auto"/>
    <w:pitch w:val="default"/>
    <w:sig w:usb0="A00002BF" w:usb1="38CF7CFA" w:usb2="00000016" w:usb3="00000000" w:csb0="0004000F" w:csb1="00000000"/>
  </w:font>
  <w:font w:name="华文新魏">
    <w:altName w:val="宋体"/>
    <w:panose1 w:val="02010800040101010101"/>
    <w:charset w:val="86"/>
    <w:family w:val="auto"/>
    <w:pitch w:val="default"/>
    <w:sig w:usb0="00000000" w:usb1="00000000" w:usb2="00000000" w:usb3="00000000" w:csb0="00040000" w:csb1="00000000"/>
  </w:font>
  <w:font w:name="华文楷体">
    <w:altName w:val="宋体"/>
    <w:panose1 w:val="02010600040101010101"/>
    <w:charset w:val="86"/>
    <w:family w:val="auto"/>
    <w:pitch w:val="default"/>
    <w:sig w:usb0="00000000" w:usb1="00000000" w:usb2="00000000" w:usb3="00000000" w:csb0="0004009F" w:csb1="DFD70000"/>
  </w:font>
  <w:font w:name="..">
    <w:altName w:val="宋体"/>
    <w:panose1 w:val="00000000000000000000"/>
    <w:charset w:val="86"/>
    <w:family w:val="auto"/>
    <w:pitch w:val="default"/>
    <w:sig w:usb0="00000000" w:usb1="00000000" w:usb2="00000010" w:usb3="00000000" w:csb0="00040000" w:csb1="00000000"/>
  </w:font>
  <w:font w:name="Times">
    <w:altName w:val="Times New Roman"/>
    <w:panose1 w:val="02020603050405020304"/>
    <w:charset w:val="00"/>
    <w:family w:val="roman"/>
    <w:pitch w:val="default"/>
    <w:sig w:usb0="00000000" w:usb1="00000000" w:usb2="00000009" w:usb3="00000000" w:csb0="000001FF" w:csb1="00000000"/>
  </w:font>
  <w:font w:name="Wingdings 2">
    <w:altName w:val="Wingdings"/>
    <w:panose1 w:val="05020102010507070707"/>
    <w:charset w:val="02"/>
    <w:family w:val="roman"/>
    <w:pitch w:val="default"/>
    <w:sig w:usb0="00000000" w:usb1="00000000" w:usb2="00000000" w:usb3="00000000" w:csb0="80000000" w:csb1="00000000"/>
  </w:font>
  <w:font w:name="Leelawadee UI">
    <w:panose1 w:val="020B0502040204020203"/>
    <w:charset w:val="00"/>
    <w:family w:val="swiss"/>
    <w:pitch w:val="default"/>
    <w:sig w:usb0="83000003" w:usb1="00000000" w:usb2="00010000" w:usb3="00000001" w:csb0="00010101" w:csb1="00000000"/>
  </w:font>
  <w:font w:name="Kingsoft UE">
    <w:altName w:val="Segoe Print"/>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A9A153">
    <w:pPr>
      <w:pStyle w:val="55"/>
      <w:framePr w:wrap="around" w:vAnchor="text" w:hAnchor="margin" w:xAlign="center" w:y="1"/>
      <w:rPr>
        <w:rStyle w:val="94"/>
      </w:rPr>
    </w:pPr>
    <w:r>
      <w:fldChar w:fldCharType="begin"/>
    </w:r>
    <w:r>
      <w:rPr>
        <w:rStyle w:val="94"/>
      </w:rPr>
      <w:instrText xml:space="preserve">PAGE  </w:instrText>
    </w:r>
    <w:r>
      <w:fldChar w:fldCharType="separate"/>
    </w:r>
    <w:r>
      <w:fldChar w:fldCharType="end"/>
    </w:r>
  </w:p>
  <w:p w14:paraId="1F9ED5E8">
    <w:pPr>
      <w:pStyle w:val="55"/>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D0796C">
    <w:pPr>
      <w:pStyle w:val="55"/>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2A699C6">
                          <w:pPr>
                            <w:pStyle w:val="55"/>
                          </w:pPr>
                          <w:r>
                            <w:fldChar w:fldCharType="begin"/>
                          </w:r>
                          <w:r>
                            <w:instrText xml:space="preserve"> PAGE  \* MERGEFORMAT </w:instrText>
                          </w:r>
                          <w:r>
                            <w:fldChar w:fldCharType="separate"/>
                          </w:r>
                          <w:r>
                            <w:t>118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q/o+UsAgAAV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yr+j5SwCAABVBAAADgAAAAAAAAABACAAAAAfAQAAZHJzL2Uyb0RvYy54bWxQSwUGAAAAAAYA&#10;BgBZAQAAvQUAAAAA&#10;">
              <v:fill on="f" focussize="0,0"/>
              <v:stroke on="f" weight="0.5pt"/>
              <v:imagedata o:title=""/>
              <o:lock v:ext="edit" aspectratio="f"/>
              <v:textbox inset="0mm,0mm,0mm,0mm" style="mso-fit-shape-to-text:t;">
                <w:txbxContent>
                  <w:p w14:paraId="12A699C6">
                    <w:pPr>
                      <w:pStyle w:val="55"/>
                    </w:pPr>
                    <w:r>
                      <w:fldChar w:fldCharType="begin"/>
                    </w:r>
                    <w:r>
                      <w:instrText xml:space="preserve"> PAGE  \* MERGEFORMAT </w:instrText>
                    </w:r>
                    <w:r>
                      <w:fldChar w:fldCharType="separate"/>
                    </w:r>
                    <w:r>
                      <w:t>118</w:t>
                    </w:r>
                    <w:r>
                      <w:fldChar w:fldCharType="end"/>
                    </w:r>
                  </w:p>
                </w:txbxContent>
              </v:textbox>
            </v:shape>
          </w:pict>
        </mc:Fallback>
      </mc:AlternateContent>
    </w:r>
    <w:r>
      <w:rPr>
        <w:rFonts w:hint="eastAsia"/>
      </w:rPr>
      <w:t xml:space="preserve">  </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C55FE6">
    <w:pPr>
      <w:pStyle w:val="55"/>
      <w:framePr w:wrap="around" w:vAnchor="text" w:hAnchor="margin" w:xAlign="right" w:y="1"/>
      <w:rPr>
        <w:rStyle w:val="94"/>
      </w:rPr>
    </w:pPr>
    <w:r>
      <w:rPr>
        <w:rStyle w:val="94"/>
      </w:rPr>
      <w:fldChar w:fldCharType="begin"/>
    </w:r>
    <w:r>
      <w:rPr>
        <w:rStyle w:val="94"/>
      </w:rPr>
      <w:instrText xml:space="preserve">PAGE  </w:instrText>
    </w:r>
    <w:r>
      <w:rPr>
        <w:rStyle w:val="94"/>
      </w:rPr>
      <w:fldChar w:fldCharType="separate"/>
    </w:r>
    <w:r>
      <w:rPr>
        <w:rStyle w:val="94"/>
      </w:rPr>
      <w:fldChar w:fldCharType="end"/>
    </w:r>
  </w:p>
  <w:p w14:paraId="78FCDF55">
    <w:pPr>
      <w:pStyle w:val="55"/>
      <w:ind w:right="360"/>
    </w:pPr>
  </w:p>
  <w:p w14:paraId="1810A57C"/>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D1072D">
    <w:pPr>
      <w:pStyle w:val="55"/>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D94D482">
                          <w:pPr>
                            <w:pStyle w:val="55"/>
                          </w:pPr>
                          <w:r>
                            <w:fldChar w:fldCharType="begin"/>
                          </w:r>
                          <w:r>
                            <w:instrText xml:space="preserve"> PAGE  \* MERGEFORMAT </w:instrText>
                          </w:r>
                          <w:r>
                            <w:fldChar w:fldCharType="separate"/>
                          </w:r>
                          <w:r>
                            <w:t>131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rd1wwq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Mrd1wwqAgAAVwQAAA4AAAAAAAAAAQAgAAAAHwEAAGRycy9lMm9Eb2MueG1sUEsFBgAAAAAGAAYA&#10;WQEAALsFAAAAAA==&#10;">
              <v:fill on="f" focussize="0,0"/>
              <v:stroke on="f" weight="0.5pt"/>
              <v:imagedata o:title=""/>
              <o:lock v:ext="edit" aspectratio="f"/>
              <v:textbox inset="0mm,0mm,0mm,0mm" style="mso-fit-shape-to-text:t;">
                <w:txbxContent>
                  <w:p w14:paraId="0D94D482">
                    <w:pPr>
                      <w:pStyle w:val="55"/>
                    </w:pPr>
                    <w:r>
                      <w:fldChar w:fldCharType="begin"/>
                    </w:r>
                    <w:r>
                      <w:instrText xml:space="preserve"> PAGE  \* MERGEFORMAT </w:instrText>
                    </w:r>
                    <w:r>
                      <w:fldChar w:fldCharType="separate"/>
                    </w:r>
                    <w:r>
                      <w:t>131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6500E7">
    <w:pPr>
      <w:pStyle w:val="55"/>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D6433D">
    <w:pPr>
      <w:pStyle w:val="55"/>
      <w:jc w:val="center"/>
      <w:rPr>
        <w:rFonts w:ascii="Times New Roman"/>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CC0CE7">
    <w:pPr>
      <w:pStyle w:val="55"/>
      <w:framePr w:wrap="around" w:vAnchor="text" w:hAnchor="margin" w:xAlign="center" w:y="1"/>
      <w:rPr>
        <w:rStyle w:val="94"/>
      </w:rPr>
    </w:pPr>
    <w:r>
      <w:fldChar w:fldCharType="begin"/>
    </w:r>
    <w:r>
      <w:rPr>
        <w:rStyle w:val="94"/>
      </w:rPr>
      <w:instrText xml:space="preserve">PAGE  </w:instrText>
    </w:r>
    <w:r>
      <w:fldChar w:fldCharType="separate"/>
    </w:r>
    <w:r>
      <w:fldChar w:fldCharType="end"/>
    </w:r>
  </w:p>
  <w:p w14:paraId="0517CC31">
    <w:pPr>
      <w:pStyle w:val="55"/>
      <w:ind w:right="360" w:firstLine="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CE8698">
    <w:pPr>
      <w:pStyle w:val="55"/>
      <w:jc w:val="cen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7DF7DA">
    <w:pPr>
      <w:pStyle w:val="55"/>
      <w:rPr>
        <w:rFonts w:ascii="Times New Roman"/>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7DFDFAE">
                          <w:pPr>
                            <w:pStyle w:val="5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bVWnMqAgAAV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CbVWnMqAgAAVQQAAA4AAAAAAAAAAQAgAAAAHwEAAGRycy9lMm9Eb2MueG1sUEsFBgAAAAAGAAYA&#10;WQEAALsFAAAAAA==&#10;">
              <v:fill on="f" focussize="0,0"/>
              <v:stroke on="f" weight="0.5pt"/>
              <v:imagedata o:title=""/>
              <o:lock v:ext="edit" aspectratio="f"/>
              <v:textbox inset="0mm,0mm,0mm,0mm" style="mso-fit-shape-to-text:t;">
                <w:txbxContent>
                  <w:p w14:paraId="17DFDFAE">
                    <w:pPr>
                      <w:pStyle w:val="5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38440998"/>
    </w:sdtPr>
    <w:sdtContent>
      <w:p w14:paraId="035DED88">
        <w:pPr>
          <w:pStyle w:val="55"/>
          <w:jc w:val="center"/>
        </w:pPr>
        <w:r>
          <w:fldChar w:fldCharType="begin"/>
        </w:r>
        <w:r>
          <w:instrText xml:space="preserve">PAGE   \* MERGEFORMAT</w:instrText>
        </w:r>
        <w:r>
          <w:fldChar w:fldCharType="separate"/>
        </w:r>
        <w:r>
          <w:rPr>
            <w:lang w:val="zh-CN"/>
          </w:rPr>
          <w:t>67</w:t>
        </w:r>
        <w:r>
          <w:fldChar w:fldCharType="end"/>
        </w:r>
      </w:p>
    </w:sdtContent>
  </w:sdt>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8081E8">
    <w:pPr>
      <w:pStyle w:val="55"/>
      <w:rPr>
        <w:rFonts w:ascii="Times New Roman"/>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32F3DE9">
                          <w:pPr>
                            <w:pStyle w:val="55"/>
                          </w:pPr>
                          <w:r>
                            <w:fldChar w:fldCharType="begin"/>
                          </w:r>
                          <w:r>
                            <w:instrText xml:space="preserve"> PAGE  \* MERGEFORMAT </w:instrText>
                          </w:r>
                          <w:r>
                            <w:fldChar w:fldCharType="separate"/>
                          </w:r>
                          <w:r>
                            <w:t>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66C/ssAgAAV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nroL+ywCAABVBAAADgAAAAAAAAABACAAAAAfAQAAZHJzL2Uyb0RvYy54bWxQSwUGAAAAAAYA&#10;BgBZAQAAvQUAAAAA&#10;">
              <v:fill on="f" focussize="0,0"/>
              <v:stroke on="f" weight="0.5pt"/>
              <v:imagedata o:title=""/>
              <o:lock v:ext="edit" aspectratio="f"/>
              <v:textbox inset="0mm,0mm,0mm,0mm" style="mso-fit-shape-to-text:t;">
                <w:txbxContent>
                  <w:p w14:paraId="232F3DE9">
                    <w:pPr>
                      <w:pStyle w:val="55"/>
                    </w:pPr>
                    <w:r>
                      <w:fldChar w:fldCharType="begin"/>
                    </w:r>
                    <w:r>
                      <w:instrText xml:space="preserve"> PAGE  \* MERGEFORMAT </w:instrText>
                    </w:r>
                    <w:r>
                      <w:fldChar w:fldCharType="separate"/>
                    </w:r>
                    <w:r>
                      <w:t>9</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509F36">
    <w:pPr>
      <w:pStyle w:val="55"/>
      <w:framePr w:wrap="around" w:vAnchor="text" w:hAnchor="margin" w:xAlign="right" w:y="1"/>
      <w:rPr>
        <w:rStyle w:val="94"/>
      </w:rPr>
    </w:pPr>
    <w:r>
      <w:rPr>
        <w:rStyle w:val="94"/>
      </w:rPr>
      <w:fldChar w:fldCharType="begin"/>
    </w:r>
    <w:r>
      <w:rPr>
        <w:rStyle w:val="94"/>
      </w:rPr>
      <w:instrText xml:space="preserve">PAGE  </w:instrText>
    </w:r>
    <w:r>
      <w:rPr>
        <w:rStyle w:val="94"/>
      </w:rPr>
      <w:fldChar w:fldCharType="separate"/>
    </w:r>
    <w:r>
      <w:rPr>
        <w:rStyle w:val="94"/>
      </w:rPr>
      <w:fldChar w:fldCharType="end"/>
    </w:r>
  </w:p>
  <w:p w14:paraId="50F8962F">
    <w:pPr>
      <w:pStyle w:val="55"/>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E84BDA">
    <w:pPr>
      <w:pStyle w:val="57"/>
      <w:pBdr>
        <w:bottom w:val="none" w:color="auto" w:sz="0" w:space="1"/>
      </w:pBd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70374E">
    <w:pPr>
      <w:pStyle w:val="57"/>
    </w:pPr>
  </w:p>
  <w:p w14:paraId="560699DB"/>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AC604A">
    <w:pPr>
      <w:pStyle w:val="57"/>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B7CE3F">
    <w:pPr>
      <w:pStyle w:val="57"/>
      <w:pBdr>
        <w:bottom w:val="single" w:color="auto" w:sz="6" w:space="1"/>
      </w:pBdr>
      <w:jc w:val="left"/>
      <w:rPr>
        <w:rFonts w:hint="eastAsia"/>
      </w:rPr>
    </w:pPr>
    <w:r>
      <w:rPr>
        <w:rFonts w:hint="eastAsia"/>
      </w:rPr>
      <w:t xml:space="preserve">2026年香河园街道重点楼防水改造项目工程                                              竞争性磋商文件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C645D0">
    <w:pPr>
      <w:pStyle w:val="57"/>
      <w:jc w:val="left"/>
    </w:pPr>
    <w:r>
      <w:rPr>
        <w:rFonts w:hint="eastAsia"/>
      </w:rPr>
      <w:t>2026年香河园街道重点楼防水改造项目工程                                               竞争性磋商文件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AC3FB9">
    <w:pPr>
      <w:pStyle w:val="57"/>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49B417">
    <w:pPr>
      <w:pStyle w:val="57"/>
      <w:jc w:val="left"/>
    </w:pPr>
    <w:r>
      <w:rPr>
        <w:rFonts w:hint="eastAsia"/>
      </w:rPr>
      <w:t xml:space="preserve">2026年香河园街道重点楼防水改造项目工程                                                                                                        竞争性磋商文件 </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8481E9">
    <w:pPr>
      <w:pStyle w:val="57"/>
      <w:jc w:val="left"/>
    </w:pPr>
    <w:r>
      <w:rPr>
        <w:rFonts w:hint="eastAsia"/>
      </w:rPr>
      <w:t xml:space="preserve">2026年香河园街道重点楼防水改造项目工程                                              竞争性磋商文件 </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999DC5">
    <w:pPr>
      <w:pStyle w:val="57"/>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2C3177">
    <w:pPr>
      <w:pStyle w:val="57"/>
    </w:pPr>
    <w:r>
      <w:rPr>
        <w:rFonts w:hint="eastAsia"/>
      </w:rPr>
      <w:t>2026年香河园街道重点楼防水改造项目工程                                              竞争性磋商文件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DBC0B6"/>
    <w:multiLevelType w:val="singleLevel"/>
    <w:tmpl w:val="82DBC0B6"/>
    <w:lvl w:ilvl="0" w:tentative="0">
      <w:start w:val="2"/>
      <w:numFmt w:val="chineseCounting"/>
      <w:suff w:val="nothing"/>
      <w:lvlText w:val="%1、"/>
      <w:lvlJc w:val="left"/>
      <w:rPr>
        <w:rFonts w:hint="eastAsia"/>
      </w:rPr>
    </w:lvl>
  </w:abstractNum>
  <w:abstractNum w:abstractNumId="1">
    <w:nsid w:val="85E61E02"/>
    <w:multiLevelType w:val="singleLevel"/>
    <w:tmpl w:val="85E61E02"/>
    <w:lvl w:ilvl="0" w:tentative="0">
      <w:start w:val="2"/>
      <w:numFmt w:val="decimal"/>
      <w:suff w:val="nothing"/>
      <w:lvlText w:val="（%1）"/>
      <w:lvlJc w:val="left"/>
    </w:lvl>
  </w:abstractNum>
  <w:abstractNum w:abstractNumId="2">
    <w:nsid w:val="D3A5C423"/>
    <w:multiLevelType w:val="singleLevel"/>
    <w:tmpl w:val="D3A5C423"/>
    <w:lvl w:ilvl="0" w:tentative="0">
      <w:start w:val="6"/>
      <w:numFmt w:val="decimal"/>
      <w:suff w:val="nothing"/>
      <w:lvlText w:val="%1）"/>
      <w:lvlJc w:val="left"/>
    </w:lvl>
  </w:abstractNum>
  <w:abstractNum w:abstractNumId="3">
    <w:nsid w:val="FFFFFF83"/>
    <w:multiLevelType w:val="singleLevel"/>
    <w:tmpl w:val="FFFFFF83"/>
    <w:lvl w:ilvl="0" w:tentative="0">
      <w:start w:val="1"/>
      <w:numFmt w:val="bullet"/>
      <w:pStyle w:val="836"/>
      <w:lvlText w:val=""/>
      <w:lvlJc w:val="left"/>
      <w:pPr>
        <w:tabs>
          <w:tab w:val="left" w:pos="780"/>
        </w:tabs>
        <w:ind w:left="780" w:leftChars="200" w:hanging="360" w:hangingChars="200"/>
      </w:pPr>
      <w:rPr>
        <w:rFonts w:hint="default" w:ascii="Wingdings" w:hAnsi="Wingdings"/>
      </w:rPr>
    </w:lvl>
  </w:abstractNum>
  <w:abstractNum w:abstractNumId="4">
    <w:nsid w:val="00000004"/>
    <w:multiLevelType w:val="multilevel"/>
    <w:tmpl w:val="00000004"/>
    <w:lvl w:ilvl="0" w:tentative="0">
      <w:start w:val="1"/>
      <w:numFmt w:val="japaneseCounting"/>
      <w:pStyle w:val="501"/>
      <w:lvlText w:val="第%1章"/>
      <w:lvlJc w:val="left"/>
      <w:pPr>
        <w:tabs>
          <w:tab w:val="left" w:pos="4941"/>
        </w:tabs>
        <w:ind w:left="4941" w:hanging="1140"/>
      </w:pPr>
      <w:rPr>
        <w:rFonts w:hint="eastAsia"/>
      </w:rPr>
    </w:lvl>
    <w:lvl w:ilvl="1" w:tentative="0">
      <w:start w:val="1"/>
      <w:numFmt w:val="lowerLetter"/>
      <w:lvlText w:val="%2)"/>
      <w:lvlJc w:val="left"/>
      <w:pPr>
        <w:tabs>
          <w:tab w:val="left" w:pos="4641"/>
        </w:tabs>
        <w:ind w:left="4641" w:hanging="420"/>
      </w:pPr>
    </w:lvl>
    <w:lvl w:ilvl="2" w:tentative="0">
      <w:start w:val="1"/>
      <w:numFmt w:val="lowerRoman"/>
      <w:lvlText w:val="%3."/>
      <w:lvlJc w:val="right"/>
      <w:pPr>
        <w:tabs>
          <w:tab w:val="left" w:pos="5061"/>
        </w:tabs>
        <w:ind w:left="5061" w:hanging="420"/>
      </w:pPr>
    </w:lvl>
    <w:lvl w:ilvl="3" w:tentative="0">
      <w:start w:val="1"/>
      <w:numFmt w:val="decimal"/>
      <w:lvlText w:val="%4."/>
      <w:lvlJc w:val="left"/>
      <w:pPr>
        <w:tabs>
          <w:tab w:val="left" w:pos="5481"/>
        </w:tabs>
        <w:ind w:left="5481" w:hanging="420"/>
      </w:pPr>
    </w:lvl>
    <w:lvl w:ilvl="4" w:tentative="0">
      <w:start w:val="1"/>
      <w:numFmt w:val="lowerLetter"/>
      <w:lvlText w:val="%5)"/>
      <w:lvlJc w:val="left"/>
      <w:pPr>
        <w:tabs>
          <w:tab w:val="left" w:pos="5901"/>
        </w:tabs>
        <w:ind w:left="5901" w:hanging="420"/>
      </w:pPr>
    </w:lvl>
    <w:lvl w:ilvl="5" w:tentative="0">
      <w:start w:val="1"/>
      <w:numFmt w:val="lowerRoman"/>
      <w:lvlText w:val="%6."/>
      <w:lvlJc w:val="right"/>
      <w:pPr>
        <w:tabs>
          <w:tab w:val="left" w:pos="6321"/>
        </w:tabs>
        <w:ind w:left="6321" w:hanging="420"/>
      </w:pPr>
    </w:lvl>
    <w:lvl w:ilvl="6" w:tentative="0">
      <w:start w:val="1"/>
      <w:numFmt w:val="decimal"/>
      <w:lvlText w:val="%7."/>
      <w:lvlJc w:val="left"/>
      <w:pPr>
        <w:tabs>
          <w:tab w:val="left" w:pos="6741"/>
        </w:tabs>
        <w:ind w:left="6741" w:hanging="420"/>
      </w:pPr>
    </w:lvl>
    <w:lvl w:ilvl="7" w:tentative="0">
      <w:start w:val="1"/>
      <w:numFmt w:val="lowerLetter"/>
      <w:lvlText w:val="%8)"/>
      <w:lvlJc w:val="left"/>
      <w:pPr>
        <w:tabs>
          <w:tab w:val="left" w:pos="7161"/>
        </w:tabs>
        <w:ind w:left="7161" w:hanging="420"/>
      </w:pPr>
    </w:lvl>
    <w:lvl w:ilvl="8" w:tentative="0">
      <w:start w:val="1"/>
      <w:numFmt w:val="lowerRoman"/>
      <w:lvlText w:val="%9."/>
      <w:lvlJc w:val="right"/>
      <w:pPr>
        <w:tabs>
          <w:tab w:val="left" w:pos="7581"/>
        </w:tabs>
        <w:ind w:left="7581" w:hanging="420"/>
      </w:pPr>
    </w:lvl>
  </w:abstractNum>
  <w:abstractNum w:abstractNumId="5">
    <w:nsid w:val="00000006"/>
    <w:multiLevelType w:val="multilevel"/>
    <w:tmpl w:val="00000006"/>
    <w:lvl w:ilvl="0" w:tentative="0">
      <w:start w:val="1"/>
      <w:numFmt w:val="decimal"/>
      <w:pStyle w:val="870"/>
      <w:lvlText w:val="%1."/>
      <w:lvlJc w:val="left"/>
      <w:pPr>
        <w:tabs>
          <w:tab w:val="left" w:pos="425"/>
        </w:tabs>
        <w:ind w:left="425" w:hanging="425"/>
      </w:pPr>
    </w:lvl>
    <w:lvl w:ilvl="1" w:tentative="0">
      <w:start w:val="1"/>
      <w:numFmt w:val="decimal"/>
      <w:lvlText w:val="%1.%2"/>
      <w:lvlJc w:val="left"/>
      <w:pPr>
        <w:tabs>
          <w:tab w:val="left" w:pos="567"/>
        </w:tabs>
        <w:ind w:left="567" w:hanging="567"/>
      </w:pPr>
    </w:lvl>
    <w:lvl w:ilvl="2" w:tentative="0">
      <w:start w:val="1"/>
      <w:numFmt w:val="decimal"/>
      <w:lvlText w:val="%1.%2.%3."/>
      <w:lvlJc w:val="left"/>
      <w:pPr>
        <w:tabs>
          <w:tab w:val="left" w:pos="709"/>
        </w:tabs>
        <w:ind w:left="709" w:hanging="709"/>
      </w:pPr>
    </w:lvl>
    <w:lvl w:ilvl="3" w:tentative="0">
      <w:start w:val="1"/>
      <w:numFmt w:val="decimal"/>
      <w:lvlText w:val="%1.%2.%3.%4."/>
      <w:lvlJc w:val="left"/>
      <w:pPr>
        <w:tabs>
          <w:tab w:val="left" w:pos="851"/>
        </w:tabs>
        <w:ind w:left="851" w:hanging="851"/>
      </w:pPr>
    </w:lvl>
    <w:lvl w:ilvl="4" w:tentative="0">
      <w:start w:val="1"/>
      <w:numFmt w:val="decimal"/>
      <w:lvlText w:val="%1.%2.%3.%4.%5."/>
      <w:lvlJc w:val="left"/>
      <w:pPr>
        <w:tabs>
          <w:tab w:val="left" w:pos="992"/>
        </w:tabs>
        <w:ind w:left="992" w:hanging="992"/>
      </w:pPr>
    </w:lvl>
    <w:lvl w:ilvl="5" w:tentative="0">
      <w:start w:val="1"/>
      <w:numFmt w:val="decimal"/>
      <w:lvlText w:val="%1.%2.%3.%4.%5.%6."/>
      <w:lvlJc w:val="left"/>
      <w:pPr>
        <w:tabs>
          <w:tab w:val="left" w:pos="1134"/>
        </w:tabs>
        <w:ind w:left="1134" w:hanging="1134"/>
      </w:pPr>
    </w:lvl>
    <w:lvl w:ilvl="6" w:tentative="0">
      <w:start w:val="1"/>
      <w:numFmt w:val="decimal"/>
      <w:lvlText w:val="%1.%2.%3.%4.%5.%6.%7."/>
      <w:lvlJc w:val="left"/>
      <w:pPr>
        <w:tabs>
          <w:tab w:val="left" w:pos="1276"/>
        </w:tabs>
        <w:ind w:left="1276" w:hanging="1276"/>
      </w:pPr>
    </w:lvl>
    <w:lvl w:ilvl="7" w:tentative="0">
      <w:start w:val="1"/>
      <w:numFmt w:val="decimal"/>
      <w:lvlText w:val="%1.%2.%3.%4.%5.%6.%7.%8."/>
      <w:lvlJc w:val="left"/>
      <w:pPr>
        <w:tabs>
          <w:tab w:val="left" w:pos="1418"/>
        </w:tabs>
        <w:ind w:left="1418" w:hanging="1418"/>
      </w:pPr>
    </w:lvl>
    <w:lvl w:ilvl="8" w:tentative="0">
      <w:start w:val="1"/>
      <w:numFmt w:val="decimal"/>
      <w:lvlText w:val="%1.%2.%3.%4.%5.%6.%7.%8.%9."/>
      <w:lvlJc w:val="left"/>
      <w:pPr>
        <w:tabs>
          <w:tab w:val="left" w:pos="1559"/>
        </w:tabs>
        <w:ind w:left="1559" w:hanging="1559"/>
      </w:pPr>
    </w:lvl>
  </w:abstractNum>
  <w:abstractNum w:abstractNumId="6">
    <w:nsid w:val="00000008"/>
    <w:multiLevelType w:val="multilevel"/>
    <w:tmpl w:val="00000008"/>
    <w:lvl w:ilvl="0" w:tentative="0">
      <w:start w:val="10"/>
      <w:numFmt w:val="decimal"/>
      <w:pStyle w:val="1057"/>
      <w:lvlText w:val="%1"/>
      <w:lvlJc w:val="left"/>
      <w:pPr>
        <w:tabs>
          <w:tab w:val="left" w:pos="420"/>
        </w:tabs>
        <w:ind w:left="420" w:hanging="420"/>
      </w:pPr>
    </w:lvl>
    <w:lvl w:ilvl="1" w:tentative="0">
      <w:start w:val="1"/>
      <w:numFmt w:val="decimal"/>
      <w:lvlText w:val="%1.%2"/>
      <w:lvlJc w:val="left"/>
      <w:pPr>
        <w:tabs>
          <w:tab w:val="left" w:pos="709"/>
        </w:tabs>
        <w:ind w:left="709" w:hanging="709"/>
      </w:pPr>
    </w:lvl>
    <w:lvl w:ilvl="2" w:tentative="0">
      <w:start w:val="1"/>
      <w:numFmt w:val="decimal"/>
      <w:lvlText w:val="%1.%2.%3"/>
      <w:lvlJc w:val="left"/>
      <w:pPr>
        <w:tabs>
          <w:tab w:val="left" w:pos="720"/>
        </w:tabs>
        <w:ind w:left="720" w:hanging="720"/>
      </w:pPr>
    </w:lvl>
    <w:lvl w:ilvl="3" w:tentative="0">
      <w:start w:val="1"/>
      <w:numFmt w:val="decimal"/>
      <w:lvlText w:val="%1.%2.%3.%4"/>
      <w:lvlJc w:val="left"/>
      <w:pPr>
        <w:tabs>
          <w:tab w:val="left" w:pos="1080"/>
        </w:tabs>
        <w:ind w:left="1080" w:hanging="1080"/>
      </w:pPr>
    </w:lvl>
    <w:lvl w:ilvl="4" w:tentative="0">
      <w:start w:val="1"/>
      <w:numFmt w:val="decimal"/>
      <w:lvlText w:val="%1.%2.%3.%4.%5"/>
      <w:lvlJc w:val="left"/>
      <w:pPr>
        <w:tabs>
          <w:tab w:val="left" w:pos="1080"/>
        </w:tabs>
        <w:ind w:left="1080" w:hanging="1080"/>
      </w:pPr>
    </w:lvl>
    <w:lvl w:ilvl="5" w:tentative="0">
      <w:start w:val="1"/>
      <w:numFmt w:val="decimal"/>
      <w:lvlText w:val="%1.%2.%3.%4.%5.%6"/>
      <w:lvlJc w:val="left"/>
      <w:pPr>
        <w:tabs>
          <w:tab w:val="left" w:pos="1440"/>
        </w:tabs>
        <w:ind w:left="1440" w:hanging="1440"/>
      </w:pPr>
    </w:lvl>
    <w:lvl w:ilvl="6" w:tentative="0">
      <w:start w:val="1"/>
      <w:numFmt w:val="decimal"/>
      <w:lvlText w:val="%1.%2.%3.%4.%5.%6.%7"/>
      <w:lvlJc w:val="left"/>
      <w:pPr>
        <w:tabs>
          <w:tab w:val="left" w:pos="1440"/>
        </w:tabs>
        <w:ind w:left="1440" w:hanging="1440"/>
      </w:pPr>
    </w:lvl>
    <w:lvl w:ilvl="7" w:tentative="0">
      <w:start w:val="1"/>
      <w:numFmt w:val="decimal"/>
      <w:lvlText w:val="%1.%2.%3.%4.%5.%6.%7.%8"/>
      <w:lvlJc w:val="left"/>
      <w:pPr>
        <w:tabs>
          <w:tab w:val="left" w:pos="1800"/>
        </w:tabs>
        <w:ind w:left="1800" w:hanging="1800"/>
      </w:pPr>
    </w:lvl>
    <w:lvl w:ilvl="8" w:tentative="0">
      <w:start w:val="1"/>
      <w:numFmt w:val="decimal"/>
      <w:lvlText w:val="%1.%2.%3.%4.%5.%6.%7.%8.%9"/>
      <w:lvlJc w:val="left"/>
      <w:pPr>
        <w:tabs>
          <w:tab w:val="left" w:pos="1800"/>
        </w:tabs>
        <w:ind w:left="1800" w:hanging="1800"/>
      </w:pPr>
    </w:lvl>
  </w:abstractNum>
  <w:abstractNum w:abstractNumId="7">
    <w:nsid w:val="0000000A"/>
    <w:multiLevelType w:val="multilevel"/>
    <w:tmpl w:val="0000000A"/>
    <w:lvl w:ilvl="0" w:tentative="0">
      <w:start w:val="1"/>
      <w:numFmt w:val="decimal"/>
      <w:pStyle w:val="138"/>
      <w:lvlText w:val="%1."/>
      <w:lvlJc w:val="left"/>
      <w:pPr>
        <w:ind w:left="420" w:hanging="420"/>
      </w:pPr>
    </w:lvl>
    <w:lvl w:ilvl="1" w:tentative="0">
      <w:start w:val="1"/>
      <w:numFmt w:val="decimal"/>
      <w:lvlText w:val="（%2）"/>
      <w:lvlJc w:val="left"/>
      <w:pPr>
        <w:tabs>
          <w:tab w:val="left" w:pos="1140"/>
        </w:tabs>
        <w:ind w:left="1140" w:hanging="7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0000000B"/>
    <w:multiLevelType w:val="multilevel"/>
    <w:tmpl w:val="0000000B"/>
    <w:lvl w:ilvl="0" w:tentative="0">
      <w:start w:val="1"/>
      <w:numFmt w:val="decimal"/>
      <w:pStyle w:val="950"/>
      <w:lvlText w:val="%1、"/>
      <w:lvlJc w:val="left"/>
      <w:pPr>
        <w:tabs>
          <w:tab w:val="left" w:pos="360"/>
        </w:tabs>
        <w:ind w:left="360" w:hanging="360"/>
      </w:p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9">
    <w:nsid w:val="0000000D"/>
    <w:multiLevelType w:val="multilevel"/>
    <w:tmpl w:val="0000000D"/>
    <w:lvl w:ilvl="0" w:tentative="0">
      <w:start w:val="1"/>
      <w:numFmt w:val="lowerLetter"/>
      <w:pStyle w:val="213"/>
      <w:lvlText w:val="%1)"/>
      <w:lvlJc w:val="left"/>
      <w:pPr>
        <w:ind w:left="902" w:hanging="420"/>
      </w:pPr>
      <w:rPr>
        <w:color w:val="auto"/>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10">
    <w:nsid w:val="0000000E"/>
    <w:multiLevelType w:val="multilevel"/>
    <w:tmpl w:val="0000000E"/>
    <w:lvl w:ilvl="0" w:tentative="0">
      <w:start w:val="1"/>
      <w:numFmt w:val="none"/>
      <w:pStyle w:val="1054"/>
      <w:lvlText w:val="%1——"/>
      <w:lvlJc w:val="left"/>
      <w:pPr>
        <w:tabs>
          <w:tab w:val="left" w:pos="1140"/>
        </w:tabs>
        <w:ind w:left="84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1">
    <w:nsid w:val="0000000F"/>
    <w:multiLevelType w:val="multilevel"/>
    <w:tmpl w:val="0000000F"/>
    <w:lvl w:ilvl="0" w:tentative="0">
      <w:start w:val="1"/>
      <w:numFmt w:val="decimal"/>
      <w:lvlText w:val="%1、"/>
      <w:lvlJc w:val="left"/>
      <w:pPr>
        <w:tabs>
          <w:tab w:val="left" w:pos="420"/>
        </w:tabs>
        <w:ind w:left="420" w:hanging="420"/>
      </w:pPr>
    </w:lvl>
    <w:lvl w:ilvl="1" w:tentative="0">
      <w:start w:val="1"/>
      <w:numFmt w:val="decimal"/>
      <w:lvlText w:val="%2、"/>
      <w:lvlJc w:val="left"/>
      <w:pPr>
        <w:tabs>
          <w:tab w:val="left" w:pos="420"/>
        </w:tabs>
        <w:ind w:left="420" w:hanging="42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pStyle w:val="977"/>
      <w:lvlText w:val="%7."/>
      <w:lvlJc w:val="left"/>
      <w:pPr>
        <w:tabs>
          <w:tab w:val="left" w:pos="5040"/>
        </w:tabs>
        <w:ind w:left="5040" w:hanging="360"/>
      </w:pPr>
    </w:lvl>
    <w:lvl w:ilvl="7" w:tentative="0">
      <w:start w:val="1"/>
      <w:numFmt w:val="decimal"/>
      <w:pStyle w:val="1201"/>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2">
    <w:nsid w:val="00000013"/>
    <w:multiLevelType w:val="singleLevel"/>
    <w:tmpl w:val="00000013"/>
    <w:lvl w:ilvl="0" w:tentative="0">
      <w:start w:val="1"/>
      <w:numFmt w:val="decimal"/>
      <w:pStyle w:val="183"/>
      <w:lvlText w:val="%1."/>
      <w:lvlJc w:val="left"/>
      <w:pPr>
        <w:tabs>
          <w:tab w:val="left" w:pos="360"/>
        </w:tabs>
        <w:ind w:left="360" w:hanging="360"/>
      </w:pPr>
      <w:rPr>
        <w:rFonts w:hint="default"/>
      </w:rPr>
    </w:lvl>
  </w:abstractNum>
  <w:abstractNum w:abstractNumId="13">
    <w:nsid w:val="00000015"/>
    <w:multiLevelType w:val="multilevel"/>
    <w:tmpl w:val="00000015"/>
    <w:lvl w:ilvl="0" w:tentative="0">
      <w:start w:val="1"/>
      <w:numFmt w:val="decimal"/>
      <w:lvlText w:val="%1.1"/>
      <w:lvlJc w:val="left"/>
      <w:pPr>
        <w:tabs>
          <w:tab w:val="left" w:pos="425"/>
        </w:tabs>
        <w:ind w:left="425" w:hanging="425"/>
      </w:pPr>
    </w:lvl>
    <w:lvl w:ilvl="1" w:tentative="0">
      <w:start w:val="1"/>
      <w:numFmt w:val="decimal"/>
      <w:lvlText w:val="%1.%2"/>
      <w:lvlJc w:val="left"/>
      <w:pPr>
        <w:tabs>
          <w:tab w:val="left" w:pos="567"/>
        </w:tabs>
        <w:ind w:left="567" w:hanging="567"/>
      </w:pPr>
    </w:lvl>
    <w:lvl w:ilvl="2" w:tentative="0">
      <w:start w:val="1"/>
      <w:numFmt w:val="decimal"/>
      <w:lvlText w:val="%1.%2.%3"/>
      <w:lvlJc w:val="left"/>
      <w:pPr>
        <w:tabs>
          <w:tab w:val="left" w:pos="1418"/>
        </w:tabs>
        <w:ind w:left="1418" w:hanging="567"/>
      </w:pPr>
    </w:lvl>
    <w:lvl w:ilvl="3" w:tentative="0">
      <w:start w:val="1"/>
      <w:numFmt w:val="decimal"/>
      <w:pStyle w:val="1023"/>
      <w:lvlText w:val="%1.%2.%3.%4"/>
      <w:lvlJc w:val="left"/>
      <w:pPr>
        <w:tabs>
          <w:tab w:val="left" w:pos="2356"/>
        </w:tabs>
        <w:ind w:left="1984" w:hanging="708"/>
      </w:pPr>
    </w:lvl>
    <w:lvl w:ilvl="4" w:tentative="0">
      <w:start w:val="1"/>
      <w:numFmt w:val="decimal"/>
      <w:pStyle w:val="1008"/>
      <w:lvlText w:val="%1.%2.%3.%4.%5"/>
      <w:lvlJc w:val="left"/>
      <w:pPr>
        <w:tabs>
          <w:tab w:val="left" w:pos="2781"/>
        </w:tabs>
        <w:ind w:left="2551" w:hanging="850"/>
      </w:pPr>
    </w:lvl>
    <w:lvl w:ilvl="5" w:tentative="0">
      <w:start w:val="1"/>
      <w:numFmt w:val="decimal"/>
      <w:lvlText w:val="%1.%2.%3.%4.%5.%6"/>
      <w:lvlJc w:val="left"/>
      <w:pPr>
        <w:tabs>
          <w:tab w:val="left" w:pos="3566"/>
        </w:tabs>
        <w:ind w:left="3260" w:hanging="1134"/>
      </w:pPr>
    </w:lvl>
    <w:lvl w:ilvl="6" w:tentative="0">
      <w:start w:val="1"/>
      <w:numFmt w:val="decimal"/>
      <w:lvlText w:val="%1.%2.%3.%4.%5.%6.%7"/>
      <w:lvlJc w:val="left"/>
      <w:pPr>
        <w:tabs>
          <w:tab w:val="left" w:pos="3991"/>
        </w:tabs>
        <w:ind w:left="3827" w:hanging="1276"/>
      </w:pPr>
    </w:lvl>
    <w:lvl w:ilvl="7" w:tentative="0">
      <w:start w:val="1"/>
      <w:numFmt w:val="decimal"/>
      <w:lvlText w:val="%1.%2.%3.%4.%5.%6.%7.%8"/>
      <w:lvlJc w:val="left"/>
      <w:pPr>
        <w:tabs>
          <w:tab w:val="left" w:pos="4776"/>
        </w:tabs>
        <w:ind w:left="4394" w:hanging="1418"/>
      </w:pPr>
    </w:lvl>
    <w:lvl w:ilvl="8" w:tentative="0">
      <w:start w:val="1"/>
      <w:numFmt w:val="decimal"/>
      <w:lvlText w:val="%1.%2.%3.%4.%5.%6.%7.%8.%9"/>
      <w:lvlJc w:val="left"/>
      <w:pPr>
        <w:tabs>
          <w:tab w:val="left" w:pos="5202"/>
        </w:tabs>
        <w:ind w:left="5102" w:hanging="1700"/>
      </w:pPr>
    </w:lvl>
  </w:abstractNum>
  <w:abstractNum w:abstractNumId="14">
    <w:nsid w:val="00000018"/>
    <w:multiLevelType w:val="multilevel"/>
    <w:tmpl w:val="00000018"/>
    <w:lvl w:ilvl="0" w:tentative="0">
      <w:start w:val="1"/>
      <w:numFmt w:val="decimal"/>
      <w:pStyle w:val="908"/>
      <w:lvlText w:val="%1"/>
      <w:lvlJc w:val="left"/>
      <w:pPr>
        <w:tabs>
          <w:tab w:val="left" w:pos="3119"/>
        </w:tabs>
        <w:ind w:left="3119" w:hanging="709"/>
      </w:pPr>
      <w:rPr>
        <w:b/>
      </w:rPr>
    </w:lvl>
    <w:lvl w:ilvl="1" w:tentative="0">
      <w:start w:val="4"/>
      <w:numFmt w:val="decimal"/>
      <w:lvlText w:val="3.%2"/>
      <w:lvlJc w:val="left"/>
      <w:pPr>
        <w:tabs>
          <w:tab w:val="left" w:pos="709"/>
        </w:tabs>
        <w:ind w:left="709" w:hanging="709"/>
      </w:pPr>
    </w:lvl>
    <w:lvl w:ilvl="2" w:tentative="0">
      <w:start w:val="1"/>
      <w:numFmt w:val="decimal"/>
      <w:lvlText w:val="%1.%2.%3."/>
      <w:lvlJc w:val="left"/>
      <w:pPr>
        <w:tabs>
          <w:tab w:val="left" w:pos="425"/>
        </w:tabs>
        <w:ind w:left="425" w:hanging="425"/>
      </w:pPr>
    </w:lvl>
    <w:lvl w:ilvl="3" w:tentative="0">
      <w:start w:val="1"/>
      <w:numFmt w:val="decimal"/>
      <w:lvlText w:val="%1.%2.%3.%4."/>
      <w:lvlJc w:val="left"/>
      <w:pPr>
        <w:tabs>
          <w:tab w:val="left" w:pos="851"/>
        </w:tabs>
        <w:ind w:left="851" w:hanging="851"/>
      </w:pPr>
    </w:lvl>
    <w:lvl w:ilvl="4" w:tentative="0">
      <w:start w:val="1"/>
      <w:numFmt w:val="decimal"/>
      <w:lvlText w:val="%1.%2.%3.%4.%5."/>
      <w:lvlJc w:val="left"/>
      <w:pPr>
        <w:tabs>
          <w:tab w:val="left" w:pos="992"/>
        </w:tabs>
        <w:ind w:left="992" w:hanging="992"/>
      </w:pPr>
    </w:lvl>
    <w:lvl w:ilvl="5" w:tentative="0">
      <w:start w:val="1"/>
      <w:numFmt w:val="decimal"/>
      <w:lvlText w:val="%1.%2.%3.%4.%5.%6."/>
      <w:lvlJc w:val="left"/>
      <w:pPr>
        <w:tabs>
          <w:tab w:val="left" w:pos="1134"/>
        </w:tabs>
        <w:ind w:left="1134" w:hanging="1134"/>
      </w:pPr>
    </w:lvl>
    <w:lvl w:ilvl="6" w:tentative="0">
      <w:start w:val="1"/>
      <w:numFmt w:val="decimal"/>
      <w:lvlText w:val="%1.%2.%3.%4.%5.%6.%7."/>
      <w:lvlJc w:val="left"/>
      <w:pPr>
        <w:tabs>
          <w:tab w:val="left" w:pos="1276"/>
        </w:tabs>
        <w:ind w:left="1276" w:hanging="1276"/>
      </w:pPr>
    </w:lvl>
    <w:lvl w:ilvl="7" w:tentative="0">
      <w:start w:val="1"/>
      <w:numFmt w:val="decimal"/>
      <w:lvlText w:val="%1.%2.%3.%4.%5.%6.%7.%8."/>
      <w:lvlJc w:val="left"/>
      <w:pPr>
        <w:tabs>
          <w:tab w:val="left" w:pos="1418"/>
        </w:tabs>
        <w:ind w:left="1418" w:hanging="1418"/>
      </w:pPr>
    </w:lvl>
    <w:lvl w:ilvl="8" w:tentative="0">
      <w:start w:val="1"/>
      <w:numFmt w:val="decimal"/>
      <w:lvlText w:val="%1.%2.%3.%4.%5.%6.%7.%8.%9."/>
      <w:lvlJc w:val="left"/>
      <w:pPr>
        <w:tabs>
          <w:tab w:val="left" w:pos="1559"/>
        </w:tabs>
        <w:ind w:left="1559" w:hanging="1559"/>
      </w:pPr>
    </w:lvl>
  </w:abstractNum>
  <w:abstractNum w:abstractNumId="15">
    <w:nsid w:val="0000001A"/>
    <w:multiLevelType w:val="multilevel"/>
    <w:tmpl w:val="0000001A"/>
    <w:lvl w:ilvl="0" w:tentative="0">
      <w:start w:val="5"/>
      <w:numFmt w:val="decimal"/>
      <w:pStyle w:val="1114"/>
      <w:lvlText w:val="%1"/>
      <w:lvlJc w:val="left"/>
      <w:pPr>
        <w:tabs>
          <w:tab w:val="left" w:pos="360"/>
        </w:tabs>
        <w:ind w:left="360" w:hanging="360"/>
      </w:pPr>
    </w:lvl>
    <w:lvl w:ilvl="1" w:tentative="0">
      <w:start w:val="1"/>
      <w:numFmt w:val="decimal"/>
      <w:lvlText w:val="%1.%2"/>
      <w:lvlJc w:val="left"/>
      <w:pPr>
        <w:tabs>
          <w:tab w:val="left" w:pos="709"/>
        </w:tabs>
        <w:ind w:left="709" w:hanging="709"/>
      </w:pPr>
    </w:lvl>
    <w:lvl w:ilvl="2" w:tentative="0">
      <w:start w:val="1"/>
      <w:numFmt w:val="decimal"/>
      <w:lvlText w:val="%1.%2.%3"/>
      <w:lvlJc w:val="left"/>
      <w:pPr>
        <w:tabs>
          <w:tab w:val="left" w:pos="720"/>
        </w:tabs>
        <w:ind w:left="720" w:hanging="720"/>
      </w:pPr>
    </w:lvl>
    <w:lvl w:ilvl="3" w:tentative="0">
      <w:start w:val="1"/>
      <w:numFmt w:val="decimal"/>
      <w:lvlText w:val="%1.%2.%3.%4"/>
      <w:lvlJc w:val="left"/>
      <w:pPr>
        <w:tabs>
          <w:tab w:val="left" w:pos="1080"/>
        </w:tabs>
        <w:ind w:left="1080" w:hanging="1080"/>
      </w:pPr>
    </w:lvl>
    <w:lvl w:ilvl="4" w:tentative="0">
      <w:start w:val="1"/>
      <w:numFmt w:val="decimal"/>
      <w:lvlText w:val="%1.%2.%3.%4.%5"/>
      <w:lvlJc w:val="left"/>
      <w:pPr>
        <w:tabs>
          <w:tab w:val="left" w:pos="1080"/>
        </w:tabs>
        <w:ind w:left="1080" w:hanging="1080"/>
      </w:pPr>
    </w:lvl>
    <w:lvl w:ilvl="5" w:tentative="0">
      <w:start w:val="1"/>
      <w:numFmt w:val="decimal"/>
      <w:lvlText w:val="%1.%2.%3.%4.%5.%6"/>
      <w:lvlJc w:val="left"/>
      <w:pPr>
        <w:tabs>
          <w:tab w:val="left" w:pos="1440"/>
        </w:tabs>
        <w:ind w:left="1440" w:hanging="1440"/>
      </w:pPr>
    </w:lvl>
    <w:lvl w:ilvl="6" w:tentative="0">
      <w:start w:val="1"/>
      <w:numFmt w:val="decimal"/>
      <w:lvlText w:val="%1.%2.%3.%4.%5.%6.%7"/>
      <w:lvlJc w:val="left"/>
      <w:pPr>
        <w:tabs>
          <w:tab w:val="left" w:pos="1440"/>
        </w:tabs>
        <w:ind w:left="1440" w:hanging="1440"/>
      </w:pPr>
    </w:lvl>
    <w:lvl w:ilvl="7" w:tentative="0">
      <w:start w:val="1"/>
      <w:numFmt w:val="decimal"/>
      <w:lvlText w:val="%1.%2.%3.%4.%5.%6.%7.%8"/>
      <w:lvlJc w:val="left"/>
      <w:pPr>
        <w:tabs>
          <w:tab w:val="left" w:pos="1800"/>
        </w:tabs>
        <w:ind w:left="1800" w:hanging="1800"/>
      </w:pPr>
    </w:lvl>
    <w:lvl w:ilvl="8" w:tentative="0">
      <w:start w:val="1"/>
      <w:numFmt w:val="decimal"/>
      <w:lvlText w:val="%1.%2.%3.%4.%5.%6.%7.%8.%9"/>
      <w:lvlJc w:val="left"/>
      <w:pPr>
        <w:tabs>
          <w:tab w:val="left" w:pos="1800"/>
        </w:tabs>
        <w:ind w:left="1800" w:hanging="1800"/>
      </w:pPr>
    </w:lvl>
  </w:abstractNum>
  <w:abstractNum w:abstractNumId="16">
    <w:nsid w:val="0000001C"/>
    <w:multiLevelType w:val="multilevel"/>
    <w:tmpl w:val="0000001C"/>
    <w:lvl w:ilvl="0" w:tentative="0">
      <w:start w:val="18"/>
      <w:numFmt w:val="decimal"/>
      <w:pStyle w:val="1024"/>
      <w:lvlText w:val="%1."/>
      <w:lvlJc w:val="left"/>
      <w:pPr>
        <w:tabs>
          <w:tab w:val="left" w:pos="360"/>
        </w:tabs>
        <w:ind w:left="360" w:hanging="360"/>
      </w:pPr>
    </w:lvl>
    <w:lvl w:ilvl="1" w:tentative="0">
      <w:start w:val="1"/>
      <w:numFmt w:val="decimal"/>
      <w:lvlText w:val="%1.%2"/>
      <w:lvlJc w:val="left"/>
      <w:pPr>
        <w:tabs>
          <w:tab w:val="left" w:pos="709"/>
        </w:tabs>
        <w:ind w:left="709" w:hanging="709"/>
      </w:pPr>
    </w:lvl>
    <w:lvl w:ilvl="2" w:tentative="0">
      <w:start w:val="1"/>
      <w:numFmt w:val="decimal"/>
      <w:lvlText w:val="%1.%2.%3"/>
      <w:lvlJc w:val="left"/>
      <w:pPr>
        <w:tabs>
          <w:tab w:val="left" w:pos="720"/>
        </w:tabs>
        <w:ind w:left="720" w:hanging="720"/>
      </w:pPr>
    </w:lvl>
    <w:lvl w:ilvl="3" w:tentative="0">
      <w:start w:val="1"/>
      <w:numFmt w:val="decimal"/>
      <w:lvlText w:val="%1.%2.%3.%4"/>
      <w:lvlJc w:val="left"/>
      <w:pPr>
        <w:tabs>
          <w:tab w:val="left" w:pos="1080"/>
        </w:tabs>
        <w:ind w:left="1080" w:hanging="1080"/>
      </w:pPr>
    </w:lvl>
    <w:lvl w:ilvl="4" w:tentative="0">
      <w:start w:val="1"/>
      <w:numFmt w:val="decimal"/>
      <w:lvlText w:val="%1.%2.%3.%4.%5"/>
      <w:lvlJc w:val="left"/>
      <w:pPr>
        <w:tabs>
          <w:tab w:val="left" w:pos="1080"/>
        </w:tabs>
        <w:ind w:left="1080" w:hanging="1080"/>
      </w:pPr>
    </w:lvl>
    <w:lvl w:ilvl="5" w:tentative="0">
      <w:start w:val="1"/>
      <w:numFmt w:val="decimal"/>
      <w:lvlText w:val="%1.%2.%3.%4.%5.%6"/>
      <w:lvlJc w:val="left"/>
      <w:pPr>
        <w:tabs>
          <w:tab w:val="left" w:pos="1440"/>
        </w:tabs>
        <w:ind w:left="1440" w:hanging="1440"/>
      </w:pPr>
    </w:lvl>
    <w:lvl w:ilvl="6" w:tentative="0">
      <w:start w:val="1"/>
      <w:numFmt w:val="decimal"/>
      <w:lvlText w:val="%1.%2.%3.%4.%5.%6.%7"/>
      <w:lvlJc w:val="left"/>
      <w:pPr>
        <w:tabs>
          <w:tab w:val="left" w:pos="1440"/>
        </w:tabs>
        <w:ind w:left="1440" w:hanging="1440"/>
      </w:pPr>
    </w:lvl>
    <w:lvl w:ilvl="7" w:tentative="0">
      <w:start w:val="1"/>
      <w:numFmt w:val="decimal"/>
      <w:lvlText w:val="%1.%2.%3.%4.%5.%6.%7.%8"/>
      <w:lvlJc w:val="left"/>
      <w:pPr>
        <w:tabs>
          <w:tab w:val="left" w:pos="1800"/>
        </w:tabs>
        <w:ind w:left="1800" w:hanging="1800"/>
      </w:pPr>
    </w:lvl>
    <w:lvl w:ilvl="8" w:tentative="0">
      <w:start w:val="1"/>
      <w:numFmt w:val="decimal"/>
      <w:lvlText w:val="%1.%2.%3.%4.%5.%6.%7.%8.%9"/>
      <w:lvlJc w:val="left"/>
      <w:pPr>
        <w:tabs>
          <w:tab w:val="left" w:pos="1800"/>
        </w:tabs>
        <w:ind w:left="1800" w:hanging="1800"/>
      </w:pPr>
    </w:lvl>
  </w:abstractNum>
  <w:abstractNum w:abstractNumId="17">
    <w:nsid w:val="0000001D"/>
    <w:multiLevelType w:val="singleLevel"/>
    <w:tmpl w:val="0000001D"/>
    <w:lvl w:ilvl="0" w:tentative="0">
      <w:start w:val="1"/>
      <w:numFmt w:val="bullet"/>
      <w:pStyle w:val="884"/>
      <w:lvlText w:val=""/>
      <w:lvlJc w:val="left"/>
      <w:pPr>
        <w:tabs>
          <w:tab w:val="left" w:pos="1200"/>
        </w:tabs>
        <w:ind w:left="1200" w:hanging="360"/>
      </w:pPr>
      <w:rPr>
        <w:rFonts w:hint="default" w:ascii="Wingdings" w:hAnsi="Wingdings"/>
      </w:rPr>
    </w:lvl>
  </w:abstractNum>
  <w:abstractNum w:abstractNumId="18">
    <w:nsid w:val="0000001E"/>
    <w:multiLevelType w:val="multilevel"/>
    <w:tmpl w:val="0000001E"/>
    <w:lvl w:ilvl="0" w:tentative="0">
      <w:start w:val="16"/>
      <w:numFmt w:val="decimal"/>
      <w:pStyle w:val="887"/>
      <w:lvlText w:val="%1"/>
      <w:lvlJc w:val="left"/>
      <w:pPr>
        <w:tabs>
          <w:tab w:val="left" w:pos="420"/>
        </w:tabs>
        <w:ind w:left="420" w:hanging="420"/>
      </w:pPr>
    </w:lvl>
    <w:lvl w:ilvl="1" w:tentative="0">
      <w:start w:val="1"/>
      <w:numFmt w:val="decimal"/>
      <w:lvlText w:val="%1.%2"/>
      <w:lvlJc w:val="left"/>
      <w:pPr>
        <w:tabs>
          <w:tab w:val="left" w:pos="709"/>
        </w:tabs>
        <w:ind w:left="709" w:hanging="709"/>
      </w:pPr>
    </w:lvl>
    <w:lvl w:ilvl="2" w:tentative="0">
      <w:start w:val="1"/>
      <w:numFmt w:val="decimal"/>
      <w:lvlText w:val="%1.%2.%3"/>
      <w:lvlJc w:val="left"/>
      <w:pPr>
        <w:tabs>
          <w:tab w:val="left" w:pos="720"/>
        </w:tabs>
        <w:ind w:left="720" w:hanging="720"/>
      </w:pPr>
    </w:lvl>
    <w:lvl w:ilvl="3" w:tentative="0">
      <w:start w:val="1"/>
      <w:numFmt w:val="decimal"/>
      <w:lvlText w:val="%1.%2.%3.%4"/>
      <w:lvlJc w:val="left"/>
      <w:pPr>
        <w:tabs>
          <w:tab w:val="left" w:pos="1080"/>
        </w:tabs>
        <w:ind w:left="1080" w:hanging="1080"/>
      </w:pPr>
    </w:lvl>
    <w:lvl w:ilvl="4" w:tentative="0">
      <w:start w:val="1"/>
      <w:numFmt w:val="decimal"/>
      <w:lvlText w:val="%1.%2.%3.%4.%5"/>
      <w:lvlJc w:val="left"/>
      <w:pPr>
        <w:tabs>
          <w:tab w:val="left" w:pos="1080"/>
        </w:tabs>
        <w:ind w:left="1080" w:hanging="1080"/>
      </w:pPr>
    </w:lvl>
    <w:lvl w:ilvl="5" w:tentative="0">
      <w:start w:val="1"/>
      <w:numFmt w:val="decimal"/>
      <w:lvlText w:val="%1.%2.%3.%4.%5.%6"/>
      <w:lvlJc w:val="left"/>
      <w:pPr>
        <w:tabs>
          <w:tab w:val="left" w:pos="1440"/>
        </w:tabs>
        <w:ind w:left="1440" w:hanging="1440"/>
      </w:pPr>
    </w:lvl>
    <w:lvl w:ilvl="6" w:tentative="0">
      <w:start w:val="1"/>
      <w:numFmt w:val="decimal"/>
      <w:lvlText w:val="%1.%2.%3.%4.%5.%6.%7"/>
      <w:lvlJc w:val="left"/>
      <w:pPr>
        <w:tabs>
          <w:tab w:val="left" w:pos="1440"/>
        </w:tabs>
        <w:ind w:left="1440" w:hanging="1440"/>
      </w:pPr>
    </w:lvl>
    <w:lvl w:ilvl="7" w:tentative="0">
      <w:start w:val="1"/>
      <w:numFmt w:val="decimal"/>
      <w:lvlText w:val="%1.%2.%3.%4.%5.%6.%7.%8"/>
      <w:lvlJc w:val="left"/>
      <w:pPr>
        <w:tabs>
          <w:tab w:val="left" w:pos="1800"/>
        </w:tabs>
        <w:ind w:left="1800" w:hanging="1800"/>
      </w:pPr>
    </w:lvl>
    <w:lvl w:ilvl="8" w:tentative="0">
      <w:start w:val="1"/>
      <w:numFmt w:val="decimal"/>
      <w:lvlText w:val="%1.%2.%3.%4.%5.%6.%7.%8.%9"/>
      <w:lvlJc w:val="left"/>
      <w:pPr>
        <w:tabs>
          <w:tab w:val="left" w:pos="1800"/>
        </w:tabs>
        <w:ind w:left="1800" w:hanging="1800"/>
      </w:pPr>
    </w:lvl>
  </w:abstractNum>
  <w:abstractNum w:abstractNumId="19">
    <w:nsid w:val="00000020"/>
    <w:multiLevelType w:val="multilevel"/>
    <w:tmpl w:val="00000020"/>
    <w:lvl w:ilvl="0" w:tentative="0">
      <w:start w:val="1"/>
      <w:numFmt w:val="japaneseCounting"/>
      <w:lvlText w:val="第%1章"/>
      <w:lvlJc w:val="left"/>
      <w:pPr>
        <w:tabs>
          <w:tab w:val="left" w:pos="1320"/>
        </w:tabs>
        <w:ind w:left="1320" w:hanging="1140"/>
      </w:pPr>
      <w:rPr>
        <w:rFonts w:hint="eastAsia"/>
      </w:rPr>
    </w:lvl>
    <w:lvl w:ilvl="1" w:tentative="0">
      <w:start w:val="1"/>
      <w:numFmt w:val="lowerLetter"/>
      <w:lvlText w:val="%2)"/>
      <w:lvlJc w:val="left"/>
      <w:pPr>
        <w:tabs>
          <w:tab w:val="left" w:pos="1380"/>
        </w:tabs>
        <w:ind w:left="1380" w:hanging="420"/>
      </w:pPr>
    </w:lvl>
    <w:lvl w:ilvl="2" w:tentative="0">
      <w:start w:val="1"/>
      <w:numFmt w:val="lowerRoman"/>
      <w:lvlText w:val="%3."/>
      <w:lvlJc w:val="right"/>
      <w:pPr>
        <w:tabs>
          <w:tab w:val="left" w:pos="1800"/>
        </w:tabs>
        <w:ind w:left="1800" w:hanging="420"/>
      </w:pPr>
    </w:lvl>
    <w:lvl w:ilvl="3" w:tentative="0">
      <w:start w:val="1"/>
      <w:numFmt w:val="decimal"/>
      <w:lvlText w:val="%4."/>
      <w:lvlJc w:val="left"/>
      <w:pPr>
        <w:tabs>
          <w:tab w:val="left" w:pos="2220"/>
        </w:tabs>
        <w:ind w:left="2220" w:hanging="420"/>
      </w:pPr>
    </w:lvl>
    <w:lvl w:ilvl="4" w:tentative="0">
      <w:start w:val="1"/>
      <w:numFmt w:val="lowerLetter"/>
      <w:lvlText w:val="%5)"/>
      <w:lvlJc w:val="left"/>
      <w:pPr>
        <w:tabs>
          <w:tab w:val="left" w:pos="2640"/>
        </w:tabs>
        <w:ind w:left="2640" w:hanging="420"/>
      </w:pPr>
    </w:lvl>
    <w:lvl w:ilvl="5" w:tentative="0">
      <w:start w:val="1"/>
      <w:numFmt w:val="lowerRoman"/>
      <w:lvlText w:val="%6."/>
      <w:lvlJc w:val="right"/>
      <w:pPr>
        <w:tabs>
          <w:tab w:val="left" w:pos="3060"/>
        </w:tabs>
        <w:ind w:left="3060" w:hanging="420"/>
      </w:pPr>
    </w:lvl>
    <w:lvl w:ilvl="6" w:tentative="0">
      <w:start w:val="1"/>
      <w:numFmt w:val="decimal"/>
      <w:lvlText w:val="%7."/>
      <w:lvlJc w:val="left"/>
      <w:pPr>
        <w:tabs>
          <w:tab w:val="left" w:pos="3480"/>
        </w:tabs>
        <w:ind w:left="3480" w:hanging="420"/>
      </w:pPr>
    </w:lvl>
    <w:lvl w:ilvl="7" w:tentative="0">
      <w:start w:val="1"/>
      <w:numFmt w:val="lowerLetter"/>
      <w:lvlText w:val="%8)"/>
      <w:lvlJc w:val="left"/>
      <w:pPr>
        <w:tabs>
          <w:tab w:val="left" w:pos="3900"/>
        </w:tabs>
        <w:ind w:left="3900" w:hanging="420"/>
      </w:pPr>
    </w:lvl>
    <w:lvl w:ilvl="8" w:tentative="0">
      <w:start w:val="1"/>
      <w:numFmt w:val="lowerRoman"/>
      <w:lvlText w:val="%9."/>
      <w:lvlJc w:val="right"/>
      <w:pPr>
        <w:tabs>
          <w:tab w:val="left" w:pos="4320"/>
        </w:tabs>
        <w:ind w:left="4320" w:hanging="420"/>
      </w:pPr>
    </w:lvl>
  </w:abstractNum>
  <w:abstractNum w:abstractNumId="20">
    <w:nsid w:val="00000021"/>
    <w:multiLevelType w:val="multilevel"/>
    <w:tmpl w:val="00000021"/>
    <w:lvl w:ilvl="0" w:tentative="0">
      <w:start w:val="1"/>
      <w:numFmt w:val="none"/>
      <w:pStyle w:val="811"/>
      <w:suff w:val="nothing"/>
      <w:lvlText w:val="第五部分"/>
      <w:lvlJc w:val="center"/>
      <w:pPr>
        <w:ind w:left="2412" w:firstLine="288"/>
      </w:pPr>
      <w:rPr>
        <w:rFonts w:hint="eastAsia"/>
      </w:rPr>
    </w:lvl>
    <w:lvl w:ilvl="1" w:tentative="0">
      <w:start w:val="1"/>
      <w:numFmt w:val="japaneseCounting"/>
      <w:lvlText w:val="第%2章"/>
      <w:lvlJc w:val="left"/>
      <w:pPr>
        <w:tabs>
          <w:tab w:val="left" w:pos="720"/>
        </w:tabs>
        <w:ind w:left="720" w:hanging="720"/>
      </w:pPr>
      <w:rPr>
        <w:rFonts w:hint="eastAsia"/>
      </w:rPr>
    </w:lvl>
    <w:lvl w:ilvl="2" w:tentative="0">
      <w:start w:val="1"/>
      <w:numFmt w:val="chineseCountingThousand"/>
      <w:suff w:val="nothing"/>
      <w:lvlText w:val="(%3)"/>
      <w:lvlJc w:val="left"/>
      <w:pPr>
        <w:ind w:left="2269" w:firstLine="0"/>
      </w:pPr>
      <w:rPr>
        <w:rFonts w:hint="eastAsia"/>
      </w:rPr>
    </w:lvl>
    <w:lvl w:ilvl="3" w:tentative="0">
      <w:start w:val="1"/>
      <w:numFmt w:val="decimal"/>
      <w:suff w:val="nothing"/>
      <w:lvlText w:val="%4、"/>
      <w:lvlJc w:val="left"/>
      <w:pPr>
        <w:ind w:left="0" w:firstLine="0"/>
      </w:pPr>
      <w:rPr>
        <w:rFonts w:hint="eastAsia"/>
      </w:rPr>
    </w:lvl>
    <w:lvl w:ilvl="4" w:tentative="0">
      <w:start w:val="1"/>
      <w:numFmt w:val="upperLetter"/>
      <w:suff w:val="nothing"/>
      <w:lvlText w:val="%5、"/>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21">
    <w:nsid w:val="00000023"/>
    <w:multiLevelType w:val="multilevel"/>
    <w:tmpl w:val="00000023"/>
    <w:lvl w:ilvl="0" w:tentative="0">
      <w:start w:val="1"/>
      <w:numFmt w:val="decimal"/>
      <w:pStyle w:val="1217"/>
      <w:lvlText w:val="%1."/>
      <w:lvlJc w:val="left"/>
      <w:pPr>
        <w:tabs>
          <w:tab w:val="left" w:pos="420"/>
        </w:tabs>
        <w:ind w:left="420" w:hanging="42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2">
    <w:nsid w:val="00000026"/>
    <w:multiLevelType w:val="multilevel"/>
    <w:tmpl w:val="00000026"/>
    <w:lvl w:ilvl="0" w:tentative="0">
      <w:start w:val="1"/>
      <w:numFmt w:val="decimal"/>
      <w:pStyle w:val="132"/>
      <w:isLgl/>
      <w:suff w:val="nothing"/>
      <w:lvlText w:val="%1　"/>
      <w:lvlJc w:val="left"/>
      <w:pPr>
        <w:ind w:left="-25" w:firstLine="0"/>
      </w:pPr>
      <w:rPr>
        <w:rFonts w:hint="default" w:ascii="Times New Roman" w:hAnsi="Times New Roman" w:eastAsia="宋体"/>
        <w:b/>
        <w:i w:val="0"/>
        <w:color w:val="auto"/>
        <w:sz w:val="28"/>
        <w:u w:val="none"/>
      </w:rPr>
    </w:lvl>
    <w:lvl w:ilvl="1" w:tentative="0">
      <w:start w:val="1"/>
      <w:numFmt w:val="decimal"/>
      <w:pStyle w:val="131"/>
      <w:isLgl/>
      <w:suff w:val="nothing"/>
      <w:lvlText w:val="%1.%2　"/>
      <w:lvlJc w:val="left"/>
      <w:pPr>
        <w:ind w:left="-25" w:firstLine="0"/>
      </w:pPr>
      <w:rPr>
        <w:rFonts w:hint="default" w:ascii="Times New Roman" w:hAnsi="Times New Roman" w:eastAsia="宋体"/>
        <w:b/>
        <w:i w:val="0"/>
        <w:snapToGrid/>
        <w:color w:val="auto"/>
        <w:spacing w:val="0"/>
        <w:w w:val="100"/>
        <w:kern w:val="21"/>
        <w:sz w:val="28"/>
        <w:u w:val="none"/>
      </w:rPr>
    </w:lvl>
    <w:lvl w:ilvl="2" w:tentative="0">
      <w:start w:val="1"/>
      <w:numFmt w:val="decimal"/>
      <w:isLgl/>
      <w:suff w:val="nothing"/>
      <w:lvlText w:val="%1.%2.%3　"/>
      <w:lvlJc w:val="left"/>
      <w:pPr>
        <w:ind w:left="-25" w:firstLine="0"/>
      </w:pPr>
      <w:rPr>
        <w:rFonts w:hint="default" w:ascii="Times New Roman" w:hAnsi="Times New Roman" w:eastAsia="黑体"/>
        <w:b/>
        <w:i w:val="0"/>
        <w:sz w:val="28"/>
      </w:rPr>
    </w:lvl>
    <w:lvl w:ilvl="3" w:tentative="0">
      <w:start w:val="1"/>
      <w:numFmt w:val="decimal"/>
      <w:pStyle w:val="168"/>
      <w:isLgl/>
      <w:suff w:val="nothing"/>
      <w:lvlText w:val="%1.%2.%3.%4　"/>
      <w:lvlJc w:val="left"/>
      <w:pPr>
        <w:ind w:left="-25" w:firstLine="0"/>
      </w:pPr>
      <w:rPr>
        <w:rFonts w:hint="default" w:ascii="Times New Roman" w:hAnsi="Times New Roman" w:eastAsia="宋体"/>
        <w:b/>
        <w:i w:val="0"/>
        <w:color w:val="auto"/>
        <w:sz w:val="28"/>
        <w:u w:val="none"/>
      </w:rPr>
    </w:lvl>
    <w:lvl w:ilvl="4" w:tentative="0">
      <w:start w:val="1"/>
      <w:numFmt w:val="decimal"/>
      <w:pStyle w:val="167"/>
      <w:isLgl/>
      <w:suff w:val="nothing"/>
      <w:lvlText w:val="%1.%2.%3.%4.%5　"/>
      <w:lvlJc w:val="left"/>
      <w:pPr>
        <w:ind w:left="-25" w:firstLine="0"/>
      </w:pPr>
      <w:rPr>
        <w:rFonts w:hint="default" w:ascii="Times New Roman" w:hAnsi="Times New Roman" w:eastAsia="宋体"/>
        <w:b/>
        <w:i w:val="0"/>
        <w:color w:val="auto"/>
        <w:sz w:val="28"/>
        <w:u w:val="none"/>
      </w:rPr>
    </w:lvl>
    <w:lvl w:ilvl="5" w:tentative="0">
      <w:start w:val="1"/>
      <w:numFmt w:val="decimal"/>
      <w:pStyle w:val="176"/>
      <w:isLgl/>
      <w:suff w:val="nothing"/>
      <w:lvlText w:val="%1.%2.%3.%4.%5.%6　"/>
      <w:lvlJc w:val="left"/>
      <w:pPr>
        <w:ind w:left="-25" w:firstLine="0"/>
      </w:pPr>
      <w:rPr>
        <w:rFonts w:hint="default" w:ascii="Times New Roman" w:hAnsi="Times New Roman" w:eastAsia="宋体"/>
        <w:b/>
        <w:i w:val="0"/>
        <w:sz w:val="28"/>
      </w:rPr>
    </w:lvl>
    <w:lvl w:ilvl="6" w:tentative="0">
      <w:start w:val="1"/>
      <w:numFmt w:val="lowerLetter"/>
      <w:pStyle w:val="189"/>
      <w:lvlText w:val="%7) "/>
      <w:lvlJc w:val="left"/>
      <w:pPr>
        <w:tabs>
          <w:tab w:val="left" w:pos="635"/>
        </w:tabs>
        <w:ind w:left="-125" w:firstLine="400"/>
      </w:pPr>
      <w:rPr>
        <w:rFonts w:hint="default" w:ascii="Times New Roman" w:hAnsi="Times New Roman" w:eastAsia="宋体"/>
        <w:b/>
        <w:i w:val="0"/>
        <w:color w:val="auto"/>
        <w:sz w:val="28"/>
        <w:u w:val="none"/>
      </w:rPr>
    </w:lvl>
    <w:lvl w:ilvl="7" w:tentative="0">
      <w:start w:val="1"/>
      <w:numFmt w:val="decimal"/>
      <w:pStyle w:val="152"/>
      <w:lvlText w:val="%8) "/>
      <w:lvlJc w:val="left"/>
      <w:pPr>
        <w:tabs>
          <w:tab w:val="left" w:pos="860"/>
        </w:tabs>
        <w:ind w:left="500" w:firstLine="0"/>
      </w:pPr>
      <w:rPr>
        <w:rFonts w:hint="default" w:ascii="Times New Roman" w:hAnsi="Times New Roman" w:eastAsia="宋体"/>
        <w:b/>
        <w:i w:val="0"/>
        <w:color w:val="auto"/>
        <w:sz w:val="28"/>
        <w:u w:val="none"/>
      </w:rPr>
    </w:lvl>
    <w:lvl w:ilvl="8" w:tentative="0">
      <w:start w:val="1"/>
      <w:numFmt w:val="none"/>
      <w:lvlText w:val="%9"/>
      <w:lvlJc w:val="left"/>
      <w:pPr>
        <w:tabs>
          <w:tab w:val="left" w:pos="860"/>
        </w:tabs>
        <w:ind w:left="500" w:firstLine="0"/>
      </w:pPr>
      <w:rPr>
        <w:rFonts w:hint="eastAsia" w:ascii="宋体" w:eastAsia="宋体"/>
        <w:b w:val="0"/>
        <w:i w:val="0"/>
        <w:color w:val="auto"/>
        <w:sz w:val="28"/>
        <w:u w:val="none"/>
      </w:rPr>
    </w:lvl>
  </w:abstractNum>
  <w:abstractNum w:abstractNumId="23">
    <w:nsid w:val="00000028"/>
    <w:multiLevelType w:val="multilevel"/>
    <w:tmpl w:val="00000028"/>
    <w:lvl w:ilvl="0" w:tentative="0">
      <w:start w:val="1"/>
      <w:numFmt w:val="decimal"/>
      <w:lvlText w:val="%1．"/>
      <w:lvlJc w:val="left"/>
      <w:pPr>
        <w:tabs>
          <w:tab w:val="left" w:pos="768"/>
        </w:tabs>
        <w:ind w:left="768" w:hanging="360"/>
      </w:pPr>
      <w:rPr>
        <w:rFonts w:hint="eastAsia"/>
      </w:rPr>
    </w:lvl>
    <w:lvl w:ilvl="1" w:tentative="0">
      <w:start w:val="1"/>
      <w:numFmt w:val="decimal"/>
      <w:pStyle w:val="170"/>
      <w:lvlText w:val="%2、"/>
      <w:lvlJc w:val="left"/>
      <w:pPr>
        <w:tabs>
          <w:tab w:val="left" w:pos="1188"/>
        </w:tabs>
        <w:ind w:left="1188" w:hanging="360"/>
      </w:pPr>
      <w:rPr>
        <w:rFonts w:hint="eastAsia"/>
      </w:rPr>
    </w:lvl>
    <w:lvl w:ilvl="2" w:tentative="0">
      <w:start w:val="1"/>
      <w:numFmt w:val="decimal"/>
      <w:lvlText w:val="（%3）"/>
      <w:lvlJc w:val="left"/>
      <w:pPr>
        <w:tabs>
          <w:tab w:val="left" w:pos="1968"/>
        </w:tabs>
        <w:ind w:left="1968" w:hanging="720"/>
      </w:pPr>
      <w:rPr>
        <w:rFonts w:hint="eastAsia"/>
        <w:u w:val="none"/>
      </w:rPr>
    </w:lvl>
    <w:lvl w:ilvl="3" w:tentative="0">
      <w:start w:val="1"/>
      <w:numFmt w:val="decimal"/>
      <w:lvlText w:val="%4."/>
      <w:lvlJc w:val="left"/>
      <w:pPr>
        <w:tabs>
          <w:tab w:val="left" w:pos="2088"/>
        </w:tabs>
        <w:ind w:left="2088" w:hanging="420"/>
      </w:pPr>
    </w:lvl>
    <w:lvl w:ilvl="4" w:tentative="0">
      <w:start w:val="1"/>
      <w:numFmt w:val="lowerLetter"/>
      <w:lvlText w:val="%5)"/>
      <w:lvlJc w:val="left"/>
      <w:pPr>
        <w:tabs>
          <w:tab w:val="left" w:pos="2508"/>
        </w:tabs>
        <w:ind w:left="2508" w:hanging="420"/>
      </w:pPr>
    </w:lvl>
    <w:lvl w:ilvl="5" w:tentative="0">
      <w:start w:val="1"/>
      <w:numFmt w:val="lowerRoman"/>
      <w:lvlText w:val="%6."/>
      <w:lvlJc w:val="right"/>
      <w:pPr>
        <w:tabs>
          <w:tab w:val="left" w:pos="2928"/>
        </w:tabs>
        <w:ind w:left="2928" w:hanging="420"/>
      </w:pPr>
    </w:lvl>
    <w:lvl w:ilvl="6" w:tentative="0">
      <w:start w:val="1"/>
      <w:numFmt w:val="decimal"/>
      <w:lvlText w:val="%7."/>
      <w:lvlJc w:val="left"/>
      <w:pPr>
        <w:tabs>
          <w:tab w:val="left" w:pos="3348"/>
        </w:tabs>
        <w:ind w:left="3348" w:hanging="420"/>
      </w:pPr>
    </w:lvl>
    <w:lvl w:ilvl="7" w:tentative="0">
      <w:start w:val="1"/>
      <w:numFmt w:val="lowerLetter"/>
      <w:lvlText w:val="%8)"/>
      <w:lvlJc w:val="left"/>
      <w:pPr>
        <w:tabs>
          <w:tab w:val="left" w:pos="3768"/>
        </w:tabs>
        <w:ind w:left="3768" w:hanging="420"/>
      </w:pPr>
    </w:lvl>
    <w:lvl w:ilvl="8" w:tentative="0">
      <w:start w:val="1"/>
      <w:numFmt w:val="lowerRoman"/>
      <w:lvlText w:val="%9."/>
      <w:lvlJc w:val="right"/>
      <w:pPr>
        <w:tabs>
          <w:tab w:val="left" w:pos="4188"/>
        </w:tabs>
        <w:ind w:left="4188" w:hanging="420"/>
      </w:pPr>
    </w:lvl>
  </w:abstractNum>
  <w:abstractNum w:abstractNumId="24">
    <w:nsid w:val="00000029"/>
    <w:multiLevelType w:val="multilevel"/>
    <w:tmpl w:val="00000029"/>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宋体" w:hAnsi="宋体" w:eastAsia="宋体" w:cs="Times New Roman"/>
        <w:sz w:val="24"/>
        <w:szCs w:val="24"/>
      </w:rPr>
    </w:lvl>
    <w:lvl w:ilvl="2" w:tentative="0">
      <w:start w:val="1"/>
      <w:numFmt w:val="decimal"/>
      <w:lvlText w:val="%1.%2.%3"/>
      <w:lvlJc w:val="left"/>
      <w:pPr>
        <w:tabs>
          <w:tab w:val="left" w:pos="1980"/>
        </w:tabs>
        <w:ind w:left="1980" w:hanging="900"/>
      </w:pPr>
      <w:rPr>
        <w:rFonts w:hint="default" w:asciiTheme="minorEastAsia" w:hAnsiTheme="minorEastAsia" w:eastAsiaTheme="minorEastAsia" w:cstheme="minorEastAsia"/>
        <w:sz w:val="24"/>
        <w:szCs w:val="24"/>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25">
    <w:nsid w:val="0000002F"/>
    <w:multiLevelType w:val="multilevel"/>
    <w:tmpl w:val="0000002F"/>
    <w:lvl w:ilvl="0" w:tentative="0">
      <w:start w:val="1"/>
      <w:numFmt w:val="decimal"/>
      <w:pStyle w:val="137"/>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6">
    <w:nsid w:val="0E230849"/>
    <w:multiLevelType w:val="multilevel"/>
    <w:tmpl w:val="0E230849"/>
    <w:lvl w:ilvl="0" w:tentative="0">
      <w:start w:val="1"/>
      <w:numFmt w:val="decimal"/>
      <w:pStyle w:val="240"/>
      <w:lvlText w:val="%1"/>
      <w:lvlJc w:val="left"/>
      <w:pPr>
        <w:ind w:left="680" w:hanging="680"/>
      </w:pPr>
      <w:rPr>
        <w:rFonts w:hint="eastAsia" w:ascii="宋体" w:hAnsi="宋体" w:eastAsia="宋体"/>
      </w:rPr>
    </w:lvl>
    <w:lvl w:ilvl="1" w:tentative="0">
      <w:start w:val="1"/>
      <w:numFmt w:val="decimal"/>
      <w:pStyle w:val="241"/>
      <w:lvlText w:val="%1.%2"/>
      <w:lvlJc w:val="left"/>
      <w:pPr>
        <w:ind w:left="851" w:hanging="851"/>
      </w:pPr>
      <w:rPr>
        <w:rFonts w:hint="eastAsia" w:ascii="宋体" w:hAnsi="宋体" w:eastAsia="宋体"/>
        <w:color w:val="auto"/>
      </w:rPr>
    </w:lvl>
    <w:lvl w:ilvl="2" w:tentative="0">
      <w:start w:val="1"/>
      <w:numFmt w:val="decimal"/>
      <w:pStyle w:val="242"/>
      <w:lvlText w:val="%1.%2.%3"/>
      <w:lvlJc w:val="left"/>
      <w:pPr>
        <w:ind w:left="851" w:hanging="851"/>
      </w:pPr>
      <w:rPr>
        <w:rFonts w:hint="eastAsia"/>
      </w:rPr>
    </w:lvl>
    <w:lvl w:ilvl="3" w:tentative="0">
      <w:start w:val="1"/>
      <w:numFmt w:val="decimal"/>
      <w:lvlText w:val="%1.%2.%3.%4"/>
      <w:lvlJc w:val="left"/>
      <w:pPr>
        <w:ind w:left="680" w:hanging="680"/>
      </w:pPr>
      <w:rPr>
        <w:rFonts w:hint="eastAsia"/>
      </w:rPr>
    </w:lvl>
    <w:lvl w:ilvl="4" w:tentative="0">
      <w:start w:val="1"/>
      <w:numFmt w:val="decimal"/>
      <w:lvlText w:val="%1.%2.%3.%4.%5"/>
      <w:lvlJc w:val="left"/>
      <w:pPr>
        <w:ind w:left="680" w:hanging="680"/>
      </w:pPr>
      <w:rPr>
        <w:rFonts w:hint="eastAsia"/>
      </w:rPr>
    </w:lvl>
    <w:lvl w:ilvl="5" w:tentative="0">
      <w:start w:val="1"/>
      <w:numFmt w:val="decimal"/>
      <w:lvlText w:val="%1.%2.%3.%4.%5.%6"/>
      <w:lvlJc w:val="left"/>
      <w:pPr>
        <w:ind w:left="680" w:hanging="680"/>
      </w:pPr>
      <w:rPr>
        <w:rFonts w:hint="eastAsia"/>
      </w:rPr>
    </w:lvl>
    <w:lvl w:ilvl="6" w:tentative="0">
      <w:start w:val="1"/>
      <w:numFmt w:val="decimal"/>
      <w:lvlText w:val="%1.%2.%3.%4.%5.%6.%7"/>
      <w:lvlJc w:val="left"/>
      <w:pPr>
        <w:ind w:left="680" w:hanging="680"/>
      </w:pPr>
      <w:rPr>
        <w:rFonts w:hint="eastAsia"/>
      </w:rPr>
    </w:lvl>
    <w:lvl w:ilvl="7" w:tentative="0">
      <w:start w:val="1"/>
      <w:numFmt w:val="decimal"/>
      <w:lvlText w:val="%1.%2.%3.%4.%5.%6.%7.%8"/>
      <w:lvlJc w:val="left"/>
      <w:pPr>
        <w:ind w:left="680" w:hanging="680"/>
      </w:pPr>
      <w:rPr>
        <w:rFonts w:hint="eastAsia"/>
      </w:rPr>
    </w:lvl>
    <w:lvl w:ilvl="8" w:tentative="0">
      <w:start w:val="1"/>
      <w:numFmt w:val="decimal"/>
      <w:lvlText w:val="%1.%2.%3.%4.%5.%6.%7.%8.%9"/>
      <w:lvlJc w:val="left"/>
      <w:pPr>
        <w:ind w:left="680" w:hanging="680"/>
      </w:pPr>
      <w:rPr>
        <w:rFonts w:hint="eastAsia"/>
      </w:rPr>
    </w:lvl>
  </w:abstractNum>
  <w:abstractNum w:abstractNumId="27">
    <w:nsid w:val="0FA1999C"/>
    <w:multiLevelType w:val="singleLevel"/>
    <w:tmpl w:val="0FA1999C"/>
    <w:lvl w:ilvl="0" w:tentative="0">
      <w:start w:val="7"/>
      <w:numFmt w:val="chineseCounting"/>
      <w:suff w:val="nothing"/>
      <w:lvlText w:val="%1、"/>
      <w:lvlJc w:val="left"/>
      <w:pPr>
        <w:ind w:left="1180" w:firstLine="0"/>
      </w:pPr>
      <w:rPr>
        <w:rFonts w:hint="eastAsia"/>
      </w:rPr>
    </w:lvl>
  </w:abstractNum>
  <w:abstractNum w:abstractNumId="28">
    <w:nsid w:val="10872DAA"/>
    <w:multiLevelType w:val="multilevel"/>
    <w:tmpl w:val="10872DAA"/>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宋体" w:hAnsi="宋体" w:eastAsia="宋体" w:cs="Times New Roman"/>
        <w:b w:val="0"/>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29">
    <w:nsid w:val="13851098"/>
    <w:multiLevelType w:val="multilevel"/>
    <w:tmpl w:val="13851098"/>
    <w:lvl w:ilvl="0" w:tentative="0">
      <w:start w:val="1"/>
      <w:numFmt w:val="japaneseCounting"/>
      <w:lvlText w:val="%1、"/>
      <w:lvlJc w:val="left"/>
      <w:pPr>
        <w:ind w:left="500" w:hanging="50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0">
    <w:nsid w:val="22220ED7"/>
    <w:multiLevelType w:val="singleLevel"/>
    <w:tmpl w:val="22220ED7"/>
    <w:lvl w:ilvl="0" w:tentative="0">
      <w:start w:val="10"/>
      <w:numFmt w:val="decimal"/>
      <w:suff w:val="space"/>
      <w:lvlText w:val="%1)"/>
      <w:lvlJc w:val="left"/>
    </w:lvl>
  </w:abstractNum>
  <w:abstractNum w:abstractNumId="31">
    <w:nsid w:val="302065E1"/>
    <w:multiLevelType w:val="multilevel"/>
    <w:tmpl w:val="302065E1"/>
    <w:lvl w:ilvl="0" w:tentative="0">
      <w:start w:val="1"/>
      <w:numFmt w:val="japaneseCounting"/>
      <w:lvlText w:val="（%1）"/>
      <w:lvlJc w:val="left"/>
      <w:pPr>
        <w:ind w:left="1560" w:hanging="720"/>
      </w:pPr>
      <w:rPr>
        <w:rFonts w:hint="default"/>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32">
    <w:nsid w:val="5789E5D2"/>
    <w:multiLevelType w:val="singleLevel"/>
    <w:tmpl w:val="5789E5D2"/>
    <w:lvl w:ilvl="0" w:tentative="0">
      <w:start w:val="1"/>
      <w:numFmt w:val="decimal"/>
      <w:pStyle w:val="912"/>
      <w:lvlText w:val="%1."/>
      <w:lvlJc w:val="left"/>
      <w:pPr>
        <w:tabs>
          <w:tab w:val="left" w:pos="425"/>
        </w:tabs>
        <w:ind w:left="425" w:hanging="425"/>
      </w:pPr>
      <w:rPr>
        <w:rFonts w:hint="default"/>
      </w:rPr>
    </w:lvl>
  </w:abstractNum>
  <w:abstractNum w:abstractNumId="33">
    <w:nsid w:val="5EFA7423"/>
    <w:multiLevelType w:val="multilevel"/>
    <w:tmpl w:val="5EFA7423"/>
    <w:lvl w:ilvl="0" w:tentative="0">
      <w:start w:val="1"/>
      <w:numFmt w:val="decimalEnclosedCircle"/>
      <w:pStyle w:val="733"/>
      <w:lvlText w:val="%1"/>
      <w:lvlJc w:val="left"/>
      <w:pPr>
        <w:ind w:left="360" w:hanging="360"/>
      </w:pPr>
      <w:rPr>
        <w:rFonts w:hint="default"/>
        <w:sz w:val="21"/>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4">
    <w:nsid w:val="60055A5D"/>
    <w:multiLevelType w:val="singleLevel"/>
    <w:tmpl w:val="60055A5D"/>
    <w:lvl w:ilvl="0" w:tentative="0">
      <w:start w:val="1"/>
      <w:numFmt w:val="decimal"/>
      <w:pStyle w:val="38"/>
      <w:suff w:val="nothing"/>
      <w:lvlText w:val="%1）"/>
      <w:lvlJc w:val="left"/>
    </w:lvl>
  </w:abstractNum>
  <w:abstractNum w:abstractNumId="35">
    <w:nsid w:val="625A4FA8"/>
    <w:multiLevelType w:val="multilevel"/>
    <w:tmpl w:val="625A4FA8"/>
    <w:lvl w:ilvl="0" w:tentative="0">
      <w:start w:val="17"/>
      <w:numFmt w:val="decimal"/>
      <w:pStyle w:val="1178"/>
      <w:lvlText w:val="%1"/>
      <w:lvlJc w:val="left"/>
      <w:pPr>
        <w:tabs>
          <w:tab w:val="left" w:pos="-289"/>
        </w:tabs>
        <w:ind w:left="-289" w:hanging="420"/>
      </w:pPr>
    </w:lvl>
    <w:lvl w:ilvl="1" w:tentative="0">
      <w:start w:val="1"/>
      <w:numFmt w:val="decimal"/>
      <w:lvlText w:val="%1.%2"/>
      <w:lvlJc w:val="left"/>
      <w:pPr>
        <w:tabs>
          <w:tab w:val="left" w:pos="0"/>
        </w:tabs>
        <w:ind w:left="0" w:hanging="709"/>
      </w:pPr>
    </w:lvl>
    <w:lvl w:ilvl="2" w:tentative="0">
      <w:start w:val="1"/>
      <w:numFmt w:val="decimal"/>
      <w:lvlText w:val="%1.%2.%3"/>
      <w:lvlJc w:val="left"/>
      <w:pPr>
        <w:tabs>
          <w:tab w:val="left" w:pos="11"/>
        </w:tabs>
        <w:ind w:left="11" w:hanging="720"/>
      </w:pPr>
    </w:lvl>
    <w:lvl w:ilvl="3" w:tentative="0">
      <w:start w:val="1"/>
      <w:numFmt w:val="decimal"/>
      <w:lvlText w:val="%1.%2.%3.%4"/>
      <w:lvlJc w:val="left"/>
      <w:pPr>
        <w:tabs>
          <w:tab w:val="left" w:pos="371"/>
        </w:tabs>
        <w:ind w:left="371" w:hanging="1080"/>
      </w:pPr>
    </w:lvl>
    <w:lvl w:ilvl="4" w:tentative="0">
      <w:start w:val="1"/>
      <w:numFmt w:val="decimal"/>
      <w:lvlText w:val="%1.%2.%3.%4.%5"/>
      <w:lvlJc w:val="left"/>
      <w:pPr>
        <w:tabs>
          <w:tab w:val="left" w:pos="371"/>
        </w:tabs>
        <w:ind w:left="371" w:hanging="1080"/>
      </w:pPr>
    </w:lvl>
    <w:lvl w:ilvl="5" w:tentative="0">
      <w:start w:val="1"/>
      <w:numFmt w:val="decimal"/>
      <w:lvlText w:val="%1.%2.%3.%4.%5.%6"/>
      <w:lvlJc w:val="left"/>
      <w:pPr>
        <w:tabs>
          <w:tab w:val="left" w:pos="731"/>
        </w:tabs>
        <w:ind w:left="731" w:hanging="1440"/>
      </w:pPr>
    </w:lvl>
    <w:lvl w:ilvl="6" w:tentative="0">
      <w:start w:val="1"/>
      <w:numFmt w:val="decimal"/>
      <w:lvlText w:val="%1.%2.%3.%4.%5.%6.%7"/>
      <w:lvlJc w:val="left"/>
      <w:pPr>
        <w:tabs>
          <w:tab w:val="left" w:pos="731"/>
        </w:tabs>
        <w:ind w:left="731" w:hanging="1440"/>
      </w:pPr>
    </w:lvl>
    <w:lvl w:ilvl="7" w:tentative="0">
      <w:start w:val="1"/>
      <w:numFmt w:val="decimal"/>
      <w:lvlText w:val="%1.%2.%3.%4.%5.%6.%7.%8"/>
      <w:lvlJc w:val="left"/>
      <w:pPr>
        <w:tabs>
          <w:tab w:val="left" w:pos="1091"/>
        </w:tabs>
        <w:ind w:left="1091" w:hanging="1800"/>
      </w:pPr>
    </w:lvl>
    <w:lvl w:ilvl="8" w:tentative="0">
      <w:start w:val="1"/>
      <w:numFmt w:val="decimal"/>
      <w:lvlText w:val="%1.%2.%3.%4.%5.%6.%7.%8.%9"/>
      <w:lvlJc w:val="left"/>
      <w:pPr>
        <w:tabs>
          <w:tab w:val="left" w:pos="1091"/>
        </w:tabs>
        <w:ind w:left="1091" w:hanging="1800"/>
      </w:pPr>
    </w:lvl>
  </w:abstractNum>
  <w:abstractNum w:abstractNumId="36">
    <w:nsid w:val="64A56916"/>
    <w:multiLevelType w:val="multilevel"/>
    <w:tmpl w:val="64A56916"/>
    <w:lvl w:ilvl="0" w:tentative="0">
      <w:start w:val="1"/>
      <w:numFmt w:val="bullet"/>
      <w:pStyle w:val="33"/>
      <w:lvlText w:val=""/>
      <w:lvlJc w:val="left"/>
      <w:pPr>
        <w:ind w:left="980" w:hanging="420"/>
      </w:pPr>
      <w:rPr>
        <w:rFonts w:hint="default" w:ascii="Wingdings" w:hAnsi="Wingdings"/>
      </w:rPr>
    </w:lvl>
    <w:lvl w:ilvl="1" w:tentative="0">
      <w:start w:val="1"/>
      <w:numFmt w:val="bullet"/>
      <w:lvlText w:val=""/>
      <w:lvlJc w:val="left"/>
      <w:pPr>
        <w:ind w:left="1400" w:hanging="420"/>
      </w:pPr>
      <w:rPr>
        <w:rFonts w:hint="default" w:ascii="Wingdings" w:hAnsi="Wingdings"/>
      </w:rPr>
    </w:lvl>
    <w:lvl w:ilvl="2" w:tentative="0">
      <w:start w:val="1"/>
      <w:numFmt w:val="bullet"/>
      <w:lvlText w:val=""/>
      <w:lvlJc w:val="left"/>
      <w:pPr>
        <w:ind w:left="1820" w:hanging="420"/>
      </w:pPr>
      <w:rPr>
        <w:rFonts w:hint="default" w:ascii="Wingdings" w:hAnsi="Wingdings"/>
      </w:rPr>
    </w:lvl>
    <w:lvl w:ilvl="3" w:tentative="0">
      <w:start w:val="1"/>
      <w:numFmt w:val="bullet"/>
      <w:lvlText w:val=""/>
      <w:lvlJc w:val="left"/>
      <w:pPr>
        <w:ind w:left="2240" w:hanging="420"/>
      </w:pPr>
      <w:rPr>
        <w:rFonts w:hint="default" w:ascii="Wingdings" w:hAnsi="Wingdings"/>
      </w:rPr>
    </w:lvl>
    <w:lvl w:ilvl="4" w:tentative="0">
      <w:start w:val="1"/>
      <w:numFmt w:val="bullet"/>
      <w:lvlText w:val=""/>
      <w:lvlJc w:val="left"/>
      <w:pPr>
        <w:ind w:left="2660" w:hanging="420"/>
      </w:pPr>
      <w:rPr>
        <w:rFonts w:hint="default" w:ascii="Wingdings" w:hAnsi="Wingdings"/>
      </w:rPr>
    </w:lvl>
    <w:lvl w:ilvl="5" w:tentative="0">
      <w:start w:val="1"/>
      <w:numFmt w:val="bullet"/>
      <w:lvlText w:val=""/>
      <w:lvlJc w:val="left"/>
      <w:pPr>
        <w:ind w:left="3080" w:hanging="420"/>
      </w:pPr>
      <w:rPr>
        <w:rFonts w:hint="default" w:ascii="Wingdings" w:hAnsi="Wingdings"/>
      </w:rPr>
    </w:lvl>
    <w:lvl w:ilvl="6" w:tentative="0">
      <w:start w:val="1"/>
      <w:numFmt w:val="bullet"/>
      <w:lvlText w:val=""/>
      <w:lvlJc w:val="left"/>
      <w:pPr>
        <w:ind w:left="3500" w:hanging="420"/>
      </w:pPr>
      <w:rPr>
        <w:rFonts w:hint="default" w:ascii="Wingdings" w:hAnsi="Wingdings"/>
      </w:rPr>
    </w:lvl>
    <w:lvl w:ilvl="7" w:tentative="0">
      <w:start w:val="1"/>
      <w:numFmt w:val="bullet"/>
      <w:lvlText w:val=""/>
      <w:lvlJc w:val="left"/>
      <w:pPr>
        <w:ind w:left="3920" w:hanging="420"/>
      </w:pPr>
      <w:rPr>
        <w:rFonts w:hint="default" w:ascii="Wingdings" w:hAnsi="Wingdings"/>
      </w:rPr>
    </w:lvl>
    <w:lvl w:ilvl="8" w:tentative="0">
      <w:start w:val="1"/>
      <w:numFmt w:val="bullet"/>
      <w:lvlText w:val=""/>
      <w:lvlJc w:val="left"/>
      <w:pPr>
        <w:ind w:left="4340" w:hanging="420"/>
      </w:pPr>
      <w:rPr>
        <w:rFonts w:hint="default" w:ascii="Wingdings" w:hAnsi="Wingdings"/>
      </w:rPr>
    </w:lvl>
  </w:abstractNum>
  <w:abstractNum w:abstractNumId="37">
    <w:nsid w:val="6F97AB6F"/>
    <w:multiLevelType w:val="singleLevel"/>
    <w:tmpl w:val="6F97AB6F"/>
    <w:lvl w:ilvl="0" w:tentative="0">
      <w:start w:val="1"/>
      <w:numFmt w:val="decimal"/>
      <w:pStyle w:val="25"/>
      <w:suff w:val="nothing"/>
      <w:lvlText w:val="%1．"/>
      <w:lvlJc w:val="left"/>
    </w:lvl>
  </w:abstractNum>
  <w:abstractNum w:abstractNumId="38">
    <w:nsid w:val="7C6B6D9F"/>
    <w:multiLevelType w:val="multilevel"/>
    <w:tmpl w:val="7C6B6D9F"/>
    <w:lvl w:ilvl="0" w:tentative="0">
      <w:start w:val="1"/>
      <w:numFmt w:val="upperLetter"/>
      <w:lvlText w:val="%1."/>
      <w:lvlJc w:val="left"/>
      <w:pPr>
        <w:ind w:left="1015" w:hanging="360"/>
      </w:pPr>
      <w:rPr>
        <w:rFonts w:hint="default"/>
        <w:u w:val="single"/>
      </w:rPr>
    </w:lvl>
    <w:lvl w:ilvl="1" w:tentative="0">
      <w:start w:val="1"/>
      <w:numFmt w:val="lowerLetter"/>
      <w:lvlText w:val="%2)"/>
      <w:lvlJc w:val="left"/>
      <w:pPr>
        <w:ind w:left="1495" w:hanging="420"/>
      </w:pPr>
    </w:lvl>
    <w:lvl w:ilvl="2" w:tentative="0">
      <w:start w:val="1"/>
      <w:numFmt w:val="lowerRoman"/>
      <w:lvlText w:val="%3."/>
      <w:lvlJc w:val="right"/>
      <w:pPr>
        <w:ind w:left="1915" w:hanging="420"/>
      </w:pPr>
    </w:lvl>
    <w:lvl w:ilvl="3" w:tentative="0">
      <w:start w:val="1"/>
      <w:numFmt w:val="decimal"/>
      <w:lvlText w:val="%4."/>
      <w:lvlJc w:val="left"/>
      <w:pPr>
        <w:ind w:left="2335" w:hanging="420"/>
      </w:pPr>
    </w:lvl>
    <w:lvl w:ilvl="4" w:tentative="0">
      <w:start w:val="1"/>
      <w:numFmt w:val="lowerLetter"/>
      <w:lvlText w:val="%5)"/>
      <w:lvlJc w:val="left"/>
      <w:pPr>
        <w:ind w:left="2755" w:hanging="420"/>
      </w:pPr>
    </w:lvl>
    <w:lvl w:ilvl="5" w:tentative="0">
      <w:start w:val="1"/>
      <w:numFmt w:val="lowerRoman"/>
      <w:lvlText w:val="%6."/>
      <w:lvlJc w:val="right"/>
      <w:pPr>
        <w:ind w:left="3175" w:hanging="420"/>
      </w:pPr>
    </w:lvl>
    <w:lvl w:ilvl="6" w:tentative="0">
      <w:start w:val="1"/>
      <w:numFmt w:val="decimal"/>
      <w:lvlText w:val="%7."/>
      <w:lvlJc w:val="left"/>
      <w:pPr>
        <w:ind w:left="3595" w:hanging="420"/>
      </w:pPr>
    </w:lvl>
    <w:lvl w:ilvl="7" w:tentative="0">
      <w:start w:val="1"/>
      <w:numFmt w:val="lowerLetter"/>
      <w:lvlText w:val="%8)"/>
      <w:lvlJc w:val="left"/>
      <w:pPr>
        <w:ind w:left="4015" w:hanging="420"/>
      </w:pPr>
    </w:lvl>
    <w:lvl w:ilvl="8" w:tentative="0">
      <w:start w:val="1"/>
      <w:numFmt w:val="lowerRoman"/>
      <w:lvlText w:val="%9."/>
      <w:lvlJc w:val="right"/>
      <w:pPr>
        <w:ind w:left="4435" w:hanging="420"/>
      </w:pPr>
    </w:lvl>
  </w:abstractNum>
  <w:num w:numId="1">
    <w:abstractNumId w:val="37"/>
  </w:num>
  <w:num w:numId="2">
    <w:abstractNumId w:val="36"/>
  </w:num>
  <w:num w:numId="3">
    <w:abstractNumId w:val="34"/>
  </w:num>
  <w:num w:numId="4">
    <w:abstractNumId w:val="22"/>
  </w:num>
  <w:num w:numId="5">
    <w:abstractNumId w:val="25"/>
  </w:num>
  <w:num w:numId="6">
    <w:abstractNumId w:val="7"/>
  </w:num>
  <w:num w:numId="7">
    <w:abstractNumId w:val="23"/>
  </w:num>
  <w:num w:numId="8">
    <w:abstractNumId w:val="12"/>
  </w:num>
  <w:num w:numId="9">
    <w:abstractNumId w:val="9"/>
  </w:num>
  <w:num w:numId="10">
    <w:abstractNumId w:val="26"/>
  </w:num>
  <w:num w:numId="11">
    <w:abstractNumId w:val="4"/>
  </w:num>
  <w:num w:numId="12">
    <w:abstractNumId w:val="33"/>
  </w:num>
  <w:num w:numId="13">
    <w:abstractNumId w:val="20"/>
  </w:num>
  <w:num w:numId="14">
    <w:abstractNumId w:val="3"/>
  </w:num>
  <w:num w:numId="15">
    <w:abstractNumId w:val="5"/>
  </w:num>
  <w:num w:numId="16">
    <w:abstractNumId w:val="17"/>
  </w:num>
  <w:num w:numId="17">
    <w:abstractNumId w:val="18"/>
  </w:num>
  <w:num w:numId="18">
    <w:abstractNumId w:val="14"/>
  </w:num>
  <w:num w:numId="19">
    <w:abstractNumId w:val="32"/>
  </w:num>
  <w:num w:numId="20">
    <w:abstractNumId w:val="8"/>
  </w:num>
  <w:num w:numId="21">
    <w:abstractNumId w:val="11"/>
  </w:num>
  <w:num w:numId="22">
    <w:abstractNumId w:val="13"/>
  </w:num>
  <w:num w:numId="23">
    <w:abstractNumId w:val="16"/>
  </w:num>
  <w:num w:numId="24">
    <w:abstractNumId w:val="10"/>
  </w:num>
  <w:num w:numId="25">
    <w:abstractNumId w:val="6"/>
  </w:num>
  <w:num w:numId="26">
    <w:abstractNumId w:val="15"/>
  </w:num>
  <w:num w:numId="27">
    <w:abstractNumId w:val="35"/>
  </w:num>
  <w:num w:numId="28">
    <w:abstractNumId w:val="21"/>
  </w:num>
  <w:num w:numId="29">
    <w:abstractNumId w:val="24"/>
  </w:num>
  <w:num w:numId="30">
    <w:abstractNumId w:val="19"/>
  </w:num>
  <w:num w:numId="31">
    <w:abstractNumId w:val="28"/>
  </w:num>
  <w:num w:numId="32">
    <w:abstractNumId w:val="0"/>
  </w:num>
  <w:num w:numId="33">
    <w:abstractNumId w:val="29"/>
  </w:num>
  <w:num w:numId="34">
    <w:abstractNumId w:val="27"/>
  </w:num>
  <w:num w:numId="35">
    <w:abstractNumId w:val="2"/>
  </w:num>
  <w:num w:numId="36">
    <w:abstractNumId w:val="30"/>
  </w:num>
  <w:num w:numId="37">
    <w:abstractNumId w:val="38"/>
  </w:num>
  <w:num w:numId="38">
    <w:abstractNumId w:val="1"/>
  </w:num>
  <w:num w:numId="39">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IVE" w:val="03年范本稿123.doc"/>
    <w:docVar w:name="commondata" w:val="eyJoZGlkIjoiNDRiMjZmZWU2NzMyZDY4YmJhMTA2OTI1YmZkZTAxMGYifQ=="/>
    <w:docVar w:name="var评审项目" w:val="$评审项目$"/>
    <w:docVar w:name="VTCASE" w:val="4"/>
    <w:docVar w:name="VTCommandPending" w:val="NONE"/>
  </w:docVars>
  <w:rsids>
    <w:rsidRoot w:val="00172A27"/>
    <w:rsid w:val="00000277"/>
    <w:rsid w:val="000002C4"/>
    <w:rsid w:val="00000368"/>
    <w:rsid w:val="00000432"/>
    <w:rsid w:val="00000448"/>
    <w:rsid w:val="00000905"/>
    <w:rsid w:val="00000CCE"/>
    <w:rsid w:val="00000DF5"/>
    <w:rsid w:val="00000F3F"/>
    <w:rsid w:val="000010CF"/>
    <w:rsid w:val="00001711"/>
    <w:rsid w:val="00001895"/>
    <w:rsid w:val="00001948"/>
    <w:rsid w:val="00001F9C"/>
    <w:rsid w:val="000020BD"/>
    <w:rsid w:val="0000218D"/>
    <w:rsid w:val="00002358"/>
    <w:rsid w:val="0000240B"/>
    <w:rsid w:val="000026F7"/>
    <w:rsid w:val="0000279B"/>
    <w:rsid w:val="000027EB"/>
    <w:rsid w:val="00002944"/>
    <w:rsid w:val="00002D16"/>
    <w:rsid w:val="00002F3D"/>
    <w:rsid w:val="00002FE1"/>
    <w:rsid w:val="000031CE"/>
    <w:rsid w:val="00003279"/>
    <w:rsid w:val="00003711"/>
    <w:rsid w:val="00003804"/>
    <w:rsid w:val="000039FD"/>
    <w:rsid w:val="00003A41"/>
    <w:rsid w:val="00003D6A"/>
    <w:rsid w:val="00003E5F"/>
    <w:rsid w:val="00003EA2"/>
    <w:rsid w:val="00004254"/>
    <w:rsid w:val="0000429B"/>
    <w:rsid w:val="000044A2"/>
    <w:rsid w:val="000046C6"/>
    <w:rsid w:val="0000474F"/>
    <w:rsid w:val="00004A22"/>
    <w:rsid w:val="00004C44"/>
    <w:rsid w:val="00004D13"/>
    <w:rsid w:val="00004E70"/>
    <w:rsid w:val="0000508D"/>
    <w:rsid w:val="000051DC"/>
    <w:rsid w:val="00005232"/>
    <w:rsid w:val="000053B4"/>
    <w:rsid w:val="00005407"/>
    <w:rsid w:val="00005905"/>
    <w:rsid w:val="00005A31"/>
    <w:rsid w:val="00005AF1"/>
    <w:rsid w:val="00005DF0"/>
    <w:rsid w:val="00005EC8"/>
    <w:rsid w:val="000060A7"/>
    <w:rsid w:val="000064B2"/>
    <w:rsid w:val="0000668F"/>
    <w:rsid w:val="00006923"/>
    <w:rsid w:val="00006BD5"/>
    <w:rsid w:val="00006CD1"/>
    <w:rsid w:val="00006CD3"/>
    <w:rsid w:val="000073B1"/>
    <w:rsid w:val="000073E8"/>
    <w:rsid w:val="0000781A"/>
    <w:rsid w:val="00007A5A"/>
    <w:rsid w:val="00007DA4"/>
    <w:rsid w:val="00007F7A"/>
    <w:rsid w:val="00010010"/>
    <w:rsid w:val="000100A2"/>
    <w:rsid w:val="000100B6"/>
    <w:rsid w:val="000104BA"/>
    <w:rsid w:val="000106FC"/>
    <w:rsid w:val="00010763"/>
    <w:rsid w:val="00010962"/>
    <w:rsid w:val="00010DB9"/>
    <w:rsid w:val="00010E8F"/>
    <w:rsid w:val="00011116"/>
    <w:rsid w:val="0001121F"/>
    <w:rsid w:val="0001127B"/>
    <w:rsid w:val="000112A5"/>
    <w:rsid w:val="00011565"/>
    <w:rsid w:val="00011793"/>
    <w:rsid w:val="000118AD"/>
    <w:rsid w:val="00011AFF"/>
    <w:rsid w:val="00011BD5"/>
    <w:rsid w:val="00011DA9"/>
    <w:rsid w:val="0001235C"/>
    <w:rsid w:val="00012486"/>
    <w:rsid w:val="000124BE"/>
    <w:rsid w:val="000125B2"/>
    <w:rsid w:val="000125FF"/>
    <w:rsid w:val="00012A66"/>
    <w:rsid w:val="00012BE6"/>
    <w:rsid w:val="00012C45"/>
    <w:rsid w:val="00012EBE"/>
    <w:rsid w:val="00013121"/>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8B"/>
    <w:rsid w:val="000151D7"/>
    <w:rsid w:val="00015316"/>
    <w:rsid w:val="000154B9"/>
    <w:rsid w:val="00015645"/>
    <w:rsid w:val="000156A3"/>
    <w:rsid w:val="0001576D"/>
    <w:rsid w:val="000157C2"/>
    <w:rsid w:val="00015939"/>
    <w:rsid w:val="00015C1D"/>
    <w:rsid w:val="00015D20"/>
    <w:rsid w:val="00015D38"/>
    <w:rsid w:val="0001606B"/>
    <w:rsid w:val="000160FB"/>
    <w:rsid w:val="000163AA"/>
    <w:rsid w:val="00016644"/>
    <w:rsid w:val="000168D9"/>
    <w:rsid w:val="000169A7"/>
    <w:rsid w:val="00016CAF"/>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80"/>
    <w:rsid w:val="00020900"/>
    <w:rsid w:val="00020C28"/>
    <w:rsid w:val="00020E48"/>
    <w:rsid w:val="000210FD"/>
    <w:rsid w:val="0002113E"/>
    <w:rsid w:val="000215D4"/>
    <w:rsid w:val="000217FC"/>
    <w:rsid w:val="00021AEB"/>
    <w:rsid w:val="00021C9E"/>
    <w:rsid w:val="00021F1F"/>
    <w:rsid w:val="00021F66"/>
    <w:rsid w:val="0002210E"/>
    <w:rsid w:val="0002216A"/>
    <w:rsid w:val="0002217C"/>
    <w:rsid w:val="0002226B"/>
    <w:rsid w:val="000222D0"/>
    <w:rsid w:val="00022354"/>
    <w:rsid w:val="000223C3"/>
    <w:rsid w:val="000224C9"/>
    <w:rsid w:val="00022526"/>
    <w:rsid w:val="00022562"/>
    <w:rsid w:val="000227DC"/>
    <w:rsid w:val="000227F5"/>
    <w:rsid w:val="00022BE1"/>
    <w:rsid w:val="00022C7A"/>
    <w:rsid w:val="00022D53"/>
    <w:rsid w:val="00022F7D"/>
    <w:rsid w:val="0002328F"/>
    <w:rsid w:val="00023458"/>
    <w:rsid w:val="000234AD"/>
    <w:rsid w:val="00023CAF"/>
    <w:rsid w:val="00023D59"/>
    <w:rsid w:val="000241D9"/>
    <w:rsid w:val="00024343"/>
    <w:rsid w:val="00024427"/>
    <w:rsid w:val="00024446"/>
    <w:rsid w:val="0002455F"/>
    <w:rsid w:val="000246FD"/>
    <w:rsid w:val="000249B1"/>
    <w:rsid w:val="000249FA"/>
    <w:rsid w:val="00024B4F"/>
    <w:rsid w:val="00024BB5"/>
    <w:rsid w:val="00024D50"/>
    <w:rsid w:val="00024D59"/>
    <w:rsid w:val="00024FD8"/>
    <w:rsid w:val="00025050"/>
    <w:rsid w:val="00025279"/>
    <w:rsid w:val="000252A7"/>
    <w:rsid w:val="000253F6"/>
    <w:rsid w:val="00025543"/>
    <w:rsid w:val="00025545"/>
    <w:rsid w:val="0002559A"/>
    <w:rsid w:val="00025BF3"/>
    <w:rsid w:val="00025DA9"/>
    <w:rsid w:val="00026353"/>
    <w:rsid w:val="000265E5"/>
    <w:rsid w:val="00026693"/>
    <w:rsid w:val="000267C8"/>
    <w:rsid w:val="0002683E"/>
    <w:rsid w:val="00026845"/>
    <w:rsid w:val="00026AAC"/>
    <w:rsid w:val="00026D3D"/>
    <w:rsid w:val="00026F4A"/>
    <w:rsid w:val="000272EC"/>
    <w:rsid w:val="00027416"/>
    <w:rsid w:val="000274ED"/>
    <w:rsid w:val="0002751F"/>
    <w:rsid w:val="00027819"/>
    <w:rsid w:val="000279DE"/>
    <w:rsid w:val="0003010B"/>
    <w:rsid w:val="000301C2"/>
    <w:rsid w:val="000304E9"/>
    <w:rsid w:val="00030640"/>
    <w:rsid w:val="0003072E"/>
    <w:rsid w:val="000307A8"/>
    <w:rsid w:val="00030887"/>
    <w:rsid w:val="00030993"/>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AFA"/>
    <w:rsid w:val="00032B14"/>
    <w:rsid w:val="00032C55"/>
    <w:rsid w:val="00032E71"/>
    <w:rsid w:val="00033034"/>
    <w:rsid w:val="00033192"/>
    <w:rsid w:val="00033263"/>
    <w:rsid w:val="00033483"/>
    <w:rsid w:val="00033665"/>
    <w:rsid w:val="000337D2"/>
    <w:rsid w:val="00033A69"/>
    <w:rsid w:val="0003416B"/>
    <w:rsid w:val="00034376"/>
    <w:rsid w:val="000343B7"/>
    <w:rsid w:val="000343F4"/>
    <w:rsid w:val="0003447F"/>
    <w:rsid w:val="00034588"/>
    <w:rsid w:val="00034786"/>
    <w:rsid w:val="00034820"/>
    <w:rsid w:val="0003491D"/>
    <w:rsid w:val="00034CE2"/>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D6E"/>
    <w:rsid w:val="00036E36"/>
    <w:rsid w:val="00036EB2"/>
    <w:rsid w:val="00036EE2"/>
    <w:rsid w:val="000370CE"/>
    <w:rsid w:val="000371CF"/>
    <w:rsid w:val="00037376"/>
    <w:rsid w:val="000375F9"/>
    <w:rsid w:val="00037AF2"/>
    <w:rsid w:val="00040091"/>
    <w:rsid w:val="0004031E"/>
    <w:rsid w:val="000403CA"/>
    <w:rsid w:val="0004042F"/>
    <w:rsid w:val="0004060C"/>
    <w:rsid w:val="00040A71"/>
    <w:rsid w:val="00040B56"/>
    <w:rsid w:val="00040D2C"/>
    <w:rsid w:val="00040D38"/>
    <w:rsid w:val="00040D45"/>
    <w:rsid w:val="00040D67"/>
    <w:rsid w:val="00041026"/>
    <w:rsid w:val="00041129"/>
    <w:rsid w:val="00041142"/>
    <w:rsid w:val="00041243"/>
    <w:rsid w:val="0004136C"/>
    <w:rsid w:val="0004148E"/>
    <w:rsid w:val="000415CF"/>
    <w:rsid w:val="00041993"/>
    <w:rsid w:val="00041A0A"/>
    <w:rsid w:val="00041BE6"/>
    <w:rsid w:val="00041C8A"/>
    <w:rsid w:val="00041D94"/>
    <w:rsid w:val="00041DA9"/>
    <w:rsid w:val="000422C8"/>
    <w:rsid w:val="00042453"/>
    <w:rsid w:val="000424A2"/>
    <w:rsid w:val="00042558"/>
    <w:rsid w:val="000426DE"/>
    <w:rsid w:val="0004276D"/>
    <w:rsid w:val="0004277A"/>
    <w:rsid w:val="00042934"/>
    <w:rsid w:val="00042AC7"/>
    <w:rsid w:val="00042BAD"/>
    <w:rsid w:val="00042C3E"/>
    <w:rsid w:val="00042FD2"/>
    <w:rsid w:val="0004311D"/>
    <w:rsid w:val="000431B4"/>
    <w:rsid w:val="0004336D"/>
    <w:rsid w:val="00043A61"/>
    <w:rsid w:val="00043B1C"/>
    <w:rsid w:val="00043C68"/>
    <w:rsid w:val="00043D59"/>
    <w:rsid w:val="000441F6"/>
    <w:rsid w:val="000446D5"/>
    <w:rsid w:val="0004473A"/>
    <w:rsid w:val="0004483E"/>
    <w:rsid w:val="00044A92"/>
    <w:rsid w:val="00044AA1"/>
    <w:rsid w:val="00044D9C"/>
    <w:rsid w:val="00044EDD"/>
    <w:rsid w:val="00045035"/>
    <w:rsid w:val="00045112"/>
    <w:rsid w:val="00045147"/>
    <w:rsid w:val="00045514"/>
    <w:rsid w:val="00045678"/>
    <w:rsid w:val="0004567A"/>
    <w:rsid w:val="000456B3"/>
    <w:rsid w:val="00045730"/>
    <w:rsid w:val="00045840"/>
    <w:rsid w:val="0004588D"/>
    <w:rsid w:val="0004597F"/>
    <w:rsid w:val="00045A76"/>
    <w:rsid w:val="00045BF7"/>
    <w:rsid w:val="00046001"/>
    <w:rsid w:val="000460A7"/>
    <w:rsid w:val="0004611A"/>
    <w:rsid w:val="000461DC"/>
    <w:rsid w:val="00046309"/>
    <w:rsid w:val="0004639F"/>
    <w:rsid w:val="00046737"/>
    <w:rsid w:val="0004680B"/>
    <w:rsid w:val="00046872"/>
    <w:rsid w:val="00046939"/>
    <w:rsid w:val="00046963"/>
    <w:rsid w:val="00046C5C"/>
    <w:rsid w:val="000470D5"/>
    <w:rsid w:val="00047207"/>
    <w:rsid w:val="00047479"/>
    <w:rsid w:val="000476F9"/>
    <w:rsid w:val="00047889"/>
    <w:rsid w:val="00047AB3"/>
    <w:rsid w:val="00047ADA"/>
    <w:rsid w:val="00047BBA"/>
    <w:rsid w:val="00047E61"/>
    <w:rsid w:val="000500A2"/>
    <w:rsid w:val="000502FD"/>
    <w:rsid w:val="00050351"/>
    <w:rsid w:val="00050606"/>
    <w:rsid w:val="00050747"/>
    <w:rsid w:val="00050899"/>
    <w:rsid w:val="000508C4"/>
    <w:rsid w:val="00050A3F"/>
    <w:rsid w:val="00050AEA"/>
    <w:rsid w:val="00050C78"/>
    <w:rsid w:val="000514DF"/>
    <w:rsid w:val="0005161F"/>
    <w:rsid w:val="00051756"/>
    <w:rsid w:val="000517DD"/>
    <w:rsid w:val="0005182E"/>
    <w:rsid w:val="0005191F"/>
    <w:rsid w:val="0005192B"/>
    <w:rsid w:val="00051C52"/>
    <w:rsid w:val="00051EE2"/>
    <w:rsid w:val="00052978"/>
    <w:rsid w:val="00052D2A"/>
    <w:rsid w:val="00052FD2"/>
    <w:rsid w:val="00053251"/>
    <w:rsid w:val="000535E6"/>
    <w:rsid w:val="00053890"/>
    <w:rsid w:val="000539CC"/>
    <w:rsid w:val="00053AC5"/>
    <w:rsid w:val="00053B80"/>
    <w:rsid w:val="00054265"/>
    <w:rsid w:val="0005434F"/>
    <w:rsid w:val="00054618"/>
    <w:rsid w:val="0005475B"/>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B14"/>
    <w:rsid w:val="00055DD7"/>
    <w:rsid w:val="00055F08"/>
    <w:rsid w:val="00055F19"/>
    <w:rsid w:val="00056003"/>
    <w:rsid w:val="000560E2"/>
    <w:rsid w:val="0005626D"/>
    <w:rsid w:val="000562AB"/>
    <w:rsid w:val="00056476"/>
    <w:rsid w:val="00056502"/>
    <w:rsid w:val="00056580"/>
    <w:rsid w:val="0005682F"/>
    <w:rsid w:val="000568DE"/>
    <w:rsid w:val="00056B27"/>
    <w:rsid w:val="00056E70"/>
    <w:rsid w:val="0005707E"/>
    <w:rsid w:val="000570D7"/>
    <w:rsid w:val="0005717B"/>
    <w:rsid w:val="000571B5"/>
    <w:rsid w:val="00057274"/>
    <w:rsid w:val="0005763B"/>
    <w:rsid w:val="00057B08"/>
    <w:rsid w:val="000600AF"/>
    <w:rsid w:val="000600DF"/>
    <w:rsid w:val="00060210"/>
    <w:rsid w:val="000602E6"/>
    <w:rsid w:val="00060333"/>
    <w:rsid w:val="00060350"/>
    <w:rsid w:val="000605F1"/>
    <w:rsid w:val="00060615"/>
    <w:rsid w:val="00060784"/>
    <w:rsid w:val="00060A70"/>
    <w:rsid w:val="00060C6B"/>
    <w:rsid w:val="00060D4C"/>
    <w:rsid w:val="00060D82"/>
    <w:rsid w:val="00060E85"/>
    <w:rsid w:val="00060FB3"/>
    <w:rsid w:val="00061003"/>
    <w:rsid w:val="0006108C"/>
    <w:rsid w:val="0006142A"/>
    <w:rsid w:val="00061819"/>
    <w:rsid w:val="00061DD1"/>
    <w:rsid w:val="00061EF5"/>
    <w:rsid w:val="00061F68"/>
    <w:rsid w:val="000620CE"/>
    <w:rsid w:val="0006234D"/>
    <w:rsid w:val="00062474"/>
    <w:rsid w:val="0006280B"/>
    <w:rsid w:val="00062854"/>
    <w:rsid w:val="00062DA4"/>
    <w:rsid w:val="000630BA"/>
    <w:rsid w:val="0006314D"/>
    <w:rsid w:val="0006336F"/>
    <w:rsid w:val="000633D6"/>
    <w:rsid w:val="000634A5"/>
    <w:rsid w:val="00063741"/>
    <w:rsid w:val="00063AB9"/>
    <w:rsid w:val="00063C49"/>
    <w:rsid w:val="000640A5"/>
    <w:rsid w:val="00064564"/>
    <w:rsid w:val="000645FE"/>
    <w:rsid w:val="000649EC"/>
    <w:rsid w:val="00064E0F"/>
    <w:rsid w:val="00064E78"/>
    <w:rsid w:val="00065020"/>
    <w:rsid w:val="00065240"/>
    <w:rsid w:val="00065259"/>
    <w:rsid w:val="0006564E"/>
    <w:rsid w:val="000659A7"/>
    <w:rsid w:val="00065B6B"/>
    <w:rsid w:val="00065C44"/>
    <w:rsid w:val="00065FDC"/>
    <w:rsid w:val="00066242"/>
    <w:rsid w:val="00066275"/>
    <w:rsid w:val="000665A0"/>
    <w:rsid w:val="000666C4"/>
    <w:rsid w:val="000668C9"/>
    <w:rsid w:val="000668D7"/>
    <w:rsid w:val="00066C16"/>
    <w:rsid w:val="00066E01"/>
    <w:rsid w:val="000673F2"/>
    <w:rsid w:val="0006751D"/>
    <w:rsid w:val="00067529"/>
    <w:rsid w:val="00067802"/>
    <w:rsid w:val="000679C4"/>
    <w:rsid w:val="00067D04"/>
    <w:rsid w:val="00067D43"/>
    <w:rsid w:val="00067E9C"/>
    <w:rsid w:val="00070102"/>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4D7"/>
    <w:rsid w:val="000725F4"/>
    <w:rsid w:val="00072698"/>
    <w:rsid w:val="000726DA"/>
    <w:rsid w:val="00072743"/>
    <w:rsid w:val="00072873"/>
    <w:rsid w:val="000729EE"/>
    <w:rsid w:val="00072BC1"/>
    <w:rsid w:val="00072CC1"/>
    <w:rsid w:val="00072E30"/>
    <w:rsid w:val="00072F0B"/>
    <w:rsid w:val="000730C3"/>
    <w:rsid w:val="00073350"/>
    <w:rsid w:val="0007344E"/>
    <w:rsid w:val="00073590"/>
    <w:rsid w:val="0007376E"/>
    <w:rsid w:val="0007378B"/>
    <w:rsid w:val="00073C70"/>
    <w:rsid w:val="00073E8A"/>
    <w:rsid w:val="00073FBB"/>
    <w:rsid w:val="00074113"/>
    <w:rsid w:val="00074147"/>
    <w:rsid w:val="00074252"/>
    <w:rsid w:val="0007464A"/>
    <w:rsid w:val="00074670"/>
    <w:rsid w:val="00074780"/>
    <w:rsid w:val="00074786"/>
    <w:rsid w:val="00074C28"/>
    <w:rsid w:val="00074FC7"/>
    <w:rsid w:val="000752FF"/>
    <w:rsid w:val="0007568F"/>
    <w:rsid w:val="000756AC"/>
    <w:rsid w:val="00075879"/>
    <w:rsid w:val="00075941"/>
    <w:rsid w:val="00075AFF"/>
    <w:rsid w:val="00075BC6"/>
    <w:rsid w:val="00075C77"/>
    <w:rsid w:val="00076259"/>
    <w:rsid w:val="0007662D"/>
    <w:rsid w:val="000768C5"/>
    <w:rsid w:val="000769F8"/>
    <w:rsid w:val="00076D3D"/>
    <w:rsid w:val="00076E3C"/>
    <w:rsid w:val="00076E8A"/>
    <w:rsid w:val="00076EFF"/>
    <w:rsid w:val="00076F9C"/>
    <w:rsid w:val="00076FDA"/>
    <w:rsid w:val="00077079"/>
    <w:rsid w:val="000770B3"/>
    <w:rsid w:val="00077705"/>
    <w:rsid w:val="000778B7"/>
    <w:rsid w:val="00077A02"/>
    <w:rsid w:val="00077B78"/>
    <w:rsid w:val="00077C79"/>
    <w:rsid w:val="00077D3D"/>
    <w:rsid w:val="00077FE5"/>
    <w:rsid w:val="000801CC"/>
    <w:rsid w:val="00080289"/>
    <w:rsid w:val="00080443"/>
    <w:rsid w:val="000805BC"/>
    <w:rsid w:val="00080608"/>
    <w:rsid w:val="00080982"/>
    <w:rsid w:val="000809DF"/>
    <w:rsid w:val="00080A02"/>
    <w:rsid w:val="00080C51"/>
    <w:rsid w:val="00081030"/>
    <w:rsid w:val="00081713"/>
    <w:rsid w:val="000817A1"/>
    <w:rsid w:val="00081948"/>
    <w:rsid w:val="00082322"/>
    <w:rsid w:val="0008234E"/>
    <w:rsid w:val="00082377"/>
    <w:rsid w:val="00082994"/>
    <w:rsid w:val="000832F9"/>
    <w:rsid w:val="00083393"/>
    <w:rsid w:val="00083626"/>
    <w:rsid w:val="000836B3"/>
    <w:rsid w:val="00083742"/>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6D"/>
    <w:rsid w:val="000851B1"/>
    <w:rsid w:val="00085227"/>
    <w:rsid w:val="000852B5"/>
    <w:rsid w:val="00085AF9"/>
    <w:rsid w:val="00085B15"/>
    <w:rsid w:val="00085C48"/>
    <w:rsid w:val="00085D2A"/>
    <w:rsid w:val="00085D4B"/>
    <w:rsid w:val="00085D71"/>
    <w:rsid w:val="00085F6D"/>
    <w:rsid w:val="0008601C"/>
    <w:rsid w:val="00086020"/>
    <w:rsid w:val="000861B9"/>
    <w:rsid w:val="000861C0"/>
    <w:rsid w:val="0008620D"/>
    <w:rsid w:val="0008626C"/>
    <w:rsid w:val="00086927"/>
    <w:rsid w:val="00086998"/>
    <w:rsid w:val="00086C03"/>
    <w:rsid w:val="00086E07"/>
    <w:rsid w:val="00086EFE"/>
    <w:rsid w:val="00087001"/>
    <w:rsid w:val="00087282"/>
    <w:rsid w:val="000876B4"/>
    <w:rsid w:val="00087C66"/>
    <w:rsid w:val="00087D11"/>
    <w:rsid w:val="00087DE9"/>
    <w:rsid w:val="000902F4"/>
    <w:rsid w:val="000904B2"/>
    <w:rsid w:val="00090738"/>
    <w:rsid w:val="00090850"/>
    <w:rsid w:val="00090950"/>
    <w:rsid w:val="00090958"/>
    <w:rsid w:val="00090AAA"/>
    <w:rsid w:val="00090C22"/>
    <w:rsid w:val="00090CC8"/>
    <w:rsid w:val="00090F15"/>
    <w:rsid w:val="000910C7"/>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AC0"/>
    <w:rsid w:val="00093B6D"/>
    <w:rsid w:val="00093DF7"/>
    <w:rsid w:val="00093EE8"/>
    <w:rsid w:val="00093F6E"/>
    <w:rsid w:val="0009418D"/>
    <w:rsid w:val="0009426B"/>
    <w:rsid w:val="000944DB"/>
    <w:rsid w:val="000945AA"/>
    <w:rsid w:val="00094A82"/>
    <w:rsid w:val="00094BE8"/>
    <w:rsid w:val="00094C51"/>
    <w:rsid w:val="00094C99"/>
    <w:rsid w:val="00094CC8"/>
    <w:rsid w:val="00094CE8"/>
    <w:rsid w:val="000950F5"/>
    <w:rsid w:val="00095312"/>
    <w:rsid w:val="00095435"/>
    <w:rsid w:val="0009559F"/>
    <w:rsid w:val="000956AB"/>
    <w:rsid w:val="00095B18"/>
    <w:rsid w:val="00095B23"/>
    <w:rsid w:val="00095BE5"/>
    <w:rsid w:val="00095D63"/>
    <w:rsid w:val="00096012"/>
    <w:rsid w:val="00096139"/>
    <w:rsid w:val="00096244"/>
    <w:rsid w:val="00096251"/>
    <w:rsid w:val="0009672F"/>
    <w:rsid w:val="000967EC"/>
    <w:rsid w:val="00096822"/>
    <w:rsid w:val="00096835"/>
    <w:rsid w:val="00096ABE"/>
    <w:rsid w:val="00096BFF"/>
    <w:rsid w:val="00096C99"/>
    <w:rsid w:val="00096CA2"/>
    <w:rsid w:val="00096CBB"/>
    <w:rsid w:val="00096CE7"/>
    <w:rsid w:val="00096F57"/>
    <w:rsid w:val="000974EB"/>
    <w:rsid w:val="0009757F"/>
    <w:rsid w:val="000975B5"/>
    <w:rsid w:val="000975C7"/>
    <w:rsid w:val="000976D2"/>
    <w:rsid w:val="000979E2"/>
    <w:rsid w:val="00097DD0"/>
    <w:rsid w:val="00097FB5"/>
    <w:rsid w:val="000A0203"/>
    <w:rsid w:val="000A022B"/>
    <w:rsid w:val="000A08FB"/>
    <w:rsid w:val="000A0C74"/>
    <w:rsid w:val="000A0CC1"/>
    <w:rsid w:val="000A0CE8"/>
    <w:rsid w:val="000A0D6C"/>
    <w:rsid w:val="000A0F92"/>
    <w:rsid w:val="000A1016"/>
    <w:rsid w:val="000A1125"/>
    <w:rsid w:val="000A1172"/>
    <w:rsid w:val="000A1189"/>
    <w:rsid w:val="000A127C"/>
    <w:rsid w:val="000A13AE"/>
    <w:rsid w:val="000A1480"/>
    <w:rsid w:val="000A173F"/>
    <w:rsid w:val="000A1897"/>
    <w:rsid w:val="000A1902"/>
    <w:rsid w:val="000A1A1F"/>
    <w:rsid w:val="000A1A94"/>
    <w:rsid w:val="000A1C46"/>
    <w:rsid w:val="000A1EC2"/>
    <w:rsid w:val="000A1F58"/>
    <w:rsid w:val="000A2051"/>
    <w:rsid w:val="000A2497"/>
    <w:rsid w:val="000A2766"/>
    <w:rsid w:val="000A2DA2"/>
    <w:rsid w:val="000A2DAE"/>
    <w:rsid w:val="000A2E01"/>
    <w:rsid w:val="000A311C"/>
    <w:rsid w:val="000A32EB"/>
    <w:rsid w:val="000A34BA"/>
    <w:rsid w:val="000A34F3"/>
    <w:rsid w:val="000A38B4"/>
    <w:rsid w:val="000A3D00"/>
    <w:rsid w:val="000A3FFB"/>
    <w:rsid w:val="000A414A"/>
    <w:rsid w:val="000A41F4"/>
    <w:rsid w:val="000A4578"/>
    <w:rsid w:val="000A4A3B"/>
    <w:rsid w:val="000A4BB4"/>
    <w:rsid w:val="000A4DA3"/>
    <w:rsid w:val="000A4F98"/>
    <w:rsid w:val="000A539A"/>
    <w:rsid w:val="000A54ED"/>
    <w:rsid w:val="000A5506"/>
    <w:rsid w:val="000A5577"/>
    <w:rsid w:val="000A5599"/>
    <w:rsid w:val="000A56F9"/>
    <w:rsid w:val="000A5754"/>
    <w:rsid w:val="000A5860"/>
    <w:rsid w:val="000A5902"/>
    <w:rsid w:val="000A5D65"/>
    <w:rsid w:val="000A5E91"/>
    <w:rsid w:val="000A5EAC"/>
    <w:rsid w:val="000A60F3"/>
    <w:rsid w:val="000A6A43"/>
    <w:rsid w:val="000A6D69"/>
    <w:rsid w:val="000A6F27"/>
    <w:rsid w:val="000A6F72"/>
    <w:rsid w:val="000A6F99"/>
    <w:rsid w:val="000A6FE6"/>
    <w:rsid w:val="000A6FF1"/>
    <w:rsid w:val="000A721F"/>
    <w:rsid w:val="000A72B1"/>
    <w:rsid w:val="000A77E9"/>
    <w:rsid w:val="000A79A7"/>
    <w:rsid w:val="000A7ACC"/>
    <w:rsid w:val="000A7D7F"/>
    <w:rsid w:val="000B0123"/>
    <w:rsid w:val="000B0141"/>
    <w:rsid w:val="000B0529"/>
    <w:rsid w:val="000B07B3"/>
    <w:rsid w:val="000B086E"/>
    <w:rsid w:val="000B09B0"/>
    <w:rsid w:val="000B09FF"/>
    <w:rsid w:val="000B0BBF"/>
    <w:rsid w:val="000B0C83"/>
    <w:rsid w:val="000B0D2B"/>
    <w:rsid w:val="000B0E8D"/>
    <w:rsid w:val="000B0F08"/>
    <w:rsid w:val="000B0FDB"/>
    <w:rsid w:val="000B1128"/>
    <w:rsid w:val="000B1135"/>
    <w:rsid w:val="000B1156"/>
    <w:rsid w:val="000B1513"/>
    <w:rsid w:val="000B15B4"/>
    <w:rsid w:val="000B1772"/>
    <w:rsid w:val="000B1A73"/>
    <w:rsid w:val="000B1B49"/>
    <w:rsid w:val="000B1CAA"/>
    <w:rsid w:val="000B2097"/>
    <w:rsid w:val="000B21DC"/>
    <w:rsid w:val="000B224F"/>
    <w:rsid w:val="000B2473"/>
    <w:rsid w:val="000B2535"/>
    <w:rsid w:val="000B2AAC"/>
    <w:rsid w:val="000B2E06"/>
    <w:rsid w:val="000B2E78"/>
    <w:rsid w:val="000B2F43"/>
    <w:rsid w:val="000B330A"/>
    <w:rsid w:val="000B3874"/>
    <w:rsid w:val="000B394D"/>
    <w:rsid w:val="000B3B3B"/>
    <w:rsid w:val="000B3DA3"/>
    <w:rsid w:val="000B3FFC"/>
    <w:rsid w:val="000B3FFE"/>
    <w:rsid w:val="000B43F5"/>
    <w:rsid w:val="000B43FB"/>
    <w:rsid w:val="000B4569"/>
    <w:rsid w:val="000B45D7"/>
    <w:rsid w:val="000B4721"/>
    <w:rsid w:val="000B4993"/>
    <w:rsid w:val="000B4A43"/>
    <w:rsid w:val="000B4C17"/>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74E"/>
    <w:rsid w:val="000C0D9E"/>
    <w:rsid w:val="000C1275"/>
    <w:rsid w:val="000C15B8"/>
    <w:rsid w:val="000C1698"/>
    <w:rsid w:val="000C1890"/>
    <w:rsid w:val="000C1901"/>
    <w:rsid w:val="000C196B"/>
    <w:rsid w:val="000C1B49"/>
    <w:rsid w:val="000C1E46"/>
    <w:rsid w:val="000C1F62"/>
    <w:rsid w:val="000C206A"/>
    <w:rsid w:val="000C2090"/>
    <w:rsid w:val="000C2095"/>
    <w:rsid w:val="000C210C"/>
    <w:rsid w:val="000C219A"/>
    <w:rsid w:val="000C24A8"/>
    <w:rsid w:val="000C2612"/>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535"/>
    <w:rsid w:val="000C463D"/>
    <w:rsid w:val="000C4681"/>
    <w:rsid w:val="000C48A6"/>
    <w:rsid w:val="000C4985"/>
    <w:rsid w:val="000C4C98"/>
    <w:rsid w:val="000C4E0C"/>
    <w:rsid w:val="000C4E9E"/>
    <w:rsid w:val="000C4F33"/>
    <w:rsid w:val="000C4F74"/>
    <w:rsid w:val="000C5166"/>
    <w:rsid w:val="000C516C"/>
    <w:rsid w:val="000C5319"/>
    <w:rsid w:val="000C53CE"/>
    <w:rsid w:val="000C54AC"/>
    <w:rsid w:val="000C54E9"/>
    <w:rsid w:val="000C555D"/>
    <w:rsid w:val="000C5953"/>
    <w:rsid w:val="000C59CC"/>
    <w:rsid w:val="000C5ED7"/>
    <w:rsid w:val="000C5F12"/>
    <w:rsid w:val="000C5FA7"/>
    <w:rsid w:val="000C6043"/>
    <w:rsid w:val="000C6211"/>
    <w:rsid w:val="000C6255"/>
    <w:rsid w:val="000C627A"/>
    <w:rsid w:val="000C655D"/>
    <w:rsid w:val="000C692E"/>
    <w:rsid w:val="000C69D5"/>
    <w:rsid w:val="000C6D78"/>
    <w:rsid w:val="000C6EBF"/>
    <w:rsid w:val="000C6F06"/>
    <w:rsid w:val="000C70D6"/>
    <w:rsid w:val="000C7581"/>
    <w:rsid w:val="000C76DD"/>
    <w:rsid w:val="000C7E46"/>
    <w:rsid w:val="000C7EAD"/>
    <w:rsid w:val="000D02EB"/>
    <w:rsid w:val="000D0723"/>
    <w:rsid w:val="000D07F4"/>
    <w:rsid w:val="000D0953"/>
    <w:rsid w:val="000D0D09"/>
    <w:rsid w:val="000D0E8B"/>
    <w:rsid w:val="000D0F36"/>
    <w:rsid w:val="000D0F46"/>
    <w:rsid w:val="000D10B3"/>
    <w:rsid w:val="000D11FA"/>
    <w:rsid w:val="000D144A"/>
    <w:rsid w:val="000D16DF"/>
    <w:rsid w:val="000D16FD"/>
    <w:rsid w:val="000D1A8A"/>
    <w:rsid w:val="000D1AC6"/>
    <w:rsid w:val="000D1B3E"/>
    <w:rsid w:val="000D1D24"/>
    <w:rsid w:val="000D21FE"/>
    <w:rsid w:val="000D248C"/>
    <w:rsid w:val="000D25C5"/>
    <w:rsid w:val="000D25DD"/>
    <w:rsid w:val="000D260F"/>
    <w:rsid w:val="000D26A3"/>
    <w:rsid w:val="000D26C9"/>
    <w:rsid w:val="000D279E"/>
    <w:rsid w:val="000D281B"/>
    <w:rsid w:val="000D2828"/>
    <w:rsid w:val="000D2C0F"/>
    <w:rsid w:val="000D2EFE"/>
    <w:rsid w:val="000D309B"/>
    <w:rsid w:val="000D30F6"/>
    <w:rsid w:val="000D3225"/>
    <w:rsid w:val="000D32EA"/>
    <w:rsid w:val="000D3324"/>
    <w:rsid w:val="000D3332"/>
    <w:rsid w:val="000D335B"/>
    <w:rsid w:val="000D3397"/>
    <w:rsid w:val="000D33BE"/>
    <w:rsid w:val="000D38C3"/>
    <w:rsid w:val="000D398B"/>
    <w:rsid w:val="000D3C54"/>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1C0"/>
    <w:rsid w:val="000D524E"/>
    <w:rsid w:val="000D54BA"/>
    <w:rsid w:val="000D5B64"/>
    <w:rsid w:val="000D5C3A"/>
    <w:rsid w:val="000D5F32"/>
    <w:rsid w:val="000D6209"/>
    <w:rsid w:val="000D643C"/>
    <w:rsid w:val="000D64DD"/>
    <w:rsid w:val="000D6AEB"/>
    <w:rsid w:val="000D6C0B"/>
    <w:rsid w:val="000D6C2E"/>
    <w:rsid w:val="000D7460"/>
    <w:rsid w:val="000D7971"/>
    <w:rsid w:val="000D79DB"/>
    <w:rsid w:val="000D7D7F"/>
    <w:rsid w:val="000D7D9A"/>
    <w:rsid w:val="000D7E52"/>
    <w:rsid w:val="000D7EEC"/>
    <w:rsid w:val="000E00B1"/>
    <w:rsid w:val="000E0249"/>
    <w:rsid w:val="000E0865"/>
    <w:rsid w:val="000E0994"/>
    <w:rsid w:val="000E09FF"/>
    <w:rsid w:val="000E103A"/>
    <w:rsid w:val="000E10BC"/>
    <w:rsid w:val="000E11BF"/>
    <w:rsid w:val="000E1232"/>
    <w:rsid w:val="000E1253"/>
    <w:rsid w:val="000E12D6"/>
    <w:rsid w:val="000E1859"/>
    <w:rsid w:val="000E1C30"/>
    <w:rsid w:val="000E1CCF"/>
    <w:rsid w:val="000E1F55"/>
    <w:rsid w:val="000E208B"/>
    <w:rsid w:val="000E2595"/>
    <w:rsid w:val="000E2961"/>
    <w:rsid w:val="000E2A71"/>
    <w:rsid w:val="000E2B27"/>
    <w:rsid w:val="000E2C27"/>
    <w:rsid w:val="000E2D24"/>
    <w:rsid w:val="000E2F58"/>
    <w:rsid w:val="000E2F7A"/>
    <w:rsid w:val="000E321B"/>
    <w:rsid w:val="000E3359"/>
    <w:rsid w:val="000E371C"/>
    <w:rsid w:val="000E37B4"/>
    <w:rsid w:val="000E3A1B"/>
    <w:rsid w:val="000E3C86"/>
    <w:rsid w:val="000E3D59"/>
    <w:rsid w:val="000E3DAC"/>
    <w:rsid w:val="000E401D"/>
    <w:rsid w:val="000E41A7"/>
    <w:rsid w:val="000E4215"/>
    <w:rsid w:val="000E439E"/>
    <w:rsid w:val="000E4476"/>
    <w:rsid w:val="000E4703"/>
    <w:rsid w:val="000E478F"/>
    <w:rsid w:val="000E48E2"/>
    <w:rsid w:val="000E48F7"/>
    <w:rsid w:val="000E4CBB"/>
    <w:rsid w:val="000E4DCA"/>
    <w:rsid w:val="000E5132"/>
    <w:rsid w:val="000E53E9"/>
    <w:rsid w:val="000E5525"/>
    <w:rsid w:val="000E554E"/>
    <w:rsid w:val="000E57D3"/>
    <w:rsid w:val="000E60DC"/>
    <w:rsid w:val="000E62CE"/>
    <w:rsid w:val="000E62D4"/>
    <w:rsid w:val="000E62F5"/>
    <w:rsid w:val="000E6382"/>
    <w:rsid w:val="000E6393"/>
    <w:rsid w:val="000E678B"/>
    <w:rsid w:val="000E6A44"/>
    <w:rsid w:val="000E6EA3"/>
    <w:rsid w:val="000E7231"/>
    <w:rsid w:val="000E7316"/>
    <w:rsid w:val="000E74CA"/>
    <w:rsid w:val="000E77B6"/>
    <w:rsid w:val="000E7838"/>
    <w:rsid w:val="000E7901"/>
    <w:rsid w:val="000E7910"/>
    <w:rsid w:val="000E795C"/>
    <w:rsid w:val="000E7A0C"/>
    <w:rsid w:val="000E7AF9"/>
    <w:rsid w:val="000E7C99"/>
    <w:rsid w:val="000E7E4D"/>
    <w:rsid w:val="000E7EFD"/>
    <w:rsid w:val="000F0028"/>
    <w:rsid w:val="000F01E6"/>
    <w:rsid w:val="000F0397"/>
    <w:rsid w:val="000F0873"/>
    <w:rsid w:val="000F0979"/>
    <w:rsid w:val="000F0B3B"/>
    <w:rsid w:val="000F0C34"/>
    <w:rsid w:val="000F0C76"/>
    <w:rsid w:val="000F0D7A"/>
    <w:rsid w:val="000F0E42"/>
    <w:rsid w:val="000F14CD"/>
    <w:rsid w:val="000F17AF"/>
    <w:rsid w:val="000F181A"/>
    <w:rsid w:val="000F20B9"/>
    <w:rsid w:val="000F2136"/>
    <w:rsid w:val="000F229F"/>
    <w:rsid w:val="000F2348"/>
    <w:rsid w:val="000F2381"/>
    <w:rsid w:val="000F240D"/>
    <w:rsid w:val="000F2592"/>
    <w:rsid w:val="000F37A3"/>
    <w:rsid w:val="000F3843"/>
    <w:rsid w:val="000F385E"/>
    <w:rsid w:val="000F3C91"/>
    <w:rsid w:val="000F3D72"/>
    <w:rsid w:val="000F42A6"/>
    <w:rsid w:val="000F4378"/>
    <w:rsid w:val="000F43EF"/>
    <w:rsid w:val="000F44ED"/>
    <w:rsid w:val="000F470E"/>
    <w:rsid w:val="000F4813"/>
    <w:rsid w:val="000F4DBC"/>
    <w:rsid w:val="000F4F02"/>
    <w:rsid w:val="000F4F39"/>
    <w:rsid w:val="000F4FC2"/>
    <w:rsid w:val="000F4FF0"/>
    <w:rsid w:val="000F50E7"/>
    <w:rsid w:val="000F512F"/>
    <w:rsid w:val="000F5225"/>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E1"/>
    <w:rsid w:val="000F66A1"/>
    <w:rsid w:val="000F67F0"/>
    <w:rsid w:val="000F6CE4"/>
    <w:rsid w:val="000F6DDD"/>
    <w:rsid w:val="000F7226"/>
    <w:rsid w:val="000F72E1"/>
    <w:rsid w:val="000F72FF"/>
    <w:rsid w:val="000F736E"/>
    <w:rsid w:val="000F738E"/>
    <w:rsid w:val="000F74AB"/>
    <w:rsid w:val="000F74D5"/>
    <w:rsid w:val="000F7671"/>
    <w:rsid w:val="000F775A"/>
    <w:rsid w:val="000F7A71"/>
    <w:rsid w:val="000F7C70"/>
    <w:rsid w:val="000F7E2B"/>
    <w:rsid w:val="001003BB"/>
    <w:rsid w:val="00100421"/>
    <w:rsid w:val="0010063E"/>
    <w:rsid w:val="001006D6"/>
    <w:rsid w:val="001006F0"/>
    <w:rsid w:val="001008FB"/>
    <w:rsid w:val="00100A6E"/>
    <w:rsid w:val="00100CF1"/>
    <w:rsid w:val="00100EF3"/>
    <w:rsid w:val="00100FA0"/>
    <w:rsid w:val="001011B1"/>
    <w:rsid w:val="00101254"/>
    <w:rsid w:val="0010166A"/>
    <w:rsid w:val="00101C2D"/>
    <w:rsid w:val="00101CD7"/>
    <w:rsid w:val="00101E70"/>
    <w:rsid w:val="0010209B"/>
    <w:rsid w:val="00102313"/>
    <w:rsid w:val="0010234F"/>
    <w:rsid w:val="0010257B"/>
    <w:rsid w:val="00102653"/>
    <w:rsid w:val="0010270C"/>
    <w:rsid w:val="00102833"/>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786"/>
    <w:rsid w:val="00104823"/>
    <w:rsid w:val="001048BF"/>
    <w:rsid w:val="001049C9"/>
    <w:rsid w:val="00104AC6"/>
    <w:rsid w:val="00104C7F"/>
    <w:rsid w:val="00104E4C"/>
    <w:rsid w:val="00104EA1"/>
    <w:rsid w:val="001051DA"/>
    <w:rsid w:val="001052C3"/>
    <w:rsid w:val="00105422"/>
    <w:rsid w:val="00105502"/>
    <w:rsid w:val="00106284"/>
    <w:rsid w:val="0010635B"/>
    <w:rsid w:val="00106636"/>
    <w:rsid w:val="00106A0D"/>
    <w:rsid w:val="00106A5A"/>
    <w:rsid w:val="00106D64"/>
    <w:rsid w:val="00106E02"/>
    <w:rsid w:val="00107187"/>
    <w:rsid w:val="001073A4"/>
    <w:rsid w:val="0010780D"/>
    <w:rsid w:val="0010782F"/>
    <w:rsid w:val="00107862"/>
    <w:rsid w:val="001078AC"/>
    <w:rsid w:val="0010791C"/>
    <w:rsid w:val="001079D8"/>
    <w:rsid w:val="00107B30"/>
    <w:rsid w:val="00107B44"/>
    <w:rsid w:val="00107B85"/>
    <w:rsid w:val="00107C2C"/>
    <w:rsid w:val="00107C4E"/>
    <w:rsid w:val="00107C9C"/>
    <w:rsid w:val="00107D1D"/>
    <w:rsid w:val="00107E27"/>
    <w:rsid w:val="001104BE"/>
    <w:rsid w:val="00110517"/>
    <w:rsid w:val="00110754"/>
    <w:rsid w:val="0011096B"/>
    <w:rsid w:val="00110A92"/>
    <w:rsid w:val="00110AF8"/>
    <w:rsid w:val="00110B0A"/>
    <w:rsid w:val="00110C17"/>
    <w:rsid w:val="00110C8D"/>
    <w:rsid w:val="00110D04"/>
    <w:rsid w:val="00110F91"/>
    <w:rsid w:val="0011139D"/>
    <w:rsid w:val="0011174B"/>
    <w:rsid w:val="0011199A"/>
    <w:rsid w:val="00111AB0"/>
    <w:rsid w:val="00111B72"/>
    <w:rsid w:val="00111BB5"/>
    <w:rsid w:val="00111C2B"/>
    <w:rsid w:val="00111D5C"/>
    <w:rsid w:val="00111DD5"/>
    <w:rsid w:val="00111EFD"/>
    <w:rsid w:val="0011204B"/>
    <w:rsid w:val="00112212"/>
    <w:rsid w:val="00112498"/>
    <w:rsid w:val="001125D6"/>
    <w:rsid w:val="0011261B"/>
    <w:rsid w:val="00112659"/>
    <w:rsid w:val="0011279B"/>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AEF"/>
    <w:rsid w:val="00113C06"/>
    <w:rsid w:val="001140D4"/>
    <w:rsid w:val="001141CF"/>
    <w:rsid w:val="00114447"/>
    <w:rsid w:val="001146A0"/>
    <w:rsid w:val="0011486E"/>
    <w:rsid w:val="0011490F"/>
    <w:rsid w:val="00114978"/>
    <w:rsid w:val="00114A55"/>
    <w:rsid w:val="00114A83"/>
    <w:rsid w:val="00114D97"/>
    <w:rsid w:val="00114FDE"/>
    <w:rsid w:val="001151F2"/>
    <w:rsid w:val="00115203"/>
    <w:rsid w:val="00115763"/>
    <w:rsid w:val="00115942"/>
    <w:rsid w:val="00115943"/>
    <w:rsid w:val="00115979"/>
    <w:rsid w:val="0011599B"/>
    <w:rsid w:val="00115A3B"/>
    <w:rsid w:val="00115A7A"/>
    <w:rsid w:val="00115BEF"/>
    <w:rsid w:val="00115CAE"/>
    <w:rsid w:val="001160B0"/>
    <w:rsid w:val="001160FB"/>
    <w:rsid w:val="0011665B"/>
    <w:rsid w:val="001167AC"/>
    <w:rsid w:val="00116B52"/>
    <w:rsid w:val="00116C62"/>
    <w:rsid w:val="00116CF7"/>
    <w:rsid w:val="00116D7F"/>
    <w:rsid w:val="00116EC4"/>
    <w:rsid w:val="00116FE5"/>
    <w:rsid w:val="00117108"/>
    <w:rsid w:val="00117175"/>
    <w:rsid w:val="00117253"/>
    <w:rsid w:val="00117358"/>
    <w:rsid w:val="001174DD"/>
    <w:rsid w:val="00117562"/>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C39"/>
    <w:rsid w:val="00120C60"/>
    <w:rsid w:val="00120CD9"/>
    <w:rsid w:val="00120F91"/>
    <w:rsid w:val="0012135A"/>
    <w:rsid w:val="00121418"/>
    <w:rsid w:val="0012165E"/>
    <w:rsid w:val="001216C8"/>
    <w:rsid w:val="0012175A"/>
    <w:rsid w:val="001218AD"/>
    <w:rsid w:val="00121CCD"/>
    <w:rsid w:val="00121D83"/>
    <w:rsid w:val="00122567"/>
    <w:rsid w:val="001226E3"/>
    <w:rsid w:val="0012282D"/>
    <w:rsid w:val="001229F8"/>
    <w:rsid w:val="00122A53"/>
    <w:rsid w:val="00122A5B"/>
    <w:rsid w:val="00122DB8"/>
    <w:rsid w:val="00122E2E"/>
    <w:rsid w:val="00122EC6"/>
    <w:rsid w:val="00122EF1"/>
    <w:rsid w:val="00122F50"/>
    <w:rsid w:val="0012309F"/>
    <w:rsid w:val="001233F3"/>
    <w:rsid w:val="0012341B"/>
    <w:rsid w:val="00123451"/>
    <w:rsid w:val="0012354D"/>
    <w:rsid w:val="0012358D"/>
    <w:rsid w:val="0012386D"/>
    <w:rsid w:val="00123C6B"/>
    <w:rsid w:val="00123C87"/>
    <w:rsid w:val="00123CD1"/>
    <w:rsid w:val="00123E00"/>
    <w:rsid w:val="00123FDC"/>
    <w:rsid w:val="00124151"/>
    <w:rsid w:val="001241ED"/>
    <w:rsid w:val="00124210"/>
    <w:rsid w:val="00124248"/>
    <w:rsid w:val="00124732"/>
    <w:rsid w:val="001248A3"/>
    <w:rsid w:val="001248FD"/>
    <w:rsid w:val="00124C8B"/>
    <w:rsid w:val="00124D00"/>
    <w:rsid w:val="00124E36"/>
    <w:rsid w:val="00124EAB"/>
    <w:rsid w:val="001251E2"/>
    <w:rsid w:val="00125286"/>
    <w:rsid w:val="00125301"/>
    <w:rsid w:val="0012535E"/>
    <w:rsid w:val="00125402"/>
    <w:rsid w:val="0012550F"/>
    <w:rsid w:val="00125659"/>
    <w:rsid w:val="00125686"/>
    <w:rsid w:val="001257EB"/>
    <w:rsid w:val="0012582F"/>
    <w:rsid w:val="00125B2E"/>
    <w:rsid w:val="00126237"/>
    <w:rsid w:val="0012634C"/>
    <w:rsid w:val="00126824"/>
    <w:rsid w:val="001268BB"/>
    <w:rsid w:val="00126915"/>
    <w:rsid w:val="00126958"/>
    <w:rsid w:val="001269B8"/>
    <w:rsid w:val="00126B14"/>
    <w:rsid w:val="00126BFE"/>
    <w:rsid w:val="00126D60"/>
    <w:rsid w:val="001271FC"/>
    <w:rsid w:val="001273F8"/>
    <w:rsid w:val="0012745B"/>
    <w:rsid w:val="001274A9"/>
    <w:rsid w:val="0012756F"/>
    <w:rsid w:val="001275B2"/>
    <w:rsid w:val="001278ED"/>
    <w:rsid w:val="00127B9E"/>
    <w:rsid w:val="00127CA5"/>
    <w:rsid w:val="00127D7F"/>
    <w:rsid w:val="00127EBF"/>
    <w:rsid w:val="00127FC5"/>
    <w:rsid w:val="00130315"/>
    <w:rsid w:val="00130435"/>
    <w:rsid w:val="0013044C"/>
    <w:rsid w:val="001304DC"/>
    <w:rsid w:val="0013052D"/>
    <w:rsid w:val="00130A6F"/>
    <w:rsid w:val="00130B75"/>
    <w:rsid w:val="00130C9F"/>
    <w:rsid w:val="00130D4E"/>
    <w:rsid w:val="00130DBC"/>
    <w:rsid w:val="00130F26"/>
    <w:rsid w:val="001310F1"/>
    <w:rsid w:val="00131197"/>
    <w:rsid w:val="001314B9"/>
    <w:rsid w:val="001316FA"/>
    <w:rsid w:val="0013186F"/>
    <w:rsid w:val="001319A0"/>
    <w:rsid w:val="00131D11"/>
    <w:rsid w:val="00132024"/>
    <w:rsid w:val="00132696"/>
    <w:rsid w:val="001328EB"/>
    <w:rsid w:val="00132BA7"/>
    <w:rsid w:val="00132E43"/>
    <w:rsid w:val="00132F01"/>
    <w:rsid w:val="00133060"/>
    <w:rsid w:val="0013309E"/>
    <w:rsid w:val="00133280"/>
    <w:rsid w:val="0013339C"/>
    <w:rsid w:val="001333F0"/>
    <w:rsid w:val="001335C9"/>
    <w:rsid w:val="001335CB"/>
    <w:rsid w:val="00133647"/>
    <w:rsid w:val="001339AC"/>
    <w:rsid w:val="001339FA"/>
    <w:rsid w:val="00133D72"/>
    <w:rsid w:val="001342F7"/>
    <w:rsid w:val="00134320"/>
    <w:rsid w:val="00134437"/>
    <w:rsid w:val="001344F5"/>
    <w:rsid w:val="0013450B"/>
    <w:rsid w:val="001346A0"/>
    <w:rsid w:val="001348C4"/>
    <w:rsid w:val="00134B36"/>
    <w:rsid w:val="00134DBA"/>
    <w:rsid w:val="00134EFC"/>
    <w:rsid w:val="00134F72"/>
    <w:rsid w:val="001352D6"/>
    <w:rsid w:val="0013565E"/>
    <w:rsid w:val="00135760"/>
    <w:rsid w:val="001359D7"/>
    <w:rsid w:val="00135BE7"/>
    <w:rsid w:val="00135DD4"/>
    <w:rsid w:val="00135E44"/>
    <w:rsid w:val="0013606C"/>
    <w:rsid w:val="001361CD"/>
    <w:rsid w:val="001361D6"/>
    <w:rsid w:val="0013624E"/>
    <w:rsid w:val="001363BC"/>
    <w:rsid w:val="0013654A"/>
    <w:rsid w:val="001366F6"/>
    <w:rsid w:val="001371D4"/>
    <w:rsid w:val="001371DC"/>
    <w:rsid w:val="001376DC"/>
    <w:rsid w:val="001378D1"/>
    <w:rsid w:val="001379B7"/>
    <w:rsid w:val="00137A98"/>
    <w:rsid w:val="00137DD9"/>
    <w:rsid w:val="00137F03"/>
    <w:rsid w:val="001400A0"/>
    <w:rsid w:val="001404E9"/>
    <w:rsid w:val="00140656"/>
    <w:rsid w:val="00140C98"/>
    <w:rsid w:val="00140CC4"/>
    <w:rsid w:val="00140E02"/>
    <w:rsid w:val="00141657"/>
    <w:rsid w:val="001416C8"/>
    <w:rsid w:val="00141C91"/>
    <w:rsid w:val="00141DF4"/>
    <w:rsid w:val="00141FEF"/>
    <w:rsid w:val="00142005"/>
    <w:rsid w:val="001421FC"/>
    <w:rsid w:val="001423BC"/>
    <w:rsid w:val="0014252D"/>
    <w:rsid w:val="0014257F"/>
    <w:rsid w:val="001426BC"/>
    <w:rsid w:val="00142714"/>
    <w:rsid w:val="00142776"/>
    <w:rsid w:val="00142876"/>
    <w:rsid w:val="00142EA5"/>
    <w:rsid w:val="00142F2B"/>
    <w:rsid w:val="00143045"/>
    <w:rsid w:val="001436C2"/>
    <w:rsid w:val="001436DC"/>
    <w:rsid w:val="00143844"/>
    <w:rsid w:val="00143A06"/>
    <w:rsid w:val="00143A90"/>
    <w:rsid w:val="00143E6D"/>
    <w:rsid w:val="00144073"/>
    <w:rsid w:val="00144744"/>
    <w:rsid w:val="00144904"/>
    <w:rsid w:val="00144DFB"/>
    <w:rsid w:val="0014504A"/>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05"/>
    <w:rsid w:val="0014676D"/>
    <w:rsid w:val="00146782"/>
    <w:rsid w:val="00146993"/>
    <w:rsid w:val="00146C9F"/>
    <w:rsid w:val="00146CFB"/>
    <w:rsid w:val="00146F6C"/>
    <w:rsid w:val="00146FDE"/>
    <w:rsid w:val="00147261"/>
    <w:rsid w:val="00147382"/>
    <w:rsid w:val="001473A6"/>
    <w:rsid w:val="001473C3"/>
    <w:rsid w:val="00147723"/>
    <w:rsid w:val="00147A05"/>
    <w:rsid w:val="00147FCF"/>
    <w:rsid w:val="00147FEA"/>
    <w:rsid w:val="001501D5"/>
    <w:rsid w:val="00150506"/>
    <w:rsid w:val="00150747"/>
    <w:rsid w:val="001507E8"/>
    <w:rsid w:val="001508A9"/>
    <w:rsid w:val="001509F7"/>
    <w:rsid w:val="00150A8E"/>
    <w:rsid w:val="00150B20"/>
    <w:rsid w:val="00150B66"/>
    <w:rsid w:val="00150CBA"/>
    <w:rsid w:val="00150E0B"/>
    <w:rsid w:val="00150F62"/>
    <w:rsid w:val="00151323"/>
    <w:rsid w:val="0015147A"/>
    <w:rsid w:val="001514AF"/>
    <w:rsid w:val="0015152B"/>
    <w:rsid w:val="001516F0"/>
    <w:rsid w:val="00151747"/>
    <w:rsid w:val="001518CA"/>
    <w:rsid w:val="001519E7"/>
    <w:rsid w:val="00151D76"/>
    <w:rsid w:val="00151DC4"/>
    <w:rsid w:val="00151E6E"/>
    <w:rsid w:val="00152016"/>
    <w:rsid w:val="001520F6"/>
    <w:rsid w:val="00152108"/>
    <w:rsid w:val="001523EE"/>
    <w:rsid w:val="00152731"/>
    <w:rsid w:val="00152850"/>
    <w:rsid w:val="0015290E"/>
    <w:rsid w:val="00152991"/>
    <w:rsid w:val="00152ABC"/>
    <w:rsid w:val="00152DB1"/>
    <w:rsid w:val="00152FE4"/>
    <w:rsid w:val="001532A4"/>
    <w:rsid w:val="001537A4"/>
    <w:rsid w:val="001537D0"/>
    <w:rsid w:val="00153B7D"/>
    <w:rsid w:val="00153BC8"/>
    <w:rsid w:val="00153F15"/>
    <w:rsid w:val="00154401"/>
    <w:rsid w:val="001545AD"/>
    <w:rsid w:val="00154682"/>
    <w:rsid w:val="001547EA"/>
    <w:rsid w:val="001547F6"/>
    <w:rsid w:val="00154E2A"/>
    <w:rsid w:val="00154E60"/>
    <w:rsid w:val="00155202"/>
    <w:rsid w:val="0015538F"/>
    <w:rsid w:val="00155434"/>
    <w:rsid w:val="00155982"/>
    <w:rsid w:val="001564FC"/>
    <w:rsid w:val="00156AC6"/>
    <w:rsid w:val="00156D28"/>
    <w:rsid w:val="00156D64"/>
    <w:rsid w:val="00156EF9"/>
    <w:rsid w:val="001570D9"/>
    <w:rsid w:val="00157375"/>
    <w:rsid w:val="00157493"/>
    <w:rsid w:val="00157500"/>
    <w:rsid w:val="00157721"/>
    <w:rsid w:val="00157952"/>
    <w:rsid w:val="00157A47"/>
    <w:rsid w:val="00157C9A"/>
    <w:rsid w:val="001602B3"/>
    <w:rsid w:val="0016040C"/>
    <w:rsid w:val="0016050D"/>
    <w:rsid w:val="0016079C"/>
    <w:rsid w:val="0016086E"/>
    <w:rsid w:val="001609D0"/>
    <w:rsid w:val="00160A0C"/>
    <w:rsid w:val="00160C89"/>
    <w:rsid w:val="0016104C"/>
    <w:rsid w:val="0016143E"/>
    <w:rsid w:val="00161501"/>
    <w:rsid w:val="00161555"/>
    <w:rsid w:val="00161574"/>
    <w:rsid w:val="001615D5"/>
    <w:rsid w:val="001618DB"/>
    <w:rsid w:val="00161A84"/>
    <w:rsid w:val="00161AF3"/>
    <w:rsid w:val="001620A0"/>
    <w:rsid w:val="001620E1"/>
    <w:rsid w:val="0016216F"/>
    <w:rsid w:val="0016223A"/>
    <w:rsid w:val="001623B5"/>
    <w:rsid w:val="001624B5"/>
    <w:rsid w:val="001627F3"/>
    <w:rsid w:val="001629D3"/>
    <w:rsid w:val="00162A50"/>
    <w:rsid w:val="00162D12"/>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E85"/>
    <w:rsid w:val="00164F9C"/>
    <w:rsid w:val="001650B0"/>
    <w:rsid w:val="001655BB"/>
    <w:rsid w:val="001657CC"/>
    <w:rsid w:val="00165960"/>
    <w:rsid w:val="00165B61"/>
    <w:rsid w:val="00165F07"/>
    <w:rsid w:val="001664DB"/>
    <w:rsid w:val="0016655E"/>
    <w:rsid w:val="001668DB"/>
    <w:rsid w:val="00166A93"/>
    <w:rsid w:val="00166C93"/>
    <w:rsid w:val="00166E60"/>
    <w:rsid w:val="00166EBE"/>
    <w:rsid w:val="00166F3F"/>
    <w:rsid w:val="001670EA"/>
    <w:rsid w:val="001674A5"/>
    <w:rsid w:val="0016784B"/>
    <w:rsid w:val="0016798C"/>
    <w:rsid w:val="001679B2"/>
    <w:rsid w:val="00167A55"/>
    <w:rsid w:val="00167AB6"/>
    <w:rsid w:val="00167EBA"/>
    <w:rsid w:val="00167FB2"/>
    <w:rsid w:val="00167FD9"/>
    <w:rsid w:val="001700A5"/>
    <w:rsid w:val="001703B4"/>
    <w:rsid w:val="001705E4"/>
    <w:rsid w:val="00170D89"/>
    <w:rsid w:val="00170FF3"/>
    <w:rsid w:val="0017116A"/>
    <w:rsid w:val="001711DB"/>
    <w:rsid w:val="001712A1"/>
    <w:rsid w:val="001712C4"/>
    <w:rsid w:val="00171325"/>
    <w:rsid w:val="00171451"/>
    <w:rsid w:val="00171482"/>
    <w:rsid w:val="001719E1"/>
    <w:rsid w:val="00171BD4"/>
    <w:rsid w:val="00171E69"/>
    <w:rsid w:val="00171F1F"/>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3AC3"/>
    <w:rsid w:val="00173B73"/>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25"/>
    <w:rsid w:val="00175BBF"/>
    <w:rsid w:val="00176149"/>
    <w:rsid w:val="0017622F"/>
    <w:rsid w:val="0017623A"/>
    <w:rsid w:val="00176250"/>
    <w:rsid w:val="00176399"/>
    <w:rsid w:val="001764B1"/>
    <w:rsid w:val="00176768"/>
    <w:rsid w:val="00176794"/>
    <w:rsid w:val="001767E0"/>
    <w:rsid w:val="0017690B"/>
    <w:rsid w:val="001769DC"/>
    <w:rsid w:val="00176DE2"/>
    <w:rsid w:val="00176E48"/>
    <w:rsid w:val="001770BF"/>
    <w:rsid w:val="001770D4"/>
    <w:rsid w:val="0017712C"/>
    <w:rsid w:val="00177148"/>
    <w:rsid w:val="0017727A"/>
    <w:rsid w:val="001772BB"/>
    <w:rsid w:val="00177385"/>
    <w:rsid w:val="001776C7"/>
    <w:rsid w:val="00177707"/>
    <w:rsid w:val="00177873"/>
    <w:rsid w:val="00177B45"/>
    <w:rsid w:val="00177F9F"/>
    <w:rsid w:val="00180172"/>
    <w:rsid w:val="001801F4"/>
    <w:rsid w:val="001802CA"/>
    <w:rsid w:val="00180664"/>
    <w:rsid w:val="00180775"/>
    <w:rsid w:val="00180829"/>
    <w:rsid w:val="0018083E"/>
    <w:rsid w:val="0018085E"/>
    <w:rsid w:val="00180954"/>
    <w:rsid w:val="00180975"/>
    <w:rsid w:val="001809C7"/>
    <w:rsid w:val="00180D52"/>
    <w:rsid w:val="0018115A"/>
    <w:rsid w:val="001813A3"/>
    <w:rsid w:val="001813BA"/>
    <w:rsid w:val="001813BE"/>
    <w:rsid w:val="001813C3"/>
    <w:rsid w:val="00181581"/>
    <w:rsid w:val="00181919"/>
    <w:rsid w:val="00181A20"/>
    <w:rsid w:val="00181C43"/>
    <w:rsid w:val="00181C75"/>
    <w:rsid w:val="00181D48"/>
    <w:rsid w:val="00181D80"/>
    <w:rsid w:val="00182348"/>
    <w:rsid w:val="00182464"/>
    <w:rsid w:val="001824BE"/>
    <w:rsid w:val="001826C3"/>
    <w:rsid w:val="001829EB"/>
    <w:rsid w:val="00182C70"/>
    <w:rsid w:val="00182DE9"/>
    <w:rsid w:val="00183026"/>
    <w:rsid w:val="001834AA"/>
    <w:rsid w:val="001835E4"/>
    <w:rsid w:val="001835F6"/>
    <w:rsid w:val="001838C6"/>
    <w:rsid w:val="00183935"/>
    <w:rsid w:val="0018397D"/>
    <w:rsid w:val="00183A51"/>
    <w:rsid w:val="00183A60"/>
    <w:rsid w:val="00183B57"/>
    <w:rsid w:val="00183DFC"/>
    <w:rsid w:val="00184004"/>
    <w:rsid w:val="00184171"/>
    <w:rsid w:val="00184298"/>
    <w:rsid w:val="001846ED"/>
    <w:rsid w:val="001849ED"/>
    <w:rsid w:val="00184B0F"/>
    <w:rsid w:val="00184BC3"/>
    <w:rsid w:val="00184DC3"/>
    <w:rsid w:val="00184F04"/>
    <w:rsid w:val="00184FA0"/>
    <w:rsid w:val="00185367"/>
    <w:rsid w:val="0018542F"/>
    <w:rsid w:val="0018557B"/>
    <w:rsid w:val="00185A00"/>
    <w:rsid w:val="00185BBA"/>
    <w:rsid w:val="0018614B"/>
    <w:rsid w:val="001862B1"/>
    <w:rsid w:val="001862ED"/>
    <w:rsid w:val="00186763"/>
    <w:rsid w:val="0018676E"/>
    <w:rsid w:val="0018693D"/>
    <w:rsid w:val="00186AEB"/>
    <w:rsid w:val="00186BD5"/>
    <w:rsid w:val="00186C6E"/>
    <w:rsid w:val="00186CE3"/>
    <w:rsid w:val="00187162"/>
    <w:rsid w:val="0018723C"/>
    <w:rsid w:val="001872B3"/>
    <w:rsid w:val="00187350"/>
    <w:rsid w:val="001874D5"/>
    <w:rsid w:val="00187BD3"/>
    <w:rsid w:val="00187D09"/>
    <w:rsid w:val="00187D47"/>
    <w:rsid w:val="00190143"/>
    <w:rsid w:val="0019015C"/>
    <w:rsid w:val="00190335"/>
    <w:rsid w:val="00190396"/>
    <w:rsid w:val="001907E2"/>
    <w:rsid w:val="00190CEE"/>
    <w:rsid w:val="001914A6"/>
    <w:rsid w:val="00191517"/>
    <w:rsid w:val="00191935"/>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427"/>
    <w:rsid w:val="001944C6"/>
    <w:rsid w:val="001948CB"/>
    <w:rsid w:val="00194C53"/>
    <w:rsid w:val="00194D42"/>
    <w:rsid w:val="00194D65"/>
    <w:rsid w:val="001950C6"/>
    <w:rsid w:val="0019525E"/>
    <w:rsid w:val="00195427"/>
    <w:rsid w:val="001954DF"/>
    <w:rsid w:val="00195515"/>
    <w:rsid w:val="0019580B"/>
    <w:rsid w:val="001958C9"/>
    <w:rsid w:val="00195A71"/>
    <w:rsid w:val="00195B1E"/>
    <w:rsid w:val="00195D3C"/>
    <w:rsid w:val="00195EB5"/>
    <w:rsid w:val="001960D3"/>
    <w:rsid w:val="001961CE"/>
    <w:rsid w:val="00196296"/>
    <w:rsid w:val="00196AA1"/>
    <w:rsid w:val="00196C49"/>
    <w:rsid w:val="00196D7F"/>
    <w:rsid w:val="001971A4"/>
    <w:rsid w:val="00197410"/>
    <w:rsid w:val="0019751C"/>
    <w:rsid w:val="0019792D"/>
    <w:rsid w:val="00197AD9"/>
    <w:rsid w:val="00197DB5"/>
    <w:rsid w:val="00197F02"/>
    <w:rsid w:val="00197F40"/>
    <w:rsid w:val="001A0090"/>
    <w:rsid w:val="001A022D"/>
    <w:rsid w:val="001A0286"/>
    <w:rsid w:val="001A0373"/>
    <w:rsid w:val="001A04AA"/>
    <w:rsid w:val="001A06F8"/>
    <w:rsid w:val="001A0A32"/>
    <w:rsid w:val="001A0B7A"/>
    <w:rsid w:val="001A0FE8"/>
    <w:rsid w:val="001A103A"/>
    <w:rsid w:val="001A106A"/>
    <w:rsid w:val="001A1224"/>
    <w:rsid w:val="001A13A8"/>
    <w:rsid w:val="001A1606"/>
    <w:rsid w:val="001A168B"/>
    <w:rsid w:val="001A1914"/>
    <w:rsid w:val="001A19C5"/>
    <w:rsid w:val="001A1ABE"/>
    <w:rsid w:val="001A1B50"/>
    <w:rsid w:val="001A1B54"/>
    <w:rsid w:val="001A1B78"/>
    <w:rsid w:val="001A1BA3"/>
    <w:rsid w:val="001A1CEC"/>
    <w:rsid w:val="001A1F0B"/>
    <w:rsid w:val="001A1F70"/>
    <w:rsid w:val="001A229A"/>
    <w:rsid w:val="001A2347"/>
    <w:rsid w:val="001A2415"/>
    <w:rsid w:val="001A25C9"/>
    <w:rsid w:val="001A27B9"/>
    <w:rsid w:val="001A27E8"/>
    <w:rsid w:val="001A287C"/>
    <w:rsid w:val="001A29C1"/>
    <w:rsid w:val="001A2AFE"/>
    <w:rsid w:val="001A3094"/>
    <w:rsid w:val="001A35AC"/>
    <w:rsid w:val="001A390C"/>
    <w:rsid w:val="001A3985"/>
    <w:rsid w:val="001A399C"/>
    <w:rsid w:val="001A3B4D"/>
    <w:rsid w:val="001A3B68"/>
    <w:rsid w:val="001A3CCC"/>
    <w:rsid w:val="001A4045"/>
    <w:rsid w:val="001A40CF"/>
    <w:rsid w:val="001A4877"/>
    <w:rsid w:val="001A4A0B"/>
    <w:rsid w:val="001A4EBF"/>
    <w:rsid w:val="001A52A6"/>
    <w:rsid w:val="001A5496"/>
    <w:rsid w:val="001A5595"/>
    <w:rsid w:val="001A55F7"/>
    <w:rsid w:val="001A570C"/>
    <w:rsid w:val="001A57B9"/>
    <w:rsid w:val="001A5FC1"/>
    <w:rsid w:val="001A5FF0"/>
    <w:rsid w:val="001A62AF"/>
    <w:rsid w:val="001A63B1"/>
    <w:rsid w:val="001A6701"/>
    <w:rsid w:val="001A6762"/>
    <w:rsid w:val="001A6862"/>
    <w:rsid w:val="001A68CC"/>
    <w:rsid w:val="001A6996"/>
    <w:rsid w:val="001A6BD3"/>
    <w:rsid w:val="001A6D7F"/>
    <w:rsid w:val="001A6F08"/>
    <w:rsid w:val="001A7040"/>
    <w:rsid w:val="001A70FF"/>
    <w:rsid w:val="001A7361"/>
    <w:rsid w:val="001A73DF"/>
    <w:rsid w:val="001A76B1"/>
    <w:rsid w:val="001A79C1"/>
    <w:rsid w:val="001A7ACB"/>
    <w:rsid w:val="001A7AE0"/>
    <w:rsid w:val="001A7CDD"/>
    <w:rsid w:val="001A7F41"/>
    <w:rsid w:val="001A7F77"/>
    <w:rsid w:val="001B016B"/>
    <w:rsid w:val="001B0413"/>
    <w:rsid w:val="001B04AA"/>
    <w:rsid w:val="001B055C"/>
    <w:rsid w:val="001B077F"/>
    <w:rsid w:val="001B0993"/>
    <w:rsid w:val="001B0B40"/>
    <w:rsid w:val="001B0D86"/>
    <w:rsid w:val="001B0F08"/>
    <w:rsid w:val="001B0FC5"/>
    <w:rsid w:val="001B106C"/>
    <w:rsid w:val="001B1142"/>
    <w:rsid w:val="001B11B3"/>
    <w:rsid w:val="001B11C4"/>
    <w:rsid w:val="001B1C0B"/>
    <w:rsid w:val="001B1CF8"/>
    <w:rsid w:val="001B1D06"/>
    <w:rsid w:val="001B1F85"/>
    <w:rsid w:val="001B2015"/>
    <w:rsid w:val="001B2049"/>
    <w:rsid w:val="001B2067"/>
    <w:rsid w:val="001B2322"/>
    <w:rsid w:val="001B28F9"/>
    <w:rsid w:val="001B2A06"/>
    <w:rsid w:val="001B2D3E"/>
    <w:rsid w:val="001B2EB9"/>
    <w:rsid w:val="001B2FD0"/>
    <w:rsid w:val="001B302C"/>
    <w:rsid w:val="001B30FE"/>
    <w:rsid w:val="001B3159"/>
    <w:rsid w:val="001B3793"/>
    <w:rsid w:val="001B38ED"/>
    <w:rsid w:val="001B39CE"/>
    <w:rsid w:val="001B39DF"/>
    <w:rsid w:val="001B3B2F"/>
    <w:rsid w:val="001B3B98"/>
    <w:rsid w:val="001B3BBA"/>
    <w:rsid w:val="001B3EF9"/>
    <w:rsid w:val="001B40F1"/>
    <w:rsid w:val="001B43B1"/>
    <w:rsid w:val="001B4499"/>
    <w:rsid w:val="001B47AF"/>
    <w:rsid w:val="001B49F0"/>
    <w:rsid w:val="001B504D"/>
    <w:rsid w:val="001B524D"/>
    <w:rsid w:val="001B5307"/>
    <w:rsid w:val="001B53EE"/>
    <w:rsid w:val="001B56F4"/>
    <w:rsid w:val="001B5918"/>
    <w:rsid w:val="001B5A88"/>
    <w:rsid w:val="001B5BA3"/>
    <w:rsid w:val="001B5CD4"/>
    <w:rsid w:val="001B64C1"/>
    <w:rsid w:val="001B6C13"/>
    <w:rsid w:val="001B6F07"/>
    <w:rsid w:val="001B7015"/>
    <w:rsid w:val="001B702C"/>
    <w:rsid w:val="001B732E"/>
    <w:rsid w:val="001B73F3"/>
    <w:rsid w:val="001B741C"/>
    <w:rsid w:val="001B76E6"/>
    <w:rsid w:val="001B7D86"/>
    <w:rsid w:val="001B7DF0"/>
    <w:rsid w:val="001B7E75"/>
    <w:rsid w:val="001B7E7E"/>
    <w:rsid w:val="001C00DF"/>
    <w:rsid w:val="001C010E"/>
    <w:rsid w:val="001C0191"/>
    <w:rsid w:val="001C0265"/>
    <w:rsid w:val="001C029F"/>
    <w:rsid w:val="001C0850"/>
    <w:rsid w:val="001C0A52"/>
    <w:rsid w:val="001C0AB3"/>
    <w:rsid w:val="001C1461"/>
    <w:rsid w:val="001C167B"/>
    <w:rsid w:val="001C172A"/>
    <w:rsid w:val="001C1A12"/>
    <w:rsid w:val="001C1AE9"/>
    <w:rsid w:val="001C1B8B"/>
    <w:rsid w:val="001C1E53"/>
    <w:rsid w:val="001C2123"/>
    <w:rsid w:val="001C2145"/>
    <w:rsid w:val="001C255E"/>
    <w:rsid w:val="001C2695"/>
    <w:rsid w:val="001C29BE"/>
    <w:rsid w:val="001C2DCD"/>
    <w:rsid w:val="001C2E41"/>
    <w:rsid w:val="001C2ED2"/>
    <w:rsid w:val="001C2F65"/>
    <w:rsid w:val="001C326E"/>
    <w:rsid w:val="001C33D5"/>
    <w:rsid w:val="001C34AE"/>
    <w:rsid w:val="001C34EC"/>
    <w:rsid w:val="001C3701"/>
    <w:rsid w:val="001C38DF"/>
    <w:rsid w:val="001C3982"/>
    <w:rsid w:val="001C3EBD"/>
    <w:rsid w:val="001C41EB"/>
    <w:rsid w:val="001C4429"/>
    <w:rsid w:val="001C47A0"/>
    <w:rsid w:val="001C47E6"/>
    <w:rsid w:val="001C4F2E"/>
    <w:rsid w:val="001C4F89"/>
    <w:rsid w:val="001C50AB"/>
    <w:rsid w:val="001C52A2"/>
    <w:rsid w:val="001C52D4"/>
    <w:rsid w:val="001C536A"/>
    <w:rsid w:val="001C5478"/>
    <w:rsid w:val="001C54F9"/>
    <w:rsid w:val="001C56EF"/>
    <w:rsid w:val="001C57B0"/>
    <w:rsid w:val="001C5849"/>
    <w:rsid w:val="001C5BE1"/>
    <w:rsid w:val="001C5BED"/>
    <w:rsid w:val="001C5D25"/>
    <w:rsid w:val="001C6251"/>
    <w:rsid w:val="001C6412"/>
    <w:rsid w:val="001C660A"/>
    <w:rsid w:val="001C6732"/>
    <w:rsid w:val="001C6AAB"/>
    <w:rsid w:val="001C6AE0"/>
    <w:rsid w:val="001C6B50"/>
    <w:rsid w:val="001C6C55"/>
    <w:rsid w:val="001C70EB"/>
    <w:rsid w:val="001C7330"/>
    <w:rsid w:val="001C7368"/>
    <w:rsid w:val="001C778F"/>
    <w:rsid w:val="001C7909"/>
    <w:rsid w:val="001C7A23"/>
    <w:rsid w:val="001C7A82"/>
    <w:rsid w:val="001C7AE7"/>
    <w:rsid w:val="001C7C91"/>
    <w:rsid w:val="001C7E5E"/>
    <w:rsid w:val="001C7F13"/>
    <w:rsid w:val="001D021A"/>
    <w:rsid w:val="001D03AD"/>
    <w:rsid w:val="001D046C"/>
    <w:rsid w:val="001D0528"/>
    <w:rsid w:val="001D057E"/>
    <w:rsid w:val="001D0778"/>
    <w:rsid w:val="001D07CF"/>
    <w:rsid w:val="001D0985"/>
    <w:rsid w:val="001D0BEB"/>
    <w:rsid w:val="001D0C91"/>
    <w:rsid w:val="001D112C"/>
    <w:rsid w:val="001D165E"/>
    <w:rsid w:val="001D1689"/>
    <w:rsid w:val="001D1857"/>
    <w:rsid w:val="001D1904"/>
    <w:rsid w:val="001D1980"/>
    <w:rsid w:val="001D1DB4"/>
    <w:rsid w:val="001D1F85"/>
    <w:rsid w:val="001D27F7"/>
    <w:rsid w:val="001D2889"/>
    <w:rsid w:val="001D28C9"/>
    <w:rsid w:val="001D2936"/>
    <w:rsid w:val="001D2BF6"/>
    <w:rsid w:val="001D2D30"/>
    <w:rsid w:val="001D2FE0"/>
    <w:rsid w:val="001D309E"/>
    <w:rsid w:val="001D3766"/>
    <w:rsid w:val="001D3B44"/>
    <w:rsid w:val="001D3BFA"/>
    <w:rsid w:val="001D3F50"/>
    <w:rsid w:val="001D4067"/>
    <w:rsid w:val="001D4254"/>
    <w:rsid w:val="001D42B2"/>
    <w:rsid w:val="001D4345"/>
    <w:rsid w:val="001D48B6"/>
    <w:rsid w:val="001D4904"/>
    <w:rsid w:val="001D4A3F"/>
    <w:rsid w:val="001D4C30"/>
    <w:rsid w:val="001D4FC1"/>
    <w:rsid w:val="001D52B8"/>
    <w:rsid w:val="001D5355"/>
    <w:rsid w:val="001D5513"/>
    <w:rsid w:val="001D55D6"/>
    <w:rsid w:val="001D5897"/>
    <w:rsid w:val="001D58A8"/>
    <w:rsid w:val="001D5E02"/>
    <w:rsid w:val="001D6001"/>
    <w:rsid w:val="001D606E"/>
    <w:rsid w:val="001D614E"/>
    <w:rsid w:val="001D6399"/>
    <w:rsid w:val="001D66FE"/>
    <w:rsid w:val="001D6988"/>
    <w:rsid w:val="001D7003"/>
    <w:rsid w:val="001D709A"/>
    <w:rsid w:val="001D73D2"/>
    <w:rsid w:val="001D7969"/>
    <w:rsid w:val="001D7B11"/>
    <w:rsid w:val="001D7B71"/>
    <w:rsid w:val="001D7C04"/>
    <w:rsid w:val="001D7D1B"/>
    <w:rsid w:val="001D7EBE"/>
    <w:rsid w:val="001E0074"/>
    <w:rsid w:val="001E01D0"/>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CD2"/>
    <w:rsid w:val="001E1D1A"/>
    <w:rsid w:val="001E1D45"/>
    <w:rsid w:val="001E1E25"/>
    <w:rsid w:val="001E1E94"/>
    <w:rsid w:val="001E2134"/>
    <w:rsid w:val="001E226B"/>
    <w:rsid w:val="001E226D"/>
    <w:rsid w:val="001E2280"/>
    <w:rsid w:val="001E2310"/>
    <w:rsid w:val="001E2457"/>
    <w:rsid w:val="001E280C"/>
    <w:rsid w:val="001E2D70"/>
    <w:rsid w:val="001E306C"/>
    <w:rsid w:val="001E321E"/>
    <w:rsid w:val="001E3228"/>
    <w:rsid w:val="001E3354"/>
    <w:rsid w:val="001E34AA"/>
    <w:rsid w:val="001E34EF"/>
    <w:rsid w:val="001E3638"/>
    <w:rsid w:val="001E3764"/>
    <w:rsid w:val="001E381D"/>
    <w:rsid w:val="001E3875"/>
    <w:rsid w:val="001E3AE0"/>
    <w:rsid w:val="001E3B66"/>
    <w:rsid w:val="001E3C02"/>
    <w:rsid w:val="001E3D80"/>
    <w:rsid w:val="001E3DFC"/>
    <w:rsid w:val="001E4118"/>
    <w:rsid w:val="001E437E"/>
    <w:rsid w:val="001E447D"/>
    <w:rsid w:val="001E455C"/>
    <w:rsid w:val="001E4ED1"/>
    <w:rsid w:val="001E5295"/>
    <w:rsid w:val="001E54DC"/>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2AC"/>
    <w:rsid w:val="001F0615"/>
    <w:rsid w:val="001F07D6"/>
    <w:rsid w:val="001F07F7"/>
    <w:rsid w:val="001F08D7"/>
    <w:rsid w:val="001F0958"/>
    <w:rsid w:val="001F0C50"/>
    <w:rsid w:val="001F126A"/>
    <w:rsid w:val="001F137C"/>
    <w:rsid w:val="001F17AB"/>
    <w:rsid w:val="001F18B9"/>
    <w:rsid w:val="001F1B18"/>
    <w:rsid w:val="001F1D26"/>
    <w:rsid w:val="001F1E70"/>
    <w:rsid w:val="001F2402"/>
    <w:rsid w:val="001F28AA"/>
    <w:rsid w:val="001F2AB7"/>
    <w:rsid w:val="001F3246"/>
    <w:rsid w:val="001F32BD"/>
    <w:rsid w:val="001F3530"/>
    <w:rsid w:val="001F3673"/>
    <w:rsid w:val="001F36AF"/>
    <w:rsid w:val="001F385D"/>
    <w:rsid w:val="001F3C79"/>
    <w:rsid w:val="001F3D72"/>
    <w:rsid w:val="001F3FA4"/>
    <w:rsid w:val="001F3FAF"/>
    <w:rsid w:val="001F4141"/>
    <w:rsid w:val="001F437A"/>
    <w:rsid w:val="001F4382"/>
    <w:rsid w:val="001F443D"/>
    <w:rsid w:val="001F446B"/>
    <w:rsid w:val="001F448E"/>
    <w:rsid w:val="001F4559"/>
    <w:rsid w:val="001F5191"/>
    <w:rsid w:val="001F5251"/>
    <w:rsid w:val="001F52D4"/>
    <w:rsid w:val="001F5318"/>
    <w:rsid w:val="001F536F"/>
    <w:rsid w:val="001F5482"/>
    <w:rsid w:val="001F5484"/>
    <w:rsid w:val="001F584C"/>
    <w:rsid w:val="001F5D74"/>
    <w:rsid w:val="001F5EA2"/>
    <w:rsid w:val="001F6084"/>
    <w:rsid w:val="001F61FB"/>
    <w:rsid w:val="001F6421"/>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D75"/>
    <w:rsid w:val="001F7E2B"/>
    <w:rsid w:val="0020047F"/>
    <w:rsid w:val="0020059F"/>
    <w:rsid w:val="002005BB"/>
    <w:rsid w:val="00200896"/>
    <w:rsid w:val="002008C8"/>
    <w:rsid w:val="00200FFD"/>
    <w:rsid w:val="00201195"/>
    <w:rsid w:val="002013FB"/>
    <w:rsid w:val="0020150D"/>
    <w:rsid w:val="00201870"/>
    <w:rsid w:val="002019EA"/>
    <w:rsid w:val="00201C4C"/>
    <w:rsid w:val="002021B4"/>
    <w:rsid w:val="00202316"/>
    <w:rsid w:val="002023D4"/>
    <w:rsid w:val="002025B4"/>
    <w:rsid w:val="00202B06"/>
    <w:rsid w:val="00202B44"/>
    <w:rsid w:val="0020305B"/>
    <w:rsid w:val="00203118"/>
    <w:rsid w:val="00203153"/>
    <w:rsid w:val="002033CB"/>
    <w:rsid w:val="0020341D"/>
    <w:rsid w:val="002034C2"/>
    <w:rsid w:val="00203726"/>
    <w:rsid w:val="00203A4A"/>
    <w:rsid w:val="00203BF8"/>
    <w:rsid w:val="00203DAD"/>
    <w:rsid w:val="00203E7F"/>
    <w:rsid w:val="00204574"/>
    <w:rsid w:val="00204728"/>
    <w:rsid w:val="00204761"/>
    <w:rsid w:val="002047C4"/>
    <w:rsid w:val="00204865"/>
    <w:rsid w:val="00204D86"/>
    <w:rsid w:val="00204E72"/>
    <w:rsid w:val="00204FA5"/>
    <w:rsid w:val="00205318"/>
    <w:rsid w:val="002057C1"/>
    <w:rsid w:val="00205CED"/>
    <w:rsid w:val="00205D16"/>
    <w:rsid w:val="00205F4E"/>
    <w:rsid w:val="00205F64"/>
    <w:rsid w:val="00206410"/>
    <w:rsid w:val="00206722"/>
    <w:rsid w:val="002067CB"/>
    <w:rsid w:val="00206A04"/>
    <w:rsid w:val="00206BE4"/>
    <w:rsid w:val="00206D3E"/>
    <w:rsid w:val="00206D5B"/>
    <w:rsid w:val="0020748F"/>
    <w:rsid w:val="002074D2"/>
    <w:rsid w:val="0020761E"/>
    <w:rsid w:val="002077B1"/>
    <w:rsid w:val="002077D3"/>
    <w:rsid w:val="002078ED"/>
    <w:rsid w:val="00207913"/>
    <w:rsid w:val="002079D2"/>
    <w:rsid w:val="00207CF8"/>
    <w:rsid w:val="00207E99"/>
    <w:rsid w:val="00207F97"/>
    <w:rsid w:val="002105B2"/>
    <w:rsid w:val="002105C3"/>
    <w:rsid w:val="0021063C"/>
    <w:rsid w:val="0021072A"/>
    <w:rsid w:val="0021085B"/>
    <w:rsid w:val="00210A3A"/>
    <w:rsid w:val="00210C07"/>
    <w:rsid w:val="00210E93"/>
    <w:rsid w:val="00211063"/>
    <w:rsid w:val="00211392"/>
    <w:rsid w:val="00211BE3"/>
    <w:rsid w:val="00211CF4"/>
    <w:rsid w:val="00211DA3"/>
    <w:rsid w:val="00211E81"/>
    <w:rsid w:val="00212379"/>
    <w:rsid w:val="002124C1"/>
    <w:rsid w:val="002125D6"/>
    <w:rsid w:val="00212B72"/>
    <w:rsid w:val="00212BA8"/>
    <w:rsid w:val="00212CA0"/>
    <w:rsid w:val="002130DE"/>
    <w:rsid w:val="002131C5"/>
    <w:rsid w:val="002139C6"/>
    <w:rsid w:val="00213B0D"/>
    <w:rsid w:val="00213B31"/>
    <w:rsid w:val="00213EC0"/>
    <w:rsid w:val="00213EE5"/>
    <w:rsid w:val="00213F17"/>
    <w:rsid w:val="00214137"/>
    <w:rsid w:val="002141E2"/>
    <w:rsid w:val="00214368"/>
    <w:rsid w:val="00214B2B"/>
    <w:rsid w:val="00214D0B"/>
    <w:rsid w:val="00214F86"/>
    <w:rsid w:val="00214FA6"/>
    <w:rsid w:val="0021509C"/>
    <w:rsid w:val="002152AD"/>
    <w:rsid w:val="00215476"/>
    <w:rsid w:val="0021554A"/>
    <w:rsid w:val="0021618E"/>
    <w:rsid w:val="002161B4"/>
    <w:rsid w:val="00216642"/>
    <w:rsid w:val="002166AF"/>
    <w:rsid w:val="002167D9"/>
    <w:rsid w:val="00216A22"/>
    <w:rsid w:val="00216EEC"/>
    <w:rsid w:val="00216F78"/>
    <w:rsid w:val="00217445"/>
    <w:rsid w:val="0021771E"/>
    <w:rsid w:val="0021798F"/>
    <w:rsid w:val="00217C37"/>
    <w:rsid w:val="00217CB8"/>
    <w:rsid w:val="00217E13"/>
    <w:rsid w:val="00217E62"/>
    <w:rsid w:val="00217EA8"/>
    <w:rsid w:val="0022004D"/>
    <w:rsid w:val="002202F6"/>
    <w:rsid w:val="002202FE"/>
    <w:rsid w:val="00220349"/>
    <w:rsid w:val="00220562"/>
    <w:rsid w:val="0022057E"/>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6AC"/>
    <w:rsid w:val="00221869"/>
    <w:rsid w:val="00221992"/>
    <w:rsid w:val="00221D2A"/>
    <w:rsid w:val="00221E82"/>
    <w:rsid w:val="00221EA7"/>
    <w:rsid w:val="00222202"/>
    <w:rsid w:val="00222614"/>
    <w:rsid w:val="00222706"/>
    <w:rsid w:val="00222A23"/>
    <w:rsid w:val="00222B6A"/>
    <w:rsid w:val="00222B97"/>
    <w:rsid w:val="00222CE5"/>
    <w:rsid w:val="00223224"/>
    <w:rsid w:val="0022334D"/>
    <w:rsid w:val="002239ED"/>
    <w:rsid w:val="002239F5"/>
    <w:rsid w:val="00223B55"/>
    <w:rsid w:val="00223C8D"/>
    <w:rsid w:val="0022418F"/>
    <w:rsid w:val="0022432D"/>
    <w:rsid w:val="002243F5"/>
    <w:rsid w:val="0022466C"/>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84"/>
    <w:rsid w:val="002253C2"/>
    <w:rsid w:val="0022558D"/>
    <w:rsid w:val="0022562C"/>
    <w:rsid w:val="002256A6"/>
    <w:rsid w:val="00225A87"/>
    <w:rsid w:val="00225CC1"/>
    <w:rsid w:val="00225D5A"/>
    <w:rsid w:val="00225D96"/>
    <w:rsid w:val="00225DBE"/>
    <w:rsid w:val="00226149"/>
    <w:rsid w:val="0022619D"/>
    <w:rsid w:val="00226217"/>
    <w:rsid w:val="0022656B"/>
    <w:rsid w:val="00226831"/>
    <w:rsid w:val="00226BA4"/>
    <w:rsid w:val="00226F38"/>
    <w:rsid w:val="00226FD1"/>
    <w:rsid w:val="0022737E"/>
    <w:rsid w:val="00227679"/>
    <w:rsid w:val="002278C1"/>
    <w:rsid w:val="00227B21"/>
    <w:rsid w:val="00230A63"/>
    <w:rsid w:val="00230AEB"/>
    <w:rsid w:val="00230B42"/>
    <w:rsid w:val="00230CB0"/>
    <w:rsid w:val="00230CFB"/>
    <w:rsid w:val="00230EA6"/>
    <w:rsid w:val="0023108B"/>
    <w:rsid w:val="0023109B"/>
    <w:rsid w:val="002311ED"/>
    <w:rsid w:val="002313D6"/>
    <w:rsid w:val="0023145D"/>
    <w:rsid w:val="00231658"/>
    <w:rsid w:val="002316B7"/>
    <w:rsid w:val="0023181F"/>
    <w:rsid w:val="00231E6F"/>
    <w:rsid w:val="00231F45"/>
    <w:rsid w:val="00231F9E"/>
    <w:rsid w:val="00231FFD"/>
    <w:rsid w:val="00232100"/>
    <w:rsid w:val="0023249D"/>
    <w:rsid w:val="002324FB"/>
    <w:rsid w:val="0023250D"/>
    <w:rsid w:val="00232793"/>
    <w:rsid w:val="002327DD"/>
    <w:rsid w:val="0023295E"/>
    <w:rsid w:val="00232AC0"/>
    <w:rsid w:val="00232EAF"/>
    <w:rsid w:val="0023302F"/>
    <w:rsid w:val="002332CE"/>
    <w:rsid w:val="00233389"/>
    <w:rsid w:val="002334AF"/>
    <w:rsid w:val="002335F7"/>
    <w:rsid w:val="002337DC"/>
    <w:rsid w:val="0023385B"/>
    <w:rsid w:val="002339B5"/>
    <w:rsid w:val="002339D0"/>
    <w:rsid w:val="00233BE4"/>
    <w:rsid w:val="00233CFD"/>
    <w:rsid w:val="00233DA6"/>
    <w:rsid w:val="00234295"/>
    <w:rsid w:val="00234AA6"/>
    <w:rsid w:val="00234AED"/>
    <w:rsid w:val="00234B77"/>
    <w:rsid w:val="00234BF1"/>
    <w:rsid w:val="002351F1"/>
    <w:rsid w:val="00235450"/>
    <w:rsid w:val="002355E5"/>
    <w:rsid w:val="00235640"/>
    <w:rsid w:val="00235B0E"/>
    <w:rsid w:val="00235BDF"/>
    <w:rsid w:val="00235BEE"/>
    <w:rsid w:val="00235DA2"/>
    <w:rsid w:val="00235FCF"/>
    <w:rsid w:val="00236642"/>
    <w:rsid w:val="00236765"/>
    <w:rsid w:val="00236AC5"/>
    <w:rsid w:val="00236BA3"/>
    <w:rsid w:val="00236C96"/>
    <w:rsid w:val="00237125"/>
    <w:rsid w:val="002371F0"/>
    <w:rsid w:val="00237712"/>
    <w:rsid w:val="00237B33"/>
    <w:rsid w:val="00237BA7"/>
    <w:rsid w:val="00237C8B"/>
    <w:rsid w:val="00237DF5"/>
    <w:rsid w:val="00237E9C"/>
    <w:rsid w:val="00240071"/>
    <w:rsid w:val="00240426"/>
    <w:rsid w:val="00240561"/>
    <w:rsid w:val="00240852"/>
    <w:rsid w:val="00240AC8"/>
    <w:rsid w:val="00240D6D"/>
    <w:rsid w:val="00240F8A"/>
    <w:rsid w:val="0024101A"/>
    <w:rsid w:val="002412CB"/>
    <w:rsid w:val="002412F8"/>
    <w:rsid w:val="00241447"/>
    <w:rsid w:val="0024168E"/>
    <w:rsid w:val="00241690"/>
    <w:rsid w:val="0024172C"/>
    <w:rsid w:val="00241803"/>
    <w:rsid w:val="00241A6C"/>
    <w:rsid w:val="00241B38"/>
    <w:rsid w:val="00241C11"/>
    <w:rsid w:val="00241EB1"/>
    <w:rsid w:val="00241FBF"/>
    <w:rsid w:val="002421DA"/>
    <w:rsid w:val="00242324"/>
    <w:rsid w:val="00242A12"/>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A0"/>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7B8"/>
    <w:rsid w:val="00245972"/>
    <w:rsid w:val="002460FE"/>
    <w:rsid w:val="00246133"/>
    <w:rsid w:val="0024623F"/>
    <w:rsid w:val="00246812"/>
    <w:rsid w:val="002469F5"/>
    <w:rsid w:val="00246BC6"/>
    <w:rsid w:val="00246C6D"/>
    <w:rsid w:val="00246D51"/>
    <w:rsid w:val="00246E3E"/>
    <w:rsid w:val="00246FBC"/>
    <w:rsid w:val="0024701C"/>
    <w:rsid w:val="0024706D"/>
    <w:rsid w:val="002473E8"/>
    <w:rsid w:val="00247A52"/>
    <w:rsid w:val="00247C47"/>
    <w:rsid w:val="00247ED7"/>
    <w:rsid w:val="00250042"/>
    <w:rsid w:val="00250065"/>
    <w:rsid w:val="00250104"/>
    <w:rsid w:val="00250150"/>
    <w:rsid w:val="00250499"/>
    <w:rsid w:val="002504BF"/>
    <w:rsid w:val="00250604"/>
    <w:rsid w:val="0025066C"/>
    <w:rsid w:val="00250861"/>
    <w:rsid w:val="002509A9"/>
    <w:rsid w:val="0025129E"/>
    <w:rsid w:val="00251429"/>
    <w:rsid w:val="002515FE"/>
    <w:rsid w:val="0025163B"/>
    <w:rsid w:val="0025169F"/>
    <w:rsid w:val="00251844"/>
    <w:rsid w:val="002518B2"/>
    <w:rsid w:val="00251A07"/>
    <w:rsid w:val="00251B30"/>
    <w:rsid w:val="00251D5A"/>
    <w:rsid w:val="00251FDC"/>
    <w:rsid w:val="002520EE"/>
    <w:rsid w:val="002522D3"/>
    <w:rsid w:val="0025234D"/>
    <w:rsid w:val="00252427"/>
    <w:rsid w:val="0025246E"/>
    <w:rsid w:val="002525FE"/>
    <w:rsid w:val="002527A2"/>
    <w:rsid w:val="002527B3"/>
    <w:rsid w:val="0025298E"/>
    <w:rsid w:val="00252DF4"/>
    <w:rsid w:val="00252E4C"/>
    <w:rsid w:val="00252F1B"/>
    <w:rsid w:val="00252F1D"/>
    <w:rsid w:val="002531AA"/>
    <w:rsid w:val="0025371C"/>
    <w:rsid w:val="0025374F"/>
    <w:rsid w:val="00253AA7"/>
    <w:rsid w:val="00253CA5"/>
    <w:rsid w:val="00253F9B"/>
    <w:rsid w:val="002540B5"/>
    <w:rsid w:val="00254261"/>
    <w:rsid w:val="002543A7"/>
    <w:rsid w:val="00254481"/>
    <w:rsid w:val="00254AEF"/>
    <w:rsid w:val="00254DFD"/>
    <w:rsid w:val="00254E22"/>
    <w:rsid w:val="00254EFD"/>
    <w:rsid w:val="0025510B"/>
    <w:rsid w:val="002553A1"/>
    <w:rsid w:val="00255507"/>
    <w:rsid w:val="002557F8"/>
    <w:rsid w:val="002558CE"/>
    <w:rsid w:val="00255909"/>
    <w:rsid w:val="00255AFF"/>
    <w:rsid w:val="00255B66"/>
    <w:rsid w:val="00255C30"/>
    <w:rsid w:val="00255DB7"/>
    <w:rsid w:val="00256234"/>
    <w:rsid w:val="002562B4"/>
    <w:rsid w:val="00256587"/>
    <w:rsid w:val="002565FB"/>
    <w:rsid w:val="0025662A"/>
    <w:rsid w:val="00256B21"/>
    <w:rsid w:val="00256DC3"/>
    <w:rsid w:val="00256FCA"/>
    <w:rsid w:val="002570CA"/>
    <w:rsid w:val="0025735E"/>
    <w:rsid w:val="00257615"/>
    <w:rsid w:val="0025784D"/>
    <w:rsid w:val="0025796D"/>
    <w:rsid w:val="00257BBD"/>
    <w:rsid w:val="00257EAF"/>
    <w:rsid w:val="00257EC6"/>
    <w:rsid w:val="00257ED6"/>
    <w:rsid w:val="002601B4"/>
    <w:rsid w:val="00260201"/>
    <w:rsid w:val="0026037B"/>
    <w:rsid w:val="002604FD"/>
    <w:rsid w:val="002605E4"/>
    <w:rsid w:val="00260C7F"/>
    <w:rsid w:val="00260CD6"/>
    <w:rsid w:val="0026110D"/>
    <w:rsid w:val="002615F1"/>
    <w:rsid w:val="00261A56"/>
    <w:rsid w:val="00261B80"/>
    <w:rsid w:val="00261D6D"/>
    <w:rsid w:val="00261DE7"/>
    <w:rsid w:val="00261DF5"/>
    <w:rsid w:val="002622C9"/>
    <w:rsid w:val="002622ED"/>
    <w:rsid w:val="00262352"/>
    <w:rsid w:val="002623EE"/>
    <w:rsid w:val="00262400"/>
    <w:rsid w:val="002628C6"/>
    <w:rsid w:val="0026296A"/>
    <w:rsid w:val="00262A15"/>
    <w:rsid w:val="00262A99"/>
    <w:rsid w:val="00262CA4"/>
    <w:rsid w:val="00262D30"/>
    <w:rsid w:val="00263043"/>
    <w:rsid w:val="00263075"/>
    <w:rsid w:val="002632FD"/>
    <w:rsid w:val="0026338D"/>
    <w:rsid w:val="00263554"/>
    <w:rsid w:val="0026355D"/>
    <w:rsid w:val="00263781"/>
    <w:rsid w:val="0026386D"/>
    <w:rsid w:val="00263C90"/>
    <w:rsid w:val="00263CBD"/>
    <w:rsid w:val="00263D03"/>
    <w:rsid w:val="00263EB7"/>
    <w:rsid w:val="002642DE"/>
    <w:rsid w:val="002643A5"/>
    <w:rsid w:val="002644E1"/>
    <w:rsid w:val="00264548"/>
    <w:rsid w:val="002645A8"/>
    <w:rsid w:val="00264704"/>
    <w:rsid w:val="00264782"/>
    <w:rsid w:val="00264900"/>
    <w:rsid w:val="00264B24"/>
    <w:rsid w:val="00264B40"/>
    <w:rsid w:val="00264B60"/>
    <w:rsid w:val="00264CFA"/>
    <w:rsid w:val="002650FD"/>
    <w:rsid w:val="002654F2"/>
    <w:rsid w:val="00265791"/>
    <w:rsid w:val="00265EFB"/>
    <w:rsid w:val="00266332"/>
    <w:rsid w:val="00266784"/>
    <w:rsid w:val="002667BA"/>
    <w:rsid w:val="00266A1C"/>
    <w:rsid w:val="00266BF6"/>
    <w:rsid w:val="0026712C"/>
    <w:rsid w:val="00267217"/>
    <w:rsid w:val="00267471"/>
    <w:rsid w:val="002674BB"/>
    <w:rsid w:val="002675BA"/>
    <w:rsid w:val="00267698"/>
    <w:rsid w:val="00267925"/>
    <w:rsid w:val="0026796B"/>
    <w:rsid w:val="00267E37"/>
    <w:rsid w:val="00267E98"/>
    <w:rsid w:val="00270039"/>
    <w:rsid w:val="002701E5"/>
    <w:rsid w:val="00270331"/>
    <w:rsid w:val="0027033A"/>
    <w:rsid w:val="0027037A"/>
    <w:rsid w:val="00270464"/>
    <w:rsid w:val="002707CF"/>
    <w:rsid w:val="002708B8"/>
    <w:rsid w:val="00270954"/>
    <w:rsid w:val="00270AA7"/>
    <w:rsid w:val="00270B6C"/>
    <w:rsid w:val="00270EDE"/>
    <w:rsid w:val="00270F10"/>
    <w:rsid w:val="0027143A"/>
    <w:rsid w:val="00271927"/>
    <w:rsid w:val="00271B76"/>
    <w:rsid w:val="00271DC6"/>
    <w:rsid w:val="00271E9A"/>
    <w:rsid w:val="002720D3"/>
    <w:rsid w:val="0027225F"/>
    <w:rsid w:val="00272537"/>
    <w:rsid w:val="00272769"/>
    <w:rsid w:val="002727C2"/>
    <w:rsid w:val="00272E7F"/>
    <w:rsid w:val="00273108"/>
    <w:rsid w:val="002731C8"/>
    <w:rsid w:val="0027386E"/>
    <w:rsid w:val="002739CA"/>
    <w:rsid w:val="002739ED"/>
    <w:rsid w:val="00273A94"/>
    <w:rsid w:val="00273E7D"/>
    <w:rsid w:val="00274416"/>
    <w:rsid w:val="002745F8"/>
    <w:rsid w:val="002746C7"/>
    <w:rsid w:val="00274816"/>
    <w:rsid w:val="002748DF"/>
    <w:rsid w:val="0027490A"/>
    <w:rsid w:val="00274969"/>
    <w:rsid w:val="00274991"/>
    <w:rsid w:val="00274A08"/>
    <w:rsid w:val="00274B8B"/>
    <w:rsid w:val="00274C67"/>
    <w:rsid w:val="00274FAE"/>
    <w:rsid w:val="002751EC"/>
    <w:rsid w:val="00275316"/>
    <w:rsid w:val="002753AF"/>
    <w:rsid w:val="002755A1"/>
    <w:rsid w:val="002756B4"/>
    <w:rsid w:val="002758A0"/>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9A3"/>
    <w:rsid w:val="00276A4B"/>
    <w:rsid w:val="00276AEA"/>
    <w:rsid w:val="00276B43"/>
    <w:rsid w:val="00276B8D"/>
    <w:rsid w:val="00276D58"/>
    <w:rsid w:val="00276DA3"/>
    <w:rsid w:val="00276E70"/>
    <w:rsid w:val="00277058"/>
    <w:rsid w:val="0027711C"/>
    <w:rsid w:val="00277147"/>
    <w:rsid w:val="002771C6"/>
    <w:rsid w:val="002772BA"/>
    <w:rsid w:val="00277401"/>
    <w:rsid w:val="0027742A"/>
    <w:rsid w:val="002775CA"/>
    <w:rsid w:val="002776D8"/>
    <w:rsid w:val="002777C0"/>
    <w:rsid w:val="002777D6"/>
    <w:rsid w:val="00277856"/>
    <w:rsid w:val="00277AC2"/>
    <w:rsid w:val="00277E50"/>
    <w:rsid w:val="00277F3D"/>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8C2"/>
    <w:rsid w:val="00282F4A"/>
    <w:rsid w:val="00283031"/>
    <w:rsid w:val="00283114"/>
    <w:rsid w:val="002832A6"/>
    <w:rsid w:val="002834E4"/>
    <w:rsid w:val="002837B1"/>
    <w:rsid w:val="00283AA1"/>
    <w:rsid w:val="00283C48"/>
    <w:rsid w:val="00283D5E"/>
    <w:rsid w:val="00283E2E"/>
    <w:rsid w:val="00283ED2"/>
    <w:rsid w:val="00283FC0"/>
    <w:rsid w:val="002846A1"/>
    <w:rsid w:val="00284859"/>
    <w:rsid w:val="00284905"/>
    <w:rsid w:val="00284C10"/>
    <w:rsid w:val="00284F69"/>
    <w:rsid w:val="00285306"/>
    <w:rsid w:val="00285314"/>
    <w:rsid w:val="002856BE"/>
    <w:rsid w:val="00285712"/>
    <w:rsid w:val="0028577F"/>
    <w:rsid w:val="0028584C"/>
    <w:rsid w:val="0028596A"/>
    <w:rsid w:val="00285A13"/>
    <w:rsid w:val="00285A27"/>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7F7"/>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BF3"/>
    <w:rsid w:val="00290CC0"/>
    <w:rsid w:val="002911AB"/>
    <w:rsid w:val="00291282"/>
    <w:rsid w:val="00291411"/>
    <w:rsid w:val="0029160D"/>
    <w:rsid w:val="002917B6"/>
    <w:rsid w:val="002917BF"/>
    <w:rsid w:val="002918EC"/>
    <w:rsid w:val="00291B28"/>
    <w:rsid w:val="00291B63"/>
    <w:rsid w:val="00291C4E"/>
    <w:rsid w:val="00291D08"/>
    <w:rsid w:val="00291E70"/>
    <w:rsid w:val="00291FB1"/>
    <w:rsid w:val="00292078"/>
    <w:rsid w:val="00292359"/>
    <w:rsid w:val="002923D5"/>
    <w:rsid w:val="002929F5"/>
    <w:rsid w:val="00292ACA"/>
    <w:rsid w:val="00292B77"/>
    <w:rsid w:val="00292C09"/>
    <w:rsid w:val="00292D49"/>
    <w:rsid w:val="00292E74"/>
    <w:rsid w:val="00293012"/>
    <w:rsid w:val="00293497"/>
    <w:rsid w:val="002938DE"/>
    <w:rsid w:val="00293919"/>
    <w:rsid w:val="002939AF"/>
    <w:rsid w:val="00293BA4"/>
    <w:rsid w:val="00293BCF"/>
    <w:rsid w:val="00293D57"/>
    <w:rsid w:val="00293F96"/>
    <w:rsid w:val="0029467E"/>
    <w:rsid w:val="00294B02"/>
    <w:rsid w:val="00294EEB"/>
    <w:rsid w:val="0029533F"/>
    <w:rsid w:val="0029552E"/>
    <w:rsid w:val="00295708"/>
    <w:rsid w:val="002957E5"/>
    <w:rsid w:val="00295905"/>
    <w:rsid w:val="00295929"/>
    <w:rsid w:val="00295B27"/>
    <w:rsid w:val="00295E71"/>
    <w:rsid w:val="00295FC1"/>
    <w:rsid w:val="00296334"/>
    <w:rsid w:val="0029639D"/>
    <w:rsid w:val="00296560"/>
    <w:rsid w:val="00296875"/>
    <w:rsid w:val="00296B1D"/>
    <w:rsid w:val="00296D9A"/>
    <w:rsid w:val="00296DCD"/>
    <w:rsid w:val="00296E4C"/>
    <w:rsid w:val="00296F89"/>
    <w:rsid w:val="00297535"/>
    <w:rsid w:val="0029776F"/>
    <w:rsid w:val="002977B8"/>
    <w:rsid w:val="00297904"/>
    <w:rsid w:val="0029796B"/>
    <w:rsid w:val="00297B6E"/>
    <w:rsid w:val="00297C57"/>
    <w:rsid w:val="00297D32"/>
    <w:rsid w:val="00297DF3"/>
    <w:rsid w:val="002A00A1"/>
    <w:rsid w:val="002A00E7"/>
    <w:rsid w:val="002A01EE"/>
    <w:rsid w:val="002A0456"/>
    <w:rsid w:val="002A066E"/>
    <w:rsid w:val="002A06B2"/>
    <w:rsid w:val="002A09EF"/>
    <w:rsid w:val="002A0D46"/>
    <w:rsid w:val="002A0DD7"/>
    <w:rsid w:val="002A0E44"/>
    <w:rsid w:val="002A0E83"/>
    <w:rsid w:val="002A1511"/>
    <w:rsid w:val="002A158A"/>
    <w:rsid w:val="002A1691"/>
    <w:rsid w:val="002A17AF"/>
    <w:rsid w:val="002A1875"/>
    <w:rsid w:val="002A19C7"/>
    <w:rsid w:val="002A1DEE"/>
    <w:rsid w:val="002A20F8"/>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75F"/>
    <w:rsid w:val="002A4847"/>
    <w:rsid w:val="002A48D3"/>
    <w:rsid w:val="002A4DA4"/>
    <w:rsid w:val="002A524C"/>
    <w:rsid w:val="002A5575"/>
    <w:rsid w:val="002A5749"/>
    <w:rsid w:val="002A5B18"/>
    <w:rsid w:val="002A5D23"/>
    <w:rsid w:val="002A5D36"/>
    <w:rsid w:val="002A5ECF"/>
    <w:rsid w:val="002A6032"/>
    <w:rsid w:val="002A60AE"/>
    <w:rsid w:val="002A6390"/>
    <w:rsid w:val="002A6B4C"/>
    <w:rsid w:val="002A6C81"/>
    <w:rsid w:val="002A6CB1"/>
    <w:rsid w:val="002A6CBC"/>
    <w:rsid w:val="002A6CFE"/>
    <w:rsid w:val="002A6D50"/>
    <w:rsid w:val="002A71C9"/>
    <w:rsid w:val="002A7544"/>
    <w:rsid w:val="002A77D7"/>
    <w:rsid w:val="002A7A0F"/>
    <w:rsid w:val="002A7B62"/>
    <w:rsid w:val="002A7CF1"/>
    <w:rsid w:val="002A7F5B"/>
    <w:rsid w:val="002B00E2"/>
    <w:rsid w:val="002B02F2"/>
    <w:rsid w:val="002B04FD"/>
    <w:rsid w:val="002B05CF"/>
    <w:rsid w:val="002B0621"/>
    <w:rsid w:val="002B066E"/>
    <w:rsid w:val="002B06F7"/>
    <w:rsid w:val="002B073A"/>
    <w:rsid w:val="002B087D"/>
    <w:rsid w:val="002B0D06"/>
    <w:rsid w:val="002B0FF8"/>
    <w:rsid w:val="002B10A5"/>
    <w:rsid w:val="002B10CA"/>
    <w:rsid w:val="002B1700"/>
    <w:rsid w:val="002B1C7E"/>
    <w:rsid w:val="002B1EAA"/>
    <w:rsid w:val="002B1EF8"/>
    <w:rsid w:val="002B20CC"/>
    <w:rsid w:val="002B2117"/>
    <w:rsid w:val="002B25DB"/>
    <w:rsid w:val="002B284E"/>
    <w:rsid w:val="002B285A"/>
    <w:rsid w:val="002B29B3"/>
    <w:rsid w:val="002B2E51"/>
    <w:rsid w:val="002B2E5D"/>
    <w:rsid w:val="002B2F36"/>
    <w:rsid w:val="002B3141"/>
    <w:rsid w:val="002B3228"/>
    <w:rsid w:val="002B3318"/>
    <w:rsid w:val="002B3342"/>
    <w:rsid w:val="002B3438"/>
    <w:rsid w:val="002B3532"/>
    <w:rsid w:val="002B3571"/>
    <w:rsid w:val="002B35C1"/>
    <w:rsid w:val="002B36C4"/>
    <w:rsid w:val="002B37A2"/>
    <w:rsid w:val="002B380B"/>
    <w:rsid w:val="002B389E"/>
    <w:rsid w:val="002B38E4"/>
    <w:rsid w:val="002B3C62"/>
    <w:rsid w:val="002B3E1D"/>
    <w:rsid w:val="002B3E55"/>
    <w:rsid w:val="002B40E6"/>
    <w:rsid w:val="002B41B7"/>
    <w:rsid w:val="002B425C"/>
    <w:rsid w:val="002B4262"/>
    <w:rsid w:val="002B44C1"/>
    <w:rsid w:val="002B45BD"/>
    <w:rsid w:val="002B45DC"/>
    <w:rsid w:val="002B46EB"/>
    <w:rsid w:val="002B4988"/>
    <w:rsid w:val="002B4A39"/>
    <w:rsid w:val="002B4AC8"/>
    <w:rsid w:val="002B4BF5"/>
    <w:rsid w:val="002B4CAF"/>
    <w:rsid w:val="002B4CB5"/>
    <w:rsid w:val="002B4CC2"/>
    <w:rsid w:val="002B4DE1"/>
    <w:rsid w:val="002B502D"/>
    <w:rsid w:val="002B5166"/>
    <w:rsid w:val="002B518F"/>
    <w:rsid w:val="002B531C"/>
    <w:rsid w:val="002B5632"/>
    <w:rsid w:val="002B597F"/>
    <w:rsid w:val="002B59FD"/>
    <w:rsid w:val="002B5D2F"/>
    <w:rsid w:val="002B6164"/>
    <w:rsid w:val="002B6176"/>
    <w:rsid w:val="002B646E"/>
    <w:rsid w:val="002B6520"/>
    <w:rsid w:val="002B67FB"/>
    <w:rsid w:val="002B6876"/>
    <w:rsid w:val="002B6A46"/>
    <w:rsid w:val="002B6AD4"/>
    <w:rsid w:val="002B6AE5"/>
    <w:rsid w:val="002B6C08"/>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0EE"/>
    <w:rsid w:val="002C02E5"/>
    <w:rsid w:val="002C067A"/>
    <w:rsid w:val="002C0957"/>
    <w:rsid w:val="002C09AB"/>
    <w:rsid w:val="002C0BC7"/>
    <w:rsid w:val="002C0C93"/>
    <w:rsid w:val="002C0D61"/>
    <w:rsid w:val="002C0DAA"/>
    <w:rsid w:val="002C0EA8"/>
    <w:rsid w:val="002C0EB8"/>
    <w:rsid w:val="002C0EF3"/>
    <w:rsid w:val="002C12E0"/>
    <w:rsid w:val="002C1363"/>
    <w:rsid w:val="002C13D3"/>
    <w:rsid w:val="002C1515"/>
    <w:rsid w:val="002C191E"/>
    <w:rsid w:val="002C234D"/>
    <w:rsid w:val="002C26A1"/>
    <w:rsid w:val="002C28A2"/>
    <w:rsid w:val="002C29BA"/>
    <w:rsid w:val="002C2D54"/>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B7F"/>
    <w:rsid w:val="002C4ECA"/>
    <w:rsid w:val="002C5057"/>
    <w:rsid w:val="002C50AE"/>
    <w:rsid w:val="002C5272"/>
    <w:rsid w:val="002C52B0"/>
    <w:rsid w:val="002C52BB"/>
    <w:rsid w:val="002C5322"/>
    <w:rsid w:val="002C53C5"/>
    <w:rsid w:val="002C5696"/>
    <w:rsid w:val="002C56DB"/>
    <w:rsid w:val="002C580F"/>
    <w:rsid w:val="002C5832"/>
    <w:rsid w:val="002C5845"/>
    <w:rsid w:val="002C5A4C"/>
    <w:rsid w:val="002C5D7C"/>
    <w:rsid w:val="002C5F25"/>
    <w:rsid w:val="002C5F4A"/>
    <w:rsid w:val="002C62F5"/>
    <w:rsid w:val="002C6396"/>
    <w:rsid w:val="002C64F2"/>
    <w:rsid w:val="002C6639"/>
    <w:rsid w:val="002C6AE7"/>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0F"/>
    <w:rsid w:val="002D06D8"/>
    <w:rsid w:val="002D0993"/>
    <w:rsid w:val="002D09CD"/>
    <w:rsid w:val="002D0CA6"/>
    <w:rsid w:val="002D0D29"/>
    <w:rsid w:val="002D0EB2"/>
    <w:rsid w:val="002D1025"/>
    <w:rsid w:val="002D11D6"/>
    <w:rsid w:val="002D11EA"/>
    <w:rsid w:val="002D159C"/>
    <w:rsid w:val="002D19F8"/>
    <w:rsid w:val="002D1A07"/>
    <w:rsid w:val="002D1A90"/>
    <w:rsid w:val="002D1C06"/>
    <w:rsid w:val="002D20B0"/>
    <w:rsid w:val="002D2146"/>
    <w:rsid w:val="002D21DF"/>
    <w:rsid w:val="002D23AE"/>
    <w:rsid w:val="002D29D1"/>
    <w:rsid w:val="002D2ADC"/>
    <w:rsid w:val="002D2B96"/>
    <w:rsid w:val="002D2C1E"/>
    <w:rsid w:val="002D2D9F"/>
    <w:rsid w:val="002D2ECA"/>
    <w:rsid w:val="002D2EDC"/>
    <w:rsid w:val="002D32D9"/>
    <w:rsid w:val="002D3492"/>
    <w:rsid w:val="002D34C5"/>
    <w:rsid w:val="002D35AE"/>
    <w:rsid w:val="002D35E1"/>
    <w:rsid w:val="002D3617"/>
    <w:rsid w:val="002D36E6"/>
    <w:rsid w:val="002D38EE"/>
    <w:rsid w:val="002D3A4F"/>
    <w:rsid w:val="002D3C77"/>
    <w:rsid w:val="002D3D98"/>
    <w:rsid w:val="002D3EC4"/>
    <w:rsid w:val="002D4101"/>
    <w:rsid w:val="002D42B7"/>
    <w:rsid w:val="002D4461"/>
    <w:rsid w:val="002D4484"/>
    <w:rsid w:val="002D451D"/>
    <w:rsid w:val="002D480F"/>
    <w:rsid w:val="002D4A67"/>
    <w:rsid w:val="002D4A89"/>
    <w:rsid w:val="002D4D17"/>
    <w:rsid w:val="002D556A"/>
    <w:rsid w:val="002D5656"/>
    <w:rsid w:val="002D5B33"/>
    <w:rsid w:val="002D5B5C"/>
    <w:rsid w:val="002D5E24"/>
    <w:rsid w:val="002D5EF1"/>
    <w:rsid w:val="002D6234"/>
    <w:rsid w:val="002D6392"/>
    <w:rsid w:val="002D6402"/>
    <w:rsid w:val="002D6554"/>
    <w:rsid w:val="002D66E1"/>
    <w:rsid w:val="002D676A"/>
    <w:rsid w:val="002D67DB"/>
    <w:rsid w:val="002D6B40"/>
    <w:rsid w:val="002D6EFF"/>
    <w:rsid w:val="002D7011"/>
    <w:rsid w:val="002D7194"/>
    <w:rsid w:val="002D7213"/>
    <w:rsid w:val="002D726A"/>
    <w:rsid w:val="002D72BB"/>
    <w:rsid w:val="002D76A5"/>
    <w:rsid w:val="002D7965"/>
    <w:rsid w:val="002E0044"/>
    <w:rsid w:val="002E00FB"/>
    <w:rsid w:val="002E0993"/>
    <w:rsid w:val="002E0A10"/>
    <w:rsid w:val="002E0AD2"/>
    <w:rsid w:val="002E0B22"/>
    <w:rsid w:val="002E0C91"/>
    <w:rsid w:val="002E0D1D"/>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397A"/>
    <w:rsid w:val="002E3C7B"/>
    <w:rsid w:val="002E3DDA"/>
    <w:rsid w:val="002E421F"/>
    <w:rsid w:val="002E4257"/>
    <w:rsid w:val="002E4721"/>
    <w:rsid w:val="002E4723"/>
    <w:rsid w:val="002E4E06"/>
    <w:rsid w:val="002E4F75"/>
    <w:rsid w:val="002E51A3"/>
    <w:rsid w:val="002E54A1"/>
    <w:rsid w:val="002E5586"/>
    <w:rsid w:val="002E5875"/>
    <w:rsid w:val="002E58BE"/>
    <w:rsid w:val="002E59B7"/>
    <w:rsid w:val="002E6163"/>
    <w:rsid w:val="002E61AA"/>
    <w:rsid w:val="002E622F"/>
    <w:rsid w:val="002E62DD"/>
    <w:rsid w:val="002E6383"/>
    <w:rsid w:val="002E6675"/>
    <w:rsid w:val="002E6C8A"/>
    <w:rsid w:val="002E6CE2"/>
    <w:rsid w:val="002E6E1F"/>
    <w:rsid w:val="002E6ED1"/>
    <w:rsid w:val="002E6ED6"/>
    <w:rsid w:val="002E6EDD"/>
    <w:rsid w:val="002E70A9"/>
    <w:rsid w:val="002E73BC"/>
    <w:rsid w:val="002E7454"/>
    <w:rsid w:val="002E7602"/>
    <w:rsid w:val="002E7684"/>
    <w:rsid w:val="002E7999"/>
    <w:rsid w:val="002E7AB5"/>
    <w:rsid w:val="002E7BCC"/>
    <w:rsid w:val="002E7E30"/>
    <w:rsid w:val="002F004E"/>
    <w:rsid w:val="002F0092"/>
    <w:rsid w:val="002F0096"/>
    <w:rsid w:val="002F0332"/>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4FA"/>
    <w:rsid w:val="002F2663"/>
    <w:rsid w:val="002F26DC"/>
    <w:rsid w:val="002F2719"/>
    <w:rsid w:val="002F27A6"/>
    <w:rsid w:val="002F2961"/>
    <w:rsid w:val="002F297F"/>
    <w:rsid w:val="002F2A16"/>
    <w:rsid w:val="002F2CA9"/>
    <w:rsid w:val="002F2D41"/>
    <w:rsid w:val="002F2D64"/>
    <w:rsid w:val="002F2D67"/>
    <w:rsid w:val="002F2D8A"/>
    <w:rsid w:val="002F2EC0"/>
    <w:rsid w:val="002F2F01"/>
    <w:rsid w:val="002F3169"/>
    <w:rsid w:val="002F33A6"/>
    <w:rsid w:val="002F33EA"/>
    <w:rsid w:val="002F348E"/>
    <w:rsid w:val="002F350C"/>
    <w:rsid w:val="002F35E7"/>
    <w:rsid w:val="002F3602"/>
    <w:rsid w:val="002F3ADE"/>
    <w:rsid w:val="002F3EB3"/>
    <w:rsid w:val="002F3F1B"/>
    <w:rsid w:val="002F3F2F"/>
    <w:rsid w:val="002F3F3E"/>
    <w:rsid w:val="002F3FC3"/>
    <w:rsid w:val="002F41C0"/>
    <w:rsid w:val="002F4344"/>
    <w:rsid w:val="002F4435"/>
    <w:rsid w:val="002F44BD"/>
    <w:rsid w:val="002F44E6"/>
    <w:rsid w:val="002F453E"/>
    <w:rsid w:val="002F4A13"/>
    <w:rsid w:val="002F4E0A"/>
    <w:rsid w:val="002F53B9"/>
    <w:rsid w:val="002F5704"/>
    <w:rsid w:val="002F571E"/>
    <w:rsid w:val="002F5C02"/>
    <w:rsid w:val="002F5CD4"/>
    <w:rsid w:val="002F5E41"/>
    <w:rsid w:val="002F5E52"/>
    <w:rsid w:val="002F5F34"/>
    <w:rsid w:val="002F5FDE"/>
    <w:rsid w:val="002F608B"/>
    <w:rsid w:val="002F621F"/>
    <w:rsid w:val="002F633C"/>
    <w:rsid w:val="002F6691"/>
    <w:rsid w:val="002F6802"/>
    <w:rsid w:val="002F6892"/>
    <w:rsid w:val="002F68F5"/>
    <w:rsid w:val="002F6D58"/>
    <w:rsid w:val="002F6DD1"/>
    <w:rsid w:val="002F707C"/>
    <w:rsid w:val="002F736A"/>
    <w:rsid w:val="002F736E"/>
    <w:rsid w:val="002F75A3"/>
    <w:rsid w:val="002F7639"/>
    <w:rsid w:val="002F764A"/>
    <w:rsid w:val="002F7664"/>
    <w:rsid w:val="002F77EC"/>
    <w:rsid w:val="002F7B45"/>
    <w:rsid w:val="002F7E6C"/>
    <w:rsid w:val="002F7EEB"/>
    <w:rsid w:val="002F7F33"/>
    <w:rsid w:val="002F7F95"/>
    <w:rsid w:val="003003E9"/>
    <w:rsid w:val="00300607"/>
    <w:rsid w:val="00300BFC"/>
    <w:rsid w:val="00300CAB"/>
    <w:rsid w:val="00300D8B"/>
    <w:rsid w:val="00301052"/>
    <w:rsid w:val="00301186"/>
    <w:rsid w:val="003012F3"/>
    <w:rsid w:val="003013BA"/>
    <w:rsid w:val="003013BF"/>
    <w:rsid w:val="003013F3"/>
    <w:rsid w:val="00301620"/>
    <w:rsid w:val="00301668"/>
    <w:rsid w:val="003016CA"/>
    <w:rsid w:val="003016F0"/>
    <w:rsid w:val="003017D5"/>
    <w:rsid w:val="003017ED"/>
    <w:rsid w:val="003018F5"/>
    <w:rsid w:val="00301987"/>
    <w:rsid w:val="00301EE9"/>
    <w:rsid w:val="00301FBC"/>
    <w:rsid w:val="003023CD"/>
    <w:rsid w:val="0030260C"/>
    <w:rsid w:val="00302672"/>
    <w:rsid w:val="00302810"/>
    <w:rsid w:val="00302A19"/>
    <w:rsid w:val="00302A53"/>
    <w:rsid w:val="00302ABD"/>
    <w:rsid w:val="00302B9C"/>
    <w:rsid w:val="00302C70"/>
    <w:rsid w:val="00302D01"/>
    <w:rsid w:val="00302E86"/>
    <w:rsid w:val="00302EE2"/>
    <w:rsid w:val="003032C7"/>
    <w:rsid w:val="003034FA"/>
    <w:rsid w:val="0030370E"/>
    <w:rsid w:val="003037A4"/>
    <w:rsid w:val="003039E6"/>
    <w:rsid w:val="00303A19"/>
    <w:rsid w:val="00303A1D"/>
    <w:rsid w:val="00303AB7"/>
    <w:rsid w:val="00303E6A"/>
    <w:rsid w:val="00304335"/>
    <w:rsid w:val="0030441F"/>
    <w:rsid w:val="00304454"/>
    <w:rsid w:val="003046D0"/>
    <w:rsid w:val="00304758"/>
    <w:rsid w:val="003047BF"/>
    <w:rsid w:val="0030490D"/>
    <w:rsid w:val="00304A48"/>
    <w:rsid w:val="00304AFE"/>
    <w:rsid w:val="00304B8A"/>
    <w:rsid w:val="00304F46"/>
    <w:rsid w:val="003052AB"/>
    <w:rsid w:val="003055EB"/>
    <w:rsid w:val="0030562F"/>
    <w:rsid w:val="00305D0E"/>
    <w:rsid w:val="00305FDE"/>
    <w:rsid w:val="0030622C"/>
    <w:rsid w:val="003062C6"/>
    <w:rsid w:val="0030638F"/>
    <w:rsid w:val="003064E8"/>
    <w:rsid w:val="0030654D"/>
    <w:rsid w:val="00306557"/>
    <w:rsid w:val="003065E4"/>
    <w:rsid w:val="00306709"/>
    <w:rsid w:val="00306D9F"/>
    <w:rsid w:val="00306DA5"/>
    <w:rsid w:val="00306E6D"/>
    <w:rsid w:val="00306E9B"/>
    <w:rsid w:val="00306FC9"/>
    <w:rsid w:val="0030730A"/>
    <w:rsid w:val="0030730E"/>
    <w:rsid w:val="00307877"/>
    <w:rsid w:val="0030792F"/>
    <w:rsid w:val="003079D0"/>
    <w:rsid w:val="00307A94"/>
    <w:rsid w:val="00307C74"/>
    <w:rsid w:val="00307F89"/>
    <w:rsid w:val="0031003F"/>
    <w:rsid w:val="00310638"/>
    <w:rsid w:val="00310741"/>
    <w:rsid w:val="003113D7"/>
    <w:rsid w:val="003114A8"/>
    <w:rsid w:val="003115F6"/>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1D"/>
    <w:rsid w:val="003130E8"/>
    <w:rsid w:val="003131E3"/>
    <w:rsid w:val="00313241"/>
    <w:rsid w:val="003136ED"/>
    <w:rsid w:val="00313D9D"/>
    <w:rsid w:val="003140A8"/>
    <w:rsid w:val="003141FD"/>
    <w:rsid w:val="00314235"/>
    <w:rsid w:val="00314291"/>
    <w:rsid w:val="003144BC"/>
    <w:rsid w:val="0031494D"/>
    <w:rsid w:val="0031495F"/>
    <w:rsid w:val="00314AAF"/>
    <w:rsid w:val="00314D15"/>
    <w:rsid w:val="00314D31"/>
    <w:rsid w:val="00314E2B"/>
    <w:rsid w:val="00314EFE"/>
    <w:rsid w:val="00315055"/>
    <w:rsid w:val="0031524C"/>
    <w:rsid w:val="003152F2"/>
    <w:rsid w:val="0031572F"/>
    <w:rsid w:val="00315BEE"/>
    <w:rsid w:val="00315D8D"/>
    <w:rsid w:val="00315E32"/>
    <w:rsid w:val="00315F20"/>
    <w:rsid w:val="00316055"/>
    <w:rsid w:val="003160B1"/>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17908"/>
    <w:rsid w:val="00320028"/>
    <w:rsid w:val="00320187"/>
    <w:rsid w:val="00320305"/>
    <w:rsid w:val="003203EF"/>
    <w:rsid w:val="00320658"/>
    <w:rsid w:val="003207F3"/>
    <w:rsid w:val="0032088E"/>
    <w:rsid w:val="00320E72"/>
    <w:rsid w:val="003213AC"/>
    <w:rsid w:val="003215F9"/>
    <w:rsid w:val="0032187C"/>
    <w:rsid w:val="00321898"/>
    <w:rsid w:val="003219FA"/>
    <w:rsid w:val="00321F0D"/>
    <w:rsid w:val="0032215D"/>
    <w:rsid w:val="00322197"/>
    <w:rsid w:val="00322400"/>
    <w:rsid w:val="00322572"/>
    <w:rsid w:val="0032269F"/>
    <w:rsid w:val="003227CF"/>
    <w:rsid w:val="003227D9"/>
    <w:rsid w:val="003229A5"/>
    <w:rsid w:val="00322AC9"/>
    <w:rsid w:val="00322CEC"/>
    <w:rsid w:val="00322D51"/>
    <w:rsid w:val="00322F07"/>
    <w:rsid w:val="003230FA"/>
    <w:rsid w:val="00323139"/>
    <w:rsid w:val="003231A6"/>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4D5"/>
    <w:rsid w:val="0032659E"/>
    <w:rsid w:val="003265E7"/>
    <w:rsid w:val="003265F3"/>
    <w:rsid w:val="0032669D"/>
    <w:rsid w:val="00326A80"/>
    <w:rsid w:val="00326B2E"/>
    <w:rsid w:val="00326FF0"/>
    <w:rsid w:val="00327291"/>
    <w:rsid w:val="003275CB"/>
    <w:rsid w:val="003278B6"/>
    <w:rsid w:val="00327C96"/>
    <w:rsid w:val="00327F45"/>
    <w:rsid w:val="00327FE1"/>
    <w:rsid w:val="0033004E"/>
    <w:rsid w:val="0033016A"/>
    <w:rsid w:val="003301B9"/>
    <w:rsid w:val="003301C3"/>
    <w:rsid w:val="00330B18"/>
    <w:rsid w:val="00330D71"/>
    <w:rsid w:val="003315DC"/>
    <w:rsid w:val="00331758"/>
    <w:rsid w:val="00331C19"/>
    <w:rsid w:val="00331F7B"/>
    <w:rsid w:val="00332228"/>
    <w:rsid w:val="003322B4"/>
    <w:rsid w:val="003322E8"/>
    <w:rsid w:val="003324B7"/>
    <w:rsid w:val="003325BF"/>
    <w:rsid w:val="003325EB"/>
    <w:rsid w:val="003325F4"/>
    <w:rsid w:val="003327DF"/>
    <w:rsid w:val="00332908"/>
    <w:rsid w:val="00332A0B"/>
    <w:rsid w:val="00332A47"/>
    <w:rsid w:val="00332B3E"/>
    <w:rsid w:val="00332B90"/>
    <w:rsid w:val="00333157"/>
    <w:rsid w:val="003334A5"/>
    <w:rsid w:val="00333502"/>
    <w:rsid w:val="00333541"/>
    <w:rsid w:val="00333553"/>
    <w:rsid w:val="00333681"/>
    <w:rsid w:val="003336C3"/>
    <w:rsid w:val="003338FF"/>
    <w:rsid w:val="00333914"/>
    <w:rsid w:val="003339D6"/>
    <w:rsid w:val="00333F89"/>
    <w:rsid w:val="00333FB1"/>
    <w:rsid w:val="00334249"/>
    <w:rsid w:val="003345BF"/>
    <w:rsid w:val="00334A3D"/>
    <w:rsid w:val="00334A6A"/>
    <w:rsid w:val="00334DD2"/>
    <w:rsid w:val="00334E9D"/>
    <w:rsid w:val="00334FC3"/>
    <w:rsid w:val="0033524C"/>
    <w:rsid w:val="003354C8"/>
    <w:rsid w:val="003355DD"/>
    <w:rsid w:val="00335800"/>
    <w:rsid w:val="00335849"/>
    <w:rsid w:val="003358B3"/>
    <w:rsid w:val="003359B9"/>
    <w:rsid w:val="00335C2F"/>
    <w:rsid w:val="00335C95"/>
    <w:rsid w:val="00335F65"/>
    <w:rsid w:val="00335FA9"/>
    <w:rsid w:val="00335FF2"/>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972"/>
    <w:rsid w:val="00337B5A"/>
    <w:rsid w:val="00337C7B"/>
    <w:rsid w:val="00337D1D"/>
    <w:rsid w:val="00337FC4"/>
    <w:rsid w:val="00340014"/>
    <w:rsid w:val="00340245"/>
    <w:rsid w:val="0034060B"/>
    <w:rsid w:val="0034065D"/>
    <w:rsid w:val="00340718"/>
    <w:rsid w:val="00340888"/>
    <w:rsid w:val="00340B47"/>
    <w:rsid w:val="00340BDC"/>
    <w:rsid w:val="00340F1F"/>
    <w:rsid w:val="00341185"/>
    <w:rsid w:val="0034179B"/>
    <w:rsid w:val="00341A17"/>
    <w:rsid w:val="00341A8B"/>
    <w:rsid w:val="00341CFB"/>
    <w:rsid w:val="00341E81"/>
    <w:rsid w:val="00342094"/>
    <w:rsid w:val="003421D1"/>
    <w:rsid w:val="0034225D"/>
    <w:rsid w:val="003426DD"/>
    <w:rsid w:val="00342785"/>
    <w:rsid w:val="003428E8"/>
    <w:rsid w:val="00342B67"/>
    <w:rsid w:val="00342C1D"/>
    <w:rsid w:val="00343098"/>
    <w:rsid w:val="00343555"/>
    <w:rsid w:val="00343567"/>
    <w:rsid w:val="003435AD"/>
    <w:rsid w:val="0034379F"/>
    <w:rsid w:val="0034386E"/>
    <w:rsid w:val="00343CCD"/>
    <w:rsid w:val="00343F1C"/>
    <w:rsid w:val="00344001"/>
    <w:rsid w:val="0034434F"/>
    <w:rsid w:val="003445C2"/>
    <w:rsid w:val="003445D6"/>
    <w:rsid w:val="00344893"/>
    <w:rsid w:val="00344CA2"/>
    <w:rsid w:val="00344E50"/>
    <w:rsid w:val="00345469"/>
    <w:rsid w:val="003457B8"/>
    <w:rsid w:val="0034581F"/>
    <w:rsid w:val="003458A0"/>
    <w:rsid w:val="00345A10"/>
    <w:rsid w:val="00345DB9"/>
    <w:rsid w:val="00345F57"/>
    <w:rsid w:val="003460FF"/>
    <w:rsid w:val="00346218"/>
    <w:rsid w:val="00346850"/>
    <w:rsid w:val="003469F1"/>
    <w:rsid w:val="00346A6F"/>
    <w:rsid w:val="00346B32"/>
    <w:rsid w:val="00346B5E"/>
    <w:rsid w:val="00346C45"/>
    <w:rsid w:val="00346CDC"/>
    <w:rsid w:val="00346D1A"/>
    <w:rsid w:val="00346FDB"/>
    <w:rsid w:val="00346FFB"/>
    <w:rsid w:val="00347095"/>
    <w:rsid w:val="0034761D"/>
    <w:rsid w:val="00347954"/>
    <w:rsid w:val="00347ACA"/>
    <w:rsid w:val="00347BB1"/>
    <w:rsid w:val="00347D36"/>
    <w:rsid w:val="00347D5F"/>
    <w:rsid w:val="00347FF3"/>
    <w:rsid w:val="003500E9"/>
    <w:rsid w:val="00350101"/>
    <w:rsid w:val="003501FA"/>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D8"/>
    <w:rsid w:val="003511F4"/>
    <w:rsid w:val="00351370"/>
    <w:rsid w:val="003515C8"/>
    <w:rsid w:val="0035168D"/>
    <w:rsid w:val="003517E6"/>
    <w:rsid w:val="00351939"/>
    <w:rsid w:val="00351986"/>
    <w:rsid w:val="00351CCD"/>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322"/>
    <w:rsid w:val="00354532"/>
    <w:rsid w:val="00354759"/>
    <w:rsid w:val="00354DAE"/>
    <w:rsid w:val="003550CA"/>
    <w:rsid w:val="00355184"/>
    <w:rsid w:val="003552A4"/>
    <w:rsid w:val="003555A7"/>
    <w:rsid w:val="003557A6"/>
    <w:rsid w:val="003557E3"/>
    <w:rsid w:val="003558D7"/>
    <w:rsid w:val="00355968"/>
    <w:rsid w:val="003561DF"/>
    <w:rsid w:val="0035651B"/>
    <w:rsid w:val="00356734"/>
    <w:rsid w:val="00356C97"/>
    <w:rsid w:val="003572D7"/>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8D1"/>
    <w:rsid w:val="003619F6"/>
    <w:rsid w:val="00361A16"/>
    <w:rsid w:val="00361B86"/>
    <w:rsid w:val="00361D07"/>
    <w:rsid w:val="00361E23"/>
    <w:rsid w:val="00361F38"/>
    <w:rsid w:val="00361FDF"/>
    <w:rsid w:val="003622AC"/>
    <w:rsid w:val="00362303"/>
    <w:rsid w:val="0036251F"/>
    <w:rsid w:val="00362BEA"/>
    <w:rsid w:val="00362D7C"/>
    <w:rsid w:val="00362DBD"/>
    <w:rsid w:val="00362F4E"/>
    <w:rsid w:val="00362F81"/>
    <w:rsid w:val="0036303C"/>
    <w:rsid w:val="00363098"/>
    <w:rsid w:val="0036320F"/>
    <w:rsid w:val="00363307"/>
    <w:rsid w:val="0036371D"/>
    <w:rsid w:val="00363886"/>
    <w:rsid w:val="003648EB"/>
    <w:rsid w:val="00364AE6"/>
    <w:rsid w:val="00364CF8"/>
    <w:rsid w:val="00364DBC"/>
    <w:rsid w:val="00364E75"/>
    <w:rsid w:val="00364EE4"/>
    <w:rsid w:val="00365073"/>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63"/>
    <w:rsid w:val="003718C3"/>
    <w:rsid w:val="00371B5B"/>
    <w:rsid w:val="00371BB8"/>
    <w:rsid w:val="00371DE5"/>
    <w:rsid w:val="00371E3E"/>
    <w:rsid w:val="00371EF8"/>
    <w:rsid w:val="003720D2"/>
    <w:rsid w:val="00372165"/>
    <w:rsid w:val="003723CB"/>
    <w:rsid w:val="0037249A"/>
    <w:rsid w:val="003725BC"/>
    <w:rsid w:val="003728CB"/>
    <w:rsid w:val="003729BC"/>
    <w:rsid w:val="00372A01"/>
    <w:rsid w:val="00373340"/>
    <w:rsid w:val="00373643"/>
    <w:rsid w:val="003737A4"/>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99B"/>
    <w:rsid w:val="003749F9"/>
    <w:rsid w:val="00374B83"/>
    <w:rsid w:val="00374C20"/>
    <w:rsid w:val="00375190"/>
    <w:rsid w:val="0037532B"/>
    <w:rsid w:val="00375399"/>
    <w:rsid w:val="003753DE"/>
    <w:rsid w:val="0037540D"/>
    <w:rsid w:val="00375648"/>
    <w:rsid w:val="0037567C"/>
    <w:rsid w:val="003757F5"/>
    <w:rsid w:val="0037584F"/>
    <w:rsid w:val="00375AD0"/>
    <w:rsid w:val="00375BEE"/>
    <w:rsid w:val="00375C9D"/>
    <w:rsid w:val="00375F03"/>
    <w:rsid w:val="0037616A"/>
    <w:rsid w:val="0037621C"/>
    <w:rsid w:val="00376256"/>
    <w:rsid w:val="00376533"/>
    <w:rsid w:val="0037659D"/>
    <w:rsid w:val="003767B6"/>
    <w:rsid w:val="003769B4"/>
    <w:rsid w:val="00376A4B"/>
    <w:rsid w:val="00376B06"/>
    <w:rsid w:val="00376BFD"/>
    <w:rsid w:val="00376C7C"/>
    <w:rsid w:val="00376DE3"/>
    <w:rsid w:val="00376E80"/>
    <w:rsid w:val="00376FB2"/>
    <w:rsid w:val="003774A1"/>
    <w:rsid w:val="00377703"/>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0DC8"/>
    <w:rsid w:val="0038130C"/>
    <w:rsid w:val="00381893"/>
    <w:rsid w:val="003818E3"/>
    <w:rsid w:val="00381AF0"/>
    <w:rsid w:val="00381F0C"/>
    <w:rsid w:val="00382135"/>
    <w:rsid w:val="003822BF"/>
    <w:rsid w:val="003823AA"/>
    <w:rsid w:val="0038240E"/>
    <w:rsid w:val="003825FA"/>
    <w:rsid w:val="00382746"/>
    <w:rsid w:val="003827DA"/>
    <w:rsid w:val="0038296E"/>
    <w:rsid w:val="003829B4"/>
    <w:rsid w:val="00382B44"/>
    <w:rsid w:val="00382BB0"/>
    <w:rsid w:val="00382C3E"/>
    <w:rsid w:val="00382C85"/>
    <w:rsid w:val="00382E18"/>
    <w:rsid w:val="00382F72"/>
    <w:rsid w:val="003834F9"/>
    <w:rsid w:val="0038369C"/>
    <w:rsid w:val="00383D1B"/>
    <w:rsid w:val="00383D65"/>
    <w:rsid w:val="00383D69"/>
    <w:rsid w:val="00383E08"/>
    <w:rsid w:val="00384368"/>
    <w:rsid w:val="003844D1"/>
    <w:rsid w:val="00384595"/>
    <w:rsid w:val="00384959"/>
    <w:rsid w:val="00384B20"/>
    <w:rsid w:val="00384BD4"/>
    <w:rsid w:val="00384F33"/>
    <w:rsid w:val="0038511E"/>
    <w:rsid w:val="0038520A"/>
    <w:rsid w:val="00385227"/>
    <w:rsid w:val="00385392"/>
    <w:rsid w:val="00385498"/>
    <w:rsid w:val="0038560D"/>
    <w:rsid w:val="00385718"/>
    <w:rsid w:val="00385720"/>
    <w:rsid w:val="00385BE1"/>
    <w:rsid w:val="00385C05"/>
    <w:rsid w:val="00385E0E"/>
    <w:rsid w:val="00385F94"/>
    <w:rsid w:val="0038607E"/>
    <w:rsid w:val="0038613F"/>
    <w:rsid w:val="00386197"/>
    <w:rsid w:val="00386444"/>
    <w:rsid w:val="003865C2"/>
    <w:rsid w:val="003866AD"/>
    <w:rsid w:val="0038679C"/>
    <w:rsid w:val="00386B1B"/>
    <w:rsid w:val="00386B70"/>
    <w:rsid w:val="00386F4D"/>
    <w:rsid w:val="003871C9"/>
    <w:rsid w:val="003872CF"/>
    <w:rsid w:val="00387682"/>
    <w:rsid w:val="00387694"/>
    <w:rsid w:val="003877C9"/>
    <w:rsid w:val="00387A3C"/>
    <w:rsid w:val="00387A89"/>
    <w:rsid w:val="00387CD7"/>
    <w:rsid w:val="00390019"/>
    <w:rsid w:val="0039023A"/>
    <w:rsid w:val="0039043F"/>
    <w:rsid w:val="00390578"/>
    <w:rsid w:val="00390A07"/>
    <w:rsid w:val="00390AB5"/>
    <w:rsid w:val="00390C2B"/>
    <w:rsid w:val="00390E48"/>
    <w:rsid w:val="00390FD1"/>
    <w:rsid w:val="00391086"/>
    <w:rsid w:val="0039118A"/>
    <w:rsid w:val="0039132D"/>
    <w:rsid w:val="00391638"/>
    <w:rsid w:val="00391699"/>
    <w:rsid w:val="003917E3"/>
    <w:rsid w:val="00391CA6"/>
    <w:rsid w:val="00391ECE"/>
    <w:rsid w:val="0039213A"/>
    <w:rsid w:val="003921D2"/>
    <w:rsid w:val="0039230A"/>
    <w:rsid w:val="00392327"/>
    <w:rsid w:val="00392353"/>
    <w:rsid w:val="0039239D"/>
    <w:rsid w:val="003923BD"/>
    <w:rsid w:val="003924B2"/>
    <w:rsid w:val="003926DC"/>
    <w:rsid w:val="00392ABD"/>
    <w:rsid w:val="00392FB8"/>
    <w:rsid w:val="0039307C"/>
    <w:rsid w:val="00393197"/>
    <w:rsid w:val="00393448"/>
    <w:rsid w:val="00393490"/>
    <w:rsid w:val="003934EE"/>
    <w:rsid w:val="00393611"/>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495C"/>
    <w:rsid w:val="003952D0"/>
    <w:rsid w:val="00395373"/>
    <w:rsid w:val="003954B1"/>
    <w:rsid w:val="003955B5"/>
    <w:rsid w:val="00395876"/>
    <w:rsid w:val="00395967"/>
    <w:rsid w:val="00395B6B"/>
    <w:rsid w:val="00395C2B"/>
    <w:rsid w:val="00395CAE"/>
    <w:rsid w:val="00395E4B"/>
    <w:rsid w:val="00395FF5"/>
    <w:rsid w:val="00396080"/>
    <w:rsid w:val="0039612B"/>
    <w:rsid w:val="0039619B"/>
    <w:rsid w:val="0039653A"/>
    <w:rsid w:val="003966E9"/>
    <w:rsid w:val="00396ADA"/>
    <w:rsid w:val="00396EB5"/>
    <w:rsid w:val="003970A7"/>
    <w:rsid w:val="0039735D"/>
    <w:rsid w:val="00397502"/>
    <w:rsid w:val="00397515"/>
    <w:rsid w:val="00397608"/>
    <w:rsid w:val="00397999"/>
    <w:rsid w:val="00397BFE"/>
    <w:rsid w:val="003A00FB"/>
    <w:rsid w:val="003A03C1"/>
    <w:rsid w:val="003A0486"/>
    <w:rsid w:val="003A057E"/>
    <w:rsid w:val="003A067E"/>
    <w:rsid w:val="003A0AB9"/>
    <w:rsid w:val="003A0AD7"/>
    <w:rsid w:val="003A0D5B"/>
    <w:rsid w:val="003A0EF0"/>
    <w:rsid w:val="003A0FFF"/>
    <w:rsid w:val="003A10D5"/>
    <w:rsid w:val="003A1113"/>
    <w:rsid w:val="003A1194"/>
    <w:rsid w:val="003A1452"/>
    <w:rsid w:val="003A150B"/>
    <w:rsid w:val="003A152A"/>
    <w:rsid w:val="003A1725"/>
    <w:rsid w:val="003A1813"/>
    <w:rsid w:val="003A18A4"/>
    <w:rsid w:val="003A197C"/>
    <w:rsid w:val="003A1A10"/>
    <w:rsid w:val="003A1BDA"/>
    <w:rsid w:val="003A1CFF"/>
    <w:rsid w:val="003A1D63"/>
    <w:rsid w:val="003A1DBA"/>
    <w:rsid w:val="003A1ED4"/>
    <w:rsid w:val="003A1FA6"/>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373"/>
    <w:rsid w:val="003A3562"/>
    <w:rsid w:val="003A359E"/>
    <w:rsid w:val="003A368D"/>
    <w:rsid w:val="003A36F5"/>
    <w:rsid w:val="003A3799"/>
    <w:rsid w:val="003A38FB"/>
    <w:rsid w:val="003A3CC8"/>
    <w:rsid w:val="003A3E85"/>
    <w:rsid w:val="003A40D2"/>
    <w:rsid w:val="003A431B"/>
    <w:rsid w:val="003A4534"/>
    <w:rsid w:val="003A455D"/>
    <w:rsid w:val="003A4C0C"/>
    <w:rsid w:val="003A4E85"/>
    <w:rsid w:val="003A5178"/>
    <w:rsid w:val="003A51BE"/>
    <w:rsid w:val="003A5374"/>
    <w:rsid w:val="003A55F8"/>
    <w:rsid w:val="003A562F"/>
    <w:rsid w:val="003A5788"/>
    <w:rsid w:val="003A5964"/>
    <w:rsid w:val="003A5E83"/>
    <w:rsid w:val="003A5FBB"/>
    <w:rsid w:val="003A6294"/>
    <w:rsid w:val="003A63A6"/>
    <w:rsid w:val="003A6719"/>
    <w:rsid w:val="003A68AE"/>
    <w:rsid w:val="003A698E"/>
    <w:rsid w:val="003A6C3E"/>
    <w:rsid w:val="003A6FA2"/>
    <w:rsid w:val="003A719D"/>
    <w:rsid w:val="003A73EB"/>
    <w:rsid w:val="003A745D"/>
    <w:rsid w:val="003A749F"/>
    <w:rsid w:val="003A753E"/>
    <w:rsid w:val="003A7605"/>
    <w:rsid w:val="003A78C5"/>
    <w:rsid w:val="003A7AA7"/>
    <w:rsid w:val="003A7C53"/>
    <w:rsid w:val="003A7D05"/>
    <w:rsid w:val="003A7D64"/>
    <w:rsid w:val="003B00AE"/>
    <w:rsid w:val="003B0306"/>
    <w:rsid w:val="003B0365"/>
    <w:rsid w:val="003B07AC"/>
    <w:rsid w:val="003B08E8"/>
    <w:rsid w:val="003B09EC"/>
    <w:rsid w:val="003B0B19"/>
    <w:rsid w:val="003B0CA6"/>
    <w:rsid w:val="003B0D96"/>
    <w:rsid w:val="003B0D9A"/>
    <w:rsid w:val="003B0E65"/>
    <w:rsid w:val="003B0EF6"/>
    <w:rsid w:val="003B0FFF"/>
    <w:rsid w:val="003B121F"/>
    <w:rsid w:val="003B122B"/>
    <w:rsid w:val="003B126E"/>
    <w:rsid w:val="003B1A0F"/>
    <w:rsid w:val="003B1AC0"/>
    <w:rsid w:val="003B1D6F"/>
    <w:rsid w:val="003B1FE6"/>
    <w:rsid w:val="003B2035"/>
    <w:rsid w:val="003B2168"/>
    <w:rsid w:val="003B21DA"/>
    <w:rsid w:val="003B223B"/>
    <w:rsid w:val="003B2502"/>
    <w:rsid w:val="003B2664"/>
    <w:rsid w:val="003B2710"/>
    <w:rsid w:val="003B27CC"/>
    <w:rsid w:val="003B2CF2"/>
    <w:rsid w:val="003B2F25"/>
    <w:rsid w:val="003B3002"/>
    <w:rsid w:val="003B30AB"/>
    <w:rsid w:val="003B3E4A"/>
    <w:rsid w:val="003B480C"/>
    <w:rsid w:val="003B486E"/>
    <w:rsid w:val="003B48F2"/>
    <w:rsid w:val="003B4956"/>
    <w:rsid w:val="003B497D"/>
    <w:rsid w:val="003B4AA6"/>
    <w:rsid w:val="003B4D31"/>
    <w:rsid w:val="003B4E1F"/>
    <w:rsid w:val="003B4E60"/>
    <w:rsid w:val="003B5128"/>
    <w:rsid w:val="003B5268"/>
    <w:rsid w:val="003B5445"/>
    <w:rsid w:val="003B5675"/>
    <w:rsid w:val="003B58A1"/>
    <w:rsid w:val="003B5B4D"/>
    <w:rsid w:val="003B60FB"/>
    <w:rsid w:val="003B6C76"/>
    <w:rsid w:val="003B6E88"/>
    <w:rsid w:val="003B6F92"/>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2B0"/>
    <w:rsid w:val="003C1550"/>
    <w:rsid w:val="003C159E"/>
    <w:rsid w:val="003C169B"/>
    <w:rsid w:val="003C1813"/>
    <w:rsid w:val="003C19B8"/>
    <w:rsid w:val="003C19E0"/>
    <w:rsid w:val="003C1CAF"/>
    <w:rsid w:val="003C23D6"/>
    <w:rsid w:val="003C23E4"/>
    <w:rsid w:val="003C2415"/>
    <w:rsid w:val="003C248A"/>
    <w:rsid w:val="003C264D"/>
    <w:rsid w:val="003C2A7B"/>
    <w:rsid w:val="003C2B3C"/>
    <w:rsid w:val="003C3747"/>
    <w:rsid w:val="003C3B28"/>
    <w:rsid w:val="003C40BF"/>
    <w:rsid w:val="003C412E"/>
    <w:rsid w:val="003C417A"/>
    <w:rsid w:val="003C4233"/>
    <w:rsid w:val="003C43A6"/>
    <w:rsid w:val="003C43D1"/>
    <w:rsid w:val="003C4515"/>
    <w:rsid w:val="003C4840"/>
    <w:rsid w:val="003C4E96"/>
    <w:rsid w:val="003C5054"/>
    <w:rsid w:val="003C5201"/>
    <w:rsid w:val="003C5276"/>
    <w:rsid w:val="003C54E8"/>
    <w:rsid w:val="003C5687"/>
    <w:rsid w:val="003C578D"/>
    <w:rsid w:val="003C5793"/>
    <w:rsid w:val="003C5C29"/>
    <w:rsid w:val="003C5E34"/>
    <w:rsid w:val="003C5FC9"/>
    <w:rsid w:val="003C63F2"/>
    <w:rsid w:val="003C6594"/>
    <w:rsid w:val="003C66FA"/>
    <w:rsid w:val="003C67CC"/>
    <w:rsid w:val="003C69E0"/>
    <w:rsid w:val="003C6A20"/>
    <w:rsid w:val="003C6C32"/>
    <w:rsid w:val="003C7242"/>
    <w:rsid w:val="003C7310"/>
    <w:rsid w:val="003C754C"/>
    <w:rsid w:val="003C7838"/>
    <w:rsid w:val="003C7872"/>
    <w:rsid w:val="003C7ABC"/>
    <w:rsid w:val="003C7B69"/>
    <w:rsid w:val="003C7D93"/>
    <w:rsid w:val="003D0071"/>
    <w:rsid w:val="003D0106"/>
    <w:rsid w:val="003D03B4"/>
    <w:rsid w:val="003D0B51"/>
    <w:rsid w:val="003D0D10"/>
    <w:rsid w:val="003D11E9"/>
    <w:rsid w:val="003D1254"/>
    <w:rsid w:val="003D1397"/>
    <w:rsid w:val="003D13BC"/>
    <w:rsid w:val="003D13DE"/>
    <w:rsid w:val="003D1419"/>
    <w:rsid w:val="003D17A4"/>
    <w:rsid w:val="003D1835"/>
    <w:rsid w:val="003D1C9B"/>
    <w:rsid w:val="003D1CAC"/>
    <w:rsid w:val="003D1DAB"/>
    <w:rsid w:val="003D1F1E"/>
    <w:rsid w:val="003D1FF0"/>
    <w:rsid w:val="003D20F2"/>
    <w:rsid w:val="003D222C"/>
    <w:rsid w:val="003D2323"/>
    <w:rsid w:val="003D26A9"/>
    <w:rsid w:val="003D288A"/>
    <w:rsid w:val="003D28A5"/>
    <w:rsid w:val="003D28EC"/>
    <w:rsid w:val="003D2BD9"/>
    <w:rsid w:val="003D2C05"/>
    <w:rsid w:val="003D2D25"/>
    <w:rsid w:val="003D326F"/>
    <w:rsid w:val="003D338E"/>
    <w:rsid w:val="003D33AC"/>
    <w:rsid w:val="003D33FA"/>
    <w:rsid w:val="003D3408"/>
    <w:rsid w:val="003D3437"/>
    <w:rsid w:val="003D3707"/>
    <w:rsid w:val="003D3861"/>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D08"/>
    <w:rsid w:val="003D4E5F"/>
    <w:rsid w:val="003D51E5"/>
    <w:rsid w:val="003D52F9"/>
    <w:rsid w:val="003D575F"/>
    <w:rsid w:val="003D5875"/>
    <w:rsid w:val="003D58D6"/>
    <w:rsid w:val="003D59FB"/>
    <w:rsid w:val="003D5AE6"/>
    <w:rsid w:val="003D5DEC"/>
    <w:rsid w:val="003D5FE3"/>
    <w:rsid w:val="003D63C0"/>
    <w:rsid w:val="003D6498"/>
    <w:rsid w:val="003D674C"/>
    <w:rsid w:val="003D6899"/>
    <w:rsid w:val="003D6B8C"/>
    <w:rsid w:val="003D6C7D"/>
    <w:rsid w:val="003D7368"/>
    <w:rsid w:val="003D7589"/>
    <w:rsid w:val="003D775F"/>
    <w:rsid w:val="003D7A34"/>
    <w:rsid w:val="003D7A93"/>
    <w:rsid w:val="003D7AB7"/>
    <w:rsid w:val="003D7AF8"/>
    <w:rsid w:val="003D7BA7"/>
    <w:rsid w:val="003E0153"/>
    <w:rsid w:val="003E051D"/>
    <w:rsid w:val="003E05FE"/>
    <w:rsid w:val="003E0645"/>
    <w:rsid w:val="003E06E1"/>
    <w:rsid w:val="003E0902"/>
    <w:rsid w:val="003E119D"/>
    <w:rsid w:val="003E1223"/>
    <w:rsid w:val="003E12C2"/>
    <w:rsid w:val="003E135D"/>
    <w:rsid w:val="003E1520"/>
    <w:rsid w:val="003E185E"/>
    <w:rsid w:val="003E1DC8"/>
    <w:rsid w:val="003E1EEF"/>
    <w:rsid w:val="003E21A8"/>
    <w:rsid w:val="003E22EF"/>
    <w:rsid w:val="003E2554"/>
    <w:rsid w:val="003E281C"/>
    <w:rsid w:val="003E292E"/>
    <w:rsid w:val="003E2A2E"/>
    <w:rsid w:val="003E2B3B"/>
    <w:rsid w:val="003E2B91"/>
    <w:rsid w:val="003E2D06"/>
    <w:rsid w:val="003E2F5F"/>
    <w:rsid w:val="003E2F7A"/>
    <w:rsid w:val="003E30A6"/>
    <w:rsid w:val="003E3327"/>
    <w:rsid w:val="003E3356"/>
    <w:rsid w:val="003E3366"/>
    <w:rsid w:val="003E36B2"/>
    <w:rsid w:val="003E373A"/>
    <w:rsid w:val="003E39AD"/>
    <w:rsid w:val="003E3AC3"/>
    <w:rsid w:val="003E3AFB"/>
    <w:rsid w:val="003E3BA5"/>
    <w:rsid w:val="003E3C9E"/>
    <w:rsid w:val="003E3F63"/>
    <w:rsid w:val="003E4725"/>
    <w:rsid w:val="003E4766"/>
    <w:rsid w:val="003E4837"/>
    <w:rsid w:val="003E4893"/>
    <w:rsid w:val="003E49A0"/>
    <w:rsid w:val="003E4AE1"/>
    <w:rsid w:val="003E4BE9"/>
    <w:rsid w:val="003E50C8"/>
    <w:rsid w:val="003E54F6"/>
    <w:rsid w:val="003E5628"/>
    <w:rsid w:val="003E56E1"/>
    <w:rsid w:val="003E5A69"/>
    <w:rsid w:val="003E5C42"/>
    <w:rsid w:val="003E5E13"/>
    <w:rsid w:val="003E5E2A"/>
    <w:rsid w:val="003E63C1"/>
    <w:rsid w:val="003E6569"/>
    <w:rsid w:val="003E6589"/>
    <w:rsid w:val="003E6BE1"/>
    <w:rsid w:val="003E703A"/>
    <w:rsid w:val="003E7118"/>
    <w:rsid w:val="003E723A"/>
    <w:rsid w:val="003E738E"/>
    <w:rsid w:val="003E744C"/>
    <w:rsid w:val="003E778B"/>
    <w:rsid w:val="003E77E1"/>
    <w:rsid w:val="003E792A"/>
    <w:rsid w:val="003E7BD4"/>
    <w:rsid w:val="003E7DFC"/>
    <w:rsid w:val="003F0228"/>
    <w:rsid w:val="003F022F"/>
    <w:rsid w:val="003F0461"/>
    <w:rsid w:val="003F0781"/>
    <w:rsid w:val="003F07E2"/>
    <w:rsid w:val="003F0A92"/>
    <w:rsid w:val="003F0C88"/>
    <w:rsid w:val="003F0D04"/>
    <w:rsid w:val="003F0F52"/>
    <w:rsid w:val="003F10D9"/>
    <w:rsid w:val="003F122D"/>
    <w:rsid w:val="003F14D8"/>
    <w:rsid w:val="003F158D"/>
    <w:rsid w:val="003F1718"/>
    <w:rsid w:val="003F2191"/>
    <w:rsid w:val="003F21E4"/>
    <w:rsid w:val="003F2D0B"/>
    <w:rsid w:val="003F2E4F"/>
    <w:rsid w:val="003F306A"/>
    <w:rsid w:val="003F3126"/>
    <w:rsid w:val="003F317C"/>
    <w:rsid w:val="003F31C1"/>
    <w:rsid w:val="003F3204"/>
    <w:rsid w:val="003F34D0"/>
    <w:rsid w:val="003F3583"/>
    <w:rsid w:val="003F35C9"/>
    <w:rsid w:val="003F36A6"/>
    <w:rsid w:val="003F380E"/>
    <w:rsid w:val="003F3847"/>
    <w:rsid w:val="003F3888"/>
    <w:rsid w:val="003F3DC8"/>
    <w:rsid w:val="003F3DD4"/>
    <w:rsid w:val="003F3E05"/>
    <w:rsid w:val="003F3F77"/>
    <w:rsid w:val="003F40F7"/>
    <w:rsid w:val="003F4362"/>
    <w:rsid w:val="003F479B"/>
    <w:rsid w:val="003F4827"/>
    <w:rsid w:val="003F4839"/>
    <w:rsid w:val="003F4843"/>
    <w:rsid w:val="003F494E"/>
    <w:rsid w:val="003F4950"/>
    <w:rsid w:val="003F4AF4"/>
    <w:rsid w:val="003F4BB2"/>
    <w:rsid w:val="003F4BC8"/>
    <w:rsid w:val="003F4E62"/>
    <w:rsid w:val="003F4E83"/>
    <w:rsid w:val="003F4F42"/>
    <w:rsid w:val="003F5537"/>
    <w:rsid w:val="003F55BE"/>
    <w:rsid w:val="003F57E9"/>
    <w:rsid w:val="003F583E"/>
    <w:rsid w:val="003F5CFF"/>
    <w:rsid w:val="003F6044"/>
    <w:rsid w:val="003F6088"/>
    <w:rsid w:val="003F617D"/>
    <w:rsid w:val="003F6454"/>
    <w:rsid w:val="003F66BB"/>
    <w:rsid w:val="003F6817"/>
    <w:rsid w:val="003F6A80"/>
    <w:rsid w:val="003F6D84"/>
    <w:rsid w:val="003F6E46"/>
    <w:rsid w:val="003F6E64"/>
    <w:rsid w:val="003F6E8E"/>
    <w:rsid w:val="003F6EC1"/>
    <w:rsid w:val="003F73F7"/>
    <w:rsid w:val="003F7435"/>
    <w:rsid w:val="003F7536"/>
    <w:rsid w:val="003F78D1"/>
    <w:rsid w:val="003F7AB6"/>
    <w:rsid w:val="003F7D52"/>
    <w:rsid w:val="003F7EAC"/>
    <w:rsid w:val="003F7F50"/>
    <w:rsid w:val="00400054"/>
    <w:rsid w:val="0040014D"/>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432"/>
    <w:rsid w:val="00401613"/>
    <w:rsid w:val="004017EC"/>
    <w:rsid w:val="00401B1F"/>
    <w:rsid w:val="00401BF6"/>
    <w:rsid w:val="00401D93"/>
    <w:rsid w:val="00402436"/>
    <w:rsid w:val="004027F9"/>
    <w:rsid w:val="004029DF"/>
    <w:rsid w:val="004029EC"/>
    <w:rsid w:val="00402ABC"/>
    <w:rsid w:val="00402B02"/>
    <w:rsid w:val="00402B36"/>
    <w:rsid w:val="00402FE5"/>
    <w:rsid w:val="0040303D"/>
    <w:rsid w:val="004031A5"/>
    <w:rsid w:val="004032E4"/>
    <w:rsid w:val="00403574"/>
    <w:rsid w:val="004037EE"/>
    <w:rsid w:val="00403820"/>
    <w:rsid w:val="00403BC6"/>
    <w:rsid w:val="00403C92"/>
    <w:rsid w:val="00403D62"/>
    <w:rsid w:val="00403EDA"/>
    <w:rsid w:val="004040A9"/>
    <w:rsid w:val="00404198"/>
    <w:rsid w:val="00404311"/>
    <w:rsid w:val="004043B8"/>
    <w:rsid w:val="0040448E"/>
    <w:rsid w:val="00404538"/>
    <w:rsid w:val="0040453F"/>
    <w:rsid w:val="00404553"/>
    <w:rsid w:val="004046A0"/>
    <w:rsid w:val="004046AC"/>
    <w:rsid w:val="004047F7"/>
    <w:rsid w:val="00404BC7"/>
    <w:rsid w:val="00404F39"/>
    <w:rsid w:val="00405055"/>
    <w:rsid w:val="004050B1"/>
    <w:rsid w:val="004051B4"/>
    <w:rsid w:val="004052B5"/>
    <w:rsid w:val="00405368"/>
    <w:rsid w:val="0040567F"/>
    <w:rsid w:val="004056C1"/>
    <w:rsid w:val="00405789"/>
    <w:rsid w:val="00405940"/>
    <w:rsid w:val="00405BB1"/>
    <w:rsid w:val="00405C17"/>
    <w:rsid w:val="00405C81"/>
    <w:rsid w:val="00405CFC"/>
    <w:rsid w:val="0040667F"/>
    <w:rsid w:val="004066DC"/>
    <w:rsid w:val="004067F2"/>
    <w:rsid w:val="004068D6"/>
    <w:rsid w:val="00406AC6"/>
    <w:rsid w:val="00406C82"/>
    <w:rsid w:val="00406D6D"/>
    <w:rsid w:val="00406DB3"/>
    <w:rsid w:val="004072D4"/>
    <w:rsid w:val="0040762C"/>
    <w:rsid w:val="004076C9"/>
    <w:rsid w:val="00407728"/>
    <w:rsid w:val="00407796"/>
    <w:rsid w:val="00407A48"/>
    <w:rsid w:val="00407B86"/>
    <w:rsid w:val="004100CC"/>
    <w:rsid w:val="004100F9"/>
    <w:rsid w:val="00410544"/>
    <w:rsid w:val="00410635"/>
    <w:rsid w:val="0041090A"/>
    <w:rsid w:val="00410B05"/>
    <w:rsid w:val="00410C20"/>
    <w:rsid w:val="00410E28"/>
    <w:rsid w:val="004111AB"/>
    <w:rsid w:val="004112C2"/>
    <w:rsid w:val="0041152A"/>
    <w:rsid w:val="004117C1"/>
    <w:rsid w:val="004117CB"/>
    <w:rsid w:val="00411897"/>
    <w:rsid w:val="004118CE"/>
    <w:rsid w:val="004119DC"/>
    <w:rsid w:val="004119FE"/>
    <w:rsid w:val="00411C38"/>
    <w:rsid w:val="00411E61"/>
    <w:rsid w:val="00411EE0"/>
    <w:rsid w:val="00411F0E"/>
    <w:rsid w:val="0041230E"/>
    <w:rsid w:val="00412548"/>
    <w:rsid w:val="00412715"/>
    <w:rsid w:val="00412768"/>
    <w:rsid w:val="00412CAE"/>
    <w:rsid w:val="0041333F"/>
    <w:rsid w:val="00413352"/>
    <w:rsid w:val="0041350D"/>
    <w:rsid w:val="00413546"/>
    <w:rsid w:val="00413562"/>
    <w:rsid w:val="004137C5"/>
    <w:rsid w:val="00413AD8"/>
    <w:rsid w:val="00413CEA"/>
    <w:rsid w:val="00413FF3"/>
    <w:rsid w:val="0041402C"/>
    <w:rsid w:val="00414511"/>
    <w:rsid w:val="00414A6F"/>
    <w:rsid w:val="00414AEE"/>
    <w:rsid w:val="00414C26"/>
    <w:rsid w:val="00414E78"/>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323"/>
    <w:rsid w:val="0041744C"/>
    <w:rsid w:val="0041748D"/>
    <w:rsid w:val="004178B4"/>
    <w:rsid w:val="004178E8"/>
    <w:rsid w:val="00417A97"/>
    <w:rsid w:val="00417CB1"/>
    <w:rsid w:val="00417E6C"/>
    <w:rsid w:val="00417F67"/>
    <w:rsid w:val="004201A9"/>
    <w:rsid w:val="00420342"/>
    <w:rsid w:val="0042035E"/>
    <w:rsid w:val="0042059F"/>
    <w:rsid w:val="0042075F"/>
    <w:rsid w:val="00420950"/>
    <w:rsid w:val="00420A3C"/>
    <w:rsid w:val="00420A7F"/>
    <w:rsid w:val="00420C49"/>
    <w:rsid w:val="00420DA9"/>
    <w:rsid w:val="00420F35"/>
    <w:rsid w:val="00420FE6"/>
    <w:rsid w:val="004210D0"/>
    <w:rsid w:val="0042128D"/>
    <w:rsid w:val="00421484"/>
    <w:rsid w:val="004214DB"/>
    <w:rsid w:val="004215B8"/>
    <w:rsid w:val="00421BFB"/>
    <w:rsid w:val="00421D59"/>
    <w:rsid w:val="00421EB3"/>
    <w:rsid w:val="00422424"/>
    <w:rsid w:val="004226C2"/>
    <w:rsid w:val="004226E7"/>
    <w:rsid w:val="0042301A"/>
    <w:rsid w:val="00423170"/>
    <w:rsid w:val="004232CD"/>
    <w:rsid w:val="00423597"/>
    <w:rsid w:val="00423600"/>
    <w:rsid w:val="0042374E"/>
    <w:rsid w:val="004237FD"/>
    <w:rsid w:val="00423886"/>
    <w:rsid w:val="004239D8"/>
    <w:rsid w:val="00423B69"/>
    <w:rsid w:val="00423DA1"/>
    <w:rsid w:val="00424063"/>
    <w:rsid w:val="00424126"/>
    <w:rsid w:val="004241E2"/>
    <w:rsid w:val="004241FD"/>
    <w:rsid w:val="004244C4"/>
    <w:rsid w:val="00424855"/>
    <w:rsid w:val="00424975"/>
    <w:rsid w:val="00424A5B"/>
    <w:rsid w:val="00424BC4"/>
    <w:rsid w:val="00424E92"/>
    <w:rsid w:val="004250B7"/>
    <w:rsid w:val="0042512C"/>
    <w:rsid w:val="00425318"/>
    <w:rsid w:val="00425693"/>
    <w:rsid w:val="004257F4"/>
    <w:rsid w:val="00425A07"/>
    <w:rsid w:val="00425A93"/>
    <w:rsid w:val="00425AF3"/>
    <w:rsid w:val="00425C32"/>
    <w:rsid w:val="00425D2D"/>
    <w:rsid w:val="00425E34"/>
    <w:rsid w:val="0042603B"/>
    <w:rsid w:val="0042619A"/>
    <w:rsid w:val="00426255"/>
    <w:rsid w:val="004262D9"/>
    <w:rsid w:val="004263FE"/>
    <w:rsid w:val="004266D1"/>
    <w:rsid w:val="00426707"/>
    <w:rsid w:val="0042670D"/>
    <w:rsid w:val="00426B64"/>
    <w:rsid w:val="00426D3F"/>
    <w:rsid w:val="00426F2B"/>
    <w:rsid w:val="00426F88"/>
    <w:rsid w:val="004270A2"/>
    <w:rsid w:val="004272F1"/>
    <w:rsid w:val="00427334"/>
    <w:rsid w:val="00427411"/>
    <w:rsid w:val="004279F1"/>
    <w:rsid w:val="00427ADF"/>
    <w:rsid w:val="00427BC9"/>
    <w:rsid w:val="00427D91"/>
    <w:rsid w:val="00427EB3"/>
    <w:rsid w:val="00430090"/>
    <w:rsid w:val="004300C8"/>
    <w:rsid w:val="004300DC"/>
    <w:rsid w:val="004302BA"/>
    <w:rsid w:val="004304C5"/>
    <w:rsid w:val="004305CC"/>
    <w:rsid w:val="004306C8"/>
    <w:rsid w:val="004306F8"/>
    <w:rsid w:val="00430815"/>
    <w:rsid w:val="00430A3E"/>
    <w:rsid w:val="00430BC1"/>
    <w:rsid w:val="00430BDB"/>
    <w:rsid w:val="00430DE2"/>
    <w:rsid w:val="004310ED"/>
    <w:rsid w:val="00431249"/>
    <w:rsid w:val="004313E7"/>
    <w:rsid w:val="0043176C"/>
    <w:rsid w:val="00431A06"/>
    <w:rsid w:val="00431EB8"/>
    <w:rsid w:val="00431FE3"/>
    <w:rsid w:val="00432295"/>
    <w:rsid w:val="004322D9"/>
    <w:rsid w:val="004323E2"/>
    <w:rsid w:val="0043266A"/>
    <w:rsid w:val="00432B79"/>
    <w:rsid w:val="00432BDB"/>
    <w:rsid w:val="00432C5E"/>
    <w:rsid w:val="00432DDB"/>
    <w:rsid w:val="00432DDF"/>
    <w:rsid w:val="00432EBF"/>
    <w:rsid w:val="00432ED6"/>
    <w:rsid w:val="00432F69"/>
    <w:rsid w:val="00433018"/>
    <w:rsid w:val="00433489"/>
    <w:rsid w:val="004335E9"/>
    <w:rsid w:val="00433602"/>
    <w:rsid w:val="004336C1"/>
    <w:rsid w:val="004336DF"/>
    <w:rsid w:val="00433978"/>
    <w:rsid w:val="00433B4F"/>
    <w:rsid w:val="00433CDD"/>
    <w:rsid w:val="00433E0B"/>
    <w:rsid w:val="0043405B"/>
    <w:rsid w:val="004340E0"/>
    <w:rsid w:val="004344B7"/>
    <w:rsid w:val="0043462A"/>
    <w:rsid w:val="00434840"/>
    <w:rsid w:val="004348A3"/>
    <w:rsid w:val="0043498E"/>
    <w:rsid w:val="004349BF"/>
    <w:rsid w:val="00434D74"/>
    <w:rsid w:val="00434F95"/>
    <w:rsid w:val="0043505E"/>
    <w:rsid w:val="00435337"/>
    <w:rsid w:val="004353C7"/>
    <w:rsid w:val="00435519"/>
    <w:rsid w:val="00435536"/>
    <w:rsid w:val="0043555B"/>
    <w:rsid w:val="00435F99"/>
    <w:rsid w:val="00436013"/>
    <w:rsid w:val="004364B0"/>
    <w:rsid w:val="004365B7"/>
    <w:rsid w:val="0043666B"/>
    <w:rsid w:val="004369BA"/>
    <w:rsid w:val="00436B53"/>
    <w:rsid w:val="00436BFB"/>
    <w:rsid w:val="00437070"/>
    <w:rsid w:val="004370F8"/>
    <w:rsid w:val="004376DC"/>
    <w:rsid w:val="0043770F"/>
    <w:rsid w:val="0043793E"/>
    <w:rsid w:val="00437A34"/>
    <w:rsid w:val="00437AB3"/>
    <w:rsid w:val="00437ABC"/>
    <w:rsid w:val="00437CDD"/>
    <w:rsid w:val="00437D0E"/>
    <w:rsid w:val="00437E2E"/>
    <w:rsid w:val="00440015"/>
    <w:rsid w:val="004406C1"/>
    <w:rsid w:val="004408D1"/>
    <w:rsid w:val="00440DD7"/>
    <w:rsid w:val="00440DED"/>
    <w:rsid w:val="00440EC0"/>
    <w:rsid w:val="00440F5D"/>
    <w:rsid w:val="00441030"/>
    <w:rsid w:val="00441405"/>
    <w:rsid w:val="00441490"/>
    <w:rsid w:val="00441AAC"/>
    <w:rsid w:val="00441B3D"/>
    <w:rsid w:val="00441BFB"/>
    <w:rsid w:val="0044212D"/>
    <w:rsid w:val="00442243"/>
    <w:rsid w:val="004423DE"/>
    <w:rsid w:val="004423F4"/>
    <w:rsid w:val="0044240E"/>
    <w:rsid w:val="00442431"/>
    <w:rsid w:val="00442543"/>
    <w:rsid w:val="004428A3"/>
    <w:rsid w:val="00442A84"/>
    <w:rsid w:val="00442BC6"/>
    <w:rsid w:val="004430BB"/>
    <w:rsid w:val="004431A7"/>
    <w:rsid w:val="00443636"/>
    <w:rsid w:val="0044365F"/>
    <w:rsid w:val="0044383B"/>
    <w:rsid w:val="00443B3F"/>
    <w:rsid w:val="00443B9B"/>
    <w:rsid w:val="00443BD1"/>
    <w:rsid w:val="0044440B"/>
    <w:rsid w:val="0044472F"/>
    <w:rsid w:val="00444783"/>
    <w:rsid w:val="00444C59"/>
    <w:rsid w:val="00444ED1"/>
    <w:rsid w:val="00444FC6"/>
    <w:rsid w:val="0044506C"/>
    <w:rsid w:val="00445422"/>
    <w:rsid w:val="0044563B"/>
    <w:rsid w:val="004457C8"/>
    <w:rsid w:val="004457EE"/>
    <w:rsid w:val="00445971"/>
    <w:rsid w:val="00445ABE"/>
    <w:rsid w:val="00445BC2"/>
    <w:rsid w:val="00445C65"/>
    <w:rsid w:val="00445C71"/>
    <w:rsid w:val="00445F8D"/>
    <w:rsid w:val="00446100"/>
    <w:rsid w:val="004461DB"/>
    <w:rsid w:val="00446268"/>
    <w:rsid w:val="00446335"/>
    <w:rsid w:val="00446497"/>
    <w:rsid w:val="004464FA"/>
    <w:rsid w:val="004466E4"/>
    <w:rsid w:val="00446A37"/>
    <w:rsid w:val="00446AB1"/>
    <w:rsid w:val="00446B58"/>
    <w:rsid w:val="00446C4E"/>
    <w:rsid w:val="00446C69"/>
    <w:rsid w:val="00446E10"/>
    <w:rsid w:val="00446E59"/>
    <w:rsid w:val="004473B1"/>
    <w:rsid w:val="00447D56"/>
    <w:rsid w:val="00447E53"/>
    <w:rsid w:val="00447EB6"/>
    <w:rsid w:val="00447F16"/>
    <w:rsid w:val="0045040A"/>
    <w:rsid w:val="004504F0"/>
    <w:rsid w:val="004504FE"/>
    <w:rsid w:val="00450D50"/>
    <w:rsid w:val="0045100C"/>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6"/>
    <w:rsid w:val="00452D68"/>
    <w:rsid w:val="00452E48"/>
    <w:rsid w:val="00452F19"/>
    <w:rsid w:val="00453050"/>
    <w:rsid w:val="00453126"/>
    <w:rsid w:val="004531F7"/>
    <w:rsid w:val="00453259"/>
    <w:rsid w:val="00453E11"/>
    <w:rsid w:val="00453E33"/>
    <w:rsid w:val="00454330"/>
    <w:rsid w:val="00454349"/>
    <w:rsid w:val="0045438B"/>
    <w:rsid w:val="0045446D"/>
    <w:rsid w:val="004545E4"/>
    <w:rsid w:val="004546D5"/>
    <w:rsid w:val="004546EB"/>
    <w:rsid w:val="0045475C"/>
    <w:rsid w:val="004548F0"/>
    <w:rsid w:val="00454DA3"/>
    <w:rsid w:val="00455273"/>
    <w:rsid w:val="004553A0"/>
    <w:rsid w:val="004553BC"/>
    <w:rsid w:val="00455458"/>
    <w:rsid w:val="0045593F"/>
    <w:rsid w:val="00455A69"/>
    <w:rsid w:val="00455D66"/>
    <w:rsid w:val="00455F7A"/>
    <w:rsid w:val="00455FBB"/>
    <w:rsid w:val="004560F5"/>
    <w:rsid w:val="00456253"/>
    <w:rsid w:val="004564C9"/>
    <w:rsid w:val="00456556"/>
    <w:rsid w:val="00456AA0"/>
    <w:rsid w:val="00456B07"/>
    <w:rsid w:val="00456C34"/>
    <w:rsid w:val="00456CE2"/>
    <w:rsid w:val="00456DC5"/>
    <w:rsid w:val="00456E5E"/>
    <w:rsid w:val="00456E6D"/>
    <w:rsid w:val="0045701E"/>
    <w:rsid w:val="00457393"/>
    <w:rsid w:val="0045745E"/>
    <w:rsid w:val="00457560"/>
    <w:rsid w:val="0045782B"/>
    <w:rsid w:val="00457BD8"/>
    <w:rsid w:val="00457D39"/>
    <w:rsid w:val="00457F6E"/>
    <w:rsid w:val="00457F79"/>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CDF"/>
    <w:rsid w:val="00462F1C"/>
    <w:rsid w:val="00462F92"/>
    <w:rsid w:val="004632F6"/>
    <w:rsid w:val="0046349B"/>
    <w:rsid w:val="00463507"/>
    <w:rsid w:val="004635E0"/>
    <w:rsid w:val="004637A0"/>
    <w:rsid w:val="004637D6"/>
    <w:rsid w:val="004638F4"/>
    <w:rsid w:val="00463A6B"/>
    <w:rsid w:val="00463E7C"/>
    <w:rsid w:val="00463F8B"/>
    <w:rsid w:val="00463F8F"/>
    <w:rsid w:val="00463FFE"/>
    <w:rsid w:val="004640D7"/>
    <w:rsid w:val="0046415A"/>
    <w:rsid w:val="004641E8"/>
    <w:rsid w:val="0046420E"/>
    <w:rsid w:val="00464298"/>
    <w:rsid w:val="004646E9"/>
    <w:rsid w:val="0046488C"/>
    <w:rsid w:val="0046489E"/>
    <w:rsid w:val="00464A4E"/>
    <w:rsid w:val="00464AC3"/>
    <w:rsid w:val="00464C7D"/>
    <w:rsid w:val="00464CE2"/>
    <w:rsid w:val="00464FA8"/>
    <w:rsid w:val="00465122"/>
    <w:rsid w:val="00465359"/>
    <w:rsid w:val="0046546D"/>
    <w:rsid w:val="0046551D"/>
    <w:rsid w:val="00465551"/>
    <w:rsid w:val="004657B2"/>
    <w:rsid w:val="004658C5"/>
    <w:rsid w:val="00465A5B"/>
    <w:rsid w:val="004660F6"/>
    <w:rsid w:val="00466269"/>
    <w:rsid w:val="004664F0"/>
    <w:rsid w:val="00466608"/>
    <w:rsid w:val="0046667A"/>
    <w:rsid w:val="00466735"/>
    <w:rsid w:val="0046698F"/>
    <w:rsid w:val="00466A43"/>
    <w:rsid w:val="00466FCB"/>
    <w:rsid w:val="004671AE"/>
    <w:rsid w:val="004672B1"/>
    <w:rsid w:val="004672EF"/>
    <w:rsid w:val="0046732E"/>
    <w:rsid w:val="00467A55"/>
    <w:rsid w:val="00467B4A"/>
    <w:rsid w:val="00467B78"/>
    <w:rsid w:val="00467D61"/>
    <w:rsid w:val="00467F23"/>
    <w:rsid w:val="00467F80"/>
    <w:rsid w:val="00470485"/>
    <w:rsid w:val="00470488"/>
    <w:rsid w:val="004708AC"/>
    <w:rsid w:val="004708D7"/>
    <w:rsid w:val="004709C6"/>
    <w:rsid w:val="00470C3E"/>
    <w:rsid w:val="00470F7C"/>
    <w:rsid w:val="00470FBD"/>
    <w:rsid w:val="00471045"/>
    <w:rsid w:val="0047116A"/>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1EBE"/>
    <w:rsid w:val="00472016"/>
    <w:rsid w:val="00472039"/>
    <w:rsid w:val="0047209C"/>
    <w:rsid w:val="004720D5"/>
    <w:rsid w:val="00472355"/>
    <w:rsid w:val="00472384"/>
    <w:rsid w:val="00472423"/>
    <w:rsid w:val="004724EE"/>
    <w:rsid w:val="004728DE"/>
    <w:rsid w:val="0047297D"/>
    <w:rsid w:val="00472C48"/>
    <w:rsid w:val="00472EB7"/>
    <w:rsid w:val="00472EF7"/>
    <w:rsid w:val="004730D6"/>
    <w:rsid w:val="0047351A"/>
    <w:rsid w:val="004736AF"/>
    <w:rsid w:val="00473B52"/>
    <w:rsid w:val="00473BCA"/>
    <w:rsid w:val="00473DDD"/>
    <w:rsid w:val="00473E75"/>
    <w:rsid w:val="00473F03"/>
    <w:rsid w:val="00473F20"/>
    <w:rsid w:val="00473F99"/>
    <w:rsid w:val="00474059"/>
    <w:rsid w:val="00474153"/>
    <w:rsid w:val="004741B0"/>
    <w:rsid w:val="004741ED"/>
    <w:rsid w:val="00474264"/>
    <w:rsid w:val="00474489"/>
    <w:rsid w:val="00474494"/>
    <w:rsid w:val="004747C0"/>
    <w:rsid w:val="00474901"/>
    <w:rsid w:val="004749B1"/>
    <w:rsid w:val="00474A1A"/>
    <w:rsid w:val="00474BC4"/>
    <w:rsid w:val="00474D4D"/>
    <w:rsid w:val="00474DB4"/>
    <w:rsid w:val="00474F7A"/>
    <w:rsid w:val="00475106"/>
    <w:rsid w:val="004755A4"/>
    <w:rsid w:val="004755B2"/>
    <w:rsid w:val="00475607"/>
    <w:rsid w:val="004759D6"/>
    <w:rsid w:val="00475DDF"/>
    <w:rsid w:val="00475EB7"/>
    <w:rsid w:val="00475EF9"/>
    <w:rsid w:val="004760A4"/>
    <w:rsid w:val="00476129"/>
    <w:rsid w:val="0047647F"/>
    <w:rsid w:val="00476816"/>
    <w:rsid w:val="00476822"/>
    <w:rsid w:val="004768A1"/>
    <w:rsid w:val="004769D3"/>
    <w:rsid w:val="004769D5"/>
    <w:rsid w:val="00477671"/>
    <w:rsid w:val="00477938"/>
    <w:rsid w:val="00477B54"/>
    <w:rsid w:val="00477B57"/>
    <w:rsid w:val="00480096"/>
    <w:rsid w:val="004802F4"/>
    <w:rsid w:val="004807A8"/>
    <w:rsid w:val="0048093B"/>
    <w:rsid w:val="004809A3"/>
    <w:rsid w:val="00480F1D"/>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903"/>
    <w:rsid w:val="00482B33"/>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75"/>
    <w:rsid w:val="004844DB"/>
    <w:rsid w:val="00484762"/>
    <w:rsid w:val="0048479B"/>
    <w:rsid w:val="00484B12"/>
    <w:rsid w:val="00484B2D"/>
    <w:rsid w:val="00484B3E"/>
    <w:rsid w:val="00484EE4"/>
    <w:rsid w:val="004852EE"/>
    <w:rsid w:val="00485858"/>
    <w:rsid w:val="00485904"/>
    <w:rsid w:val="004859CD"/>
    <w:rsid w:val="00485C1D"/>
    <w:rsid w:val="00485C55"/>
    <w:rsid w:val="00485E19"/>
    <w:rsid w:val="004860C5"/>
    <w:rsid w:val="0048613E"/>
    <w:rsid w:val="00486215"/>
    <w:rsid w:val="00486672"/>
    <w:rsid w:val="00486A3E"/>
    <w:rsid w:val="00486AC4"/>
    <w:rsid w:val="00486B8E"/>
    <w:rsid w:val="00486BB9"/>
    <w:rsid w:val="00486EC6"/>
    <w:rsid w:val="00487092"/>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B65"/>
    <w:rsid w:val="00490C1E"/>
    <w:rsid w:val="00490CE2"/>
    <w:rsid w:val="00490F7C"/>
    <w:rsid w:val="004910E9"/>
    <w:rsid w:val="00491173"/>
    <w:rsid w:val="00491443"/>
    <w:rsid w:val="004915BF"/>
    <w:rsid w:val="00491711"/>
    <w:rsid w:val="00491735"/>
    <w:rsid w:val="004919B7"/>
    <w:rsid w:val="00491A90"/>
    <w:rsid w:val="00491AB9"/>
    <w:rsid w:val="00491BAB"/>
    <w:rsid w:val="00491BD0"/>
    <w:rsid w:val="00491CCC"/>
    <w:rsid w:val="00491D30"/>
    <w:rsid w:val="00491F97"/>
    <w:rsid w:val="00491FAE"/>
    <w:rsid w:val="004920F3"/>
    <w:rsid w:val="004922E7"/>
    <w:rsid w:val="00492674"/>
    <w:rsid w:val="004928AB"/>
    <w:rsid w:val="00492C7F"/>
    <w:rsid w:val="00492CBA"/>
    <w:rsid w:val="00492E55"/>
    <w:rsid w:val="004931DB"/>
    <w:rsid w:val="00493278"/>
    <w:rsid w:val="0049334B"/>
    <w:rsid w:val="004933AD"/>
    <w:rsid w:val="004936C0"/>
    <w:rsid w:val="0049379C"/>
    <w:rsid w:val="00493956"/>
    <w:rsid w:val="00493F7B"/>
    <w:rsid w:val="004940F6"/>
    <w:rsid w:val="004941FC"/>
    <w:rsid w:val="00494240"/>
    <w:rsid w:val="004942E4"/>
    <w:rsid w:val="00494333"/>
    <w:rsid w:val="00494904"/>
    <w:rsid w:val="004949B4"/>
    <w:rsid w:val="00494C2E"/>
    <w:rsid w:val="00494EF5"/>
    <w:rsid w:val="00495188"/>
    <w:rsid w:val="004951DE"/>
    <w:rsid w:val="0049534C"/>
    <w:rsid w:val="00495397"/>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6F"/>
    <w:rsid w:val="004979A5"/>
    <w:rsid w:val="00497A85"/>
    <w:rsid w:val="00497AF8"/>
    <w:rsid w:val="00497D3E"/>
    <w:rsid w:val="004A00A0"/>
    <w:rsid w:val="004A039F"/>
    <w:rsid w:val="004A053C"/>
    <w:rsid w:val="004A06C1"/>
    <w:rsid w:val="004A0B5A"/>
    <w:rsid w:val="004A0B66"/>
    <w:rsid w:val="004A0FC8"/>
    <w:rsid w:val="004A1240"/>
    <w:rsid w:val="004A1346"/>
    <w:rsid w:val="004A1636"/>
    <w:rsid w:val="004A19EA"/>
    <w:rsid w:val="004A1C93"/>
    <w:rsid w:val="004A1F7C"/>
    <w:rsid w:val="004A1F90"/>
    <w:rsid w:val="004A24C2"/>
    <w:rsid w:val="004A2583"/>
    <w:rsid w:val="004A273A"/>
    <w:rsid w:val="004A27FC"/>
    <w:rsid w:val="004A2810"/>
    <w:rsid w:val="004A2945"/>
    <w:rsid w:val="004A2C49"/>
    <w:rsid w:val="004A2EE3"/>
    <w:rsid w:val="004A30E8"/>
    <w:rsid w:val="004A35D1"/>
    <w:rsid w:val="004A3719"/>
    <w:rsid w:val="004A3941"/>
    <w:rsid w:val="004A3C5F"/>
    <w:rsid w:val="004A3C67"/>
    <w:rsid w:val="004A3CE4"/>
    <w:rsid w:val="004A3DB8"/>
    <w:rsid w:val="004A3E15"/>
    <w:rsid w:val="004A3FA4"/>
    <w:rsid w:val="004A406D"/>
    <w:rsid w:val="004A40A3"/>
    <w:rsid w:val="004A425A"/>
    <w:rsid w:val="004A4329"/>
    <w:rsid w:val="004A43A8"/>
    <w:rsid w:val="004A44F5"/>
    <w:rsid w:val="004A458C"/>
    <w:rsid w:val="004A4670"/>
    <w:rsid w:val="004A4848"/>
    <w:rsid w:val="004A48BB"/>
    <w:rsid w:val="004A4CB1"/>
    <w:rsid w:val="004A4F52"/>
    <w:rsid w:val="004A4F88"/>
    <w:rsid w:val="004A4FB8"/>
    <w:rsid w:val="004A5161"/>
    <w:rsid w:val="004A56B5"/>
    <w:rsid w:val="004A5F43"/>
    <w:rsid w:val="004A5F7D"/>
    <w:rsid w:val="004A6064"/>
    <w:rsid w:val="004A60FC"/>
    <w:rsid w:val="004A626F"/>
    <w:rsid w:val="004A634E"/>
    <w:rsid w:val="004A6379"/>
    <w:rsid w:val="004A6381"/>
    <w:rsid w:val="004A649A"/>
    <w:rsid w:val="004A663C"/>
    <w:rsid w:val="004A6799"/>
    <w:rsid w:val="004A69CD"/>
    <w:rsid w:val="004A6A5A"/>
    <w:rsid w:val="004A6B3D"/>
    <w:rsid w:val="004A725E"/>
    <w:rsid w:val="004A76F6"/>
    <w:rsid w:val="004A786A"/>
    <w:rsid w:val="004A78F8"/>
    <w:rsid w:val="004A7DEF"/>
    <w:rsid w:val="004B00A9"/>
    <w:rsid w:val="004B0420"/>
    <w:rsid w:val="004B0461"/>
    <w:rsid w:val="004B0495"/>
    <w:rsid w:val="004B0575"/>
    <w:rsid w:val="004B07E2"/>
    <w:rsid w:val="004B0983"/>
    <w:rsid w:val="004B0A52"/>
    <w:rsid w:val="004B0BD6"/>
    <w:rsid w:val="004B0E94"/>
    <w:rsid w:val="004B0FCE"/>
    <w:rsid w:val="004B1124"/>
    <w:rsid w:val="004B1186"/>
    <w:rsid w:val="004B14FA"/>
    <w:rsid w:val="004B1565"/>
    <w:rsid w:val="004B1687"/>
    <w:rsid w:val="004B1D68"/>
    <w:rsid w:val="004B1FD7"/>
    <w:rsid w:val="004B2464"/>
    <w:rsid w:val="004B2531"/>
    <w:rsid w:val="004B2764"/>
    <w:rsid w:val="004B2C16"/>
    <w:rsid w:val="004B2C7A"/>
    <w:rsid w:val="004B2EF7"/>
    <w:rsid w:val="004B2FC6"/>
    <w:rsid w:val="004B350E"/>
    <w:rsid w:val="004B3630"/>
    <w:rsid w:val="004B39DB"/>
    <w:rsid w:val="004B3B99"/>
    <w:rsid w:val="004B3D57"/>
    <w:rsid w:val="004B4245"/>
    <w:rsid w:val="004B42B4"/>
    <w:rsid w:val="004B42BD"/>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5FB1"/>
    <w:rsid w:val="004B6079"/>
    <w:rsid w:val="004B6107"/>
    <w:rsid w:val="004B6150"/>
    <w:rsid w:val="004B63F3"/>
    <w:rsid w:val="004B6486"/>
    <w:rsid w:val="004B65C1"/>
    <w:rsid w:val="004B662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371"/>
    <w:rsid w:val="004C03CD"/>
    <w:rsid w:val="004C0490"/>
    <w:rsid w:val="004C0721"/>
    <w:rsid w:val="004C100B"/>
    <w:rsid w:val="004C11AB"/>
    <w:rsid w:val="004C130F"/>
    <w:rsid w:val="004C1409"/>
    <w:rsid w:val="004C147D"/>
    <w:rsid w:val="004C153A"/>
    <w:rsid w:val="004C16AA"/>
    <w:rsid w:val="004C19F0"/>
    <w:rsid w:val="004C1C8D"/>
    <w:rsid w:val="004C1D42"/>
    <w:rsid w:val="004C1D65"/>
    <w:rsid w:val="004C1F3B"/>
    <w:rsid w:val="004C2112"/>
    <w:rsid w:val="004C2120"/>
    <w:rsid w:val="004C228C"/>
    <w:rsid w:val="004C22D4"/>
    <w:rsid w:val="004C22FC"/>
    <w:rsid w:val="004C2495"/>
    <w:rsid w:val="004C2840"/>
    <w:rsid w:val="004C288A"/>
    <w:rsid w:val="004C2B1B"/>
    <w:rsid w:val="004C2F53"/>
    <w:rsid w:val="004C2F6C"/>
    <w:rsid w:val="004C306D"/>
    <w:rsid w:val="004C3202"/>
    <w:rsid w:val="004C325D"/>
    <w:rsid w:val="004C3317"/>
    <w:rsid w:val="004C36AD"/>
    <w:rsid w:val="004C36B4"/>
    <w:rsid w:val="004C3976"/>
    <w:rsid w:val="004C39EC"/>
    <w:rsid w:val="004C3AC3"/>
    <w:rsid w:val="004C3D8B"/>
    <w:rsid w:val="004C3DB9"/>
    <w:rsid w:val="004C3DCE"/>
    <w:rsid w:val="004C3F4B"/>
    <w:rsid w:val="004C4082"/>
    <w:rsid w:val="004C40CF"/>
    <w:rsid w:val="004C43B8"/>
    <w:rsid w:val="004C470C"/>
    <w:rsid w:val="004C4864"/>
    <w:rsid w:val="004C486E"/>
    <w:rsid w:val="004C4A2C"/>
    <w:rsid w:val="004C4A30"/>
    <w:rsid w:val="004C4AE7"/>
    <w:rsid w:val="004C4BCC"/>
    <w:rsid w:val="004C4D68"/>
    <w:rsid w:val="004C4D88"/>
    <w:rsid w:val="004C508A"/>
    <w:rsid w:val="004C50AA"/>
    <w:rsid w:val="004C51EB"/>
    <w:rsid w:val="004C5516"/>
    <w:rsid w:val="004C554D"/>
    <w:rsid w:val="004C5695"/>
    <w:rsid w:val="004C57F8"/>
    <w:rsid w:val="004C5868"/>
    <w:rsid w:val="004C58D8"/>
    <w:rsid w:val="004C59D6"/>
    <w:rsid w:val="004C5A33"/>
    <w:rsid w:val="004C5BA3"/>
    <w:rsid w:val="004C5BB5"/>
    <w:rsid w:val="004C5D01"/>
    <w:rsid w:val="004C5E1F"/>
    <w:rsid w:val="004C5E27"/>
    <w:rsid w:val="004C5E60"/>
    <w:rsid w:val="004C5E8F"/>
    <w:rsid w:val="004C5F7D"/>
    <w:rsid w:val="004C6285"/>
    <w:rsid w:val="004C64F6"/>
    <w:rsid w:val="004C6756"/>
    <w:rsid w:val="004C6B5D"/>
    <w:rsid w:val="004C6C22"/>
    <w:rsid w:val="004C704C"/>
    <w:rsid w:val="004C71D8"/>
    <w:rsid w:val="004C7211"/>
    <w:rsid w:val="004C72E1"/>
    <w:rsid w:val="004C7D3A"/>
    <w:rsid w:val="004D03CC"/>
    <w:rsid w:val="004D053C"/>
    <w:rsid w:val="004D05FF"/>
    <w:rsid w:val="004D074C"/>
    <w:rsid w:val="004D0872"/>
    <w:rsid w:val="004D0C2E"/>
    <w:rsid w:val="004D0CF5"/>
    <w:rsid w:val="004D0E23"/>
    <w:rsid w:val="004D0FEC"/>
    <w:rsid w:val="004D10AC"/>
    <w:rsid w:val="004D10FD"/>
    <w:rsid w:val="004D1154"/>
    <w:rsid w:val="004D1191"/>
    <w:rsid w:val="004D1380"/>
    <w:rsid w:val="004D1529"/>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52F"/>
    <w:rsid w:val="004D354E"/>
    <w:rsid w:val="004D363D"/>
    <w:rsid w:val="004D36C8"/>
    <w:rsid w:val="004D36F7"/>
    <w:rsid w:val="004D37B6"/>
    <w:rsid w:val="004D3981"/>
    <w:rsid w:val="004D39A9"/>
    <w:rsid w:val="004D3A03"/>
    <w:rsid w:val="004D3A39"/>
    <w:rsid w:val="004D3D09"/>
    <w:rsid w:val="004D3D3C"/>
    <w:rsid w:val="004D3DF9"/>
    <w:rsid w:val="004D4132"/>
    <w:rsid w:val="004D45AA"/>
    <w:rsid w:val="004D46C5"/>
    <w:rsid w:val="004D49B1"/>
    <w:rsid w:val="004D4C89"/>
    <w:rsid w:val="004D4F45"/>
    <w:rsid w:val="004D5082"/>
    <w:rsid w:val="004D51B7"/>
    <w:rsid w:val="004D526C"/>
    <w:rsid w:val="004D52F3"/>
    <w:rsid w:val="004D543A"/>
    <w:rsid w:val="004D5590"/>
    <w:rsid w:val="004D55D0"/>
    <w:rsid w:val="004D5633"/>
    <w:rsid w:val="004D57ED"/>
    <w:rsid w:val="004D598D"/>
    <w:rsid w:val="004D5BC2"/>
    <w:rsid w:val="004D5BE8"/>
    <w:rsid w:val="004D5D2E"/>
    <w:rsid w:val="004D5D62"/>
    <w:rsid w:val="004D5E46"/>
    <w:rsid w:val="004D64B2"/>
    <w:rsid w:val="004D66C9"/>
    <w:rsid w:val="004D66D9"/>
    <w:rsid w:val="004D6765"/>
    <w:rsid w:val="004D6B60"/>
    <w:rsid w:val="004D6FC1"/>
    <w:rsid w:val="004D7442"/>
    <w:rsid w:val="004D7568"/>
    <w:rsid w:val="004D75A7"/>
    <w:rsid w:val="004D78AA"/>
    <w:rsid w:val="004D79C6"/>
    <w:rsid w:val="004D7DEA"/>
    <w:rsid w:val="004D7EDE"/>
    <w:rsid w:val="004D7FA6"/>
    <w:rsid w:val="004E00B0"/>
    <w:rsid w:val="004E0375"/>
    <w:rsid w:val="004E053E"/>
    <w:rsid w:val="004E081B"/>
    <w:rsid w:val="004E0A30"/>
    <w:rsid w:val="004E0A50"/>
    <w:rsid w:val="004E0D8B"/>
    <w:rsid w:val="004E1045"/>
    <w:rsid w:val="004E10CE"/>
    <w:rsid w:val="004E1201"/>
    <w:rsid w:val="004E16E4"/>
    <w:rsid w:val="004E19C3"/>
    <w:rsid w:val="004E1CA9"/>
    <w:rsid w:val="004E1D7B"/>
    <w:rsid w:val="004E1FF2"/>
    <w:rsid w:val="004E2740"/>
    <w:rsid w:val="004E2772"/>
    <w:rsid w:val="004E2DF0"/>
    <w:rsid w:val="004E2EAE"/>
    <w:rsid w:val="004E31D9"/>
    <w:rsid w:val="004E3204"/>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D39"/>
    <w:rsid w:val="004E5E78"/>
    <w:rsid w:val="004E5E8F"/>
    <w:rsid w:val="004E5F14"/>
    <w:rsid w:val="004E6220"/>
    <w:rsid w:val="004E6330"/>
    <w:rsid w:val="004E6474"/>
    <w:rsid w:val="004E6487"/>
    <w:rsid w:val="004E651E"/>
    <w:rsid w:val="004E660C"/>
    <w:rsid w:val="004E6729"/>
    <w:rsid w:val="004E6857"/>
    <w:rsid w:val="004E69DB"/>
    <w:rsid w:val="004E6B94"/>
    <w:rsid w:val="004E6E66"/>
    <w:rsid w:val="004E6FF2"/>
    <w:rsid w:val="004E7095"/>
    <w:rsid w:val="004E70BF"/>
    <w:rsid w:val="004E75E3"/>
    <w:rsid w:val="004E7627"/>
    <w:rsid w:val="004E7761"/>
    <w:rsid w:val="004E781A"/>
    <w:rsid w:val="004E79D9"/>
    <w:rsid w:val="004E7A13"/>
    <w:rsid w:val="004E7ADD"/>
    <w:rsid w:val="004E7D16"/>
    <w:rsid w:val="004E7E0B"/>
    <w:rsid w:val="004F0319"/>
    <w:rsid w:val="004F0731"/>
    <w:rsid w:val="004F0747"/>
    <w:rsid w:val="004F0ACD"/>
    <w:rsid w:val="004F0DC1"/>
    <w:rsid w:val="004F0E5A"/>
    <w:rsid w:val="004F0F71"/>
    <w:rsid w:val="004F0FD2"/>
    <w:rsid w:val="004F104B"/>
    <w:rsid w:val="004F1073"/>
    <w:rsid w:val="004F128F"/>
    <w:rsid w:val="004F1420"/>
    <w:rsid w:val="004F15DE"/>
    <w:rsid w:val="004F1A6A"/>
    <w:rsid w:val="004F1DDB"/>
    <w:rsid w:val="004F1F4D"/>
    <w:rsid w:val="004F2217"/>
    <w:rsid w:val="004F22E1"/>
    <w:rsid w:val="004F2607"/>
    <w:rsid w:val="004F292C"/>
    <w:rsid w:val="004F2A6D"/>
    <w:rsid w:val="004F2BAB"/>
    <w:rsid w:val="004F2BDE"/>
    <w:rsid w:val="004F2C23"/>
    <w:rsid w:val="004F2D9A"/>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D17"/>
    <w:rsid w:val="004F4FDD"/>
    <w:rsid w:val="004F50AD"/>
    <w:rsid w:val="004F535D"/>
    <w:rsid w:val="004F54BD"/>
    <w:rsid w:val="004F55EA"/>
    <w:rsid w:val="004F5706"/>
    <w:rsid w:val="004F599C"/>
    <w:rsid w:val="004F6066"/>
    <w:rsid w:val="004F61E3"/>
    <w:rsid w:val="004F6349"/>
    <w:rsid w:val="004F639C"/>
    <w:rsid w:val="004F6435"/>
    <w:rsid w:val="004F66C8"/>
    <w:rsid w:val="004F670B"/>
    <w:rsid w:val="004F68E3"/>
    <w:rsid w:val="004F6A3C"/>
    <w:rsid w:val="004F6B36"/>
    <w:rsid w:val="004F6DC6"/>
    <w:rsid w:val="004F6E67"/>
    <w:rsid w:val="004F70B5"/>
    <w:rsid w:val="004F75F7"/>
    <w:rsid w:val="004F7691"/>
    <w:rsid w:val="004F78C8"/>
    <w:rsid w:val="004F7A5D"/>
    <w:rsid w:val="004F7B83"/>
    <w:rsid w:val="004F7D30"/>
    <w:rsid w:val="004F7DAE"/>
    <w:rsid w:val="004F7FC7"/>
    <w:rsid w:val="0050023C"/>
    <w:rsid w:val="00500AC9"/>
    <w:rsid w:val="00500DA9"/>
    <w:rsid w:val="00500FA8"/>
    <w:rsid w:val="005013E9"/>
    <w:rsid w:val="005015E0"/>
    <w:rsid w:val="00501649"/>
    <w:rsid w:val="00501682"/>
    <w:rsid w:val="005016C9"/>
    <w:rsid w:val="005017FC"/>
    <w:rsid w:val="00501942"/>
    <w:rsid w:val="00501BD4"/>
    <w:rsid w:val="00501E75"/>
    <w:rsid w:val="00501EEA"/>
    <w:rsid w:val="00502355"/>
    <w:rsid w:val="005024F5"/>
    <w:rsid w:val="00502573"/>
    <w:rsid w:val="0050271D"/>
    <w:rsid w:val="00502728"/>
    <w:rsid w:val="00502DA6"/>
    <w:rsid w:val="0050319D"/>
    <w:rsid w:val="005031B4"/>
    <w:rsid w:val="00503228"/>
    <w:rsid w:val="00503327"/>
    <w:rsid w:val="005034A0"/>
    <w:rsid w:val="005035D6"/>
    <w:rsid w:val="0050372B"/>
    <w:rsid w:val="00503948"/>
    <w:rsid w:val="00503B29"/>
    <w:rsid w:val="00503C1F"/>
    <w:rsid w:val="00503D83"/>
    <w:rsid w:val="00503EEF"/>
    <w:rsid w:val="00504367"/>
    <w:rsid w:val="00504877"/>
    <w:rsid w:val="00504B11"/>
    <w:rsid w:val="00504E09"/>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68D"/>
    <w:rsid w:val="00506763"/>
    <w:rsid w:val="00506780"/>
    <w:rsid w:val="0050693D"/>
    <w:rsid w:val="00506B42"/>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76"/>
    <w:rsid w:val="00507EC6"/>
    <w:rsid w:val="005100D9"/>
    <w:rsid w:val="005104C5"/>
    <w:rsid w:val="0051058D"/>
    <w:rsid w:val="0051066B"/>
    <w:rsid w:val="00510766"/>
    <w:rsid w:val="0051082E"/>
    <w:rsid w:val="00510C64"/>
    <w:rsid w:val="005110C6"/>
    <w:rsid w:val="00511373"/>
    <w:rsid w:val="0051152D"/>
    <w:rsid w:val="00511545"/>
    <w:rsid w:val="00511773"/>
    <w:rsid w:val="00511991"/>
    <w:rsid w:val="00511B2D"/>
    <w:rsid w:val="00511BAD"/>
    <w:rsid w:val="00511C30"/>
    <w:rsid w:val="00511F0E"/>
    <w:rsid w:val="005120CB"/>
    <w:rsid w:val="0051249E"/>
    <w:rsid w:val="00512545"/>
    <w:rsid w:val="00512594"/>
    <w:rsid w:val="00512649"/>
    <w:rsid w:val="005126EA"/>
    <w:rsid w:val="00512901"/>
    <w:rsid w:val="0051294E"/>
    <w:rsid w:val="005129CB"/>
    <w:rsid w:val="00512AB7"/>
    <w:rsid w:val="00512BB2"/>
    <w:rsid w:val="00512CC4"/>
    <w:rsid w:val="00512CDD"/>
    <w:rsid w:val="00512D5A"/>
    <w:rsid w:val="00512E71"/>
    <w:rsid w:val="00512ED5"/>
    <w:rsid w:val="00512F31"/>
    <w:rsid w:val="00512FD4"/>
    <w:rsid w:val="005130A0"/>
    <w:rsid w:val="005130CC"/>
    <w:rsid w:val="0051312A"/>
    <w:rsid w:val="005135BD"/>
    <w:rsid w:val="005135E5"/>
    <w:rsid w:val="005139BE"/>
    <w:rsid w:val="00513B7A"/>
    <w:rsid w:val="00513CC8"/>
    <w:rsid w:val="00514436"/>
    <w:rsid w:val="005145E2"/>
    <w:rsid w:val="00514A01"/>
    <w:rsid w:val="00514B4F"/>
    <w:rsid w:val="005151AE"/>
    <w:rsid w:val="00515238"/>
    <w:rsid w:val="0051557F"/>
    <w:rsid w:val="005156C8"/>
    <w:rsid w:val="00515A8D"/>
    <w:rsid w:val="00515DEB"/>
    <w:rsid w:val="00515E1A"/>
    <w:rsid w:val="005161C1"/>
    <w:rsid w:val="005167F0"/>
    <w:rsid w:val="0051687D"/>
    <w:rsid w:val="005169B6"/>
    <w:rsid w:val="00516B04"/>
    <w:rsid w:val="00516F93"/>
    <w:rsid w:val="00517139"/>
    <w:rsid w:val="0051713F"/>
    <w:rsid w:val="00517299"/>
    <w:rsid w:val="00517441"/>
    <w:rsid w:val="005176F7"/>
    <w:rsid w:val="005177DB"/>
    <w:rsid w:val="00517871"/>
    <w:rsid w:val="005178F0"/>
    <w:rsid w:val="00517A3D"/>
    <w:rsid w:val="00517A74"/>
    <w:rsid w:val="00517EE4"/>
    <w:rsid w:val="00517F52"/>
    <w:rsid w:val="0052017B"/>
    <w:rsid w:val="0052052D"/>
    <w:rsid w:val="005205B6"/>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58B"/>
    <w:rsid w:val="005236A9"/>
    <w:rsid w:val="00523A6C"/>
    <w:rsid w:val="00523AFF"/>
    <w:rsid w:val="00523B93"/>
    <w:rsid w:val="00523CE4"/>
    <w:rsid w:val="00523E4B"/>
    <w:rsid w:val="0052411F"/>
    <w:rsid w:val="005242D1"/>
    <w:rsid w:val="005242D2"/>
    <w:rsid w:val="00524475"/>
    <w:rsid w:val="005244CF"/>
    <w:rsid w:val="005245EB"/>
    <w:rsid w:val="0052471D"/>
    <w:rsid w:val="00524AD8"/>
    <w:rsid w:val="00524CBD"/>
    <w:rsid w:val="005251CE"/>
    <w:rsid w:val="005251EB"/>
    <w:rsid w:val="005253DB"/>
    <w:rsid w:val="005259A9"/>
    <w:rsid w:val="00525C6E"/>
    <w:rsid w:val="00525D60"/>
    <w:rsid w:val="0052628E"/>
    <w:rsid w:val="005262A1"/>
    <w:rsid w:val="005264CD"/>
    <w:rsid w:val="005266BF"/>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1011"/>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568"/>
    <w:rsid w:val="005335C9"/>
    <w:rsid w:val="005338EA"/>
    <w:rsid w:val="00533912"/>
    <w:rsid w:val="00533C0A"/>
    <w:rsid w:val="00533C2D"/>
    <w:rsid w:val="00533F25"/>
    <w:rsid w:val="00533FD9"/>
    <w:rsid w:val="005341C6"/>
    <w:rsid w:val="00534376"/>
    <w:rsid w:val="00534613"/>
    <w:rsid w:val="0053484F"/>
    <w:rsid w:val="00534959"/>
    <w:rsid w:val="00534A24"/>
    <w:rsid w:val="00534BBD"/>
    <w:rsid w:val="00534BD4"/>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D3"/>
    <w:rsid w:val="00536793"/>
    <w:rsid w:val="00536836"/>
    <w:rsid w:val="005369DF"/>
    <w:rsid w:val="00536DA3"/>
    <w:rsid w:val="00536F86"/>
    <w:rsid w:val="005375E9"/>
    <w:rsid w:val="005378E0"/>
    <w:rsid w:val="00537A46"/>
    <w:rsid w:val="00537AD7"/>
    <w:rsid w:val="00537EEA"/>
    <w:rsid w:val="00537FDC"/>
    <w:rsid w:val="00540049"/>
    <w:rsid w:val="00540112"/>
    <w:rsid w:val="00540256"/>
    <w:rsid w:val="00540400"/>
    <w:rsid w:val="005405CA"/>
    <w:rsid w:val="00540638"/>
    <w:rsid w:val="0054092B"/>
    <w:rsid w:val="00540BD0"/>
    <w:rsid w:val="00540BD7"/>
    <w:rsid w:val="00540C88"/>
    <w:rsid w:val="00540D31"/>
    <w:rsid w:val="00540D35"/>
    <w:rsid w:val="00540D81"/>
    <w:rsid w:val="00540D97"/>
    <w:rsid w:val="00540EBE"/>
    <w:rsid w:val="00540F79"/>
    <w:rsid w:val="00541207"/>
    <w:rsid w:val="0054132D"/>
    <w:rsid w:val="005413ED"/>
    <w:rsid w:val="00541555"/>
    <w:rsid w:val="00541AD3"/>
    <w:rsid w:val="00541B36"/>
    <w:rsid w:val="00541CD1"/>
    <w:rsid w:val="00541DC9"/>
    <w:rsid w:val="00541E06"/>
    <w:rsid w:val="00541FCC"/>
    <w:rsid w:val="00542053"/>
    <w:rsid w:val="0054209A"/>
    <w:rsid w:val="005420E4"/>
    <w:rsid w:val="005421B1"/>
    <w:rsid w:val="00542212"/>
    <w:rsid w:val="005423A5"/>
    <w:rsid w:val="0054284A"/>
    <w:rsid w:val="005429E1"/>
    <w:rsid w:val="005429EB"/>
    <w:rsid w:val="00542B25"/>
    <w:rsid w:val="005433E9"/>
    <w:rsid w:val="00543519"/>
    <w:rsid w:val="00543555"/>
    <w:rsid w:val="0054384C"/>
    <w:rsid w:val="00543983"/>
    <w:rsid w:val="00543AC9"/>
    <w:rsid w:val="00543AE6"/>
    <w:rsid w:val="00543B25"/>
    <w:rsid w:val="00543BCD"/>
    <w:rsid w:val="00543DE6"/>
    <w:rsid w:val="00543DF4"/>
    <w:rsid w:val="00543F80"/>
    <w:rsid w:val="0054402D"/>
    <w:rsid w:val="00544065"/>
    <w:rsid w:val="00544325"/>
    <w:rsid w:val="005446DB"/>
    <w:rsid w:val="0054492F"/>
    <w:rsid w:val="00544BD5"/>
    <w:rsid w:val="00544C4D"/>
    <w:rsid w:val="00545039"/>
    <w:rsid w:val="00545139"/>
    <w:rsid w:val="00545171"/>
    <w:rsid w:val="00545239"/>
    <w:rsid w:val="00545306"/>
    <w:rsid w:val="0054552D"/>
    <w:rsid w:val="00545B6F"/>
    <w:rsid w:val="00545B72"/>
    <w:rsid w:val="00545D40"/>
    <w:rsid w:val="00545DCC"/>
    <w:rsid w:val="00545EE0"/>
    <w:rsid w:val="00545EE7"/>
    <w:rsid w:val="00545FEA"/>
    <w:rsid w:val="00546087"/>
    <w:rsid w:val="005462C8"/>
    <w:rsid w:val="0054637F"/>
    <w:rsid w:val="00546442"/>
    <w:rsid w:val="005465AC"/>
    <w:rsid w:val="00546609"/>
    <w:rsid w:val="005466CB"/>
    <w:rsid w:val="005467F8"/>
    <w:rsid w:val="0054685F"/>
    <w:rsid w:val="00546860"/>
    <w:rsid w:val="00546C93"/>
    <w:rsid w:val="00546FDC"/>
    <w:rsid w:val="00547183"/>
    <w:rsid w:val="005471CF"/>
    <w:rsid w:val="0054720F"/>
    <w:rsid w:val="005473EF"/>
    <w:rsid w:val="00547524"/>
    <w:rsid w:val="005476CA"/>
    <w:rsid w:val="005478D7"/>
    <w:rsid w:val="00547F9C"/>
    <w:rsid w:val="005501FB"/>
    <w:rsid w:val="005503D2"/>
    <w:rsid w:val="005505D4"/>
    <w:rsid w:val="005506ED"/>
    <w:rsid w:val="00550771"/>
    <w:rsid w:val="005507E7"/>
    <w:rsid w:val="0055095F"/>
    <w:rsid w:val="005509B9"/>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BC8"/>
    <w:rsid w:val="00552CB0"/>
    <w:rsid w:val="005530A1"/>
    <w:rsid w:val="00553207"/>
    <w:rsid w:val="00553475"/>
    <w:rsid w:val="00553679"/>
    <w:rsid w:val="0055370A"/>
    <w:rsid w:val="0055396A"/>
    <w:rsid w:val="00553AE7"/>
    <w:rsid w:val="00553CC2"/>
    <w:rsid w:val="00553D99"/>
    <w:rsid w:val="00553E7F"/>
    <w:rsid w:val="00553FC8"/>
    <w:rsid w:val="00553FF7"/>
    <w:rsid w:val="00554519"/>
    <w:rsid w:val="00554554"/>
    <w:rsid w:val="00554643"/>
    <w:rsid w:val="005546F8"/>
    <w:rsid w:val="00554735"/>
    <w:rsid w:val="005548AC"/>
    <w:rsid w:val="00554A15"/>
    <w:rsid w:val="00554AE0"/>
    <w:rsid w:val="00554FE7"/>
    <w:rsid w:val="0055508D"/>
    <w:rsid w:val="005550F2"/>
    <w:rsid w:val="00555341"/>
    <w:rsid w:val="005559CB"/>
    <w:rsid w:val="00555A56"/>
    <w:rsid w:val="00555AC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C4D"/>
    <w:rsid w:val="00556DB7"/>
    <w:rsid w:val="00556E9E"/>
    <w:rsid w:val="005571A1"/>
    <w:rsid w:val="00557648"/>
    <w:rsid w:val="005577C4"/>
    <w:rsid w:val="0055781C"/>
    <w:rsid w:val="00557984"/>
    <w:rsid w:val="00557D30"/>
    <w:rsid w:val="00560344"/>
    <w:rsid w:val="005603D9"/>
    <w:rsid w:val="00560420"/>
    <w:rsid w:val="0056044E"/>
    <w:rsid w:val="0056055F"/>
    <w:rsid w:val="005607CA"/>
    <w:rsid w:val="005608DB"/>
    <w:rsid w:val="00561001"/>
    <w:rsid w:val="00561038"/>
    <w:rsid w:val="00561075"/>
    <w:rsid w:val="005611A8"/>
    <w:rsid w:val="00561329"/>
    <w:rsid w:val="00561446"/>
    <w:rsid w:val="0056153B"/>
    <w:rsid w:val="005617D0"/>
    <w:rsid w:val="005618F1"/>
    <w:rsid w:val="00561AC8"/>
    <w:rsid w:val="00561AD8"/>
    <w:rsid w:val="00561C44"/>
    <w:rsid w:val="00561E31"/>
    <w:rsid w:val="00561FAD"/>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0"/>
    <w:rsid w:val="005636B6"/>
    <w:rsid w:val="00563980"/>
    <w:rsid w:val="005639BD"/>
    <w:rsid w:val="00563AD0"/>
    <w:rsid w:val="00563B27"/>
    <w:rsid w:val="00563D54"/>
    <w:rsid w:val="00563F76"/>
    <w:rsid w:val="00563FCF"/>
    <w:rsid w:val="005640FA"/>
    <w:rsid w:val="00564116"/>
    <w:rsid w:val="005645FC"/>
    <w:rsid w:val="005648DA"/>
    <w:rsid w:val="00564A39"/>
    <w:rsid w:val="00564A67"/>
    <w:rsid w:val="00564A93"/>
    <w:rsid w:val="00564D95"/>
    <w:rsid w:val="0056501B"/>
    <w:rsid w:val="0056505B"/>
    <w:rsid w:val="005650B5"/>
    <w:rsid w:val="00565359"/>
    <w:rsid w:val="00565577"/>
    <w:rsid w:val="0056585F"/>
    <w:rsid w:val="005658E6"/>
    <w:rsid w:val="00565904"/>
    <w:rsid w:val="00565AB3"/>
    <w:rsid w:val="00566005"/>
    <w:rsid w:val="0056601C"/>
    <w:rsid w:val="00566244"/>
    <w:rsid w:val="00566418"/>
    <w:rsid w:val="005664C2"/>
    <w:rsid w:val="00566532"/>
    <w:rsid w:val="0056663D"/>
    <w:rsid w:val="005668B5"/>
    <w:rsid w:val="005669CE"/>
    <w:rsid w:val="00566ADD"/>
    <w:rsid w:val="00566D9F"/>
    <w:rsid w:val="00566EFD"/>
    <w:rsid w:val="00566FBD"/>
    <w:rsid w:val="00567211"/>
    <w:rsid w:val="005672DB"/>
    <w:rsid w:val="00567674"/>
    <w:rsid w:val="00567C2A"/>
    <w:rsid w:val="00567C4F"/>
    <w:rsid w:val="00567DAA"/>
    <w:rsid w:val="00567EDB"/>
    <w:rsid w:val="00567F2D"/>
    <w:rsid w:val="00570154"/>
    <w:rsid w:val="00570707"/>
    <w:rsid w:val="00570896"/>
    <w:rsid w:val="005708B3"/>
    <w:rsid w:val="00571152"/>
    <w:rsid w:val="005715E8"/>
    <w:rsid w:val="005717D2"/>
    <w:rsid w:val="00571987"/>
    <w:rsid w:val="00571ADA"/>
    <w:rsid w:val="00571C53"/>
    <w:rsid w:val="00571C5B"/>
    <w:rsid w:val="00571FD3"/>
    <w:rsid w:val="00572088"/>
    <w:rsid w:val="0057212C"/>
    <w:rsid w:val="00572859"/>
    <w:rsid w:val="00572941"/>
    <w:rsid w:val="00572B74"/>
    <w:rsid w:val="00572CB1"/>
    <w:rsid w:val="00572DEE"/>
    <w:rsid w:val="0057335A"/>
    <w:rsid w:val="005735DF"/>
    <w:rsid w:val="00573815"/>
    <w:rsid w:val="0057393D"/>
    <w:rsid w:val="00573978"/>
    <w:rsid w:val="00573AC3"/>
    <w:rsid w:val="00573C9E"/>
    <w:rsid w:val="00573E28"/>
    <w:rsid w:val="005740C0"/>
    <w:rsid w:val="00574280"/>
    <w:rsid w:val="005742E1"/>
    <w:rsid w:val="00574424"/>
    <w:rsid w:val="005744BF"/>
    <w:rsid w:val="00574529"/>
    <w:rsid w:val="0057456B"/>
    <w:rsid w:val="00574C88"/>
    <w:rsid w:val="00574F21"/>
    <w:rsid w:val="00575315"/>
    <w:rsid w:val="00575378"/>
    <w:rsid w:val="00575506"/>
    <w:rsid w:val="00575AEB"/>
    <w:rsid w:val="00575E57"/>
    <w:rsid w:val="0057601E"/>
    <w:rsid w:val="00576180"/>
    <w:rsid w:val="0057618A"/>
    <w:rsid w:val="00576235"/>
    <w:rsid w:val="0057636D"/>
    <w:rsid w:val="005763AD"/>
    <w:rsid w:val="005763B8"/>
    <w:rsid w:val="00576504"/>
    <w:rsid w:val="005765DC"/>
    <w:rsid w:val="00576715"/>
    <w:rsid w:val="00576A31"/>
    <w:rsid w:val="00576BA6"/>
    <w:rsid w:val="00576CBE"/>
    <w:rsid w:val="00576F8C"/>
    <w:rsid w:val="00576F91"/>
    <w:rsid w:val="005770B2"/>
    <w:rsid w:val="00577360"/>
    <w:rsid w:val="00577375"/>
    <w:rsid w:val="005773C7"/>
    <w:rsid w:val="0057777F"/>
    <w:rsid w:val="005779CF"/>
    <w:rsid w:val="00577BEE"/>
    <w:rsid w:val="00577DDD"/>
    <w:rsid w:val="00577F0C"/>
    <w:rsid w:val="00577F3D"/>
    <w:rsid w:val="00577FA5"/>
    <w:rsid w:val="00577FDF"/>
    <w:rsid w:val="00580073"/>
    <w:rsid w:val="00580602"/>
    <w:rsid w:val="00580669"/>
    <w:rsid w:val="005807D8"/>
    <w:rsid w:val="00580B37"/>
    <w:rsid w:val="00580B68"/>
    <w:rsid w:val="00580D5A"/>
    <w:rsid w:val="00580F2F"/>
    <w:rsid w:val="00581066"/>
    <w:rsid w:val="005811FF"/>
    <w:rsid w:val="00581413"/>
    <w:rsid w:val="00581442"/>
    <w:rsid w:val="00581498"/>
    <w:rsid w:val="0058159F"/>
    <w:rsid w:val="005815A1"/>
    <w:rsid w:val="00581656"/>
    <w:rsid w:val="005818E6"/>
    <w:rsid w:val="00581D8F"/>
    <w:rsid w:val="00581E63"/>
    <w:rsid w:val="00581F59"/>
    <w:rsid w:val="0058203C"/>
    <w:rsid w:val="00582196"/>
    <w:rsid w:val="005825F2"/>
    <w:rsid w:val="005826D5"/>
    <w:rsid w:val="005828E1"/>
    <w:rsid w:val="00582989"/>
    <w:rsid w:val="00582A72"/>
    <w:rsid w:val="00582D1C"/>
    <w:rsid w:val="00582F90"/>
    <w:rsid w:val="00582FF1"/>
    <w:rsid w:val="00583074"/>
    <w:rsid w:val="0058342B"/>
    <w:rsid w:val="0058361D"/>
    <w:rsid w:val="005839EF"/>
    <w:rsid w:val="00583E24"/>
    <w:rsid w:val="00584267"/>
    <w:rsid w:val="00584368"/>
    <w:rsid w:val="005845B8"/>
    <w:rsid w:val="005845EF"/>
    <w:rsid w:val="00584865"/>
    <w:rsid w:val="00584C12"/>
    <w:rsid w:val="00584D9D"/>
    <w:rsid w:val="00584EAC"/>
    <w:rsid w:val="00585427"/>
    <w:rsid w:val="0058555E"/>
    <w:rsid w:val="0058561C"/>
    <w:rsid w:val="00585846"/>
    <w:rsid w:val="00585CE1"/>
    <w:rsid w:val="00585D4C"/>
    <w:rsid w:val="00585D87"/>
    <w:rsid w:val="00585DE7"/>
    <w:rsid w:val="00585ECD"/>
    <w:rsid w:val="005863A7"/>
    <w:rsid w:val="005864DF"/>
    <w:rsid w:val="00586571"/>
    <w:rsid w:val="005865DE"/>
    <w:rsid w:val="005865EA"/>
    <w:rsid w:val="005866D5"/>
    <w:rsid w:val="00586D23"/>
    <w:rsid w:val="00586D58"/>
    <w:rsid w:val="00586D72"/>
    <w:rsid w:val="00586F1B"/>
    <w:rsid w:val="0058716D"/>
    <w:rsid w:val="0058773E"/>
    <w:rsid w:val="00587A6C"/>
    <w:rsid w:val="00590078"/>
    <w:rsid w:val="005900BF"/>
    <w:rsid w:val="005902AC"/>
    <w:rsid w:val="005902D0"/>
    <w:rsid w:val="005907FE"/>
    <w:rsid w:val="00590BC6"/>
    <w:rsid w:val="00590CA6"/>
    <w:rsid w:val="00590CB2"/>
    <w:rsid w:val="00590CFA"/>
    <w:rsid w:val="00590F63"/>
    <w:rsid w:val="005915BE"/>
    <w:rsid w:val="00591655"/>
    <w:rsid w:val="005917C0"/>
    <w:rsid w:val="0059195C"/>
    <w:rsid w:val="00591A04"/>
    <w:rsid w:val="00591AE2"/>
    <w:rsid w:val="00591E64"/>
    <w:rsid w:val="0059216A"/>
    <w:rsid w:val="00592339"/>
    <w:rsid w:val="0059252E"/>
    <w:rsid w:val="0059260B"/>
    <w:rsid w:val="00592679"/>
    <w:rsid w:val="00592804"/>
    <w:rsid w:val="005929AA"/>
    <w:rsid w:val="00592C45"/>
    <w:rsid w:val="00592CAF"/>
    <w:rsid w:val="00592EE6"/>
    <w:rsid w:val="00592F4C"/>
    <w:rsid w:val="00592FF2"/>
    <w:rsid w:val="00593065"/>
    <w:rsid w:val="0059329B"/>
    <w:rsid w:val="00593350"/>
    <w:rsid w:val="0059389C"/>
    <w:rsid w:val="00593C7C"/>
    <w:rsid w:val="00593D33"/>
    <w:rsid w:val="0059405A"/>
    <w:rsid w:val="00594208"/>
    <w:rsid w:val="00594506"/>
    <w:rsid w:val="00594523"/>
    <w:rsid w:val="005947B9"/>
    <w:rsid w:val="00594B0A"/>
    <w:rsid w:val="00594DAE"/>
    <w:rsid w:val="00594F05"/>
    <w:rsid w:val="00595335"/>
    <w:rsid w:val="00595416"/>
    <w:rsid w:val="00595436"/>
    <w:rsid w:val="0059548B"/>
    <w:rsid w:val="00595499"/>
    <w:rsid w:val="005955B7"/>
    <w:rsid w:val="00595632"/>
    <w:rsid w:val="00595729"/>
    <w:rsid w:val="00595AAA"/>
    <w:rsid w:val="00595C20"/>
    <w:rsid w:val="00596072"/>
    <w:rsid w:val="005962A8"/>
    <w:rsid w:val="005965CF"/>
    <w:rsid w:val="005965E6"/>
    <w:rsid w:val="0059661E"/>
    <w:rsid w:val="00596926"/>
    <w:rsid w:val="00596BB3"/>
    <w:rsid w:val="00596CC3"/>
    <w:rsid w:val="00596D1D"/>
    <w:rsid w:val="00596E4F"/>
    <w:rsid w:val="00596E9B"/>
    <w:rsid w:val="00596F32"/>
    <w:rsid w:val="00596F8F"/>
    <w:rsid w:val="00596FBB"/>
    <w:rsid w:val="00596FE6"/>
    <w:rsid w:val="0059700D"/>
    <w:rsid w:val="00597019"/>
    <w:rsid w:val="00597040"/>
    <w:rsid w:val="005973F7"/>
    <w:rsid w:val="005974B4"/>
    <w:rsid w:val="0059756C"/>
    <w:rsid w:val="005977E7"/>
    <w:rsid w:val="00597817"/>
    <w:rsid w:val="00597B38"/>
    <w:rsid w:val="00597F93"/>
    <w:rsid w:val="005A0053"/>
    <w:rsid w:val="005A013D"/>
    <w:rsid w:val="005A03CE"/>
    <w:rsid w:val="005A0659"/>
    <w:rsid w:val="005A092C"/>
    <w:rsid w:val="005A095E"/>
    <w:rsid w:val="005A0C11"/>
    <w:rsid w:val="005A0DE5"/>
    <w:rsid w:val="005A0E16"/>
    <w:rsid w:val="005A0F21"/>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9F7"/>
    <w:rsid w:val="005A2F44"/>
    <w:rsid w:val="005A2F45"/>
    <w:rsid w:val="005A2F85"/>
    <w:rsid w:val="005A307E"/>
    <w:rsid w:val="005A30B5"/>
    <w:rsid w:val="005A36BC"/>
    <w:rsid w:val="005A37E5"/>
    <w:rsid w:val="005A3933"/>
    <w:rsid w:val="005A3B89"/>
    <w:rsid w:val="005A3DBA"/>
    <w:rsid w:val="005A3EAD"/>
    <w:rsid w:val="005A3EC6"/>
    <w:rsid w:val="005A44AE"/>
    <w:rsid w:val="005A44D3"/>
    <w:rsid w:val="005A4A2A"/>
    <w:rsid w:val="005A4EB2"/>
    <w:rsid w:val="005A4FD3"/>
    <w:rsid w:val="005A523A"/>
    <w:rsid w:val="005A532E"/>
    <w:rsid w:val="005A536D"/>
    <w:rsid w:val="005A53AD"/>
    <w:rsid w:val="005A5532"/>
    <w:rsid w:val="005A5855"/>
    <w:rsid w:val="005A594D"/>
    <w:rsid w:val="005A5953"/>
    <w:rsid w:val="005A5B16"/>
    <w:rsid w:val="005A6109"/>
    <w:rsid w:val="005A624A"/>
    <w:rsid w:val="005A6302"/>
    <w:rsid w:val="005A639A"/>
    <w:rsid w:val="005A63DA"/>
    <w:rsid w:val="005A6824"/>
    <w:rsid w:val="005A6AD0"/>
    <w:rsid w:val="005A6D88"/>
    <w:rsid w:val="005A6DC0"/>
    <w:rsid w:val="005A6EC5"/>
    <w:rsid w:val="005A6FAD"/>
    <w:rsid w:val="005A7050"/>
    <w:rsid w:val="005A70C5"/>
    <w:rsid w:val="005A7369"/>
    <w:rsid w:val="005A7536"/>
    <w:rsid w:val="005A7D06"/>
    <w:rsid w:val="005A7E7E"/>
    <w:rsid w:val="005A7F16"/>
    <w:rsid w:val="005B0002"/>
    <w:rsid w:val="005B007D"/>
    <w:rsid w:val="005B00E7"/>
    <w:rsid w:val="005B02E6"/>
    <w:rsid w:val="005B03D8"/>
    <w:rsid w:val="005B0464"/>
    <w:rsid w:val="005B0730"/>
    <w:rsid w:val="005B0789"/>
    <w:rsid w:val="005B0DC3"/>
    <w:rsid w:val="005B0EA7"/>
    <w:rsid w:val="005B11F1"/>
    <w:rsid w:val="005B180E"/>
    <w:rsid w:val="005B1BBF"/>
    <w:rsid w:val="005B1ECB"/>
    <w:rsid w:val="005B20D5"/>
    <w:rsid w:val="005B225B"/>
    <w:rsid w:val="005B2331"/>
    <w:rsid w:val="005B2A39"/>
    <w:rsid w:val="005B2F67"/>
    <w:rsid w:val="005B2FB3"/>
    <w:rsid w:val="005B3152"/>
    <w:rsid w:val="005B356A"/>
    <w:rsid w:val="005B3598"/>
    <w:rsid w:val="005B3761"/>
    <w:rsid w:val="005B3823"/>
    <w:rsid w:val="005B39E2"/>
    <w:rsid w:val="005B3AC6"/>
    <w:rsid w:val="005B3C99"/>
    <w:rsid w:val="005B3E7B"/>
    <w:rsid w:val="005B3EFF"/>
    <w:rsid w:val="005B404D"/>
    <w:rsid w:val="005B40C9"/>
    <w:rsid w:val="005B473A"/>
    <w:rsid w:val="005B4888"/>
    <w:rsid w:val="005B49B4"/>
    <w:rsid w:val="005B4B6C"/>
    <w:rsid w:val="005B4D05"/>
    <w:rsid w:val="005B5189"/>
    <w:rsid w:val="005B57CD"/>
    <w:rsid w:val="005B58F8"/>
    <w:rsid w:val="005B5AEA"/>
    <w:rsid w:val="005B5BFF"/>
    <w:rsid w:val="005B5F99"/>
    <w:rsid w:val="005B5FF2"/>
    <w:rsid w:val="005B603E"/>
    <w:rsid w:val="005B60C4"/>
    <w:rsid w:val="005B60D3"/>
    <w:rsid w:val="005B65A2"/>
    <w:rsid w:val="005B670A"/>
    <w:rsid w:val="005B6903"/>
    <w:rsid w:val="005B6996"/>
    <w:rsid w:val="005B69B6"/>
    <w:rsid w:val="005B6A92"/>
    <w:rsid w:val="005B6B20"/>
    <w:rsid w:val="005B6BD4"/>
    <w:rsid w:val="005B6C58"/>
    <w:rsid w:val="005B6DDD"/>
    <w:rsid w:val="005B6E54"/>
    <w:rsid w:val="005B7074"/>
    <w:rsid w:val="005B71B7"/>
    <w:rsid w:val="005B7328"/>
    <w:rsid w:val="005B752A"/>
    <w:rsid w:val="005B752E"/>
    <w:rsid w:val="005B7BBC"/>
    <w:rsid w:val="005C0398"/>
    <w:rsid w:val="005C04CD"/>
    <w:rsid w:val="005C085F"/>
    <w:rsid w:val="005C0C8D"/>
    <w:rsid w:val="005C0D6F"/>
    <w:rsid w:val="005C0E2C"/>
    <w:rsid w:val="005C0F0C"/>
    <w:rsid w:val="005C11B0"/>
    <w:rsid w:val="005C129A"/>
    <w:rsid w:val="005C15BF"/>
    <w:rsid w:val="005C17B9"/>
    <w:rsid w:val="005C1913"/>
    <w:rsid w:val="005C1B09"/>
    <w:rsid w:val="005C1E5C"/>
    <w:rsid w:val="005C1E93"/>
    <w:rsid w:val="005C21A6"/>
    <w:rsid w:val="005C2210"/>
    <w:rsid w:val="005C239D"/>
    <w:rsid w:val="005C2594"/>
    <w:rsid w:val="005C25B6"/>
    <w:rsid w:val="005C29AA"/>
    <w:rsid w:val="005C2B1E"/>
    <w:rsid w:val="005C2E53"/>
    <w:rsid w:val="005C3002"/>
    <w:rsid w:val="005C307B"/>
    <w:rsid w:val="005C342F"/>
    <w:rsid w:val="005C3973"/>
    <w:rsid w:val="005C3AA2"/>
    <w:rsid w:val="005C3BDD"/>
    <w:rsid w:val="005C3F31"/>
    <w:rsid w:val="005C4021"/>
    <w:rsid w:val="005C404B"/>
    <w:rsid w:val="005C4719"/>
    <w:rsid w:val="005C4A16"/>
    <w:rsid w:val="005C4A32"/>
    <w:rsid w:val="005C4BC1"/>
    <w:rsid w:val="005C4D3D"/>
    <w:rsid w:val="005C4F4B"/>
    <w:rsid w:val="005C54D3"/>
    <w:rsid w:val="005C5540"/>
    <w:rsid w:val="005C5719"/>
    <w:rsid w:val="005C57BD"/>
    <w:rsid w:val="005C58BB"/>
    <w:rsid w:val="005C5911"/>
    <w:rsid w:val="005C5944"/>
    <w:rsid w:val="005C5A89"/>
    <w:rsid w:val="005C5B2A"/>
    <w:rsid w:val="005C5E5C"/>
    <w:rsid w:val="005C63CC"/>
    <w:rsid w:val="005C65F6"/>
    <w:rsid w:val="005C668A"/>
    <w:rsid w:val="005C68F2"/>
    <w:rsid w:val="005C6B27"/>
    <w:rsid w:val="005C6B7E"/>
    <w:rsid w:val="005C6BF1"/>
    <w:rsid w:val="005C710E"/>
    <w:rsid w:val="005C737F"/>
    <w:rsid w:val="005C7384"/>
    <w:rsid w:val="005C73EA"/>
    <w:rsid w:val="005C740B"/>
    <w:rsid w:val="005C76C6"/>
    <w:rsid w:val="005C7811"/>
    <w:rsid w:val="005C7C45"/>
    <w:rsid w:val="005C7EBF"/>
    <w:rsid w:val="005C7F60"/>
    <w:rsid w:val="005D0079"/>
    <w:rsid w:val="005D02EF"/>
    <w:rsid w:val="005D032D"/>
    <w:rsid w:val="005D0456"/>
    <w:rsid w:val="005D04B0"/>
    <w:rsid w:val="005D0859"/>
    <w:rsid w:val="005D088A"/>
    <w:rsid w:val="005D0980"/>
    <w:rsid w:val="005D10FC"/>
    <w:rsid w:val="005D15F9"/>
    <w:rsid w:val="005D1785"/>
    <w:rsid w:val="005D1BD8"/>
    <w:rsid w:val="005D1CE6"/>
    <w:rsid w:val="005D23E7"/>
    <w:rsid w:val="005D24D1"/>
    <w:rsid w:val="005D2975"/>
    <w:rsid w:val="005D2AB7"/>
    <w:rsid w:val="005D2CCA"/>
    <w:rsid w:val="005D2DE0"/>
    <w:rsid w:val="005D2FFC"/>
    <w:rsid w:val="005D3143"/>
    <w:rsid w:val="005D336D"/>
    <w:rsid w:val="005D33A1"/>
    <w:rsid w:val="005D35FD"/>
    <w:rsid w:val="005D362F"/>
    <w:rsid w:val="005D36A2"/>
    <w:rsid w:val="005D3772"/>
    <w:rsid w:val="005D3842"/>
    <w:rsid w:val="005D396D"/>
    <w:rsid w:val="005D3A16"/>
    <w:rsid w:val="005D3A6B"/>
    <w:rsid w:val="005D3BC1"/>
    <w:rsid w:val="005D3D2C"/>
    <w:rsid w:val="005D3F21"/>
    <w:rsid w:val="005D4550"/>
    <w:rsid w:val="005D4579"/>
    <w:rsid w:val="005D45F8"/>
    <w:rsid w:val="005D48E9"/>
    <w:rsid w:val="005D4B6E"/>
    <w:rsid w:val="005D4C8B"/>
    <w:rsid w:val="005D5032"/>
    <w:rsid w:val="005D5407"/>
    <w:rsid w:val="005D5436"/>
    <w:rsid w:val="005D55D2"/>
    <w:rsid w:val="005D5667"/>
    <w:rsid w:val="005D56B2"/>
    <w:rsid w:val="005D585B"/>
    <w:rsid w:val="005D5925"/>
    <w:rsid w:val="005D5A5F"/>
    <w:rsid w:val="005D5C6B"/>
    <w:rsid w:val="005D5E06"/>
    <w:rsid w:val="005D5E6C"/>
    <w:rsid w:val="005D6028"/>
    <w:rsid w:val="005D621E"/>
    <w:rsid w:val="005D6354"/>
    <w:rsid w:val="005D6848"/>
    <w:rsid w:val="005D68CE"/>
    <w:rsid w:val="005D6B1F"/>
    <w:rsid w:val="005D6B9A"/>
    <w:rsid w:val="005D6BF0"/>
    <w:rsid w:val="005D6D9E"/>
    <w:rsid w:val="005D6E76"/>
    <w:rsid w:val="005D6ED6"/>
    <w:rsid w:val="005D6EF2"/>
    <w:rsid w:val="005D70EF"/>
    <w:rsid w:val="005D7117"/>
    <w:rsid w:val="005D7261"/>
    <w:rsid w:val="005D72C9"/>
    <w:rsid w:val="005D770B"/>
    <w:rsid w:val="005D7A07"/>
    <w:rsid w:val="005D7C2A"/>
    <w:rsid w:val="005D7CC7"/>
    <w:rsid w:val="005D7DA9"/>
    <w:rsid w:val="005D7DAC"/>
    <w:rsid w:val="005E00A6"/>
    <w:rsid w:val="005E00D0"/>
    <w:rsid w:val="005E019B"/>
    <w:rsid w:val="005E0B26"/>
    <w:rsid w:val="005E1590"/>
    <w:rsid w:val="005E1749"/>
    <w:rsid w:val="005E1848"/>
    <w:rsid w:val="005E1921"/>
    <w:rsid w:val="005E1C8A"/>
    <w:rsid w:val="005E1DA5"/>
    <w:rsid w:val="005E202B"/>
    <w:rsid w:val="005E222A"/>
    <w:rsid w:val="005E23B5"/>
    <w:rsid w:val="005E23E1"/>
    <w:rsid w:val="005E291A"/>
    <w:rsid w:val="005E2B37"/>
    <w:rsid w:val="005E33C3"/>
    <w:rsid w:val="005E3679"/>
    <w:rsid w:val="005E38EB"/>
    <w:rsid w:val="005E3A8C"/>
    <w:rsid w:val="005E3DB2"/>
    <w:rsid w:val="005E4759"/>
    <w:rsid w:val="005E47C2"/>
    <w:rsid w:val="005E4A56"/>
    <w:rsid w:val="005E4BD8"/>
    <w:rsid w:val="005E4F07"/>
    <w:rsid w:val="005E4F2D"/>
    <w:rsid w:val="005E4FE1"/>
    <w:rsid w:val="005E5327"/>
    <w:rsid w:val="005E54F2"/>
    <w:rsid w:val="005E5605"/>
    <w:rsid w:val="005E5AC7"/>
    <w:rsid w:val="005E5B6D"/>
    <w:rsid w:val="005E5D33"/>
    <w:rsid w:val="005E6164"/>
    <w:rsid w:val="005E6402"/>
    <w:rsid w:val="005E6430"/>
    <w:rsid w:val="005E6457"/>
    <w:rsid w:val="005E64C2"/>
    <w:rsid w:val="005E650D"/>
    <w:rsid w:val="005E6E35"/>
    <w:rsid w:val="005E6EB7"/>
    <w:rsid w:val="005E72AA"/>
    <w:rsid w:val="005E73CA"/>
    <w:rsid w:val="005E74F8"/>
    <w:rsid w:val="005E76B5"/>
    <w:rsid w:val="005E792F"/>
    <w:rsid w:val="005E7E29"/>
    <w:rsid w:val="005F035F"/>
    <w:rsid w:val="005F0396"/>
    <w:rsid w:val="005F03BF"/>
    <w:rsid w:val="005F048D"/>
    <w:rsid w:val="005F049F"/>
    <w:rsid w:val="005F0553"/>
    <w:rsid w:val="005F0580"/>
    <w:rsid w:val="005F0692"/>
    <w:rsid w:val="005F0801"/>
    <w:rsid w:val="005F0BFE"/>
    <w:rsid w:val="005F0F57"/>
    <w:rsid w:val="005F0FC1"/>
    <w:rsid w:val="005F0FD2"/>
    <w:rsid w:val="005F173C"/>
    <w:rsid w:val="005F18D0"/>
    <w:rsid w:val="005F1AED"/>
    <w:rsid w:val="005F1D62"/>
    <w:rsid w:val="005F1E09"/>
    <w:rsid w:val="005F215B"/>
    <w:rsid w:val="005F22AF"/>
    <w:rsid w:val="005F25BE"/>
    <w:rsid w:val="005F2711"/>
    <w:rsid w:val="005F2739"/>
    <w:rsid w:val="005F27CD"/>
    <w:rsid w:val="005F2AB4"/>
    <w:rsid w:val="005F2BAE"/>
    <w:rsid w:val="005F2D37"/>
    <w:rsid w:val="005F2D73"/>
    <w:rsid w:val="005F311F"/>
    <w:rsid w:val="005F3171"/>
    <w:rsid w:val="005F31BB"/>
    <w:rsid w:val="005F32DD"/>
    <w:rsid w:val="005F34E7"/>
    <w:rsid w:val="005F36BE"/>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1F0"/>
    <w:rsid w:val="005F57E0"/>
    <w:rsid w:val="005F58FD"/>
    <w:rsid w:val="005F599E"/>
    <w:rsid w:val="005F59C1"/>
    <w:rsid w:val="005F5B2D"/>
    <w:rsid w:val="005F5C83"/>
    <w:rsid w:val="005F5ED6"/>
    <w:rsid w:val="005F5FE6"/>
    <w:rsid w:val="005F645C"/>
    <w:rsid w:val="005F64D4"/>
    <w:rsid w:val="005F699D"/>
    <w:rsid w:val="005F6C2C"/>
    <w:rsid w:val="005F6CC8"/>
    <w:rsid w:val="005F6E40"/>
    <w:rsid w:val="005F6EFA"/>
    <w:rsid w:val="005F7011"/>
    <w:rsid w:val="005F70F0"/>
    <w:rsid w:val="005F71A9"/>
    <w:rsid w:val="005F72F4"/>
    <w:rsid w:val="005F741B"/>
    <w:rsid w:val="005F74FA"/>
    <w:rsid w:val="005F7602"/>
    <w:rsid w:val="005F7682"/>
    <w:rsid w:val="005F7CBF"/>
    <w:rsid w:val="005F7E87"/>
    <w:rsid w:val="005F7E9E"/>
    <w:rsid w:val="005F7ED5"/>
    <w:rsid w:val="00600076"/>
    <w:rsid w:val="00600132"/>
    <w:rsid w:val="006002C0"/>
    <w:rsid w:val="00600305"/>
    <w:rsid w:val="00600574"/>
    <w:rsid w:val="00600AC3"/>
    <w:rsid w:val="00600BA5"/>
    <w:rsid w:val="00600BE4"/>
    <w:rsid w:val="00600D25"/>
    <w:rsid w:val="0060102A"/>
    <w:rsid w:val="006011AF"/>
    <w:rsid w:val="00601496"/>
    <w:rsid w:val="006016F4"/>
    <w:rsid w:val="006018A3"/>
    <w:rsid w:val="00601B94"/>
    <w:rsid w:val="00601C8E"/>
    <w:rsid w:val="00601D67"/>
    <w:rsid w:val="00602023"/>
    <w:rsid w:val="00602032"/>
    <w:rsid w:val="00602117"/>
    <w:rsid w:val="006022CD"/>
    <w:rsid w:val="00602301"/>
    <w:rsid w:val="00602768"/>
    <w:rsid w:val="00602B23"/>
    <w:rsid w:val="00602C9A"/>
    <w:rsid w:val="00602E2A"/>
    <w:rsid w:val="00602EDC"/>
    <w:rsid w:val="00602F1C"/>
    <w:rsid w:val="0060305E"/>
    <w:rsid w:val="00603072"/>
    <w:rsid w:val="00603113"/>
    <w:rsid w:val="006032B0"/>
    <w:rsid w:val="006034D6"/>
    <w:rsid w:val="0060376B"/>
    <w:rsid w:val="00603963"/>
    <w:rsid w:val="00603A39"/>
    <w:rsid w:val="006043FC"/>
    <w:rsid w:val="006046C4"/>
    <w:rsid w:val="00604734"/>
    <w:rsid w:val="00604770"/>
    <w:rsid w:val="00604AD6"/>
    <w:rsid w:val="00604D09"/>
    <w:rsid w:val="00604EDD"/>
    <w:rsid w:val="00604FBF"/>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E3F"/>
    <w:rsid w:val="0060721E"/>
    <w:rsid w:val="006072FB"/>
    <w:rsid w:val="00607457"/>
    <w:rsid w:val="0060748A"/>
    <w:rsid w:val="00607676"/>
    <w:rsid w:val="006076E4"/>
    <w:rsid w:val="00607948"/>
    <w:rsid w:val="006079E8"/>
    <w:rsid w:val="00607B0C"/>
    <w:rsid w:val="00607ECB"/>
    <w:rsid w:val="0061021C"/>
    <w:rsid w:val="00610314"/>
    <w:rsid w:val="00610920"/>
    <w:rsid w:val="00610B2D"/>
    <w:rsid w:val="00610CCC"/>
    <w:rsid w:val="006114E4"/>
    <w:rsid w:val="00611605"/>
    <w:rsid w:val="00611A40"/>
    <w:rsid w:val="00611EA5"/>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630"/>
    <w:rsid w:val="00613A1D"/>
    <w:rsid w:val="00613EB1"/>
    <w:rsid w:val="00613ED8"/>
    <w:rsid w:val="00614083"/>
    <w:rsid w:val="006140D2"/>
    <w:rsid w:val="0061413F"/>
    <w:rsid w:val="00614486"/>
    <w:rsid w:val="00614664"/>
    <w:rsid w:val="0061466C"/>
    <w:rsid w:val="0061495C"/>
    <w:rsid w:val="00614BB6"/>
    <w:rsid w:val="00614C1A"/>
    <w:rsid w:val="00614C57"/>
    <w:rsid w:val="00614E49"/>
    <w:rsid w:val="006157B1"/>
    <w:rsid w:val="00615B17"/>
    <w:rsid w:val="00615E7C"/>
    <w:rsid w:val="00615FA2"/>
    <w:rsid w:val="00616057"/>
    <w:rsid w:val="0061636D"/>
    <w:rsid w:val="00616373"/>
    <w:rsid w:val="006168DF"/>
    <w:rsid w:val="0061698F"/>
    <w:rsid w:val="00616A4C"/>
    <w:rsid w:val="00616B70"/>
    <w:rsid w:val="006174C4"/>
    <w:rsid w:val="00617613"/>
    <w:rsid w:val="0061776F"/>
    <w:rsid w:val="00617B36"/>
    <w:rsid w:val="00620093"/>
    <w:rsid w:val="00620183"/>
    <w:rsid w:val="006202D7"/>
    <w:rsid w:val="006203E2"/>
    <w:rsid w:val="00620414"/>
    <w:rsid w:val="0062047E"/>
    <w:rsid w:val="0062051B"/>
    <w:rsid w:val="006206D0"/>
    <w:rsid w:val="006207AE"/>
    <w:rsid w:val="00620976"/>
    <w:rsid w:val="00620AAA"/>
    <w:rsid w:val="00620D10"/>
    <w:rsid w:val="00620E82"/>
    <w:rsid w:val="00620EC4"/>
    <w:rsid w:val="0062105C"/>
    <w:rsid w:val="006211A2"/>
    <w:rsid w:val="00621521"/>
    <w:rsid w:val="00621625"/>
    <w:rsid w:val="0062174B"/>
    <w:rsid w:val="006217B5"/>
    <w:rsid w:val="00621899"/>
    <w:rsid w:val="00621B0B"/>
    <w:rsid w:val="00621DB4"/>
    <w:rsid w:val="00621E23"/>
    <w:rsid w:val="00621F7F"/>
    <w:rsid w:val="0062200A"/>
    <w:rsid w:val="00622120"/>
    <w:rsid w:val="00622343"/>
    <w:rsid w:val="0062264A"/>
    <w:rsid w:val="006229EB"/>
    <w:rsid w:val="00622B52"/>
    <w:rsid w:val="00622BC5"/>
    <w:rsid w:val="00622F60"/>
    <w:rsid w:val="00623114"/>
    <w:rsid w:val="00623180"/>
    <w:rsid w:val="0062330E"/>
    <w:rsid w:val="00623327"/>
    <w:rsid w:val="0062335C"/>
    <w:rsid w:val="006234BB"/>
    <w:rsid w:val="006236F1"/>
    <w:rsid w:val="00623B86"/>
    <w:rsid w:val="00623E9D"/>
    <w:rsid w:val="00624010"/>
    <w:rsid w:val="006242E3"/>
    <w:rsid w:val="006242F5"/>
    <w:rsid w:val="00624774"/>
    <w:rsid w:val="006247DF"/>
    <w:rsid w:val="00624804"/>
    <w:rsid w:val="00624919"/>
    <w:rsid w:val="006249AF"/>
    <w:rsid w:val="00624A21"/>
    <w:rsid w:val="00624AAA"/>
    <w:rsid w:val="00624BC5"/>
    <w:rsid w:val="0062528A"/>
    <w:rsid w:val="006252D0"/>
    <w:rsid w:val="00625701"/>
    <w:rsid w:val="006259FA"/>
    <w:rsid w:val="00625AFD"/>
    <w:rsid w:val="00625E11"/>
    <w:rsid w:val="00626043"/>
    <w:rsid w:val="0062606A"/>
    <w:rsid w:val="006264C7"/>
    <w:rsid w:val="00626513"/>
    <w:rsid w:val="00626622"/>
    <w:rsid w:val="00626664"/>
    <w:rsid w:val="00626959"/>
    <w:rsid w:val="006269EF"/>
    <w:rsid w:val="006269F6"/>
    <w:rsid w:val="00626DBE"/>
    <w:rsid w:val="0062711B"/>
    <w:rsid w:val="006274B7"/>
    <w:rsid w:val="0062759C"/>
    <w:rsid w:val="006275B6"/>
    <w:rsid w:val="0062791B"/>
    <w:rsid w:val="00627D8F"/>
    <w:rsid w:val="00627E72"/>
    <w:rsid w:val="00627EA6"/>
    <w:rsid w:val="00630146"/>
    <w:rsid w:val="0063019B"/>
    <w:rsid w:val="00630254"/>
    <w:rsid w:val="00630272"/>
    <w:rsid w:val="006302E5"/>
    <w:rsid w:val="00630341"/>
    <w:rsid w:val="006307CB"/>
    <w:rsid w:val="00630865"/>
    <w:rsid w:val="006309C3"/>
    <w:rsid w:val="00630B19"/>
    <w:rsid w:val="00630BC2"/>
    <w:rsid w:val="00630BFE"/>
    <w:rsid w:val="00630C59"/>
    <w:rsid w:val="00630D89"/>
    <w:rsid w:val="00630FE0"/>
    <w:rsid w:val="00631034"/>
    <w:rsid w:val="00631229"/>
    <w:rsid w:val="00631401"/>
    <w:rsid w:val="00631426"/>
    <w:rsid w:val="006314B3"/>
    <w:rsid w:val="006315D7"/>
    <w:rsid w:val="006317F0"/>
    <w:rsid w:val="006318C2"/>
    <w:rsid w:val="00631A0C"/>
    <w:rsid w:val="00631A74"/>
    <w:rsid w:val="00631C70"/>
    <w:rsid w:val="00631D94"/>
    <w:rsid w:val="00631EB7"/>
    <w:rsid w:val="00631F57"/>
    <w:rsid w:val="00631F8E"/>
    <w:rsid w:val="00631FC4"/>
    <w:rsid w:val="006322A4"/>
    <w:rsid w:val="006322FC"/>
    <w:rsid w:val="006323A0"/>
    <w:rsid w:val="006325B9"/>
    <w:rsid w:val="0063276B"/>
    <w:rsid w:val="006327B3"/>
    <w:rsid w:val="00632A0D"/>
    <w:rsid w:val="00632A99"/>
    <w:rsid w:val="00632DC9"/>
    <w:rsid w:val="00632FB8"/>
    <w:rsid w:val="006330FD"/>
    <w:rsid w:val="0063321D"/>
    <w:rsid w:val="0063330C"/>
    <w:rsid w:val="006333DF"/>
    <w:rsid w:val="006334E6"/>
    <w:rsid w:val="00633542"/>
    <w:rsid w:val="00633618"/>
    <w:rsid w:val="00633BAA"/>
    <w:rsid w:val="00633C1F"/>
    <w:rsid w:val="00633D22"/>
    <w:rsid w:val="00634723"/>
    <w:rsid w:val="00634764"/>
    <w:rsid w:val="006347EB"/>
    <w:rsid w:val="00634AF5"/>
    <w:rsid w:val="00634AFC"/>
    <w:rsid w:val="00634B07"/>
    <w:rsid w:val="00635428"/>
    <w:rsid w:val="00635674"/>
    <w:rsid w:val="00635835"/>
    <w:rsid w:val="00635B7A"/>
    <w:rsid w:val="00635F69"/>
    <w:rsid w:val="00636142"/>
    <w:rsid w:val="006362B2"/>
    <w:rsid w:val="00636440"/>
    <w:rsid w:val="0063675D"/>
    <w:rsid w:val="00636942"/>
    <w:rsid w:val="006369C7"/>
    <w:rsid w:val="00636A13"/>
    <w:rsid w:val="00636A1E"/>
    <w:rsid w:val="00636AB1"/>
    <w:rsid w:val="00636BC1"/>
    <w:rsid w:val="00636BE3"/>
    <w:rsid w:val="00636C82"/>
    <w:rsid w:val="00637207"/>
    <w:rsid w:val="00637418"/>
    <w:rsid w:val="006374C1"/>
    <w:rsid w:val="00637514"/>
    <w:rsid w:val="0063757B"/>
    <w:rsid w:val="00637605"/>
    <w:rsid w:val="00637668"/>
    <w:rsid w:val="0063771C"/>
    <w:rsid w:val="00637955"/>
    <w:rsid w:val="00637A0E"/>
    <w:rsid w:val="00637B2E"/>
    <w:rsid w:val="00637D07"/>
    <w:rsid w:val="00637ECC"/>
    <w:rsid w:val="006401B7"/>
    <w:rsid w:val="0064033F"/>
    <w:rsid w:val="00640575"/>
    <w:rsid w:val="006405B9"/>
    <w:rsid w:val="006407B6"/>
    <w:rsid w:val="00640A73"/>
    <w:rsid w:val="00640E8D"/>
    <w:rsid w:val="00640FC0"/>
    <w:rsid w:val="00641130"/>
    <w:rsid w:val="00641284"/>
    <w:rsid w:val="006412BA"/>
    <w:rsid w:val="00641492"/>
    <w:rsid w:val="006414CC"/>
    <w:rsid w:val="00641A10"/>
    <w:rsid w:val="00641C0E"/>
    <w:rsid w:val="00641C6D"/>
    <w:rsid w:val="00641D8F"/>
    <w:rsid w:val="00641DD1"/>
    <w:rsid w:val="00641FC0"/>
    <w:rsid w:val="0064202D"/>
    <w:rsid w:val="006420BA"/>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5AD"/>
    <w:rsid w:val="006436AA"/>
    <w:rsid w:val="0064372A"/>
    <w:rsid w:val="00643912"/>
    <w:rsid w:val="006439D8"/>
    <w:rsid w:val="00643B65"/>
    <w:rsid w:val="00643BF9"/>
    <w:rsid w:val="00643C71"/>
    <w:rsid w:val="00643D5E"/>
    <w:rsid w:val="00643EB1"/>
    <w:rsid w:val="006441F5"/>
    <w:rsid w:val="00644393"/>
    <w:rsid w:val="0064443C"/>
    <w:rsid w:val="006444C4"/>
    <w:rsid w:val="0064478B"/>
    <w:rsid w:val="006448CC"/>
    <w:rsid w:val="006449B0"/>
    <w:rsid w:val="00644CBB"/>
    <w:rsid w:val="00644D6E"/>
    <w:rsid w:val="00644EBD"/>
    <w:rsid w:val="00645218"/>
    <w:rsid w:val="0064573F"/>
    <w:rsid w:val="006458F7"/>
    <w:rsid w:val="00645A06"/>
    <w:rsid w:val="00645AE4"/>
    <w:rsid w:val="006463DB"/>
    <w:rsid w:val="006464DA"/>
    <w:rsid w:val="006465F8"/>
    <w:rsid w:val="0064695D"/>
    <w:rsid w:val="00646A70"/>
    <w:rsid w:val="00646C62"/>
    <w:rsid w:val="00646DDB"/>
    <w:rsid w:val="00646DFA"/>
    <w:rsid w:val="00646E0D"/>
    <w:rsid w:val="00646F0D"/>
    <w:rsid w:val="00646F40"/>
    <w:rsid w:val="0064725E"/>
    <w:rsid w:val="0064736E"/>
    <w:rsid w:val="006473D3"/>
    <w:rsid w:val="00647402"/>
    <w:rsid w:val="00647B99"/>
    <w:rsid w:val="00647D06"/>
    <w:rsid w:val="00647E7B"/>
    <w:rsid w:val="00647ED1"/>
    <w:rsid w:val="00650002"/>
    <w:rsid w:val="006500B8"/>
    <w:rsid w:val="006502FC"/>
    <w:rsid w:val="00650441"/>
    <w:rsid w:val="00650683"/>
    <w:rsid w:val="00650A9A"/>
    <w:rsid w:val="00650D13"/>
    <w:rsid w:val="00650D42"/>
    <w:rsid w:val="00650F31"/>
    <w:rsid w:val="00650F5C"/>
    <w:rsid w:val="00651076"/>
    <w:rsid w:val="00651223"/>
    <w:rsid w:val="0065133D"/>
    <w:rsid w:val="00651373"/>
    <w:rsid w:val="00651490"/>
    <w:rsid w:val="006514DB"/>
    <w:rsid w:val="00651918"/>
    <w:rsid w:val="00651A5C"/>
    <w:rsid w:val="00651D5F"/>
    <w:rsid w:val="00651D6E"/>
    <w:rsid w:val="00651E7E"/>
    <w:rsid w:val="00652258"/>
    <w:rsid w:val="006523E8"/>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23F"/>
    <w:rsid w:val="006545F9"/>
    <w:rsid w:val="006546EB"/>
    <w:rsid w:val="006548E9"/>
    <w:rsid w:val="00654916"/>
    <w:rsid w:val="00654BFE"/>
    <w:rsid w:val="00654F6E"/>
    <w:rsid w:val="00655003"/>
    <w:rsid w:val="00655022"/>
    <w:rsid w:val="00655198"/>
    <w:rsid w:val="0065569D"/>
    <w:rsid w:val="006556CF"/>
    <w:rsid w:val="0065577D"/>
    <w:rsid w:val="006557DC"/>
    <w:rsid w:val="006559E7"/>
    <w:rsid w:val="00655F67"/>
    <w:rsid w:val="00656011"/>
    <w:rsid w:val="006563B4"/>
    <w:rsid w:val="00656518"/>
    <w:rsid w:val="006566E5"/>
    <w:rsid w:val="006567CE"/>
    <w:rsid w:val="00656ACD"/>
    <w:rsid w:val="00657113"/>
    <w:rsid w:val="006574DF"/>
    <w:rsid w:val="006575D0"/>
    <w:rsid w:val="006579FD"/>
    <w:rsid w:val="00657D0D"/>
    <w:rsid w:val="00657E2A"/>
    <w:rsid w:val="00657EF2"/>
    <w:rsid w:val="00657FFC"/>
    <w:rsid w:val="006605A7"/>
    <w:rsid w:val="00660807"/>
    <w:rsid w:val="0066093C"/>
    <w:rsid w:val="00660947"/>
    <w:rsid w:val="00660A11"/>
    <w:rsid w:val="00660A2B"/>
    <w:rsid w:val="00660B0B"/>
    <w:rsid w:val="00660C01"/>
    <w:rsid w:val="00660C30"/>
    <w:rsid w:val="00660C46"/>
    <w:rsid w:val="00660E35"/>
    <w:rsid w:val="00660EF8"/>
    <w:rsid w:val="00661191"/>
    <w:rsid w:val="0066119E"/>
    <w:rsid w:val="006612D1"/>
    <w:rsid w:val="0066138A"/>
    <w:rsid w:val="0066157A"/>
    <w:rsid w:val="0066162F"/>
    <w:rsid w:val="006618D4"/>
    <w:rsid w:val="006619A4"/>
    <w:rsid w:val="006621EF"/>
    <w:rsid w:val="0066247E"/>
    <w:rsid w:val="00662533"/>
    <w:rsid w:val="00662727"/>
    <w:rsid w:val="00662898"/>
    <w:rsid w:val="00662A95"/>
    <w:rsid w:val="00662E68"/>
    <w:rsid w:val="00662EB7"/>
    <w:rsid w:val="00662EE5"/>
    <w:rsid w:val="006630CB"/>
    <w:rsid w:val="0066327C"/>
    <w:rsid w:val="0066354E"/>
    <w:rsid w:val="006635C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803"/>
    <w:rsid w:val="006659C6"/>
    <w:rsid w:val="00665A65"/>
    <w:rsid w:val="00665B53"/>
    <w:rsid w:val="00665C03"/>
    <w:rsid w:val="00665C67"/>
    <w:rsid w:val="00665EC5"/>
    <w:rsid w:val="00666097"/>
    <w:rsid w:val="00666355"/>
    <w:rsid w:val="00666528"/>
    <w:rsid w:val="0066659E"/>
    <w:rsid w:val="00666962"/>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815"/>
    <w:rsid w:val="0067085A"/>
    <w:rsid w:val="006708B6"/>
    <w:rsid w:val="00670B0F"/>
    <w:rsid w:val="00670C2C"/>
    <w:rsid w:val="00670DCD"/>
    <w:rsid w:val="00670E7B"/>
    <w:rsid w:val="00671152"/>
    <w:rsid w:val="00671194"/>
    <w:rsid w:val="006713DA"/>
    <w:rsid w:val="00671824"/>
    <w:rsid w:val="00671A0D"/>
    <w:rsid w:val="00671AEA"/>
    <w:rsid w:val="00671C19"/>
    <w:rsid w:val="006722AE"/>
    <w:rsid w:val="006723AC"/>
    <w:rsid w:val="006724BA"/>
    <w:rsid w:val="00672639"/>
    <w:rsid w:val="0067267B"/>
    <w:rsid w:val="0067288A"/>
    <w:rsid w:val="00672B21"/>
    <w:rsid w:val="00672D2B"/>
    <w:rsid w:val="00672D84"/>
    <w:rsid w:val="00673024"/>
    <w:rsid w:val="00673288"/>
    <w:rsid w:val="006733C6"/>
    <w:rsid w:val="00673687"/>
    <w:rsid w:val="00673779"/>
    <w:rsid w:val="006739BF"/>
    <w:rsid w:val="00673BA1"/>
    <w:rsid w:val="00673BE3"/>
    <w:rsid w:val="00673E19"/>
    <w:rsid w:val="00674596"/>
    <w:rsid w:val="006747E7"/>
    <w:rsid w:val="00674BD5"/>
    <w:rsid w:val="00674DAE"/>
    <w:rsid w:val="00674F95"/>
    <w:rsid w:val="00675379"/>
    <w:rsid w:val="0067561D"/>
    <w:rsid w:val="00675628"/>
    <w:rsid w:val="00675B79"/>
    <w:rsid w:val="00675C31"/>
    <w:rsid w:val="00676065"/>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0FF1"/>
    <w:rsid w:val="0068106E"/>
    <w:rsid w:val="0068117C"/>
    <w:rsid w:val="00681216"/>
    <w:rsid w:val="006812E0"/>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25D"/>
    <w:rsid w:val="00683471"/>
    <w:rsid w:val="006834FA"/>
    <w:rsid w:val="006835A5"/>
    <w:rsid w:val="0068374C"/>
    <w:rsid w:val="006839F5"/>
    <w:rsid w:val="00683C9D"/>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2A"/>
    <w:rsid w:val="006875FB"/>
    <w:rsid w:val="0068768A"/>
    <w:rsid w:val="00687AFD"/>
    <w:rsid w:val="00687C7A"/>
    <w:rsid w:val="00687D9F"/>
    <w:rsid w:val="006901A5"/>
    <w:rsid w:val="006902AC"/>
    <w:rsid w:val="0069030C"/>
    <w:rsid w:val="0069032C"/>
    <w:rsid w:val="006903D3"/>
    <w:rsid w:val="00690509"/>
    <w:rsid w:val="006906AD"/>
    <w:rsid w:val="00690722"/>
    <w:rsid w:val="0069072C"/>
    <w:rsid w:val="00690740"/>
    <w:rsid w:val="00690C47"/>
    <w:rsid w:val="00690D91"/>
    <w:rsid w:val="00691377"/>
    <w:rsid w:val="00691490"/>
    <w:rsid w:val="0069155C"/>
    <w:rsid w:val="006917AE"/>
    <w:rsid w:val="00691AF6"/>
    <w:rsid w:val="00691B47"/>
    <w:rsid w:val="00691B6D"/>
    <w:rsid w:val="00691C82"/>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C4A"/>
    <w:rsid w:val="00693D53"/>
    <w:rsid w:val="00694047"/>
    <w:rsid w:val="00694568"/>
    <w:rsid w:val="00694572"/>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5DB7"/>
    <w:rsid w:val="00695E83"/>
    <w:rsid w:val="00696822"/>
    <w:rsid w:val="00696C09"/>
    <w:rsid w:val="00696C0D"/>
    <w:rsid w:val="00696CF7"/>
    <w:rsid w:val="0069714B"/>
    <w:rsid w:val="0069729C"/>
    <w:rsid w:val="00697517"/>
    <w:rsid w:val="0069769A"/>
    <w:rsid w:val="006977F0"/>
    <w:rsid w:val="00697916"/>
    <w:rsid w:val="006979DB"/>
    <w:rsid w:val="00697E29"/>
    <w:rsid w:val="00697F7C"/>
    <w:rsid w:val="006A007C"/>
    <w:rsid w:val="006A01B6"/>
    <w:rsid w:val="006A0343"/>
    <w:rsid w:val="006A0563"/>
    <w:rsid w:val="006A05C5"/>
    <w:rsid w:val="006A05E1"/>
    <w:rsid w:val="006A06F9"/>
    <w:rsid w:val="006A0713"/>
    <w:rsid w:val="006A0896"/>
    <w:rsid w:val="006A0D1A"/>
    <w:rsid w:val="006A1212"/>
    <w:rsid w:val="006A121A"/>
    <w:rsid w:val="006A15AB"/>
    <w:rsid w:val="006A1BDA"/>
    <w:rsid w:val="006A1D19"/>
    <w:rsid w:val="006A1EDB"/>
    <w:rsid w:val="006A1FFE"/>
    <w:rsid w:val="006A203D"/>
    <w:rsid w:val="006A20EF"/>
    <w:rsid w:val="006A233A"/>
    <w:rsid w:val="006A244D"/>
    <w:rsid w:val="006A2721"/>
    <w:rsid w:val="006A292C"/>
    <w:rsid w:val="006A31E7"/>
    <w:rsid w:val="006A36D1"/>
    <w:rsid w:val="006A3AB6"/>
    <w:rsid w:val="006A3AF3"/>
    <w:rsid w:val="006A3E5A"/>
    <w:rsid w:val="006A401F"/>
    <w:rsid w:val="006A40CC"/>
    <w:rsid w:val="006A4128"/>
    <w:rsid w:val="006A4185"/>
    <w:rsid w:val="006A42B7"/>
    <w:rsid w:val="006A440E"/>
    <w:rsid w:val="006A4510"/>
    <w:rsid w:val="006A4732"/>
    <w:rsid w:val="006A474E"/>
    <w:rsid w:val="006A492C"/>
    <w:rsid w:val="006A4ECD"/>
    <w:rsid w:val="006A50D4"/>
    <w:rsid w:val="006A50FD"/>
    <w:rsid w:val="006A560E"/>
    <w:rsid w:val="006A56AF"/>
    <w:rsid w:val="006A572F"/>
    <w:rsid w:val="006A59DB"/>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671"/>
    <w:rsid w:val="006B0674"/>
    <w:rsid w:val="006B06A9"/>
    <w:rsid w:val="006B1003"/>
    <w:rsid w:val="006B1334"/>
    <w:rsid w:val="006B1449"/>
    <w:rsid w:val="006B179D"/>
    <w:rsid w:val="006B1815"/>
    <w:rsid w:val="006B1A58"/>
    <w:rsid w:val="006B1ACC"/>
    <w:rsid w:val="006B1C2B"/>
    <w:rsid w:val="006B1C4E"/>
    <w:rsid w:val="006B1E1A"/>
    <w:rsid w:val="006B1E6E"/>
    <w:rsid w:val="006B1F37"/>
    <w:rsid w:val="006B1FAF"/>
    <w:rsid w:val="006B23E0"/>
    <w:rsid w:val="006B24F7"/>
    <w:rsid w:val="006B260E"/>
    <w:rsid w:val="006B261E"/>
    <w:rsid w:val="006B29B7"/>
    <w:rsid w:val="006B29C5"/>
    <w:rsid w:val="006B2DC8"/>
    <w:rsid w:val="006B3054"/>
    <w:rsid w:val="006B36B9"/>
    <w:rsid w:val="006B37B0"/>
    <w:rsid w:val="006B3809"/>
    <w:rsid w:val="006B398D"/>
    <w:rsid w:val="006B3B6C"/>
    <w:rsid w:val="006B3D55"/>
    <w:rsid w:val="006B3F75"/>
    <w:rsid w:val="006B4499"/>
    <w:rsid w:val="006B48A6"/>
    <w:rsid w:val="006B49A8"/>
    <w:rsid w:val="006B4B8A"/>
    <w:rsid w:val="006B4CAE"/>
    <w:rsid w:val="006B4E36"/>
    <w:rsid w:val="006B4FD1"/>
    <w:rsid w:val="006B53C2"/>
    <w:rsid w:val="006B5575"/>
    <w:rsid w:val="006B5619"/>
    <w:rsid w:val="006B5624"/>
    <w:rsid w:val="006B58D8"/>
    <w:rsid w:val="006B5A24"/>
    <w:rsid w:val="006B6020"/>
    <w:rsid w:val="006B6074"/>
    <w:rsid w:val="006B61BE"/>
    <w:rsid w:val="006B624F"/>
    <w:rsid w:val="006B627F"/>
    <w:rsid w:val="006B63E5"/>
    <w:rsid w:val="006B666A"/>
    <w:rsid w:val="006B679D"/>
    <w:rsid w:val="006B69B8"/>
    <w:rsid w:val="006B6A84"/>
    <w:rsid w:val="006B6AEC"/>
    <w:rsid w:val="006B6BDF"/>
    <w:rsid w:val="006B6CF2"/>
    <w:rsid w:val="006B6D19"/>
    <w:rsid w:val="006B6D74"/>
    <w:rsid w:val="006B728E"/>
    <w:rsid w:val="006B7548"/>
    <w:rsid w:val="006B7AB6"/>
    <w:rsid w:val="006B7B20"/>
    <w:rsid w:val="006B7CB2"/>
    <w:rsid w:val="006B7DFB"/>
    <w:rsid w:val="006B7FA1"/>
    <w:rsid w:val="006C0012"/>
    <w:rsid w:val="006C008C"/>
    <w:rsid w:val="006C0294"/>
    <w:rsid w:val="006C0346"/>
    <w:rsid w:val="006C0487"/>
    <w:rsid w:val="006C05BC"/>
    <w:rsid w:val="006C06CE"/>
    <w:rsid w:val="006C075E"/>
    <w:rsid w:val="006C0A79"/>
    <w:rsid w:val="006C0B14"/>
    <w:rsid w:val="006C0B2D"/>
    <w:rsid w:val="006C0C5B"/>
    <w:rsid w:val="006C0CB7"/>
    <w:rsid w:val="006C0CC4"/>
    <w:rsid w:val="006C1241"/>
    <w:rsid w:val="006C128B"/>
    <w:rsid w:val="006C1325"/>
    <w:rsid w:val="006C15D6"/>
    <w:rsid w:val="006C1619"/>
    <w:rsid w:val="006C1723"/>
    <w:rsid w:val="006C17C0"/>
    <w:rsid w:val="006C181C"/>
    <w:rsid w:val="006C1989"/>
    <w:rsid w:val="006C1BE9"/>
    <w:rsid w:val="006C2063"/>
    <w:rsid w:val="006C23A8"/>
    <w:rsid w:val="006C24B5"/>
    <w:rsid w:val="006C267A"/>
    <w:rsid w:val="006C280A"/>
    <w:rsid w:val="006C2986"/>
    <w:rsid w:val="006C2A0D"/>
    <w:rsid w:val="006C2AF2"/>
    <w:rsid w:val="006C2D2F"/>
    <w:rsid w:val="006C32F8"/>
    <w:rsid w:val="006C335A"/>
    <w:rsid w:val="006C363F"/>
    <w:rsid w:val="006C3ACC"/>
    <w:rsid w:val="006C3D37"/>
    <w:rsid w:val="006C3ED5"/>
    <w:rsid w:val="006C42C2"/>
    <w:rsid w:val="006C44AB"/>
    <w:rsid w:val="006C44F0"/>
    <w:rsid w:val="006C453E"/>
    <w:rsid w:val="006C4872"/>
    <w:rsid w:val="006C4980"/>
    <w:rsid w:val="006C4C23"/>
    <w:rsid w:val="006C4E50"/>
    <w:rsid w:val="006C4E9A"/>
    <w:rsid w:val="006C512C"/>
    <w:rsid w:val="006C52A4"/>
    <w:rsid w:val="006C55E2"/>
    <w:rsid w:val="006C5614"/>
    <w:rsid w:val="006C57DE"/>
    <w:rsid w:val="006C58ED"/>
    <w:rsid w:val="006C5E1A"/>
    <w:rsid w:val="006C632A"/>
    <w:rsid w:val="006C6376"/>
    <w:rsid w:val="006C63FC"/>
    <w:rsid w:val="006C670C"/>
    <w:rsid w:val="006C67F9"/>
    <w:rsid w:val="006C6A18"/>
    <w:rsid w:val="006C6B97"/>
    <w:rsid w:val="006C6C08"/>
    <w:rsid w:val="006C6C46"/>
    <w:rsid w:val="006C6CFA"/>
    <w:rsid w:val="006C6DB8"/>
    <w:rsid w:val="006C724E"/>
    <w:rsid w:val="006C7340"/>
    <w:rsid w:val="006C74E6"/>
    <w:rsid w:val="006C79CE"/>
    <w:rsid w:val="006C7DF9"/>
    <w:rsid w:val="006D0352"/>
    <w:rsid w:val="006D0A56"/>
    <w:rsid w:val="006D0C43"/>
    <w:rsid w:val="006D0E75"/>
    <w:rsid w:val="006D0F2A"/>
    <w:rsid w:val="006D0FE9"/>
    <w:rsid w:val="006D1013"/>
    <w:rsid w:val="006D1130"/>
    <w:rsid w:val="006D15BE"/>
    <w:rsid w:val="006D1725"/>
    <w:rsid w:val="006D191A"/>
    <w:rsid w:val="006D1935"/>
    <w:rsid w:val="006D19C7"/>
    <w:rsid w:val="006D19FF"/>
    <w:rsid w:val="006D1D65"/>
    <w:rsid w:val="006D1E43"/>
    <w:rsid w:val="006D20DB"/>
    <w:rsid w:val="006D21DA"/>
    <w:rsid w:val="006D2615"/>
    <w:rsid w:val="006D2631"/>
    <w:rsid w:val="006D29B4"/>
    <w:rsid w:val="006D2A8E"/>
    <w:rsid w:val="006D2B4E"/>
    <w:rsid w:val="006D2EF2"/>
    <w:rsid w:val="006D3042"/>
    <w:rsid w:val="006D30DF"/>
    <w:rsid w:val="006D342A"/>
    <w:rsid w:val="006D34DF"/>
    <w:rsid w:val="006D38A7"/>
    <w:rsid w:val="006D3A97"/>
    <w:rsid w:val="006D3B23"/>
    <w:rsid w:val="006D3BF5"/>
    <w:rsid w:val="006D3CA6"/>
    <w:rsid w:val="006D40E6"/>
    <w:rsid w:val="006D42C5"/>
    <w:rsid w:val="006D443D"/>
    <w:rsid w:val="006D455A"/>
    <w:rsid w:val="006D4588"/>
    <w:rsid w:val="006D476E"/>
    <w:rsid w:val="006D4A83"/>
    <w:rsid w:val="006D4DD2"/>
    <w:rsid w:val="006D4E72"/>
    <w:rsid w:val="006D4E86"/>
    <w:rsid w:val="006D5150"/>
    <w:rsid w:val="006D5889"/>
    <w:rsid w:val="006D5DE2"/>
    <w:rsid w:val="006D5EB1"/>
    <w:rsid w:val="006D6063"/>
    <w:rsid w:val="006D60F1"/>
    <w:rsid w:val="006D6246"/>
    <w:rsid w:val="006D6267"/>
    <w:rsid w:val="006D62A6"/>
    <w:rsid w:val="006D659B"/>
    <w:rsid w:val="006D688A"/>
    <w:rsid w:val="006D68CD"/>
    <w:rsid w:val="006D697D"/>
    <w:rsid w:val="006D6AEF"/>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D7C8A"/>
    <w:rsid w:val="006D7E46"/>
    <w:rsid w:val="006E0388"/>
    <w:rsid w:val="006E03F6"/>
    <w:rsid w:val="006E0413"/>
    <w:rsid w:val="006E056A"/>
    <w:rsid w:val="006E0570"/>
    <w:rsid w:val="006E05F2"/>
    <w:rsid w:val="006E080B"/>
    <w:rsid w:val="006E0ABA"/>
    <w:rsid w:val="006E0AFE"/>
    <w:rsid w:val="006E0BE7"/>
    <w:rsid w:val="006E0C33"/>
    <w:rsid w:val="006E0C48"/>
    <w:rsid w:val="006E0CD0"/>
    <w:rsid w:val="006E0D88"/>
    <w:rsid w:val="006E0DDD"/>
    <w:rsid w:val="006E0E66"/>
    <w:rsid w:val="006E0F8E"/>
    <w:rsid w:val="006E10FC"/>
    <w:rsid w:val="006E1228"/>
    <w:rsid w:val="006E1563"/>
    <w:rsid w:val="006E157D"/>
    <w:rsid w:val="006E159A"/>
    <w:rsid w:val="006E15FC"/>
    <w:rsid w:val="006E16B5"/>
    <w:rsid w:val="006E16F8"/>
    <w:rsid w:val="006E17C5"/>
    <w:rsid w:val="006E1957"/>
    <w:rsid w:val="006E1B9A"/>
    <w:rsid w:val="006E1F38"/>
    <w:rsid w:val="006E202F"/>
    <w:rsid w:val="006E209F"/>
    <w:rsid w:val="006E233C"/>
    <w:rsid w:val="006E24AB"/>
    <w:rsid w:val="006E2649"/>
    <w:rsid w:val="006E2762"/>
    <w:rsid w:val="006E27AC"/>
    <w:rsid w:val="006E2B6F"/>
    <w:rsid w:val="006E2F2C"/>
    <w:rsid w:val="006E3029"/>
    <w:rsid w:val="006E316F"/>
    <w:rsid w:val="006E32BB"/>
    <w:rsid w:val="006E3340"/>
    <w:rsid w:val="006E33DD"/>
    <w:rsid w:val="006E361A"/>
    <w:rsid w:val="006E3805"/>
    <w:rsid w:val="006E39A4"/>
    <w:rsid w:val="006E3A24"/>
    <w:rsid w:val="006E3D1B"/>
    <w:rsid w:val="006E3D46"/>
    <w:rsid w:val="006E42A7"/>
    <w:rsid w:val="006E456D"/>
    <w:rsid w:val="006E45E5"/>
    <w:rsid w:val="006E474D"/>
    <w:rsid w:val="006E4C0A"/>
    <w:rsid w:val="006E4C39"/>
    <w:rsid w:val="006E4D1E"/>
    <w:rsid w:val="006E4D65"/>
    <w:rsid w:val="006E4F8F"/>
    <w:rsid w:val="006E501C"/>
    <w:rsid w:val="006E5092"/>
    <w:rsid w:val="006E55C2"/>
    <w:rsid w:val="006E55F8"/>
    <w:rsid w:val="006E592C"/>
    <w:rsid w:val="006E5CB6"/>
    <w:rsid w:val="006E5ECA"/>
    <w:rsid w:val="006E61F1"/>
    <w:rsid w:val="006E650E"/>
    <w:rsid w:val="006E6590"/>
    <w:rsid w:val="006E65D7"/>
    <w:rsid w:val="006E6602"/>
    <w:rsid w:val="006E665D"/>
    <w:rsid w:val="006E6877"/>
    <w:rsid w:val="006E697D"/>
    <w:rsid w:val="006E6AA9"/>
    <w:rsid w:val="006E6C24"/>
    <w:rsid w:val="006E6C36"/>
    <w:rsid w:val="006E7119"/>
    <w:rsid w:val="006E73A5"/>
    <w:rsid w:val="006E7684"/>
    <w:rsid w:val="006E7802"/>
    <w:rsid w:val="006E78AF"/>
    <w:rsid w:val="006E7C40"/>
    <w:rsid w:val="006F003B"/>
    <w:rsid w:val="006F00E8"/>
    <w:rsid w:val="006F0106"/>
    <w:rsid w:val="006F0193"/>
    <w:rsid w:val="006F0427"/>
    <w:rsid w:val="006F05BB"/>
    <w:rsid w:val="006F075E"/>
    <w:rsid w:val="006F087C"/>
    <w:rsid w:val="006F0AB6"/>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00"/>
    <w:rsid w:val="006F3826"/>
    <w:rsid w:val="006F38DB"/>
    <w:rsid w:val="006F3AAE"/>
    <w:rsid w:val="006F3CB4"/>
    <w:rsid w:val="006F3FE5"/>
    <w:rsid w:val="006F417F"/>
    <w:rsid w:val="006F431D"/>
    <w:rsid w:val="006F436F"/>
    <w:rsid w:val="006F449A"/>
    <w:rsid w:val="006F4576"/>
    <w:rsid w:val="006F464B"/>
    <w:rsid w:val="006F4A1B"/>
    <w:rsid w:val="006F4BBD"/>
    <w:rsid w:val="006F4D37"/>
    <w:rsid w:val="006F5283"/>
    <w:rsid w:val="006F542F"/>
    <w:rsid w:val="006F55DB"/>
    <w:rsid w:val="006F57CB"/>
    <w:rsid w:val="006F5823"/>
    <w:rsid w:val="006F5B06"/>
    <w:rsid w:val="006F5B74"/>
    <w:rsid w:val="006F5BFA"/>
    <w:rsid w:val="006F5EAC"/>
    <w:rsid w:val="006F5ED8"/>
    <w:rsid w:val="006F5F73"/>
    <w:rsid w:val="006F6549"/>
    <w:rsid w:val="006F68B9"/>
    <w:rsid w:val="006F69AA"/>
    <w:rsid w:val="006F6A8C"/>
    <w:rsid w:val="006F6BA8"/>
    <w:rsid w:val="006F6BDA"/>
    <w:rsid w:val="006F6CD0"/>
    <w:rsid w:val="006F6EFC"/>
    <w:rsid w:val="006F725F"/>
    <w:rsid w:val="006F7365"/>
    <w:rsid w:val="006F73E3"/>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94E"/>
    <w:rsid w:val="00700B3A"/>
    <w:rsid w:val="00700E2A"/>
    <w:rsid w:val="00700F49"/>
    <w:rsid w:val="00700F53"/>
    <w:rsid w:val="00701108"/>
    <w:rsid w:val="007012FE"/>
    <w:rsid w:val="007013AD"/>
    <w:rsid w:val="00701675"/>
    <w:rsid w:val="0070179D"/>
    <w:rsid w:val="00701852"/>
    <w:rsid w:val="00702107"/>
    <w:rsid w:val="007025C2"/>
    <w:rsid w:val="007025F4"/>
    <w:rsid w:val="007026F3"/>
    <w:rsid w:val="007028AC"/>
    <w:rsid w:val="00702926"/>
    <w:rsid w:val="00702B46"/>
    <w:rsid w:val="0070331E"/>
    <w:rsid w:val="007037AA"/>
    <w:rsid w:val="00703821"/>
    <w:rsid w:val="00703A67"/>
    <w:rsid w:val="00703B32"/>
    <w:rsid w:val="00703C88"/>
    <w:rsid w:val="00703D1C"/>
    <w:rsid w:val="00703FA5"/>
    <w:rsid w:val="00704004"/>
    <w:rsid w:val="007040DA"/>
    <w:rsid w:val="00704330"/>
    <w:rsid w:val="0070435F"/>
    <w:rsid w:val="00704407"/>
    <w:rsid w:val="0070460A"/>
    <w:rsid w:val="007049F8"/>
    <w:rsid w:val="00704A5A"/>
    <w:rsid w:val="00704D75"/>
    <w:rsid w:val="00704FDF"/>
    <w:rsid w:val="007052A4"/>
    <w:rsid w:val="0070538F"/>
    <w:rsid w:val="00705549"/>
    <w:rsid w:val="007059BB"/>
    <w:rsid w:val="00705A2C"/>
    <w:rsid w:val="00705AC9"/>
    <w:rsid w:val="00705B8F"/>
    <w:rsid w:val="00705C10"/>
    <w:rsid w:val="00705C3F"/>
    <w:rsid w:val="00705C65"/>
    <w:rsid w:val="00705E8D"/>
    <w:rsid w:val="00705F1B"/>
    <w:rsid w:val="00706423"/>
    <w:rsid w:val="00706577"/>
    <w:rsid w:val="007067B8"/>
    <w:rsid w:val="007067DF"/>
    <w:rsid w:val="00706A2A"/>
    <w:rsid w:val="00706CBE"/>
    <w:rsid w:val="00706D56"/>
    <w:rsid w:val="00706DDB"/>
    <w:rsid w:val="007074C8"/>
    <w:rsid w:val="00707501"/>
    <w:rsid w:val="00707507"/>
    <w:rsid w:val="00707731"/>
    <w:rsid w:val="007077E2"/>
    <w:rsid w:val="00707A6D"/>
    <w:rsid w:val="00707AA6"/>
    <w:rsid w:val="00707B6A"/>
    <w:rsid w:val="00707CFC"/>
    <w:rsid w:val="00707D64"/>
    <w:rsid w:val="0071004F"/>
    <w:rsid w:val="0071039F"/>
    <w:rsid w:val="0071048D"/>
    <w:rsid w:val="0071053D"/>
    <w:rsid w:val="00710731"/>
    <w:rsid w:val="0071092A"/>
    <w:rsid w:val="00710DF6"/>
    <w:rsid w:val="00710E55"/>
    <w:rsid w:val="00711167"/>
    <w:rsid w:val="0071144C"/>
    <w:rsid w:val="0071164F"/>
    <w:rsid w:val="007117E0"/>
    <w:rsid w:val="0071185C"/>
    <w:rsid w:val="00711DE3"/>
    <w:rsid w:val="00712139"/>
    <w:rsid w:val="007123E6"/>
    <w:rsid w:val="00712646"/>
    <w:rsid w:val="0071286D"/>
    <w:rsid w:val="00712958"/>
    <w:rsid w:val="00712B26"/>
    <w:rsid w:val="00712C92"/>
    <w:rsid w:val="00712D21"/>
    <w:rsid w:val="00712ECA"/>
    <w:rsid w:val="00712EDE"/>
    <w:rsid w:val="0071356C"/>
    <w:rsid w:val="0071362E"/>
    <w:rsid w:val="00713704"/>
    <w:rsid w:val="007137A2"/>
    <w:rsid w:val="00713962"/>
    <w:rsid w:val="0071398F"/>
    <w:rsid w:val="00713D24"/>
    <w:rsid w:val="00713DC1"/>
    <w:rsid w:val="00713DEE"/>
    <w:rsid w:val="007141CD"/>
    <w:rsid w:val="0071423F"/>
    <w:rsid w:val="007142B6"/>
    <w:rsid w:val="0071467E"/>
    <w:rsid w:val="0071472E"/>
    <w:rsid w:val="0071472F"/>
    <w:rsid w:val="007147D3"/>
    <w:rsid w:val="00714A05"/>
    <w:rsid w:val="00714C73"/>
    <w:rsid w:val="00714D41"/>
    <w:rsid w:val="00714FC5"/>
    <w:rsid w:val="00714FD9"/>
    <w:rsid w:val="007150EC"/>
    <w:rsid w:val="0071512F"/>
    <w:rsid w:val="0071519E"/>
    <w:rsid w:val="00715230"/>
    <w:rsid w:val="00715369"/>
    <w:rsid w:val="00715374"/>
    <w:rsid w:val="00715426"/>
    <w:rsid w:val="0071542B"/>
    <w:rsid w:val="0071545C"/>
    <w:rsid w:val="00715590"/>
    <w:rsid w:val="007155A2"/>
    <w:rsid w:val="007155F3"/>
    <w:rsid w:val="0071568F"/>
    <w:rsid w:val="007158BE"/>
    <w:rsid w:val="007159F6"/>
    <w:rsid w:val="00715B58"/>
    <w:rsid w:val="00715D9F"/>
    <w:rsid w:val="007160C7"/>
    <w:rsid w:val="007163C0"/>
    <w:rsid w:val="007165AC"/>
    <w:rsid w:val="00716709"/>
    <w:rsid w:val="00716724"/>
    <w:rsid w:val="007167FB"/>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C4C"/>
    <w:rsid w:val="00720CD9"/>
    <w:rsid w:val="00720E64"/>
    <w:rsid w:val="00720EED"/>
    <w:rsid w:val="00720F2B"/>
    <w:rsid w:val="0072110E"/>
    <w:rsid w:val="0072118B"/>
    <w:rsid w:val="007212AB"/>
    <w:rsid w:val="007212F3"/>
    <w:rsid w:val="00721725"/>
    <w:rsid w:val="00721779"/>
    <w:rsid w:val="00721C43"/>
    <w:rsid w:val="00721C65"/>
    <w:rsid w:val="0072231C"/>
    <w:rsid w:val="0072236A"/>
    <w:rsid w:val="00722838"/>
    <w:rsid w:val="00722864"/>
    <w:rsid w:val="00722BB4"/>
    <w:rsid w:val="00722BBD"/>
    <w:rsid w:val="00723202"/>
    <w:rsid w:val="0072323C"/>
    <w:rsid w:val="007237EB"/>
    <w:rsid w:val="0072380C"/>
    <w:rsid w:val="007239F9"/>
    <w:rsid w:val="00723A0F"/>
    <w:rsid w:val="00723A31"/>
    <w:rsid w:val="00723AC2"/>
    <w:rsid w:val="00723B97"/>
    <w:rsid w:val="00723BD9"/>
    <w:rsid w:val="00723EE2"/>
    <w:rsid w:val="00723F71"/>
    <w:rsid w:val="00723F81"/>
    <w:rsid w:val="00723FB9"/>
    <w:rsid w:val="00724035"/>
    <w:rsid w:val="00724057"/>
    <w:rsid w:val="00724176"/>
    <w:rsid w:val="007243E5"/>
    <w:rsid w:val="007246A6"/>
    <w:rsid w:val="007247C4"/>
    <w:rsid w:val="00724851"/>
    <w:rsid w:val="00724892"/>
    <w:rsid w:val="00724988"/>
    <w:rsid w:val="00724A43"/>
    <w:rsid w:val="00724AF1"/>
    <w:rsid w:val="00724B26"/>
    <w:rsid w:val="00724C3A"/>
    <w:rsid w:val="00724EFD"/>
    <w:rsid w:val="007252FC"/>
    <w:rsid w:val="007253BD"/>
    <w:rsid w:val="00725452"/>
    <w:rsid w:val="00725531"/>
    <w:rsid w:val="0072564A"/>
    <w:rsid w:val="00725A67"/>
    <w:rsid w:val="00725AC0"/>
    <w:rsid w:val="00725B37"/>
    <w:rsid w:val="00725B57"/>
    <w:rsid w:val="00725D05"/>
    <w:rsid w:val="00725FA5"/>
    <w:rsid w:val="0072605A"/>
    <w:rsid w:val="00726173"/>
    <w:rsid w:val="007261B7"/>
    <w:rsid w:val="00726646"/>
    <w:rsid w:val="00726A09"/>
    <w:rsid w:val="00726ACE"/>
    <w:rsid w:val="00726B6E"/>
    <w:rsid w:val="00726F74"/>
    <w:rsid w:val="00727520"/>
    <w:rsid w:val="00727552"/>
    <w:rsid w:val="007279B8"/>
    <w:rsid w:val="007279FC"/>
    <w:rsid w:val="00727AE6"/>
    <w:rsid w:val="00727BEE"/>
    <w:rsid w:val="00727DD8"/>
    <w:rsid w:val="0073000A"/>
    <w:rsid w:val="007300F6"/>
    <w:rsid w:val="00730123"/>
    <w:rsid w:val="0073016A"/>
    <w:rsid w:val="007301A7"/>
    <w:rsid w:val="007307C9"/>
    <w:rsid w:val="00730A14"/>
    <w:rsid w:val="00730BB1"/>
    <w:rsid w:val="00730D35"/>
    <w:rsid w:val="00730DFE"/>
    <w:rsid w:val="00730F0E"/>
    <w:rsid w:val="00730FCE"/>
    <w:rsid w:val="007312F7"/>
    <w:rsid w:val="007313C9"/>
    <w:rsid w:val="00731485"/>
    <w:rsid w:val="007315B1"/>
    <w:rsid w:val="00731615"/>
    <w:rsid w:val="007316A1"/>
    <w:rsid w:val="00731A45"/>
    <w:rsid w:val="00731A7C"/>
    <w:rsid w:val="00731C3C"/>
    <w:rsid w:val="00731D06"/>
    <w:rsid w:val="00731D9B"/>
    <w:rsid w:val="00731EF3"/>
    <w:rsid w:val="00732414"/>
    <w:rsid w:val="00732544"/>
    <w:rsid w:val="007325A8"/>
    <w:rsid w:val="007327A2"/>
    <w:rsid w:val="00732908"/>
    <w:rsid w:val="00732C13"/>
    <w:rsid w:val="00732C39"/>
    <w:rsid w:val="00732DFF"/>
    <w:rsid w:val="00732E65"/>
    <w:rsid w:val="00732FE9"/>
    <w:rsid w:val="00733064"/>
    <w:rsid w:val="007330A1"/>
    <w:rsid w:val="007331B3"/>
    <w:rsid w:val="00733669"/>
    <w:rsid w:val="00733947"/>
    <w:rsid w:val="00733B74"/>
    <w:rsid w:val="00733CA9"/>
    <w:rsid w:val="00733E95"/>
    <w:rsid w:val="00733F91"/>
    <w:rsid w:val="00734062"/>
    <w:rsid w:val="007340FE"/>
    <w:rsid w:val="00734121"/>
    <w:rsid w:val="0073414A"/>
    <w:rsid w:val="007343BA"/>
    <w:rsid w:val="0073465A"/>
    <w:rsid w:val="007348C3"/>
    <w:rsid w:val="00734B38"/>
    <w:rsid w:val="00734B51"/>
    <w:rsid w:val="00734CDA"/>
    <w:rsid w:val="00734EE0"/>
    <w:rsid w:val="00735030"/>
    <w:rsid w:val="00735455"/>
    <w:rsid w:val="00735530"/>
    <w:rsid w:val="0073572B"/>
    <w:rsid w:val="00735A94"/>
    <w:rsid w:val="00735E0B"/>
    <w:rsid w:val="00735EA0"/>
    <w:rsid w:val="00735F61"/>
    <w:rsid w:val="00735F71"/>
    <w:rsid w:val="0073627D"/>
    <w:rsid w:val="007367D4"/>
    <w:rsid w:val="00736826"/>
    <w:rsid w:val="00736AD8"/>
    <w:rsid w:val="00736AEB"/>
    <w:rsid w:val="00736B5D"/>
    <w:rsid w:val="00736C50"/>
    <w:rsid w:val="00736FFC"/>
    <w:rsid w:val="007370C5"/>
    <w:rsid w:val="007370CD"/>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6A8"/>
    <w:rsid w:val="007406E9"/>
    <w:rsid w:val="0074088B"/>
    <w:rsid w:val="00740A2B"/>
    <w:rsid w:val="00740A8B"/>
    <w:rsid w:val="00740F1F"/>
    <w:rsid w:val="00740F28"/>
    <w:rsid w:val="00741013"/>
    <w:rsid w:val="007419EE"/>
    <w:rsid w:val="00741A5E"/>
    <w:rsid w:val="00741BDD"/>
    <w:rsid w:val="00741CCC"/>
    <w:rsid w:val="00742141"/>
    <w:rsid w:val="0074221D"/>
    <w:rsid w:val="0074224C"/>
    <w:rsid w:val="00742252"/>
    <w:rsid w:val="0074263F"/>
    <w:rsid w:val="007426B7"/>
    <w:rsid w:val="007426EA"/>
    <w:rsid w:val="007427EF"/>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C79"/>
    <w:rsid w:val="00743F37"/>
    <w:rsid w:val="00744040"/>
    <w:rsid w:val="00744091"/>
    <w:rsid w:val="00744295"/>
    <w:rsid w:val="007442B6"/>
    <w:rsid w:val="007443F7"/>
    <w:rsid w:val="00744430"/>
    <w:rsid w:val="0074495E"/>
    <w:rsid w:val="00744B85"/>
    <w:rsid w:val="00744E0F"/>
    <w:rsid w:val="00745083"/>
    <w:rsid w:val="007451F9"/>
    <w:rsid w:val="00745AA2"/>
    <w:rsid w:val="00745BE5"/>
    <w:rsid w:val="00745D3B"/>
    <w:rsid w:val="00745DE8"/>
    <w:rsid w:val="00746050"/>
    <w:rsid w:val="0074616B"/>
    <w:rsid w:val="007461B4"/>
    <w:rsid w:val="007461C5"/>
    <w:rsid w:val="007462B2"/>
    <w:rsid w:val="007462DA"/>
    <w:rsid w:val="00746359"/>
    <w:rsid w:val="007463BF"/>
    <w:rsid w:val="007465E4"/>
    <w:rsid w:val="00746830"/>
    <w:rsid w:val="0074692D"/>
    <w:rsid w:val="00746985"/>
    <w:rsid w:val="00746BBE"/>
    <w:rsid w:val="00746CFB"/>
    <w:rsid w:val="00746FCE"/>
    <w:rsid w:val="00747030"/>
    <w:rsid w:val="007473E7"/>
    <w:rsid w:val="00747411"/>
    <w:rsid w:val="007479EB"/>
    <w:rsid w:val="00747CF9"/>
    <w:rsid w:val="00747F2A"/>
    <w:rsid w:val="007500D3"/>
    <w:rsid w:val="00750376"/>
    <w:rsid w:val="00750408"/>
    <w:rsid w:val="00750915"/>
    <w:rsid w:val="00750B42"/>
    <w:rsid w:val="00750DB3"/>
    <w:rsid w:val="00750E44"/>
    <w:rsid w:val="00750EC3"/>
    <w:rsid w:val="00751199"/>
    <w:rsid w:val="00751311"/>
    <w:rsid w:val="007515BE"/>
    <w:rsid w:val="0075161A"/>
    <w:rsid w:val="00751695"/>
    <w:rsid w:val="00751BEF"/>
    <w:rsid w:val="00751F9F"/>
    <w:rsid w:val="00752031"/>
    <w:rsid w:val="007521BC"/>
    <w:rsid w:val="007522FD"/>
    <w:rsid w:val="0075237B"/>
    <w:rsid w:val="00752532"/>
    <w:rsid w:val="00752757"/>
    <w:rsid w:val="00752C38"/>
    <w:rsid w:val="00752E6D"/>
    <w:rsid w:val="00752EC9"/>
    <w:rsid w:val="00752FEA"/>
    <w:rsid w:val="007530B3"/>
    <w:rsid w:val="007532EF"/>
    <w:rsid w:val="00753453"/>
    <w:rsid w:val="00753646"/>
    <w:rsid w:val="007539A9"/>
    <w:rsid w:val="00753A77"/>
    <w:rsid w:val="00753AC1"/>
    <w:rsid w:val="00753B72"/>
    <w:rsid w:val="00753BBC"/>
    <w:rsid w:val="00754347"/>
    <w:rsid w:val="00754769"/>
    <w:rsid w:val="007548A7"/>
    <w:rsid w:val="0075496C"/>
    <w:rsid w:val="00754DC4"/>
    <w:rsid w:val="00754FD0"/>
    <w:rsid w:val="007550BB"/>
    <w:rsid w:val="00755113"/>
    <w:rsid w:val="00755308"/>
    <w:rsid w:val="0075532E"/>
    <w:rsid w:val="007554A0"/>
    <w:rsid w:val="007555D0"/>
    <w:rsid w:val="00755974"/>
    <w:rsid w:val="00755A68"/>
    <w:rsid w:val="00755A73"/>
    <w:rsid w:val="00755B23"/>
    <w:rsid w:val="00755DF3"/>
    <w:rsid w:val="00756260"/>
    <w:rsid w:val="00756493"/>
    <w:rsid w:val="007566F3"/>
    <w:rsid w:val="00756774"/>
    <w:rsid w:val="00756828"/>
    <w:rsid w:val="00756C43"/>
    <w:rsid w:val="00756C78"/>
    <w:rsid w:val="00756D32"/>
    <w:rsid w:val="00756DD9"/>
    <w:rsid w:val="00756DEC"/>
    <w:rsid w:val="0075719C"/>
    <w:rsid w:val="007571DF"/>
    <w:rsid w:val="00757564"/>
    <w:rsid w:val="00757659"/>
    <w:rsid w:val="007577CB"/>
    <w:rsid w:val="00757AF7"/>
    <w:rsid w:val="00760008"/>
    <w:rsid w:val="007600FB"/>
    <w:rsid w:val="00760258"/>
    <w:rsid w:val="007602C9"/>
    <w:rsid w:val="00760816"/>
    <w:rsid w:val="00760C0D"/>
    <w:rsid w:val="00760E55"/>
    <w:rsid w:val="00760FB1"/>
    <w:rsid w:val="0076128B"/>
    <w:rsid w:val="007612CA"/>
    <w:rsid w:val="00761924"/>
    <w:rsid w:val="00761A15"/>
    <w:rsid w:val="00761A4D"/>
    <w:rsid w:val="00761ADD"/>
    <w:rsid w:val="00761D78"/>
    <w:rsid w:val="00761DFA"/>
    <w:rsid w:val="00761E2D"/>
    <w:rsid w:val="00761EA7"/>
    <w:rsid w:val="00762346"/>
    <w:rsid w:val="007623CF"/>
    <w:rsid w:val="0076249C"/>
    <w:rsid w:val="00762547"/>
    <w:rsid w:val="007628B8"/>
    <w:rsid w:val="00762AD8"/>
    <w:rsid w:val="00762B1E"/>
    <w:rsid w:val="00762B2A"/>
    <w:rsid w:val="00762D3A"/>
    <w:rsid w:val="00762D8E"/>
    <w:rsid w:val="00762DDF"/>
    <w:rsid w:val="00762F77"/>
    <w:rsid w:val="007632B8"/>
    <w:rsid w:val="007634BF"/>
    <w:rsid w:val="00763623"/>
    <w:rsid w:val="007636DA"/>
    <w:rsid w:val="00763762"/>
    <w:rsid w:val="0076395A"/>
    <w:rsid w:val="00763999"/>
    <w:rsid w:val="00763A7E"/>
    <w:rsid w:val="00764095"/>
    <w:rsid w:val="00764200"/>
    <w:rsid w:val="00764235"/>
    <w:rsid w:val="00764241"/>
    <w:rsid w:val="007642B0"/>
    <w:rsid w:val="007643DD"/>
    <w:rsid w:val="007648C5"/>
    <w:rsid w:val="00764BAB"/>
    <w:rsid w:val="00764BF4"/>
    <w:rsid w:val="00764CD3"/>
    <w:rsid w:val="00764D59"/>
    <w:rsid w:val="00764DA1"/>
    <w:rsid w:val="00764E09"/>
    <w:rsid w:val="00764E22"/>
    <w:rsid w:val="00764F8F"/>
    <w:rsid w:val="007651ED"/>
    <w:rsid w:val="007651FA"/>
    <w:rsid w:val="0076543B"/>
    <w:rsid w:val="00765567"/>
    <w:rsid w:val="007655FE"/>
    <w:rsid w:val="00765752"/>
    <w:rsid w:val="00765A17"/>
    <w:rsid w:val="00765C2F"/>
    <w:rsid w:val="00765C6A"/>
    <w:rsid w:val="00765E51"/>
    <w:rsid w:val="007660A3"/>
    <w:rsid w:val="00766142"/>
    <w:rsid w:val="007661D1"/>
    <w:rsid w:val="007662BE"/>
    <w:rsid w:val="00766480"/>
    <w:rsid w:val="007664C0"/>
    <w:rsid w:val="00766703"/>
    <w:rsid w:val="00766763"/>
    <w:rsid w:val="0076680D"/>
    <w:rsid w:val="00766AD4"/>
    <w:rsid w:val="00766BF2"/>
    <w:rsid w:val="00766CAF"/>
    <w:rsid w:val="00766F8B"/>
    <w:rsid w:val="007671E8"/>
    <w:rsid w:val="00767563"/>
    <w:rsid w:val="007677FF"/>
    <w:rsid w:val="00767818"/>
    <w:rsid w:val="00767B17"/>
    <w:rsid w:val="00767B9C"/>
    <w:rsid w:val="00767C00"/>
    <w:rsid w:val="00767C58"/>
    <w:rsid w:val="00767CCF"/>
    <w:rsid w:val="0077016F"/>
    <w:rsid w:val="00770319"/>
    <w:rsid w:val="007705C5"/>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3D6"/>
    <w:rsid w:val="0077248E"/>
    <w:rsid w:val="007728B1"/>
    <w:rsid w:val="007729F5"/>
    <w:rsid w:val="00772A24"/>
    <w:rsid w:val="00772A52"/>
    <w:rsid w:val="00772F8D"/>
    <w:rsid w:val="007730B5"/>
    <w:rsid w:val="007733C7"/>
    <w:rsid w:val="0077360E"/>
    <w:rsid w:val="007736AB"/>
    <w:rsid w:val="0077377D"/>
    <w:rsid w:val="007738C3"/>
    <w:rsid w:val="00773A62"/>
    <w:rsid w:val="00773C34"/>
    <w:rsid w:val="00773E05"/>
    <w:rsid w:val="00773F38"/>
    <w:rsid w:val="007742C6"/>
    <w:rsid w:val="0077433D"/>
    <w:rsid w:val="0077449C"/>
    <w:rsid w:val="007744B2"/>
    <w:rsid w:val="0077455A"/>
    <w:rsid w:val="0077459A"/>
    <w:rsid w:val="007745FD"/>
    <w:rsid w:val="007748DD"/>
    <w:rsid w:val="007749EF"/>
    <w:rsid w:val="00775263"/>
    <w:rsid w:val="007755D1"/>
    <w:rsid w:val="00775605"/>
    <w:rsid w:val="0077569F"/>
    <w:rsid w:val="007757AC"/>
    <w:rsid w:val="00775A80"/>
    <w:rsid w:val="00775B18"/>
    <w:rsid w:val="00775DAC"/>
    <w:rsid w:val="00775F18"/>
    <w:rsid w:val="00775FAC"/>
    <w:rsid w:val="00776036"/>
    <w:rsid w:val="007760FC"/>
    <w:rsid w:val="007762A0"/>
    <w:rsid w:val="0077642A"/>
    <w:rsid w:val="007764D9"/>
    <w:rsid w:val="00776581"/>
    <w:rsid w:val="0077684E"/>
    <w:rsid w:val="00776A7F"/>
    <w:rsid w:val="00776F56"/>
    <w:rsid w:val="00777025"/>
    <w:rsid w:val="0077709D"/>
    <w:rsid w:val="007772F6"/>
    <w:rsid w:val="00777313"/>
    <w:rsid w:val="00777521"/>
    <w:rsid w:val="00777532"/>
    <w:rsid w:val="00777B42"/>
    <w:rsid w:val="007800A9"/>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942"/>
    <w:rsid w:val="00781AEB"/>
    <w:rsid w:val="00781CF8"/>
    <w:rsid w:val="00781DDE"/>
    <w:rsid w:val="00782139"/>
    <w:rsid w:val="00782339"/>
    <w:rsid w:val="007824B9"/>
    <w:rsid w:val="0078268E"/>
    <w:rsid w:val="0078291C"/>
    <w:rsid w:val="0078296E"/>
    <w:rsid w:val="00782B9E"/>
    <w:rsid w:val="00782C55"/>
    <w:rsid w:val="00782DA3"/>
    <w:rsid w:val="00782F60"/>
    <w:rsid w:val="00782FD8"/>
    <w:rsid w:val="00783091"/>
    <w:rsid w:val="007831A8"/>
    <w:rsid w:val="00783211"/>
    <w:rsid w:val="00783302"/>
    <w:rsid w:val="0078339C"/>
    <w:rsid w:val="00783429"/>
    <w:rsid w:val="00783ACD"/>
    <w:rsid w:val="00783BC4"/>
    <w:rsid w:val="00783BD9"/>
    <w:rsid w:val="00783D62"/>
    <w:rsid w:val="00783E57"/>
    <w:rsid w:val="00783F10"/>
    <w:rsid w:val="00784065"/>
    <w:rsid w:val="00784123"/>
    <w:rsid w:val="00784241"/>
    <w:rsid w:val="00784282"/>
    <w:rsid w:val="00784308"/>
    <w:rsid w:val="00784408"/>
    <w:rsid w:val="00784541"/>
    <w:rsid w:val="00784788"/>
    <w:rsid w:val="00784C5A"/>
    <w:rsid w:val="00784CBE"/>
    <w:rsid w:val="00784CD4"/>
    <w:rsid w:val="00784E3B"/>
    <w:rsid w:val="00784F26"/>
    <w:rsid w:val="00784F60"/>
    <w:rsid w:val="0078509D"/>
    <w:rsid w:val="00785759"/>
    <w:rsid w:val="00785B54"/>
    <w:rsid w:val="007860AA"/>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6AB"/>
    <w:rsid w:val="0079084B"/>
    <w:rsid w:val="0079092E"/>
    <w:rsid w:val="0079098E"/>
    <w:rsid w:val="00790A77"/>
    <w:rsid w:val="00790AE0"/>
    <w:rsid w:val="00790CC5"/>
    <w:rsid w:val="00790CEA"/>
    <w:rsid w:val="00790E54"/>
    <w:rsid w:val="00790EDE"/>
    <w:rsid w:val="00790FCA"/>
    <w:rsid w:val="00791637"/>
    <w:rsid w:val="007917BA"/>
    <w:rsid w:val="00791B18"/>
    <w:rsid w:val="00791C41"/>
    <w:rsid w:val="00791CCB"/>
    <w:rsid w:val="00791D9E"/>
    <w:rsid w:val="00791E00"/>
    <w:rsid w:val="007924CC"/>
    <w:rsid w:val="0079278D"/>
    <w:rsid w:val="007932A5"/>
    <w:rsid w:val="00793436"/>
    <w:rsid w:val="00793493"/>
    <w:rsid w:val="0079367E"/>
    <w:rsid w:val="0079376A"/>
    <w:rsid w:val="007939D8"/>
    <w:rsid w:val="00793CAB"/>
    <w:rsid w:val="00793CD1"/>
    <w:rsid w:val="00793CE3"/>
    <w:rsid w:val="00793DDA"/>
    <w:rsid w:val="00793F4C"/>
    <w:rsid w:val="00794010"/>
    <w:rsid w:val="0079405E"/>
    <w:rsid w:val="00794785"/>
    <w:rsid w:val="007948BF"/>
    <w:rsid w:val="00794928"/>
    <w:rsid w:val="007949E2"/>
    <w:rsid w:val="00794A1C"/>
    <w:rsid w:val="00794AB9"/>
    <w:rsid w:val="00794B55"/>
    <w:rsid w:val="00794CC0"/>
    <w:rsid w:val="00794E05"/>
    <w:rsid w:val="0079504B"/>
    <w:rsid w:val="00795104"/>
    <w:rsid w:val="007955F7"/>
    <w:rsid w:val="0079571B"/>
    <w:rsid w:val="007957DE"/>
    <w:rsid w:val="007958CE"/>
    <w:rsid w:val="00795905"/>
    <w:rsid w:val="007959D6"/>
    <w:rsid w:val="00795A58"/>
    <w:rsid w:val="00795EE5"/>
    <w:rsid w:val="00795F87"/>
    <w:rsid w:val="007961C9"/>
    <w:rsid w:val="00796337"/>
    <w:rsid w:val="00796383"/>
    <w:rsid w:val="007964B2"/>
    <w:rsid w:val="007964DB"/>
    <w:rsid w:val="007967B9"/>
    <w:rsid w:val="007967D0"/>
    <w:rsid w:val="00796858"/>
    <w:rsid w:val="00796AB3"/>
    <w:rsid w:val="00796B09"/>
    <w:rsid w:val="00796BEB"/>
    <w:rsid w:val="00796C79"/>
    <w:rsid w:val="00796E3D"/>
    <w:rsid w:val="0079766C"/>
    <w:rsid w:val="007976C5"/>
    <w:rsid w:val="00797773"/>
    <w:rsid w:val="00797A33"/>
    <w:rsid w:val="00797C4B"/>
    <w:rsid w:val="00797DF7"/>
    <w:rsid w:val="007A019B"/>
    <w:rsid w:val="007A0367"/>
    <w:rsid w:val="007A0377"/>
    <w:rsid w:val="007A04BC"/>
    <w:rsid w:val="007A0599"/>
    <w:rsid w:val="007A082D"/>
    <w:rsid w:val="007A08DE"/>
    <w:rsid w:val="007A0D87"/>
    <w:rsid w:val="007A0DC0"/>
    <w:rsid w:val="007A0DE0"/>
    <w:rsid w:val="007A0FD5"/>
    <w:rsid w:val="007A155E"/>
    <w:rsid w:val="007A157D"/>
    <w:rsid w:val="007A163F"/>
    <w:rsid w:val="007A167F"/>
    <w:rsid w:val="007A193C"/>
    <w:rsid w:val="007A1E12"/>
    <w:rsid w:val="007A1EE0"/>
    <w:rsid w:val="007A1EE3"/>
    <w:rsid w:val="007A20DD"/>
    <w:rsid w:val="007A2243"/>
    <w:rsid w:val="007A234F"/>
    <w:rsid w:val="007A23D1"/>
    <w:rsid w:val="007A2429"/>
    <w:rsid w:val="007A2455"/>
    <w:rsid w:val="007A2457"/>
    <w:rsid w:val="007A2483"/>
    <w:rsid w:val="007A2630"/>
    <w:rsid w:val="007A26C9"/>
    <w:rsid w:val="007A27A0"/>
    <w:rsid w:val="007A2C36"/>
    <w:rsid w:val="007A2C72"/>
    <w:rsid w:val="007A2D17"/>
    <w:rsid w:val="007A2ECA"/>
    <w:rsid w:val="007A3003"/>
    <w:rsid w:val="007A3986"/>
    <w:rsid w:val="007A3A19"/>
    <w:rsid w:val="007A3AC9"/>
    <w:rsid w:val="007A3ACB"/>
    <w:rsid w:val="007A3DE6"/>
    <w:rsid w:val="007A3F2B"/>
    <w:rsid w:val="007A425A"/>
    <w:rsid w:val="007A4265"/>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B79"/>
    <w:rsid w:val="007A5BC9"/>
    <w:rsid w:val="007A5C27"/>
    <w:rsid w:val="007A5C5C"/>
    <w:rsid w:val="007A5F13"/>
    <w:rsid w:val="007A5F25"/>
    <w:rsid w:val="007A610C"/>
    <w:rsid w:val="007A613F"/>
    <w:rsid w:val="007A61BA"/>
    <w:rsid w:val="007A6266"/>
    <w:rsid w:val="007A6383"/>
    <w:rsid w:val="007A6583"/>
    <w:rsid w:val="007A66DD"/>
    <w:rsid w:val="007A677F"/>
    <w:rsid w:val="007A6B54"/>
    <w:rsid w:val="007A6C2B"/>
    <w:rsid w:val="007A70AB"/>
    <w:rsid w:val="007A70C1"/>
    <w:rsid w:val="007A7128"/>
    <w:rsid w:val="007A736E"/>
    <w:rsid w:val="007A743B"/>
    <w:rsid w:val="007A74E1"/>
    <w:rsid w:val="007A7B0C"/>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BE9"/>
    <w:rsid w:val="007B1ED7"/>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3F0E"/>
    <w:rsid w:val="007B40B6"/>
    <w:rsid w:val="007B4898"/>
    <w:rsid w:val="007B4C20"/>
    <w:rsid w:val="007B4D58"/>
    <w:rsid w:val="007B500A"/>
    <w:rsid w:val="007B5149"/>
    <w:rsid w:val="007B523E"/>
    <w:rsid w:val="007B53B6"/>
    <w:rsid w:val="007B5716"/>
    <w:rsid w:val="007B590C"/>
    <w:rsid w:val="007B598C"/>
    <w:rsid w:val="007B5DBD"/>
    <w:rsid w:val="007B623F"/>
    <w:rsid w:val="007B6302"/>
    <w:rsid w:val="007B6428"/>
    <w:rsid w:val="007B6601"/>
    <w:rsid w:val="007B6623"/>
    <w:rsid w:val="007B6739"/>
    <w:rsid w:val="007B6853"/>
    <w:rsid w:val="007B68D6"/>
    <w:rsid w:val="007B6B07"/>
    <w:rsid w:val="007B6B90"/>
    <w:rsid w:val="007B6BEF"/>
    <w:rsid w:val="007B6C3E"/>
    <w:rsid w:val="007B6D96"/>
    <w:rsid w:val="007B6DF1"/>
    <w:rsid w:val="007B6E3C"/>
    <w:rsid w:val="007B6E50"/>
    <w:rsid w:val="007B73E4"/>
    <w:rsid w:val="007B7689"/>
    <w:rsid w:val="007B7A3A"/>
    <w:rsid w:val="007B7AE6"/>
    <w:rsid w:val="007C04B1"/>
    <w:rsid w:val="007C0B09"/>
    <w:rsid w:val="007C0DC3"/>
    <w:rsid w:val="007C1117"/>
    <w:rsid w:val="007C1443"/>
    <w:rsid w:val="007C156D"/>
    <w:rsid w:val="007C1981"/>
    <w:rsid w:val="007C1ADC"/>
    <w:rsid w:val="007C1EBE"/>
    <w:rsid w:val="007C1FEA"/>
    <w:rsid w:val="007C212C"/>
    <w:rsid w:val="007C235B"/>
    <w:rsid w:val="007C2A17"/>
    <w:rsid w:val="007C2DC6"/>
    <w:rsid w:val="007C2E5B"/>
    <w:rsid w:val="007C3636"/>
    <w:rsid w:val="007C3C52"/>
    <w:rsid w:val="007C3C9E"/>
    <w:rsid w:val="007C3CF7"/>
    <w:rsid w:val="007C3E4E"/>
    <w:rsid w:val="007C3E51"/>
    <w:rsid w:val="007C3F32"/>
    <w:rsid w:val="007C3FBD"/>
    <w:rsid w:val="007C4052"/>
    <w:rsid w:val="007C40FE"/>
    <w:rsid w:val="007C41F3"/>
    <w:rsid w:val="007C4266"/>
    <w:rsid w:val="007C4628"/>
    <w:rsid w:val="007C4654"/>
    <w:rsid w:val="007C4864"/>
    <w:rsid w:val="007C49D2"/>
    <w:rsid w:val="007C4D9C"/>
    <w:rsid w:val="007C4DFD"/>
    <w:rsid w:val="007C50A8"/>
    <w:rsid w:val="007C51A4"/>
    <w:rsid w:val="007C51FA"/>
    <w:rsid w:val="007C5514"/>
    <w:rsid w:val="007C55C2"/>
    <w:rsid w:val="007C59E7"/>
    <w:rsid w:val="007C5B04"/>
    <w:rsid w:val="007C5D1D"/>
    <w:rsid w:val="007C5DE1"/>
    <w:rsid w:val="007C5F5F"/>
    <w:rsid w:val="007C6407"/>
    <w:rsid w:val="007C6835"/>
    <w:rsid w:val="007C688F"/>
    <w:rsid w:val="007C68D6"/>
    <w:rsid w:val="007C7402"/>
    <w:rsid w:val="007C778F"/>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442"/>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D3F"/>
    <w:rsid w:val="007D3D62"/>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7F1"/>
    <w:rsid w:val="007D59E9"/>
    <w:rsid w:val="007D5A8E"/>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D7ED6"/>
    <w:rsid w:val="007E0381"/>
    <w:rsid w:val="007E048F"/>
    <w:rsid w:val="007E0603"/>
    <w:rsid w:val="007E0645"/>
    <w:rsid w:val="007E08A1"/>
    <w:rsid w:val="007E0939"/>
    <w:rsid w:val="007E0E0B"/>
    <w:rsid w:val="007E0E50"/>
    <w:rsid w:val="007E1191"/>
    <w:rsid w:val="007E13A3"/>
    <w:rsid w:val="007E1435"/>
    <w:rsid w:val="007E14CF"/>
    <w:rsid w:val="007E1531"/>
    <w:rsid w:val="007E15CA"/>
    <w:rsid w:val="007E167C"/>
    <w:rsid w:val="007E16CF"/>
    <w:rsid w:val="007E198C"/>
    <w:rsid w:val="007E1BEF"/>
    <w:rsid w:val="007E1C1C"/>
    <w:rsid w:val="007E1F90"/>
    <w:rsid w:val="007E2293"/>
    <w:rsid w:val="007E22C9"/>
    <w:rsid w:val="007E23F1"/>
    <w:rsid w:val="007E26C8"/>
    <w:rsid w:val="007E29B6"/>
    <w:rsid w:val="007E2B75"/>
    <w:rsid w:val="007E2B9B"/>
    <w:rsid w:val="007E2E03"/>
    <w:rsid w:val="007E2F04"/>
    <w:rsid w:val="007E2F42"/>
    <w:rsid w:val="007E332A"/>
    <w:rsid w:val="007E35AB"/>
    <w:rsid w:val="007E3767"/>
    <w:rsid w:val="007E3A19"/>
    <w:rsid w:val="007E3D0C"/>
    <w:rsid w:val="007E4740"/>
    <w:rsid w:val="007E4760"/>
    <w:rsid w:val="007E4853"/>
    <w:rsid w:val="007E4AAA"/>
    <w:rsid w:val="007E4F14"/>
    <w:rsid w:val="007E5284"/>
    <w:rsid w:val="007E53A0"/>
    <w:rsid w:val="007E5E24"/>
    <w:rsid w:val="007E5F1A"/>
    <w:rsid w:val="007E60DE"/>
    <w:rsid w:val="007E6261"/>
    <w:rsid w:val="007E63F7"/>
    <w:rsid w:val="007E69B0"/>
    <w:rsid w:val="007E6A2A"/>
    <w:rsid w:val="007E6D4F"/>
    <w:rsid w:val="007E6DCC"/>
    <w:rsid w:val="007E6DD5"/>
    <w:rsid w:val="007E6F84"/>
    <w:rsid w:val="007E72DD"/>
    <w:rsid w:val="007E747A"/>
    <w:rsid w:val="007E750A"/>
    <w:rsid w:val="007E761A"/>
    <w:rsid w:val="007E7AD7"/>
    <w:rsid w:val="007E7DF4"/>
    <w:rsid w:val="007E7ED3"/>
    <w:rsid w:val="007E7EE2"/>
    <w:rsid w:val="007E7F95"/>
    <w:rsid w:val="007F02BA"/>
    <w:rsid w:val="007F075E"/>
    <w:rsid w:val="007F07AE"/>
    <w:rsid w:val="007F08B3"/>
    <w:rsid w:val="007F09FA"/>
    <w:rsid w:val="007F0C35"/>
    <w:rsid w:val="007F0C6A"/>
    <w:rsid w:val="007F0FD6"/>
    <w:rsid w:val="007F109E"/>
    <w:rsid w:val="007F1320"/>
    <w:rsid w:val="007F16CB"/>
    <w:rsid w:val="007F1709"/>
    <w:rsid w:val="007F1864"/>
    <w:rsid w:val="007F199C"/>
    <w:rsid w:val="007F1AF1"/>
    <w:rsid w:val="007F1B3D"/>
    <w:rsid w:val="007F1B44"/>
    <w:rsid w:val="007F1BB4"/>
    <w:rsid w:val="007F22F9"/>
    <w:rsid w:val="007F2509"/>
    <w:rsid w:val="007F255E"/>
    <w:rsid w:val="007F2637"/>
    <w:rsid w:val="007F26A3"/>
    <w:rsid w:val="007F2B0C"/>
    <w:rsid w:val="007F2EDF"/>
    <w:rsid w:val="007F31AB"/>
    <w:rsid w:val="007F32AE"/>
    <w:rsid w:val="007F33C2"/>
    <w:rsid w:val="007F34BD"/>
    <w:rsid w:val="007F3802"/>
    <w:rsid w:val="007F3AD1"/>
    <w:rsid w:val="007F3C5D"/>
    <w:rsid w:val="007F3D8E"/>
    <w:rsid w:val="007F3EB7"/>
    <w:rsid w:val="007F3F48"/>
    <w:rsid w:val="007F3F84"/>
    <w:rsid w:val="007F4162"/>
    <w:rsid w:val="007F457B"/>
    <w:rsid w:val="007F4A41"/>
    <w:rsid w:val="007F4AC6"/>
    <w:rsid w:val="007F4B3B"/>
    <w:rsid w:val="007F4B5E"/>
    <w:rsid w:val="007F4E0E"/>
    <w:rsid w:val="007F4E9D"/>
    <w:rsid w:val="007F5150"/>
    <w:rsid w:val="007F51F7"/>
    <w:rsid w:val="007F5834"/>
    <w:rsid w:val="007F5C0C"/>
    <w:rsid w:val="007F5D71"/>
    <w:rsid w:val="007F5DD9"/>
    <w:rsid w:val="007F5FAB"/>
    <w:rsid w:val="007F615C"/>
    <w:rsid w:val="007F67A8"/>
    <w:rsid w:val="007F6B9A"/>
    <w:rsid w:val="007F6EFD"/>
    <w:rsid w:val="007F6F15"/>
    <w:rsid w:val="007F7080"/>
    <w:rsid w:val="007F70A1"/>
    <w:rsid w:val="007F72CE"/>
    <w:rsid w:val="007F74F9"/>
    <w:rsid w:val="007F7528"/>
    <w:rsid w:val="0080016C"/>
    <w:rsid w:val="008001CE"/>
    <w:rsid w:val="00800249"/>
    <w:rsid w:val="00800280"/>
    <w:rsid w:val="00800904"/>
    <w:rsid w:val="00800919"/>
    <w:rsid w:val="00800A8E"/>
    <w:rsid w:val="00800C4E"/>
    <w:rsid w:val="00800D8E"/>
    <w:rsid w:val="00800DEE"/>
    <w:rsid w:val="00800E4F"/>
    <w:rsid w:val="0080104C"/>
    <w:rsid w:val="008011C8"/>
    <w:rsid w:val="008014CF"/>
    <w:rsid w:val="00801630"/>
    <w:rsid w:val="00801A51"/>
    <w:rsid w:val="00802339"/>
    <w:rsid w:val="008026A4"/>
    <w:rsid w:val="00802830"/>
    <w:rsid w:val="008029A1"/>
    <w:rsid w:val="00802B8B"/>
    <w:rsid w:val="00802DE7"/>
    <w:rsid w:val="00802FB1"/>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BBD"/>
    <w:rsid w:val="00804C23"/>
    <w:rsid w:val="00804D33"/>
    <w:rsid w:val="00804F05"/>
    <w:rsid w:val="008052FD"/>
    <w:rsid w:val="00805538"/>
    <w:rsid w:val="00805763"/>
    <w:rsid w:val="00805C03"/>
    <w:rsid w:val="00805D99"/>
    <w:rsid w:val="0080611C"/>
    <w:rsid w:val="008061FF"/>
    <w:rsid w:val="0080631D"/>
    <w:rsid w:val="0080668A"/>
    <w:rsid w:val="00806957"/>
    <w:rsid w:val="008069EC"/>
    <w:rsid w:val="00806C4A"/>
    <w:rsid w:val="00806C92"/>
    <w:rsid w:val="00806DDE"/>
    <w:rsid w:val="00807183"/>
    <w:rsid w:val="0080721C"/>
    <w:rsid w:val="008073FA"/>
    <w:rsid w:val="00807499"/>
    <w:rsid w:val="00807525"/>
    <w:rsid w:val="008075F7"/>
    <w:rsid w:val="008077D5"/>
    <w:rsid w:val="00807869"/>
    <w:rsid w:val="008078BF"/>
    <w:rsid w:val="00807A30"/>
    <w:rsid w:val="00807A42"/>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1B"/>
    <w:rsid w:val="00810EC1"/>
    <w:rsid w:val="00810F98"/>
    <w:rsid w:val="00811002"/>
    <w:rsid w:val="00811052"/>
    <w:rsid w:val="00811055"/>
    <w:rsid w:val="008110A2"/>
    <w:rsid w:val="008114DE"/>
    <w:rsid w:val="008117DB"/>
    <w:rsid w:val="00811871"/>
    <w:rsid w:val="00811896"/>
    <w:rsid w:val="00811A93"/>
    <w:rsid w:val="00811B29"/>
    <w:rsid w:val="00811B91"/>
    <w:rsid w:val="00812051"/>
    <w:rsid w:val="0081214D"/>
    <w:rsid w:val="0081276C"/>
    <w:rsid w:val="008127FA"/>
    <w:rsid w:val="00812D05"/>
    <w:rsid w:val="00812E97"/>
    <w:rsid w:val="00813005"/>
    <w:rsid w:val="008133C1"/>
    <w:rsid w:val="008135FE"/>
    <w:rsid w:val="00813756"/>
    <w:rsid w:val="008137B4"/>
    <w:rsid w:val="008137B8"/>
    <w:rsid w:val="00813BE7"/>
    <w:rsid w:val="00813C24"/>
    <w:rsid w:val="00813E35"/>
    <w:rsid w:val="00813F08"/>
    <w:rsid w:val="00813F36"/>
    <w:rsid w:val="008142FD"/>
    <w:rsid w:val="0081462B"/>
    <w:rsid w:val="00814660"/>
    <w:rsid w:val="0081475E"/>
    <w:rsid w:val="00814A73"/>
    <w:rsid w:val="00814C38"/>
    <w:rsid w:val="00815213"/>
    <w:rsid w:val="008152B7"/>
    <w:rsid w:val="00815386"/>
    <w:rsid w:val="008154CD"/>
    <w:rsid w:val="008154D9"/>
    <w:rsid w:val="008154E9"/>
    <w:rsid w:val="008155CA"/>
    <w:rsid w:val="0081562A"/>
    <w:rsid w:val="00815C5E"/>
    <w:rsid w:val="00815DFC"/>
    <w:rsid w:val="00816086"/>
    <w:rsid w:val="00816367"/>
    <w:rsid w:val="00816385"/>
    <w:rsid w:val="008164D1"/>
    <w:rsid w:val="0081651B"/>
    <w:rsid w:val="00816528"/>
    <w:rsid w:val="00816541"/>
    <w:rsid w:val="0081683B"/>
    <w:rsid w:val="00816A26"/>
    <w:rsid w:val="00816BFB"/>
    <w:rsid w:val="00816C22"/>
    <w:rsid w:val="00816E17"/>
    <w:rsid w:val="0081721F"/>
    <w:rsid w:val="008172C2"/>
    <w:rsid w:val="0081733D"/>
    <w:rsid w:val="0081746B"/>
    <w:rsid w:val="00817D68"/>
    <w:rsid w:val="00817D77"/>
    <w:rsid w:val="00817EEC"/>
    <w:rsid w:val="00820288"/>
    <w:rsid w:val="008206CD"/>
    <w:rsid w:val="00820AB3"/>
    <w:rsid w:val="00820EA7"/>
    <w:rsid w:val="00821209"/>
    <w:rsid w:val="00821281"/>
    <w:rsid w:val="00821348"/>
    <w:rsid w:val="00821370"/>
    <w:rsid w:val="008214FC"/>
    <w:rsid w:val="008215FC"/>
    <w:rsid w:val="0082174C"/>
    <w:rsid w:val="00821753"/>
    <w:rsid w:val="008218B4"/>
    <w:rsid w:val="008219D5"/>
    <w:rsid w:val="00821B21"/>
    <w:rsid w:val="00821BF7"/>
    <w:rsid w:val="00821C3B"/>
    <w:rsid w:val="00821CA9"/>
    <w:rsid w:val="00821CFD"/>
    <w:rsid w:val="00822412"/>
    <w:rsid w:val="008226A5"/>
    <w:rsid w:val="00822A9E"/>
    <w:rsid w:val="00822C21"/>
    <w:rsid w:val="00822C7F"/>
    <w:rsid w:val="00822E76"/>
    <w:rsid w:val="0082327A"/>
    <w:rsid w:val="008233DC"/>
    <w:rsid w:val="008233EA"/>
    <w:rsid w:val="0082343C"/>
    <w:rsid w:val="00823473"/>
    <w:rsid w:val="00823672"/>
    <w:rsid w:val="00823849"/>
    <w:rsid w:val="00823979"/>
    <w:rsid w:val="00823B04"/>
    <w:rsid w:val="00823BC5"/>
    <w:rsid w:val="00823C8B"/>
    <w:rsid w:val="00823CBE"/>
    <w:rsid w:val="00823CE7"/>
    <w:rsid w:val="00823D00"/>
    <w:rsid w:val="00823E22"/>
    <w:rsid w:val="008247AE"/>
    <w:rsid w:val="008247BC"/>
    <w:rsid w:val="008247F4"/>
    <w:rsid w:val="00824892"/>
    <w:rsid w:val="00824C43"/>
    <w:rsid w:val="00824CC9"/>
    <w:rsid w:val="0082521D"/>
    <w:rsid w:val="008254B8"/>
    <w:rsid w:val="00825508"/>
    <w:rsid w:val="0082553A"/>
    <w:rsid w:val="008255BB"/>
    <w:rsid w:val="008256BC"/>
    <w:rsid w:val="00825DF2"/>
    <w:rsid w:val="00825E12"/>
    <w:rsid w:val="00825EBE"/>
    <w:rsid w:val="00825F53"/>
    <w:rsid w:val="00825FAF"/>
    <w:rsid w:val="0082602B"/>
    <w:rsid w:val="00826092"/>
    <w:rsid w:val="008260AB"/>
    <w:rsid w:val="008263C1"/>
    <w:rsid w:val="008263E1"/>
    <w:rsid w:val="00826907"/>
    <w:rsid w:val="00826C10"/>
    <w:rsid w:val="00826CB3"/>
    <w:rsid w:val="00826EB9"/>
    <w:rsid w:val="0082700E"/>
    <w:rsid w:val="008270A9"/>
    <w:rsid w:val="00827320"/>
    <w:rsid w:val="00827366"/>
    <w:rsid w:val="008273DE"/>
    <w:rsid w:val="008274CC"/>
    <w:rsid w:val="00827A67"/>
    <w:rsid w:val="00827D5D"/>
    <w:rsid w:val="00827EEE"/>
    <w:rsid w:val="00827F5D"/>
    <w:rsid w:val="008300DC"/>
    <w:rsid w:val="00830300"/>
    <w:rsid w:val="0083031A"/>
    <w:rsid w:val="00830623"/>
    <w:rsid w:val="0083090B"/>
    <w:rsid w:val="00830A8F"/>
    <w:rsid w:val="00830C2B"/>
    <w:rsid w:val="0083123C"/>
    <w:rsid w:val="008312B0"/>
    <w:rsid w:val="008313E5"/>
    <w:rsid w:val="00831774"/>
    <w:rsid w:val="00831828"/>
    <w:rsid w:val="0083183F"/>
    <w:rsid w:val="00831A3C"/>
    <w:rsid w:val="00831B3D"/>
    <w:rsid w:val="00831BD9"/>
    <w:rsid w:val="00831D99"/>
    <w:rsid w:val="00831FA9"/>
    <w:rsid w:val="008323B0"/>
    <w:rsid w:val="008324E0"/>
    <w:rsid w:val="00832688"/>
    <w:rsid w:val="008326FC"/>
    <w:rsid w:val="00832890"/>
    <w:rsid w:val="0083290A"/>
    <w:rsid w:val="00832F7A"/>
    <w:rsid w:val="00833677"/>
    <w:rsid w:val="008337A3"/>
    <w:rsid w:val="0083395D"/>
    <w:rsid w:val="008340C5"/>
    <w:rsid w:val="00834EE2"/>
    <w:rsid w:val="00834F3A"/>
    <w:rsid w:val="0083530C"/>
    <w:rsid w:val="00835420"/>
    <w:rsid w:val="00835645"/>
    <w:rsid w:val="0083566F"/>
    <w:rsid w:val="00835753"/>
    <w:rsid w:val="00835A5F"/>
    <w:rsid w:val="00835B7E"/>
    <w:rsid w:val="00835BE3"/>
    <w:rsid w:val="00835CF0"/>
    <w:rsid w:val="00835ECD"/>
    <w:rsid w:val="00835F94"/>
    <w:rsid w:val="00836851"/>
    <w:rsid w:val="00836A60"/>
    <w:rsid w:val="00836C23"/>
    <w:rsid w:val="00836CC0"/>
    <w:rsid w:val="00836CCD"/>
    <w:rsid w:val="00837152"/>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77"/>
    <w:rsid w:val="008418D2"/>
    <w:rsid w:val="00841959"/>
    <w:rsid w:val="00841B0F"/>
    <w:rsid w:val="00841B5F"/>
    <w:rsid w:val="00841B7A"/>
    <w:rsid w:val="00841DC3"/>
    <w:rsid w:val="00841F2E"/>
    <w:rsid w:val="0084200F"/>
    <w:rsid w:val="00842042"/>
    <w:rsid w:val="0084226B"/>
    <w:rsid w:val="00842291"/>
    <w:rsid w:val="00842309"/>
    <w:rsid w:val="008424D2"/>
    <w:rsid w:val="0084260F"/>
    <w:rsid w:val="00842611"/>
    <w:rsid w:val="00842988"/>
    <w:rsid w:val="00842DF3"/>
    <w:rsid w:val="00842EB4"/>
    <w:rsid w:val="00843072"/>
    <w:rsid w:val="00843248"/>
    <w:rsid w:val="008433FD"/>
    <w:rsid w:val="008434E0"/>
    <w:rsid w:val="00843564"/>
    <w:rsid w:val="008436DB"/>
    <w:rsid w:val="00843C1B"/>
    <w:rsid w:val="00843FB9"/>
    <w:rsid w:val="0084415C"/>
    <w:rsid w:val="00844428"/>
    <w:rsid w:val="0084476C"/>
    <w:rsid w:val="00844A39"/>
    <w:rsid w:val="00844B83"/>
    <w:rsid w:val="0084509D"/>
    <w:rsid w:val="0084534E"/>
    <w:rsid w:val="00845604"/>
    <w:rsid w:val="00845C18"/>
    <w:rsid w:val="00845D51"/>
    <w:rsid w:val="00845D5A"/>
    <w:rsid w:val="008462D7"/>
    <w:rsid w:val="00846875"/>
    <w:rsid w:val="00846B32"/>
    <w:rsid w:val="00846CE9"/>
    <w:rsid w:val="00846DE3"/>
    <w:rsid w:val="00846F8E"/>
    <w:rsid w:val="0084700E"/>
    <w:rsid w:val="00847025"/>
    <w:rsid w:val="0084703D"/>
    <w:rsid w:val="00847062"/>
    <w:rsid w:val="008471E4"/>
    <w:rsid w:val="0084720A"/>
    <w:rsid w:val="008472A7"/>
    <w:rsid w:val="00847526"/>
    <w:rsid w:val="00847A58"/>
    <w:rsid w:val="00847A69"/>
    <w:rsid w:val="00847C9C"/>
    <w:rsid w:val="00847F1F"/>
    <w:rsid w:val="00850021"/>
    <w:rsid w:val="0085003E"/>
    <w:rsid w:val="00850077"/>
    <w:rsid w:val="008502F7"/>
    <w:rsid w:val="00850481"/>
    <w:rsid w:val="008505A9"/>
    <w:rsid w:val="008505CA"/>
    <w:rsid w:val="0085060B"/>
    <w:rsid w:val="00850648"/>
    <w:rsid w:val="00850861"/>
    <w:rsid w:val="00850862"/>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27C5"/>
    <w:rsid w:val="00852842"/>
    <w:rsid w:val="0085291D"/>
    <w:rsid w:val="00852A4F"/>
    <w:rsid w:val="00852A85"/>
    <w:rsid w:val="00852EA6"/>
    <w:rsid w:val="00852F47"/>
    <w:rsid w:val="00852F5D"/>
    <w:rsid w:val="0085329A"/>
    <w:rsid w:val="00853515"/>
    <w:rsid w:val="008536A0"/>
    <w:rsid w:val="0085385B"/>
    <w:rsid w:val="008539BA"/>
    <w:rsid w:val="00853A25"/>
    <w:rsid w:val="00853A4A"/>
    <w:rsid w:val="00853C8C"/>
    <w:rsid w:val="00853D1D"/>
    <w:rsid w:val="00853D2C"/>
    <w:rsid w:val="00853DCF"/>
    <w:rsid w:val="00853F87"/>
    <w:rsid w:val="00853F94"/>
    <w:rsid w:val="008540C6"/>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261"/>
    <w:rsid w:val="00856445"/>
    <w:rsid w:val="008564A8"/>
    <w:rsid w:val="00856753"/>
    <w:rsid w:val="008568E5"/>
    <w:rsid w:val="00856A89"/>
    <w:rsid w:val="0085742E"/>
    <w:rsid w:val="00857749"/>
    <w:rsid w:val="00857882"/>
    <w:rsid w:val="00857889"/>
    <w:rsid w:val="0085793E"/>
    <w:rsid w:val="00857AF5"/>
    <w:rsid w:val="00857FA2"/>
    <w:rsid w:val="008600D4"/>
    <w:rsid w:val="00860211"/>
    <w:rsid w:val="00860418"/>
    <w:rsid w:val="008604D4"/>
    <w:rsid w:val="00860614"/>
    <w:rsid w:val="0086081D"/>
    <w:rsid w:val="00860AE9"/>
    <w:rsid w:val="00860BD7"/>
    <w:rsid w:val="00860E03"/>
    <w:rsid w:val="008611C9"/>
    <w:rsid w:val="008613B8"/>
    <w:rsid w:val="008618B4"/>
    <w:rsid w:val="008618FA"/>
    <w:rsid w:val="00861B50"/>
    <w:rsid w:val="00861B6C"/>
    <w:rsid w:val="00861C42"/>
    <w:rsid w:val="00861C46"/>
    <w:rsid w:val="00861C4F"/>
    <w:rsid w:val="00861D04"/>
    <w:rsid w:val="00861D84"/>
    <w:rsid w:val="008622FF"/>
    <w:rsid w:val="008623F0"/>
    <w:rsid w:val="00862479"/>
    <w:rsid w:val="008625A1"/>
    <w:rsid w:val="008626CC"/>
    <w:rsid w:val="008627F4"/>
    <w:rsid w:val="008628E9"/>
    <w:rsid w:val="00862AC5"/>
    <w:rsid w:val="00862B0F"/>
    <w:rsid w:val="00862B1B"/>
    <w:rsid w:val="00862C8A"/>
    <w:rsid w:val="00862CB3"/>
    <w:rsid w:val="00862EC4"/>
    <w:rsid w:val="00862F19"/>
    <w:rsid w:val="008633A2"/>
    <w:rsid w:val="008634F7"/>
    <w:rsid w:val="008635F1"/>
    <w:rsid w:val="008638CC"/>
    <w:rsid w:val="00863BBD"/>
    <w:rsid w:val="00863C9D"/>
    <w:rsid w:val="008645B9"/>
    <w:rsid w:val="00864762"/>
    <w:rsid w:val="008647B1"/>
    <w:rsid w:val="00864C3E"/>
    <w:rsid w:val="00864D1E"/>
    <w:rsid w:val="00864E70"/>
    <w:rsid w:val="00865414"/>
    <w:rsid w:val="008654F5"/>
    <w:rsid w:val="00865B0D"/>
    <w:rsid w:val="00865DF5"/>
    <w:rsid w:val="00865F05"/>
    <w:rsid w:val="00865F0C"/>
    <w:rsid w:val="008661B5"/>
    <w:rsid w:val="00866591"/>
    <w:rsid w:val="008665B6"/>
    <w:rsid w:val="00866736"/>
    <w:rsid w:val="008668DC"/>
    <w:rsid w:val="00866976"/>
    <w:rsid w:val="008669AD"/>
    <w:rsid w:val="00866B7A"/>
    <w:rsid w:val="00866BFD"/>
    <w:rsid w:val="00866D1C"/>
    <w:rsid w:val="00866DC7"/>
    <w:rsid w:val="00866F8D"/>
    <w:rsid w:val="008674D3"/>
    <w:rsid w:val="00867712"/>
    <w:rsid w:val="00867B19"/>
    <w:rsid w:val="00867D83"/>
    <w:rsid w:val="00867E81"/>
    <w:rsid w:val="00870274"/>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0F1"/>
    <w:rsid w:val="00872442"/>
    <w:rsid w:val="0087253E"/>
    <w:rsid w:val="008727CF"/>
    <w:rsid w:val="008727D4"/>
    <w:rsid w:val="00872A17"/>
    <w:rsid w:val="00872B25"/>
    <w:rsid w:val="00872CD4"/>
    <w:rsid w:val="00872CD5"/>
    <w:rsid w:val="00872F5A"/>
    <w:rsid w:val="00872FD8"/>
    <w:rsid w:val="0087306A"/>
    <w:rsid w:val="0087348E"/>
    <w:rsid w:val="008735D9"/>
    <w:rsid w:val="0087363C"/>
    <w:rsid w:val="0087393E"/>
    <w:rsid w:val="00873AF2"/>
    <w:rsid w:val="00873B8E"/>
    <w:rsid w:val="00873E87"/>
    <w:rsid w:val="00873FE7"/>
    <w:rsid w:val="00874044"/>
    <w:rsid w:val="0087444B"/>
    <w:rsid w:val="008745D8"/>
    <w:rsid w:val="008746C6"/>
    <w:rsid w:val="00874CC2"/>
    <w:rsid w:val="00874E0E"/>
    <w:rsid w:val="00874F7B"/>
    <w:rsid w:val="00875025"/>
    <w:rsid w:val="008753BC"/>
    <w:rsid w:val="00875BA4"/>
    <w:rsid w:val="00875BA5"/>
    <w:rsid w:val="00875D85"/>
    <w:rsid w:val="00875ED9"/>
    <w:rsid w:val="00875EEA"/>
    <w:rsid w:val="00875FAB"/>
    <w:rsid w:val="0087642E"/>
    <w:rsid w:val="00876560"/>
    <w:rsid w:val="0087662B"/>
    <w:rsid w:val="00876676"/>
    <w:rsid w:val="0087694D"/>
    <w:rsid w:val="00876A5F"/>
    <w:rsid w:val="00876C5A"/>
    <w:rsid w:val="00876C89"/>
    <w:rsid w:val="00876D44"/>
    <w:rsid w:val="00876EC6"/>
    <w:rsid w:val="00876F45"/>
    <w:rsid w:val="00876F7C"/>
    <w:rsid w:val="00877072"/>
    <w:rsid w:val="00877145"/>
    <w:rsid w:val="00877240"/>
    <w:rsid w:val="00877441"/>
    <w:rsid w:val="00877604"/>
    <w:rsid w:val="00877672"/>
    <w:rsid w:val="00877BA3"/>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7C7"/>
    <w:rsid w:val="008819E7"/>
    <w:rsid w:val="00881C0F"/>
    <w:rsid w:val="00881F98"/>
    <w:rsid w:val="008823A4"/>
    <w:rsid w:val="00882694"/>
    <w:rsid w:val="00882AB0"/>
    <w:rsid w:val="00882BF9"/>
    <w:rsid w:val="00882CDE"/>
    <w:rsid w:val="00883153"/>
    <w:rsid w:val="00883189"/>
    <w:rsid w:val="00883329"/>
    <w:rsid w:val="00883766"/>
    <w:rsid w:val="0088381F"/>
    <w:rsid w:val="008838B6"/>
    <w:rsid w:val="0088398D"/>
    <w:rsid w:val="00883AAF"/>
    <w:rsid w:val="00883AC7"/>
    <w:rsid w:val="00883B36"/>
    <w:rsid w:val="00883C40"/>
    <w:rsid w:val="00883C8D"/>
    <w:rsid w:val="00883C9E"/>
    <w:rsid w:val="00883CB5"/>
    <w:rsid w:val="00883D39"/>
    <w:rsid w:val="00883F45"/>
    <w:rsid w:val="00883FF3"/>
    <w:rsid w:val="00884021"/>
    <w:rsid w:val="00884045"/>
    <w:rsid w:val="00884627"/>
    <w:rsid w:val="00884699"/>
    <w:rsid w:val="0088470D"/>
    <w:rsid w:val="008848E2"/>
    <w:rsid w:val="00884B98"/>
    <w:rsid w:val="00884F12"/>
    <w:rsid w:val="008850C2"/>
    <w:rsid w:val="008850EF"/>
    <w:rsid w:val="008851ED"/>
    <w:rsid w:val="00885409"/>
    <w:rsid w:val="00885448"/>
    <w:rsid w:val="00885633"/>
    <w:rsid w:val="00885811"/>
    <w:rsid w:val="00885D46"/>
    <w:rsid w:val="00885D73"/>
    <w:rsid w:val="00885EB7"/>
    <w:rsid w:val="00885F02"/>
    <w:rsid w:val="008861C6"/>
    <w:rsid w:val="0088631A"/>
    <w:rsid w:val="00886533"/>
    <w:rsid w:val="00886C65"/>
    <w:rsid w:val="00886EFB"/>
    <w:rsid w:val="00886F3E"/>
    <w:rsid w:val="00886F5F"/>
    <w:rsid w:val="00886F8F"/>
    <w:rsid w:val="00887092"/>
    <w:rsid w:val="008871A1"/>
    <w:rsid w:val="0088749F"/>
    <w:rsid w:val="0088755B"/>
    <w:rsid w:val="00887563"/>
    <w:rsid w:val="0088761F"/>
    <w:rsid w:val="00887725"/>
    <w:rsid w:val="00887849"/>
    <w:rsid w:val="008878C7"/>
    <w:rsid w:val="00887A73"/>
    <w:rsid w:val="00887ABA"/>
    <w:rsid w:val="00887AD4"/>
    <w:rsid w:val="00887C8C"/>
    <w:rsid w:val="00887E69"/>
    <w:rsid w:val="00887F78"/>
    <w:rsid w:val="008900C0"/>
    <w:rsid w:val="008900F3"/>
    <w:rsid w:val="00890728"/>
    <w:rsid w:val="00890780"/>
    <w:rsid w:val="00890812"/>
    <w:rsid w:val="00890A87"/>
    <w:rsid w:val="00890FAB"/>
    <w:rsid w:val="0089125B"/>
    <w:rsid w:val="008912F8"/>
    <w:rsid w:val="0089130C"/>
    <w:rsid w:val="00891B95"/>
    <w:rsid w:val="00891CB4"/>
    <w:rsid w:val="00891CBC"/>
    <w:rsid w:val="00891FE6"/>
    <w:rsid w:val="008923EF"/>
    <w:rsid w:val="00892554"/>
    <w:rsid w:val="008927ED"/>
    <w:rsid w:val="0089297A"/>
    <w:rsid w:val="00892A3A"/>
    <w:rsid w:val="00892A8C"/>
    <w:rsid w:val="00892DD0"/>
    <w:rsid w:val="00892DDB"/>
    <w:rsid w:val="00892FFA"/>
    <w:rsid w:val="00893391"/>
    <w:rsid w:val="008933EB"/>
    <w:rsid w:val="00893435"/>
    <w:rsid w:val="00893470"/>
    <w:rsid w:val="0089394D"/>
    <w:rsid w:val="008939F8"/>
    <w:rsid w:val="00893B56"/>
    <w:rsid w:val="00893BD4"/>
    <w:rsid w:val="00893C94"/>
    <w:rsid w:val="00893E6C"/>
    <w:rsid w:val="00893E73"/>
    <w:rsid w:val="00893F26"/>
    <w:rsid w:val="00894318"/>
    <w:rsid w:val="008945E2"/>
    <w:rsid w:val="0089478D"/>
    <w:rsid w:val="008947F8"/>
    <w:rsid w:val="0089491C"/>
    <w:rsid w:val="00894BC7"/>
    <w:rsid w:val="00894DF2"/>
    <w:rsid w:val="00895094"/>
    <w:rsid w:val="00895161"/>
    <w:rsid w:val="008952ED"/>
    <w:rsid w:val="008955B1"/>
    <w:rsid w:val="00895B87"/>
    <w:rsid w:val="00895BD8"/>
    <w:rsid w:val="00896127"/>
    <w:rsid w:val="00896206"/>
    <w:rsid w:val="008968C2"/>
    <w:rsid w:val="00896964"/>
    <w:rsid w:val="00896BFE"/>
    <w:rsid w:val="00896C9E"/>
    <w:rsid w:val="00896D12"/>
    <w:rsid w:val="008972B0"/>
    <w:rsid w:val="0089762D"/>
    <w:rsid w:val="008978F0"/>
    <w:rsid w:val="008979A2"/>
    <w:rsid w:val="00897CD7"/>
    <w:rsid w:val="008A0463"/>
    <w:rsid w:val="008A069D"/>
    <w:rsid w:val="008A0767"/>
    <w:rsid w:val="008A0B3C"/>
    <w:rsid w:val="008A0E5C"/>
    <w:rsid w:val="008A0F40"/>
    <w:rsid w:val="008A198E"/>
    <w:rsid w:val="008A1BAB"/>
    <w:rsid w:val="008A1CC1"/>
    <w:rsid w:val="008A1E23"/>
    <w:rsid w:val="008A237E"/>
    <w:rsid w:val="008A2407"/>
    <w:rsid w:val="008A242B"/>
    <w:rsid w:val="008A2730"/>
    <w:rsid w:val="008A282E"/>
    <w:rsid w:val="008A29FD"/>
    <w:rsid w:val="008A2CBB"/>
    <w:rsid w:val="008A2ED4"/>
    <w:rsid w:val="008A32E7"/>
    <w:rsid w:val="008A3803"/>
    <w:rsid w:val="008A38E3"/>
    <w:rsid w:val="008A3A28"/>
    <w:rsid w:val="008A3B2C"/>
    <w:rsid w:val="008A3B51"/>
    <w:rsid w:val="008A3EB1"/>
    <w:rsid w:val="008A3F2A"/>
    <w:rsid w:val="008A41CE"/>
    <w:rsid w:val="008A41DF"/>
    <w:rsid w:val="008A4481"/>
    <w:rsid w:val="008A4796"/>
    <w:rsid w:val="008A4A77"/>
    <w:rsid w:val="008A4B7E"/>
    <w:rsid w:val="008A4D9A"/>
    <w:rsid w:val="008A52CC"/>
    <w:rsid w:val="008A5398"/>
    <w:rsid w:val="008A5582"/>
    <w:rsid w:val="008A5826"/>
    <w:rsid w:val="008A5883"/>
    <w:rsid w:val="008A5A2E"/>
    <w:rsid w:val="008A5A78"/>
    <w:rsid w:val="008A5EC5"/>
    <w:rsid w:val="008A5ED2"/>
    <w:rsid w:val="008A5F93"/>
    <w:rsid w:val="008A6082"/>
    <w:rsid w:val="008A60B6"/>
    <w:rsid w:val="008A613D"/>
    <w:rsid w:val="008A632B"/>
    <w:rsid w:val="008A6594"/>
    <w:rsid w:val="008A6615"/>
    <w:rsid w:val="008A66CE"/>
    <w:rsid w:val="008A6703"/>
    <w:rsid w:val="008A678E"/>
    <w:rsid w:val="008A6819"/>
    <w:rsid w:val="008A6B15"/>
    <w:rsid w:val="008A6E91"/>
    <w:rsid w:val="008A7036"/>
    <w:rsid w:val="008A7407"/>
    <w:rsid w:val="008A7410"/>
    <w:rsid w:val="008A7567"/>
    <w:rsid w:val="008A75EE"/>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3FC"/>
    <w:rsid w:val="008B14D1"/>
    <w:rsid w:val="008B160B"/>
    <w:rsid w:val="008B1A78"/>
    <w:rsid w:val="008B1A8E"/>
    <w:rsid w:val="008B1C25"/>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075"/>
    <w:rsid w:val="008B3113"/>
    <w:rsid w:val="008B350D"/>
    <w:rsid w:val="008B3586"/>
    <w:rsid w:val="008B3CD3"/>
    <w:rsid w:val="008B3EB4"/>
    <w:rsid w:val="008B3EE8"/>
    <w:rsid w:val="008B400F"/>
    <w:rsid w:val="008B4129"/>
    <w:rsid w:val="008B4139"/>
    <w:rsid w:val="008B41F0"/>
    <w:rsid w:val="008B42B2"/>
    <w:rsid w:val="008B44EB"/>
    <w:rsid w:val="008B4527"/>
    <w:rsid w:val="008B4566"/>
    <w:rsid w:val="008B465D"/>
    <w:rsid w:val="008B469D"/>
    <w:rsid w:val="008B482A"/>
    <w:rsid w:val="008B49B0"/>
    <w:rsid w:val="008B4A8E"/>
    <w:rsid w:val="008B4C73"/>
    <w:rsid w:val="008B4DD3"/>
    <w:rsid w:val="008B4E26"/>
    <w:rsid w:val="008B4E67"/>
    <w:rsid w:val="008B5270"/>
    <w:rsid w:val="008B5336"/>
    <w:rsid w:val="008B5785"/>
    <w:rsid w:val="008B59C0"/>
    <w:rsid w:val="008B5AB2"/>
    <w:rsid w:val="008B5FFB"/>
    <w:rsid w:val="008B6197"/>
    <w:rsid w:val="008B6220"/>
    <w:rsid w:val="008B63E5"/>
    <w:rsid w:val="008B640F"/>
    <w:rsid w:val="008B645E"/>
    <w:rsid w:val="008B675D"/>
    <w:rsid w:val="008B6A03"/>
    <w:rsid w:val="008B6A3E"/>
    <w:rsid w:val="008B6AAE"/>
    <w:rsid w:val="008B6B85"/>
    <w:rsid w:val="008B7090"/>
    <w:rsid w:val="008B71F9"/>
    <w:rsid w:val="008B7214"/>
    <w:rsid w:val="008B7283"/>
    <w:rsid w:val="008B7442"/>
    <w:rsid w:val="008B755E"/>
    <w:rsid w:val="008B7576"/>
    <w:rsid w:val="008B7587"/>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20AA"/>
    <w:rsid w:val="008C226E"/>
    <w:rsid w:val="008C228E"/>
    <w:rsid w:val="008C23C0"/>
    <w:rsid w:val="008C2431"/>
    <w:rsid w:val="008C245A"/>
    <w:rsid w:val="008C25BB"/>
    <w:rsid w:val="008C2847"/>
    <w:rsid w:val="008C29A0"/>
    <w:rsid w:val="008C2ADD"/>
    <w:rsid w:val="008C2C38"/>
    <w:rsid w:val="008C2D87"/>
    <w:rsid w:val="008C2E0B"/>
    <w:rsid w:val="008C30E5"/>
    <w:rsid w:val="008C3214"/>
    <w:rsid w:val="008C3AB7"/>
    <w:rsid w:val="008C3C01"/>
    <w:rsid w:val="008C3F40"/>
    <w:rsid w:val="008C3F63"/>
    <w:rsid w:val="008C3FB4"/>
    <w:rsid w:val="008C4355"/>
    <w:rsid w:val="008C448F"/>
    <w:rsid w:val="008C48F3"/>
    <w:rsid w:val="008C4953"/>
    <w:rsid w:val="008C4AD1"/>
    <w:rsid w:val="008C4B33"/>
    <w:rsid w:val="008C4C4E"/>
    <w:rsid w:val="008C4CAD"/>
    <w:rsid w:val="008C4E7A"/>
    <w:rsid w:val="008C4FA1"/>
    <w:rsid w:val="008C50A1"/>
    <w:rsid w:val="008C5282"/>
    <w:rsid w:val="008C5429"/>
    <w:rsid w:val="008C5754"/>
    <w:rsid w:val="008C5959"/>
    <w:rsid w:val="008C5960"/>
    <w:rsid w:val="008C5A5A"/>
    <w:rsid w:val="008C5B95"/>
    <w:rsid w:val="008C5FC0"/>
    <w:rsid w:val="008C6104"/>
    <w:rsid w:val="008C6220"/>
    <w:rsid w:val="008C6275"/>
    <w:rsid w:val="008C6423"/>
    <w:rsid w:val="008C6473"/>
    <w:rsid w:val="008C65A7"/>
    <w:rsid w:val="008C6918"/>
    <w:rsid w:val="008C6947"/>
    <w:rsid w:val="008C6953"/>
    <w:rsid w:val="008C7170"/>
    <w:rsid w:val="008C7190"/>
    <w:rsid w:val="008C7259"/>
    <w:rsid w:val="008C72F9"/>
    <w:rsid w:val="008C76FD"/>
    <w:rsid w:val="008C7767"/>
    <w:rsid w:val="008C7B20"/>
    <w:rsid w:val="008C7C1A"/>
    <w:rsid w:val="008C7D23"/>
    <w:rsid w:val="008D00D3"/>
    <w:rsid w:val="008D026A"/>
    <w:rsid w:val="008D07E6"/>
    <w:rsid w:val="008D0C7A"/>
    <w:rsid w:val="008D0DEB"/>
    <w:rsid w:val="008D0F99"/>
    <w:rsid w:val="008D1172"/>
    <w:rsid w:val="008D11C8"/>
    <w:rsid w:val="008D11DF"/>
    <w:rsid w:val="008D1358"/>
    <w:rsid w:val="008D1AA5"/>
    <w:rsid w:val="008D1B24"/>
    <w:rsid w:val="008D1B57"/>
    <w:rsid w:val="008D1B8D"/>
    <w:rsid w:val="008D1BF7"/>
    <w:rsid w:val="008D1C7B"/>
    <w:rsid w:val="008D1DAE"/>
    <w:rsid w:val="008D1F24"/>
    <w:rsid w:val="008D208D"/>
    <w:rsid w:val="008D216F"/>
    <w:rsid w:val="008D242A"/>
    <w:rsid w:val="008D2769"/>
    <w:rsid w:val="008D2845"/>
    <w:rsid w:val="008D290D"/>
    <w:rsid w:val="008D2A8B"/>
    <w:rsid w:val="008D2CC8"/>
    <w:rsid w:val="008D2E4C"/>
    <w:rsid w:val="008D2F10"/>
    <w:rsid w:val="008D322E"/>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5DB"/>
    <w:rsid w:val="008D4972"/>
    <w:rsid w:val="008D4C14"/>
    <w:rsid w:val="008D4C2C"/>
    <w:rsid w:val="008D4D0E"/>
    <w:rsid w:val="008D52BB"/>
    <w:rsid w:val="008D5435"/>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4A9"/>
    <w:rsid w:val="008D74B5"/>
    <w:rsid w:val="008D7582"/>
    <w:rsid w:val="008D7609"/>
    <w:rsid w:val="008D765C"/>
    <w:rsid w:val="008D7A32"/>
    <w:rsid w:val="008D7B67"/>
    <w:rsid w:val="008D7BAB"/>
    <w:rsid w:val="008D7D28"/>
    <w:rsid w:val="008E019C"/>
    <w:rsid w:val="008E06D4"/>
    <w:rsid w:val="008E07AB"/>
    <w:rsid w:val="008E07E6"/>
    <w:rsid w:val="008E0855"/>
    <w:rsid w:val="008E099B"/>
    <w:rsid w:val="008E0A61"/>
    <w:rsid w:val="008E0FBB"/>
    <w:rsid w:val="008E1624"/>
    <w:rsid w:val="008E180F"/>
    <w:rsid w:val="008E1970"/>
    <w:rsid w:val="008E1A99"/>
    <w:rsid w:val="008E1D36"/>
    <w:rsid w:val="008E1E77"/>
    <w:rsid w:val="008E1EC8"/>
    <w:rsid w:val="008E1F5F"/>
    <w:rsid w:val="008E1FA7"/>
    <w:rsid w:val="008E207F"/>
    <w:rsid w:val="008E20F0"/>
    <w:rsid w:val="008E20FC"/>
    <w:rsid w:val="008E2183"/>
    <w:rsid w:val="008E218C"/>
    <w:rsid w:val="008E28A5"/>
    <w:rsid w:val="008E298E"/>
    <w:rsid w:val="008E2DEF"/>
    <w:rsid w:val="008E2EA9"/>
    <w:rsid w:val="008E2F78"/>
    <w:rsid w:val="008E2FB9"/>
    <w:rsid w:val="008E308B"/>
    <w:rsid w:val="008E3292"/>
    <w:rsid w:val="008E3B5B"/>
    <w:rsid w:val="008E3C89"/>
    <w:rsid w:val="008E3CA1"/>
    <w:rsid w:val="008E3CEB"/>
    <w:rsid w:val="008E3CF9"/>
    <w:rsid w:val="008E3D68"/>
    <w:rsid w:val="008E4046"/>
    <w:rsid w:val="008E4062"/>
    <w:rsid w:val="008E41CA"/>
    <w:rsid w:val="008E4234"/>
    <w:rsid w:val="008E4366"/>
    <w:rsid w:val="008E43BE"/>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45E"/>
    <w:rsid w:val="008E6638"/>
    <w:rsid w:val="008E6698"/>
    <w:rsid w:val="008E66F0"/>
    <w:rsid w:val="008E69A1"/>
    <w:rsid w:val="008E6A88"/>
    <w:rsid w:val="008E6ACE"/>
    <w:rsid w:val="008E6AF8"/>
    <w:rsid w:val="008E6CBC"/>
    <w:rsid w:val="008E6DA9"/>
    <w:rsid w:val="008E7308"/>
    <w:rsid w:val="008E7545"/>
    <w:rsid w:val="008F0102"/>
    <w:rsid w:val="008F01F5"/>
    <w:rsid w:val="008F0795"/>
    <w:rsid w:val="008F07C6"/>
    <w:rsid w:val="008F084E"/>
    <w:rsid w:val="008F08B0"/>
    <w:rsid w:val="008F0F1F"/>
    <w:rsid w:val="008F0FEA"/>
    <w:rsid w:val="008F115D"/>
    <w:rsid w:val="008F13B1"/>
    <w:rsid w:val="008F13F7"/>
    <w:rsid w:val="008F1714"/>
    <w:rsid w:val="008F179C"/>
    <w:rsid w:val="008F1957"/>
    <w:rsid w:val="008F19F6"/>
    <w:rsid w:val="008F1A23"/>
    <w:rsid w:val="008F1D28"/>
    <w:rsid w:val="008F2218"/>
    <w:rsid w:val="008F22A6"/>
    <w:rsid w:val="008F2342"/>
    <w:rsid w:val="008F23EF"/>
    <w:rsid w:val="008F245D"/>
    <w:rsid w:val="008F24D9"/>
    <w:rsid w:val="008F2700"/>
    <w:rsid w:val="008F28AC"/>
    <w:rsid w:val="008F2982"/>
    <w:rsid w:val="008F298A"/>
    <w:rsid w:val="008F2A75"/>
    <w:rsid w:val="008F2DCE"/>
    <w:rsid w:val="008F2F30"/>
    <w:rsid w:val="008F3127"/>
    <w:rsid w:val="008F334F"/>
    <w:rsid w:val="008F3A24"/>
    <w:rsid w:val="008F3CB2"/>
    <w:rsid w:val="008F3DCB"/>
    <w:rsid w:val="008F40F9"/>
    <w:rsid w:val="008F4279"/>
    <w:rsid w:val="008F475C"/>
    <w:rsid w:val="008F47BE"/>
    <w:rsid w:val="008F4D6E"/>
    <w:rsid w:val="008F5119"/>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069"/>
    <w:rsid w:val="008F750F"/>
    <w:rsid w:val="008F7770"/>
    <w:rsid w:val="008F7837"/>
    <w:rsid w:val="008F7A2F"/>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889"/>
    <w:rsid w:val="0090195E"/>
    <w:rsid w:val="00901D37"/>
    <w:rsid w:val="0090209D"/>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3EFE"/>
    <w:rsid w:val="0090404C"/>
    <w:rsid w:val="009043BA"/>
    <w:rsid w:val="009044EA"/>
    <w:rsid w:val="0090463B"/>
    <w:rsid w:val="009046D4"/>
    <w:rsid w:val="00904925"/>
    <w:rsid w:val="00904AF3"/>
    <w:rsid w:val="00904DCE"/>
    <w:rsid w:val="0090517C"/>
    <w:rsid w:val="0090539C"/>
    <w:rsid w:val="009053FA"/>
    <w:rsid w:val="009057AC"/>
    <w:rsid w:val="00905823"/>
    <w:rsid w:val="00905A08"/>
    <w:rsid w:val="00905BC2"/>
    <w:rsid w:val="00905C79"/>
    <w:rsid w:val="00905E5C"/>
    <w:rsid w:val="00905EAF"/>
    <w:rsid w:val="00905FC6"/>
    <w:rsid w:val="00906996"/>
    <w:rsid w:val="009069A3"/>
    <w:rsid w:val="00906D3B"/>
    <w:rsid w:val="00906E61"/>
    <w:rsid w:val="00907066"/>
    <w:rsid w:val="0090717F"/>
    <w:rsid w:val="009075C0"/>
    <w:rsid w:val="00907B53"/>
    <w:rsid w:val="00907DC8"/>
    <w:rsid w:val="00910070"/>
    <w:rsid w:val="00910091"/>
    <w:rsid w:val="0091013C"/>
    <w:rsid w:val="00910446"/>
    <w:rsid w:val="00910647"/>
    <w:rsid w:val="0091081D"/>
    <w:rsid w:val="00910933"/>
    <w:rsid w:val="00910B75"/>
    <w:rsid w:val="00910CD7"/>
    <w:rsid w:val="00910D1F"/>
    <w:rsid w:val="00910D9D"/>
    <w:rsid w:val="00910E48"/>
    <w:rsid w:val="00910EB3"/>
    <w:rsid w:val="00910ECD"/>
    <w:rsid w:val="00910F42"/>
    <w:rsid w:val="009114CB"/>
    <w:rsid w:val="009115D8"/>
    <w:rsid w:val="0091173A"/>
    <w:rsid w:val="009118CD"/>
    <w:rsid w:val="00911944"/>
    <w:rsid w:val="009119E4"/>
    <w:rsid w:val="00911B5B"/>
    <w:rsid w:val="00911C67"/>
    <w:rsid w:val="00911DB0"/>
    <w:rsid w:val="00911E9A"/>
    <w:rsid w:val="00911F43"/>
    <w:rsid w:val="009121A7"/>
    <w:rsid w:val="00912218"/>
    <w:rsid w:val="009125E8"/>
    <w:rsid w:val="0091271A"/>
    <w:rsid w:val="0091285C"/>
    <w:rsid w:val="00912C4A"/>
    <w:rsid w:val="00913077"/>
    <w:rsid w:val="00913340"/>
    <w:rsid w:val="0091334E"/>
    <w:rsid w:val="0091366F"/>
    <w:rsid w:val="009137E6"/>
    <w:rsid w:val="009138AF"/>
    <w:rsid w:val="009138FA"/>
    <w:rsid w:val="00913AB1"/>
    <w:rsid w:val="00913F2E"/>
    <w:rsid w:val="00913FB0"/>
    <w:rsid w:val="00914434"/>
    <w:rsid w:val="00914541"/>
    <w:rsid w:val="00914ADC"/>
    <w:rsid w:val="00914B9E"/>
    <w:rsid w:val="00914C92"/>
    <w:rsid w:val="00914CBD"/>
    <w:rsid w:val="00914CD6"/>
    <w:rsid w:val="00914E6A"/>
    <w:rsid w:val="00915A84"/>
    <w:rsid w:val="00915CA8"/>
    <w:rsid w:val="00915DF5"/>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B1B"/>
    <w:rsid w:val="00917B3C"/>
    <w:rsid w:val="00917D31"/>
    <w:rsid w:val="00917D3D"/>
    <w:rsid w:val="009200D9"/>
    <w:rsid w:val="00920250"/>
    <w:rsid w:val="009202D0"/>
    <w:rsid w:val="00920345"/>
    <w:rsid w:val="00920483"/>
    <w:rsid w:val="009204DB"/>
    <w:rsid w:val="009206E2"/>
    <w:rsid w:val="00920777"/>
    <w:rsid w:val="0092087B"/>
    <w:rsid w:val="009209FB"/>
    <w:rsid w:val="00920C09"/>
    <w:rsid w:val="00920C44"/>
    <w:rsid w:val="00920D67"/>
    <w:rsid w:val="00920DE8"/>
    <w:rsid w:val="00920FC6"/>
    <w:rsid w:val="00921443"/>
    <w:rsid w:val="00921476"/>
    <w:rsid w:val="00921624"/>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94"/>
    <w:rsid w:val="00922AA6"/>
    <w:rsid w:val="00922BE5"/>
    <w:rsid w:val="00922C9F"/>
    <w:rsid w:val="00923034"/>
    <w:rsid w:val="009231DA"/>
    <w:rsid w:val="00923234"/>
    <w:rsid w:val="00923842"/>
    <w:rsid w:val="009238E8"/>
    <w:rsid w:val="0092397A"/>
    <w:rsid w:val="009239EC"/>
    <w:rsid w:val="00923C11"/>
    <w:rsid w:val="00923CEE"/>
    <w:rsid w:val="00923DA7"/>
    <w:rsid w:val="009245BA"/>
    <w:rsid w:val="009245BB"/>
    <w:rsid w:val="00924790"/>
    <w:rsid w:val="00924837"/>
    <w:rsid w:val="00924A63"/>
    <w:rsid w:val="00924C62"/>
    <w:rsid w:val="00924CB4"/>
    <w:rsid w:val="00924CE3"/>
    <w:rsid w:val="00924E2B"/>
    <w:rsid w:val="009250FE"/>
    <w:rsid w:val="009251DE"/>
    <w:rsid w:val="00925307"/>
    <w:rsid w:val="0092537D"/>
    <w:rsid w:val="009254B5"/>
    <w:rsid w:val="009254FB"/>
    <w:rsid w:val="00925646"/>
    <w:rsid w:val="009256A0"/>
    <w:rsid w:val="00925803"/>
    <w:rsid w:val="00925897"/>
    <w:rsid w:val="00925A28"/>
    <w:rsid w:val="00925ABA"/>
    <w:rsid w:val="00925AFA"/>
    <w:rsid w:val="00925C79"/>
    <w:rsid w:val="00925CBD"/>
    <w:rsid w:val="00925DEE"/>
    <w:rsid w:val="00925E0C"/>
    <w:rsid w:val="00926339"/>
    <w:rsid w:val="0092642B"/>
    <w:rsid w:val="00926670"/>
    <w:rsid w:val="00926964"/>
    <w:rsid w:val="0092697A"/>
    <w:rsid w:val="00926A92"/>
    <w:rsid w:val="00926C6C"/>
    <w:rsid w:val="00926D57"/>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D43"/>
    <w:rsid w:val="00930FF5"/>
    <w:rsid w:val="00931011"/>
    <w:rsid w:val="009311EF"/>
    <w:rsid w:val="0093136E"/>
    <w:rsid w:val="00931419"/>
    <w:rsid w:val="0093179A"/>
    <w:rsid w:val="0093198C"/>
    <w:rsid w:val="009324F0"/>
    <w:rsid w:val="0093253B"/>
    <w:rsid w:val="009328E3"/>
    <w:rsid w:val="00932B27"/>
    <w:rsid w:val="00932B6D"/>
    <w:rsid w:val="00932D38"/>
    <w:rsid w:val="00932D76"/>
    <w:rsid w:val="00932EB3"/>
    <w:rsid w:val="00932F41"/>
    <w:rsid w:val="00933004"/>
    <w:rsid w:val="00933215"/>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39B"/>
    <w:rsid w:val="009354F5"/>
    <w:rsid w:val="009356B9"/>
    <w:rsid w:val="009356C9"/>
    <w:rsid w:val="00935768"/>
    <w:rsid w:val="00935863"/>
    <w:rsid w:val="00935D6F"/>
    <w:rsid w:val="00936111"/>
    <w:rsid w:val="0093626D"/>
    <w:rsid w:val="00936680"/>
    <w:rsid w:val="009368BB"/>
    <w:rsid w:val="00936C6B"/>
    <w:rsid w:val="00936D9E"/>
    <w:rsid w:val="00936F91"/>
    <w:rsid w:val="00937052"/>
    <w:rsid w:val="009373B9"/>
    <w:rsid w:val="0093746C"/>
    <w:rsid w:val="00937B39"/>
    <w:rsid w:val="009400EF"/>
    <w:rsid w:val="009401D0"/>
    <w:rsid w:val="00940263"/>
    <w:rsid w:val="009403C7"/>
    <w:rsid w:val="00940474"/>
    <w:rsid w:val="009404F9"/>
    <w:rsid w:val="009408EC"/>
    <w:rsid w:val="00940AEC"/>
    <w:rsid w:val="00940B98"/>
    <w:rsid w:val="00940BB6"/>
    <w:rsid w:val="00940BF4"/>
    <w:rsid w:val="00940C98"/>
    <w:rsid w:val="00940E8E"/>
    <w:rsid w:val="00940EA9"/>
    <w:rsid w:val="00941040"/>
    <w:rsid w:val="0094119E"/>
    <w:rsid w:val="009414F8"/>
    <w:rsid w:val="00941540"/>
    <w:rsid w:val="00941581"/>
    <w:rsid w:val="00941795"/>
    <w:rsid w:val="00941918"/>
    <w:rsid w:val="00941BB2"/>
    <w:rsid w:val="00942284"/>
    <w:rsid w:val="009425D3"/>
    <w:rsid w:val="009426FB"/>
    <w:rsid w:val="009427D6"/>
    <w:rsid w:val="00942A0D"/>
    <w:rsid w:val="00942ACF"/>
    <w:rsid w:val="00943057"/>
    <w:rsid w:val="00943170"/>
    <w:rsid w:val="009431E8"/>
    <w:rsid w:val="00943325"/>
    <w:rsid w:val="009436D4"/>
    <w:rsid w:val="0094371D"/>
    <w:rsid w:val="00943A66"/>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DB"/>
    <w:rsid w:val="009465FF"/>
    <w:rsid w:val="00946666"/>
    <w:rsid w:val="009468A6"/>
    <w:rsid w:val="009469D8"/>
    <w:rsid w:val="00946AA1"/>
    <w:rsid w:val="00946BDB"/>
    <w:rsid w:val="00946CCD"/>
    <w:rsid w:val="00946DF8"/>
    <w:rsid w:val="00947531"/>
    <w:rsid w:val="0094774C"/>
    <w:rsid w:val="00947C7A"/>
    <w:rsid w:val="00950054"/>
    <w:rsid w:val="009500EF"/>
    <w:rsid w:val="009503AC"/>
    <w:rsid w:val="009503F9"/>
    <w:rsid w:val="0095068D"/>
    <w:rsid w:val="00950706"/>
    <w:rsid w:val="009508D2"/>
    <w:rsid w:val="00950A09"/>
    <w:rsid w:val="00950AAC"/>
    <w:rsid w:val="00950AB4"/>
    <w:rsid w:val="00951531"/>
    <w:rsid w:val="00951758"/>
    <w:rsid w:val="009517B8"/>
    <w:rsid w:val="009519F3"/>
    <w:rsid w:val="00951A27"/>
    <w:rsid w:val="00951D82"/>
    <w:rsid w:val="00951DE6"/>
    <w:rsid w:val="009521C1"/>
    <w:rsid w:val="00952277"/>
    <w:rsid w:val="0095251F"/>
    <w:rsid w:val="009525DB"/>
    <w:rsid w:val="00952604"/>
    <w:rsid w:val="00952779"/>
    <w:rsid w:val="00952801"/>
    <w:rsid w:val="00952846"/>
    <w:rsid w:val="00952860"/>
    <w:rsid w:val="0095293C"/>
    <w:rsid w:val="00952A0F"/>
    <w:rsid w:val="00952AF8"/>
    <w:rsid w:val="00952BCC"/>
    <w:rsid w:val="00952DF4"/>
    <w:rsid w:val="00952E9C"/>
    <w:rsid w:val="00952F56"/>
    <w:rsid w:val="00952F68"/>
    <w:rsid w:val="00952FDE"/>
    <w:rsid w:val="00952FF7"/>
    <w:rsid w:val="0095319E"/>
    <w:rsid w:val="009533F0"/>
    <w:rsid w:val="0095370F"/>
    <w:rsid w:val="00953740"/>
    <w:rsid w:val="009538E8"/>
    <w:rsid w:val="00953904"/>
    <w:rsid w:val="00953A28"/>
    <w:rsid w:val="00953C20"/>
    <w:rsid w:val="00953EB0"/>
    <w:rsid w:val="009540A7"/>
    <w:rsid w:val="00954128"/>
    <w:rsid w:val="009547A7"/>
    <w:rsid w:val="00954A23"/>
    <w:rsid w:val="00954C84"/>
    <w:rsid w:val="00954DB9"/>
    <w:rsid w:val="00954F12"/>
    <w:rsid w:val="0095502C"/>
    <w:rsid w:val="009552E8"/>
    <w:rsid w:val="00955C13"/>
    <w:rsid w:val="00955DA2"/>
    <w:rsid w:val="00955EE1"/>
    <w:rsid w:val="00956060"/>
    <w:rsid w:val="009561D9"/>
    <w:rsid w:val="0095632F"/>
    <w:rsid w:val="0095634D"/>
    <w:rsid w:val="00956636"/>
    <w:rsid w:val="00956C12"/>
    <w:rsid w:val="00956DAB"/>
    <w:rsid w:val="009576B3"/>
    <w:rsid w:val="00957747"/>
    <w:rsid w:val="009578F0"/>
    <w:rsid w:val="00957AE1"/>
    <w:rsid w:val="00957C00"/>
    <w:rsid w:val="00957C4E"/>
    <w:rsid w:val="00957CB5"/>
    <w:rsid w:val="00957FBA"/>
    <w:rsid w:val="009606E9"/>
    <w:rsid w:val="0096076A"/>
    <w:rsid w:val="00960981"/>
    <w:rsid w:val="009609D0"/>
    <w:rsid w:val="00960C9C"/>
    <w:rsid w:val="00960E19"/>
    <w:rsid w:val="00960E79"/>
    <w:rsid w:val="00960E85"/>
    <w:rsid w:val="00960EF2"/>
    <w:rsid w:val="00960F82"/>
    <w:rsid w:val="009610BE"/>
    <w:rsid w:val="0096114D"/>
    <w:rsid w:val="00961307"/>
    <w:rsid w:val="0096138C"/>
    <w:rsid w:val="009614A4"/>
    <w:rsid w:val="009615D5"/>
    <w:rsid w:val="0096191D"/>
    <w:rsid w:val="00961935"/>
    <w:rsid w:val="00961E94"/>
    <w:rsid w:val="0096204D"/>
    <w:rsid w:val="009620AB"/>
    <w:rsid w:val="009623CA"/>
    <w:rsid w:val="0096292A"/>
    <w:rsid w:val="00962995"/>
    <w:rsid w:val="0096299A"/>
    <w:rsid w:val="00962B1A"/>
    <w:rsid w:val="00962B51"/>
    <w:rsid w:val="009632EE"/>
    <w:rsid w:val="009634DD"/>
    <w:rsid w:val="00963547"/>
    <w:rsid w:val="009636E9"/>
    <w:rsid w:val="00963710"/>
    <w:rsid w:val="009637A9"/>
    <w:rsid w:val="00963872"/>
    <w:rsid w:val="00963C5A"/>
    <w:rsid w:val="00963F36"/>
    <w:rsid w:val="00964197"/>
    <w:rsid w:val="00964293"/>
    <w:rsid w:val="00964A43"/>
    <w:rsid w:val="00964B95"/>
    <w:rsid w:val="00964C01"/>
    <w:rsid w:val="00964C61"/>
    <w:rsid w:val="00964C79"/>
    <w:rsid w:val="00964CEF"/>
    <w:rsid w:val="00964DC8"/>
    <w:rsid w:val="00964F8C"/>
    <w:rsid w:val="0096555E"/>
    <w:rsid w:val="0096572F"/>
    <w:rsid w:val="00965818"/>
    <w:rsid w:val="00965B06"/>
    <w:rsid w:val="00965E07"/>
    <w:rsid w:val="00965F96"/>
    <w:rsid w:val="0096609A"/>
    <w:rsid w:val="00966189"/>
    <w:rsid w:val="00966A2D"/>
    <w:rsid w:val="00966D41"/>
    <w:rsid w:val="0096713B"/>
    <w:rsid w:val="0096720F"/>
    <w:rsid w:val="00967210"/>
    <w:rsid w:val="009672D3"/>
    <w:rsid w:val="00967513"/>
    <w:rsid w:val="00967A58"/>
    <w:rsid w:val="00967D01"/>
    <w:rsid w:val="00967D0F"/>
    <w:rsid w:val="00967E67"/>
    <w:rsid w:val="00967ECC"/>
    <w:rsid w:val="009706BF"/>
    <w:rsid w:val="00970862"/>
    <w:rsid w:val="0097086F"/>
    <w:rsid w:val="00970C01"/>
    <w:rsid w:val="00970E59"/>
    <w:rsid w:val="00970F06"/>
    <w:rsid w:val="00971237"/>
    <w:rsid w:val="00971511"/>
    <w:rsid w:val="0097185C"/>
    <w:rsid w:val="0097190C"/>
    <w:rsid w:val="00971AE1"/>
    <w:rsid w:val="00971BF5"/>
    <w:rsid w:val="00971D15"/>
    <w:rsid w:val="00971E50"/>
    <w:rsid w:val="00971E6D"/>
    <w:rsid w:val="00971F85"/>
    <w:rsid w:val="0097201A"/>
    <w:rsid w:val="0097201E"/>
    <w:rsid w:val="0097202F"/>
    <w:rsid w:val="00972063"/>
    <w:rsid w:val="009721D3"/>
    <w:rsid w:val="009723F2"/>
    <w:rsid w:val="009725D1"/>
    <w:rsid w:val="009726E4"/>
    <w:rsid w:val="0097285B"/>
    <w:rsid w:val="00972AB4"/>
    <w:rsid w:val="00972D36"/>
    <w:rsid w:val="00972EBB"/>
    <w:rsid w:val="00973416"/>
    <w:rsid w:val="0097347E"/>
    <w:rsid w:val="009736C3"/>
    <w:rsid w:val="0097376E"/>
    <w:rsid w:val="0097397D"/>
    <w:rsid w:val="00973C21"/>
    <w:rsid w:val="00973C4C"/>
    <w:rsid w:val="00973C88"/>
    <w:rsid w:val="009745EE"/>
    <w:rsid w:val="0097476F"/>
    <w:rsid w:val="0097481B"/>
    <w:rsid w:val="00974CA4"/>
    <w:rsid w:val="00974D42"/>
    <w:rsid w:val="00975051"/>
    <w:rsid w:val="00975348"/>
    <w:rsid w:val="00975395"/>
    <w:rsid w:val="00975409"/>
    <w:rsid w:val="0097555A"/>
    <w:rsid w:val="00975603"/>
    <w:rsid w:val="00975717"/>
    <w:rsid w:val="00975818"/>
    <w:rsid w:val="0097591A"/>
    <w:rsid w:val="009759ED"/>
    <w:rsid w:val="00975ADD"/>
    <w:rsid w:val="00975AE5"/>
    <w:rsid w:val="00975B84"/>
    <w:rsid w:val="00975CEC"/>
    <w:rsid w:val="00975DE0"/>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8FB"/>
    <w:rsid w:val="00977C73"/>
    <w:rsid w:val="00977DA2"/>
    <w:rsid w:val="00977DEC"/>
    <w:rsid w:val="00977E80"/>
    <w:rsid w:val="00980202"/>
    <w:rsid w:val="00980522"/>
    <w:rsid w:val="0098057B"/>
    <w:rsid w:val="0098059E"/>
    <w:rsid w:val="009805BA"/>
    <w:rsid w:val="00980649"/>
    <w:rsid w:val="009808AF"/>
    <w:rsid w:val="009809EA"/>
    <w:rsid w:val="00980A46"/>
    <w:rsid w:val="00980AEB"/>
    <w:rsid w:val="00980B8F"/>
    <w:rsid w:val="00980EC9"/>
    <w:rsid w:val="00981009"/>
    <w:rsid w:val="00981129"/>
    <w:rsid w:val="0098138D"/>
    <w:rsid w:val="0098165B"/>
    <w:rsid w:val="00981D34"/>
    <w:rsid w:val="00981DCC"/>
    <w:rsid w:val="009820D0"/>
    <w:rsid w:val="0098229E"/>
    <w:rsid w:val="00982649"/>
    <w:rsid w:val="009827D6"/>
    <w:rsid w:val="009828C1"/>
    <w:rsid w:val="00982AB7"/>
    <w:rsid w:val="00982C2F"/>
    <w:rsid w:val="00982E88"/>
    <w:rsid w:val="00982EDC"/>
    <w:rsid w:val="009836AB"/>
    <w:rsid w:val="009836F3"/>
    <w:rsid w:val="009839ED"/>
    <w:rsid w:val="00983D79"/>
    <w:rsid w:val="00983DF4"/>
    <w:rsid w:val="00983F55"/>
    <w:rsid w:val="00984072"/>
    <w:rsid w:val="009840B2"/>
    <w:rsid w:val="009841EB"/>
    <w:rsid w:val="0098446D"/>
    <w:rsid w:val="009846CB"/>
    <w:rsid w:val="00984798"/>
    <w:rsid w:val="00984B72"/>
    <w:rsid w:val="00984D78"/>
    <w:rsid w:val="00984DB4"/>
    <w:rsid w:val="0098566D"/>
    <w:rsid w:val="00985747"/>
    <w:rsid w:val="00985935"/>
    <w:rsid w:val="009859F8"/>
    <w:rsid w:val="00985CDA"/>
    <w:rsid w:val="00986306"/>
    <w:rsid w:val="00986336"/>
    <w:rsid w:val="009864E8"/>
    <w:rsid w:val="00986759"/>
    <w:rsid w:val="009869B0"/>
    <w:rsid w:val="00986A20"/>
    <w:rsid w:val="00986AF5"/>
    <w:rsid w:val="00986B15"/>
    <w:rsid w:val="00986B23"/>
    <w:rsid w:val="00986CFA"/>
    <w:rsid w:val="00986EA5"/>
    <w:rsid w:val="00986F75"/>
    <w:rsid w:val="00987256"/>
    <w:rsid w:val="00987460"/>
    <w:rsid w:val="00987603"/>
    <w:rsid w:val="009878FE"/>
    <w:rsid w:val="00987A5E"/>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014"/>
    <w:rsid w:val="0099113C"/>
    <w:rsid w:val="00991658"/>
    <w:rsid w:val="00991789"/>
    <w:rsid w:val="009917E4"/>
    <w:rsid w:val="00991E1D"/>
    <w:rsid w:val="00991ED3"/>
    <w:rsid w:val="00991FB8"/>
    <w:rsid w:val="0099238B"/>
    <w:rsid w:val="009923B8"/>
    <w:rsid w:val="009923FA"/>
    <w:rsid w:val="00992428"/>
    <w:rsid w:val="00992735"/>
    <w:rsid w:val="0099276B"/>
    <w:rsid w:val="009927D4"/>
    <w:rsid w:val="009929A6"/>
    <w:rsid w:val="00992A60"/>
    <w:rsid w:val="00992B07"/>
    <w:rsid w:val="00992C91"/>
    <w:rsid w:val="00992EC2"/>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30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08C"/>
    <w:rsid w:val="0099709E"/>
    <w:rsid w:val="00997308"/>
    <w:rsid w:val="0099735C"/>
    <w:rsid w:val="00997395"/>
    <w:rsid w:val="00997495"/>
    <w:rsid w:val="0099762E"/>
    <w:rsid w:val="009977A0"/>
    <w:rsid w:val="0099780B"/>
    <w:rsid w:val="0099785E"/>
    <w:rsid w:val="00997E5D"/>
    <w:rsid w:val="009A021D"/>
    <w:rsid w:val="009A0512"/>
    <w:rsid w:val="009A0D3B"/>
    <w:rsid w:val="009A0F97"/>
    <w:rsid w:val="009A120B"/>
    <w:rsid w:val="009A133D"/>
    <w:rsid w:val="009A139E"/>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BD"/>
    <w:rsid w:val="009A2DC9"/>
    <w:rsid w:val="009A3288"/>
    <w:rsid w:val="009A3307"/>
    <w:rsid w:val="009A348B"/>
    <w:rsid w:val="009A373A"/>
    <w:rsid w:val="009A3832"/>
    <w:rsid w:val="009A3F6E"/>
    <w:rsid w:val="009A4086"/>
    <w:rsid w:val="009A4180"/>
    <w:rsid w:val="009A445C"/>
    <w:rsid w:val="009A4487"/>
    <w:rsid w:val="009A496E"/>
    <w:rsid w:val="009A4BFB"/>
    <w:rsid w:val="009A4C5A"/>
    <w:rsid w:val="009A4C6B"/>
    <w:rsid w:val="009A4D1D"/>
    <w:rsid w:val="009A5244"/>
    <w:rsid w:val="009A534F"/>
    <w:rsid w:val="009A5429"/>
    <w:rsid w:val="009A5677"/>
    <w:rsid w:val="009A585D"/>
    <w:rsid w:val="009A59E9"/>
    <w:rsid w:val="009A5D2A"/>
    <w:rsid w:val="009A5E2B"/>
    <w:rsid w:val="009A62D2"/>
    <w:rsid w:val="009A632D"/>
    <w:rsid w:val="009A6737"/>
    <w:rsid w:val="009A6B12"/>
    <w:rsid w:val="009A6E3E"/>
    <w:rsid w:val="009A715B"/>
    <w:rsid w:val="009A720E"/>
    <w:rsid w:val="009A72D1"/>
    <w:rsid w:val="009A73D5"/>
    <w:rsid w:val="009A76CA"/>
    <w:rsid w:val="009A7727"/>
    <w:rsid w:val="009A78B4"/>
    <w:rsid w:val="009A7D7B"/>
    <w:rsid w:val="009A7DD9"/>
    <w:rsid w:val="009A7E5E"/>
    <w:rsid w:val="009B0014"/>
    <w:rsid w:val="009B0059"/>
    <w:rsid w:val="009B017F"/>
    <w:rsid w:val="009B03C2"/>
    <w:rsid w:val="009B04AB"/>
    <w:rsid w:val="009B091A"/>
    <w:rsid w:val="009B0A64"/>
    <w:rsid w:val="009B0AD7"/>
    <w:rsid w:val="009B0BE2"/>
    <w:rsid w:val="009B0C7C"/>
    <w:rsid w:val="009B0D21"/>
    <w:rsid w:val="009B0D59"/>
    <w:rsid w:val="009B1488"/>
    <w:rsid w:val="009B1695"/>
    <w:rsid w:val="009B1905"/>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9A1"/>
    <w:rsid w:val="009B3A11"/>
    <w:rsid w:val="009B3F50"/>
    <w:rsid w:val="009B3F9B"/>
    <w:rsid w:val="009B4164"/>
    <w:rsid w:val="009B4231"/>
    <w:rsid w:val="009B4234"/>
    <w:rsid w:val="009B42A4"/>
    <w:rsid w:val="009B4319"/>
    <w:rsid w:val="009B43D2"/>
    <w:rsid w:val="009B4676"/>
    <w:rsid w:val="009B477C"/>
    <w:rsid w:val="009B485A"/>
    <w:rsid w:val="009B4D64"/>
    <w:rsid w:val="009B4DD2"/>
    <w:rsid w:val="009B4E95"/>
    <w:rsid w:val="009B50D4"/>
    <w:rsid w:val="009B511C"/>
    <w:rsid w:val="009B51FB"/>
    <w:rsid w:val="009B53FA"/>
    <w:rsid w:val="009B5488"/>
    <w:rsid w:val="009B55F9"/>
    <w:rsid w:val="009B573E"/>
    <w:rsid w:val="009B5ABB"/>
    <w:rsid w:val="009B5B35"/>
    <w:rsid w:val="009B5EFD"/>
    <w:rsid w:val="009B6031"/>
    <w:rsid w:val="009B63A6"/>
    <w:rsid w:val="009B6B70"/>
    <w:rsid w:val="009B6B99"/>
    <w:rsid w:val="009B6CDC"/>
    <w:rsid w:val="009B6DB4"/>
    <w:rsid w:val="009B6F01"/>
    <w:rsid w:val="009B7077"/>
    <w:rsid w:val="009B720E"/>
    <w:rsid w:val="009B7285"/>
    <w:rsid w:val="009B7610"/>
    <w:rsid w:val="009B7765"/>
    <w:rsid w:val="009B7834"/>
    <w:rsid w:val="009B79E6"/>
    <w:rsid w:val="009B7BA9"/>
    <w:rsid w:val="009B7BF0"/>
    <w:rsid w:val="009B7E93"/>
    <w:rsid w:val="009C004B"/>
    <w:rsid w:val="009C02F4"/>
    <w:rsid w:val="009C0529"/>
    <w:rsid w:val="009C08FE"/>
    <w:rsid w:val="009C0B37"/>
    <w:rsid w:val="009C0E08"/>
    <w:rsid w:val="009C113D"/>
    <w:rsid w:val="009C11C0"/>
    <w:rsid w:val="009C15EC"/>
    <w:rsid w:val="009C15F0"/>
    <w:rsid w:val="009C16A5"/>
    <w:rsid w:val="009C1993"/>
    <w:rsid w:val="009C199B"/>
    <w:rsid w:val="009C1D81"/>
    <w:rsid w:val="009C1D8C"/>
    <w:rsid w:val="009C1FBB"/>
    <w:rsid w:val="009C1FCE"/>
    <w:rsid w:val="009C20AF"/>
    <w:rsid w:val="009C2579"/>
    <w:rsid w:val="009C25D7"/>
    <w:rsid w:val="009C2819"/>
    <w:rsid w:val="009C2AD3"/>
    <w:rsid w:val="009C2E42"/>
    <w:rsid w:val="009C3097"/>
    <w:rsid w:val="009C32A3"/>
    <w:rsid w:val="009C337D"/>
    <w:rsid w:val="009C3486"/>
    <w:rsid w:val="009C36EC"/>
    <w:rsid w:val="009C3875"/>
    <w:rsid w:val="009C3CF4"/>
    <w:rsid w:val="009C3CFE"/>
    <w:rsid w:val="009C3EA4"/>
    <w:rsid w:val="009C406A"/>
    <w:rsid w:val="009C42EE"/>
    <w:rsid w:val="009C44CD"/>
    <w:rsid w:val="009C45C5"/>
    <w:rsid w:val="009C45EF"/>
    <w:rsid w:val="009C471A"/>
    <w:rsid w:val="009C4825"/>
    <w:rsid w:val="009C49DA"/>
    <w:rsid w:val="009C4B2A"/>
    <w:rsid w:val="009C4C3A"/>
    <w:rsid w:val="009C4CA4"/>
    <w:rsid w:val="009C504B"/>
    <w:rsid w:val="009C51B7"/>
    <w:rsid w:val="009C51EC"/>
    <w:rsid w:val="009C5292"/>
    <w:rsid w:val="009C5545"/>
    <w:rsid w:val="009C56FA"/>
    <w:rsid w:val="009C5A5E"/>
    <w:rsid w:val="009C5CBE"/>
    <w:rsid w:val="009C6149"/>
    <w:rsid w:val="009C6159"/>
    <w:rsid w:val="009C6161"/>
    <w:rsid w:val="009C61AE"/>
    <w:rsid w:val="009C62AC"/>
    <w:rsid w:val="009C62CB"/>
    <w:rsid w:val="009C62D6"/>
    <w:rsid w:val="009C63AB"/>
    <w:rsid w:val="009C64C7"/>
    <w:rsid w:val="009C66AE"/>
    <w:rsid w:val="009C671A"/>
    <w:rsid w:val="009C687F"/>
    <w:rsid w:val="009C692B"/>
    <w:rsid w:val="009C6CAF"/>
    <w:rsid w:val="009C6CBB"/>
    <w:rsid w:val="009C6EF6"/>
    <w:rsid w:val="009C6F46"/>
    <w:rsid w:val="009C71EE"/>
    <w:rsid w:val="009C72A1"/>
    <w:rsid w:val="009C72D8"/>
    <w:rsid w:val="009C72E6"/>
    <w:rsid w:val="009C7423"/>
    <w:rsid w:val="009C75A3"/>
    <w:rsid w:val="009C7C37"/>
    <w:rsid w:val="009D0003"/>
    <w:rsid w:val="009D0287"/>
    <w:rsid w:val="009D03DF"/>
    <w:rsid w:val="009D0423"/>
    <w:rsid w:val="009D0542"/>
    <w:rsid w:val="009D06BF"/>
    <w:rsid w:val="009D08D0"/>
    <w:rsid w:val="009D0CCB"/>
    <w:rsid w:val="009D0CFE"/>
    <w:rsid w:val="009D0D6B"/>
    <w:rsid w:val="009D1098"/>
    <w:rsid w:val="009D10F3"/>
    <w:rsid w:val="009D11A5"/>
    <w:rsid w:val="009D132A"/>
    <w:rsid w:val="009D140C"/>
    <w:rsid w:val="009D167B"/>
    <w:rsid w:val="009D1818"/>
    <w:rsid w:val="009D1A49"/>
    <w:rsid w:val="009D1A5E"/>
    <w:rsid w:val="009D1A89"/>
    <w:rsid w:val="009D1B60"/>
    <w:rsid w:val="009D1BD5"/>
    <w:rsid w:val="009D1F03"/>
    <w:rsid w:val="009D1F65"/>
    <w:rsid w:val="009D2101"/>
    <w:rsid w:val="009D21D3"/>
    <w:rsid w:val="009D2210"/>
    <w:rsid w:val="009D2297"/>
    <w:rsid w:val="009D2302"/>
    <w:rsid w:val="009D2349"/>
    <w:rsid w:val="009D2A80"/>
    <w:rsid w:val="009D2B5A"/>
    <w:rsid w:val="009D2B8F"/>
    <w:rsid w:val="009D2C18"/>
    <w:rsid w:val="009D2C19"/>
    <w:rsid w:val="009D3068"/>
    <w:rsid w:val="009D316B"/>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740"/>
    <w:rsid w:val="009D69B3"/>
    <w:rsid w:val="009D6CAE"/>
    <w:rsid w:val="009D6CF1"/>
    <w:rsid w:val="009D6CFB"/>
    <w:rsid w:val="009D6F9D"/>
    <w:rsid w:val="009D701E"/>
    <w:rsid w:val="009D7188"/>
    <w:rsid w:val="009D73A2"/>
    <w:rsid w:val="009D74E9"/>
    <w:rsid w:val="009D75B6"/>
    <w:rsid w:val="009D75D6"/>
    <w:rsid w:val="009D76DC"/>
    <w:rsid w:val="009D7708"/>
    <w:rsid w:val="009D7DD8"/>
    <w:rsid w:val="009D7EB1"/>
    <w:rsid w:val="009D7EF0"/>
    <w:rsid w:val="009E0166"/>
    <w:rsid w:val="009E027C"/>
    <w:rsid w:val="009E064C"/>
    <w:rsid w:val="009E06B6"/>
    <w:rsid w:val="009E0759"/>
    <w:rsid w:val="009E07FC"/>
    <w:rsid w:val="009E08D7"/>
    <w:rsid w:val="009E0B45"/>
    <w:rsid w:val="009E0BBC"/>
    <w:rsid w:val="009E0D71"/>
    <w:rsid w:val="009E0DDB"/>
    <w:rsid w:val="009E1097"/>
    <w:rsid w:val="009E1130"/>
    <w:rsid w:val="009E11CA"/>
    <w:rsid w:val="009E12DF"/>
    <w:rsid w:val="009E143A"/>
    <w:rsid w:val="009E154F"/>
    <w:rsid w:val="009E1AC7"/>
    <w:rsid w:val="009E1ACA"/>
    <w:rsid w:val="009E1B56"/>
    <w:rsid w:val="009E1DFD"/>
    <w:rsid w:val="009E1E0B"/>
    <w:rsid w:val="009E1E2C"/>
    <w:rsid w:val="009E2533"/>
    <w:rsid w:val="009E25AA"/>
    <w:rsid w:val="009E267A"/>
    <w:rsid w:val="009E2709"/>
    <w:rsid w:val="009E271E"/>
    <w:rsid w:val="009E28FB"/>
    <w:rsid w:val="009E302B"/>
    <w:rsid w:val="009E3533"/>
    <w:rsid w:val="009E398D"/>
    <w:rsid w:val="009E39AA"/>
    <w:rsid w:val="009E49D5"/>
    <w:rsid w:val="009E4A6A"/>
    <w:rsid w:val="009E505E"/>
    <w:rsid w:val="009E51F0"/>
    <w:rsid w:val="009E53B0"/>
    <w:rsid w:val="009E5427"/>
    <w:rsid w:val="009E55B5"/>
    <w:rsid w:val="009E5615"/>
    <w:rsid w:val="009E568E"/>
    <w:rsid w:val="009E56FE"/>
    <w:rsid w:val="009E5C9C"/>
    <w:rsid w:val="009E5DAC"/>
    <w:rsid w:val="009E5E80"/>
    <w:rsid w:val="009E5E96"/>
    <w:rsid w:val="009E5EDD"/>
    <w:rsid w:val="009E5FEB"/>
    <w:rsid w:val="009E6181"/>
    <w:rsid w:val="009E6204"/>
    <w:rsid w:val="009E634C"/>
    <w:rsid w:val="009E63CD"/>
    <w:rsid w:val="009E6783"/>
    <w:rsid w:val="009E688E"/>
    <w:rsid w:val="009E69D7"/>
    <w:rsid w:val="009E6A7A"/>
    <w:rsid w:val="009E6A9C"/>
    <w:rsid w:val="009E6B2A"/>
    <w:rsid w:val="009E6C6E"/>
    <w:rsid w:val="009E6F1A"/>
    <w:rsid w:val="009E744E"/>
    <w:rsid w:val="009E753B"/>
    <w:rsid w:val="009E7A72"/>
    <w:rsid w:val="009E7EC0"/>
    <w:rsid w:val="009F0011"/>
    <w:rsid w:val="009F02D5"/>
    <w:rsid w:val="009F062E"/>
    <w:rsid w:val="009F066D"/>
    <w:rsid w:val="009F06A9"/>
    <w:rsid w:val="009F0C85"/>
    <w:rsid w:val="009F0D6F"/>
    <w:rsid w:val="009F0FFD"/>
    <w:rsid w:val="009F1428"/>
    <w:rsid w:val="009F152C"/>
    <w:rsid w:val="009F178C"/>
    <w:rsid w:val="009F19FC"/>
    <w:rsid w:val="009F1AAB"/>
    <w:rsid w:val="009F1B6E"/>
    <w:rsid w:val="009F1E22"/>
    <w:rsid w:val="009F2076"/>
    <w:rsid w:val="009F2295"/>
    <w:rsid w:val="009F2467"/>
    <w:rsid w:val="009F297A"/>
    <w:rsid w:val="009F2B85"/>
    <w:rsid w:val="009F2B92"/>
    <w:rsid w:val="009F302A"/>
    <w:rsid w:val="009F3032"/>
    <w:rsid w:val="009F31A7"/>
    <w:rsid w:val="009F33DC"/>
    <w:rsid w:val="009F3407"/>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4C4"/>
    <w:rsid w:val="009F587E"/>
    <w:rsid w:val="009F58AE"/>
    <w:rsid w:val="009F5A24"/>
    <w:rsid w:val="009F60B3"/>
    <w:rsid w:val="009F6157"/>
    <w:rsid w:val="009F62E7"/>
    <w:rsid w:val="009F6621"/>
    <w:rsid w:val="009F6691"/>
    <w:rsid w:val="009F6825"/>
    <w:rsid w:val="009F6847"/>
    <w:rsid w:val="009F6B7C"/>
    <w:rsid w:val="009F6DF8"/>
    <w:rsid w:val="009F6E76"/>
    <w:rsid w:val="009F7088"/>
    <w:rsid w:val="009F727D"/>
    <w:rsid w:val="009F736A"/>
    <w:rsid w:val="009F761D"/>
    <w:rsid w:val="009F7866"/>
    <w:rsid w:val="009F7902"/>
    <w:rsid w:val="00A00029"/>
    <w:rsid w:val="00A000E8"/>
    <w:rsid w:val="00A00524"/>
    <w:rsid w:val="00A00581"/>
    <w:rsid w:val="00A0083F"/>
    <w:rsid w:val="00A008A5"/>
    <w:rsid w:val="00A0092F"/>
    <w:rsid w:val="00A00AFF"/>
    <w:rsid w:val="00A00E80"/>
    <w:rsid w:val="00A00E99"/>
    <w:rsid w:val="00A00F3E"/>
    <w:rsid w:val="00A01053"/>
    <w:rsid w:val="00A011A7"/>
    <w:rsid w:val="00A011E9"/>
    <w:rsid w:val="00A011FF"/>
    <w:rsid w:val="00A014CA"/>
    <w:rsid w:val="00A01659"/>
    <w:rsid w:val="00A01677"/>
    <w:rsid w:val="00A01809"/>
    <w:rsid w:val="00A01964"/>
    <w:rsid w:val="00A01AA4"/>
    <w:rsid w:val="00A01AD0"/>
    <w:rsid w:val="00A01B59"/>
    <w:rsid w:val="00A01BF5"/>
    <w:rsid w:val="00A01C10"/>
    <w:rsid w:val="00A01C6B"/>
    <w:rsid w:val="00A01DC9"/>
    <w:rsid w:val="00A01E33"/>
    <w:rsid w:val="00A02405"/>
    <w:rsid w:val="00A024C9"/>
    <w:rsid w:val="00A02805"/>
    <w:rsid w:val="00A02874"/>
    <w:rsid w:val="00A02B56"/>
    <w:rsid w:val="00A02C0C"/>
    <w:rsid w:val="00A02EE1"/>
    <w:rsid w:val="00A02F96"/>
    <w:rsid w:val="00A0318E"/>
    <w:rsid w:val="00A035AA"/>
    <w:rsid w:val="00A03D06"/>
    <w:rsid w:val="00A042A2"/>
    <w:rsid w:val="00A0438C"/>
    <w:rsid w:val="00A04A3E"/>
    <w:rsid w:val="00A04C50"/>
    <w:rsid w:val="00A05026"/>
    <w:rsid w:val="00A0511E"/>
    <w:rsid w:val="00A052ED"/>
    <w:rsid w:val="00A05371"/>
    <w:rsid w:val="00A054C9"/>
    <w:rsid w:val="00A05AC6"/>
    <w:rsid w:val="00A060B4"/>
    <w:rsid w:val="00A060EB"/>
    <w:rsid w:val="00A0636B"/>
    <w:rsid w:val="00A0672E"/>
    <w:rsid w:val="00A06CF7"/>
    <w:rsid w:val="00A06D47"/>
    <w:rsid w:val="00A06D88"/>
    <w:rsid w:val="00A06E6F"/>
    <w:rsid w:val="00A070DD"/>
    <w:rsid w:val="00A07365"/>
    <w:rsid w:val="00A07514"/>
    <w:rsid w:val="00A07558"/>
    <w:rsid w:val="00A078AB"/>
    <w:rsid w:val="00A102D1"/>
    <w:rsid w:val="00A1031F"/>
    <w:rsid w:val="00A108DC"/>
    <w:rsid w:val="00A108F7"/>
    <w:rsid w:val="00A10914"/>
    <w:rsid w:val="00A10A9E"/>
    <w:rsid w:val="00A10CD3"/>
    <w:rsid w:val="00A10D24"/>
    <w:rsid w:val="00A10F73"/>
    <w:rsid w:val="00A113F3"/>
    <w:rsid w:val="00A115BF"/>
    <w:rsid w:val="00A11863"/>
    <w:rsid w:val="00A118FA"/>
    <w:rsid w:val="00A11A14"/>
    <w:rsid w:val="00A11A26"/>
    <w:rsid w:val="00A11A61"/>
    <w:rsid w:val="00A11AD2"/>
    <w:rsid w:val="00A11B95"/>
    <w:rsid w:val="00A11C1E"/>
    <w:rsid w:val="00A11E32"/>
    <w:rsid w:val="00A11F12"/>
    <w:rsid w:val="00A11FD6"/>
    <w:rsid w:val="00A12425"/>
    <w:rsid w:val="00A12641"/>
    <w:rsid w:val="00A126A9"/>
    <w:rsid w:val="00A1279B"/>
    <w:rsid w:val="00A12815"/>
    <w:rsid w:val="00A128F8"/>
    <w:rsid w:val="00A12AB9"/>
    <w:rsid w:val="00A12F49"/>
    <w:rsid w:val="00A12FA4"/>
    <w:rsid w:val="00A12FAF"/>
    <w:rsid w:val="00A130CE"/>
    <w:rsid w:val="00A131A5"/>
    <w:rsid w:val="00A132A9"/>
    <w:rsid w:val="00A132EA"/>
    <w:rsid w:val="00A132F6"/>
    <w:rsid w:val="00A1361A"/>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CFA"/>
    <w:rsid w:val="00A14D1C"/>
    <w:rsid w:val="00A14DF4"/>
    <w:rsid w:val="00A14FC0"/>
    <w:rsid w:val="00A14FF6"/>
    <w:rsid w:val="00A1532F"/>
    <w:rsid w:val="00A15341"/>
    <w:rsid w:val="00A155F1"/>
    <w:rsid w:val="00A15748"/>
    <w:rsid w:val="00A15789"/>
    <w:rsid w:val="00A158D0"/>
    <w:rsid w:val="00A15A0C"/>
    <w:rsid w:val="00A15BD6"/>
    <w:rsid w:val="00A15D2E"/>
    <w:rsid w:val="00A15D94"/>
    <w:rsid w:val="00A15E30"/>
    <w:rsid w:val="00A15F56"/>
    <w:rsid w:val="00A15FD3"/>
    <w:rsid w:val="00A16AFB"/>
    <w:rsid w:val="00A16B6B"/>
    <w:rsid w:val="00A16BD2"/>
    <w:rsid w:val="00A17064"/>
    <w:rsid w:val="00A170A8"/>
    <w:rsid w:val="00A17670"/>
    <w:rsid w:val="00A17926"/>
    <w:rsid w:val="00A17D36"/>
    <w:rsid w:val="00A17D8D"/>
    <w:rsid w:val="00A17D96"/>
    <w:rsid w:val="00A17EB7"/>
    <w:rsid w:val="00A17EC1"/>
    <w:rsid w:val="00A17FEF"/>
    <w:rsid w:val="00A20035"/>
    <w:rsid w:val="00A2035D"/>
    <w:rsid w:val="00A203F0"/>
    <w:rsid w:val="00A20477"/>
    <w:rsid w:val="00A2059D"/>
    <w:rsid w:val="00A206E4"/>
    <w:rsid w:val="00A20702"/>
    <w:rsid w:val="00A20703"/>
    <w:rsid w:val="00A2080F"/>
    <w:rsid w:val="00A20A0B"/>
    <w:rsid w:val="00A20A0C"/>
    <w:rsid w:val="00A20A26"/>
    <w:rsid w:val="00A20AC2"/>
    <w:rsid w:val="00A21031"/>
    <w:rsid w:val="00A212CE"/>
    <w:rsid w:val="00A212E5"/>
    <w:rsid w:val="00A21376"/>
    <w:rsid w:val="00A2150A"/>
    <w:rsid w:val="00A2180C"/>
    <w:rsid w:val="00A21940"/>
    <w:rsid w:val="00A219A3"/>
    <w:rsid w:val="00A21B27"/>
    <w:rsid w:val="00A21CAE"/>
    <w:rsid w:val="00A21E42"/>
    <w:rsid w:val="00A21E7F"/>
    <w:rsid w:val="00A2236B"/>
    <w:rsid w:val="00A22866"/>
    <w:rsid w:val="00A22DDE"/>
    <w:rsid w:val="00A23076"/>
    <w:rsid w:val="00A238DC"/>
    <w:rsid w:val="00A239B8"/>
    <w:rsid w:val="00A23AEE"/>
    <w:rsid w:val="00A23CA3"/>
    <w:rsid w:val="00A23D26"/>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1D6"/>
    <w:rsid w:val="00A2628B"/>
    <w:rsid w:val="00A2656A"/>
    <w:rsid w:val="00A26617"/>
    <w:rsid w:val="00A266AD"/>
    <w:rsid w:val="00A26739"/>
    <w:rsid w:val="00A267BC"/>
    <w:rsid w:val="00A268AF"/>
    <w:rsid w:val="00A269EB"/>
    <w:rsid w:val="00A26B67"/>
    <w:rsid w:val="00A26C30"/>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0DB6"/>
    <w:rsid w:val="00A31059"/>
    <w:rsid w:val="00A31572"/>
    <w:rsid w:val="00A317A5"/>
    <w:rsid w:val="00A3190D"/>
    <w:rsid w:val="00A319E6"/>
    <w:rsid w:val="00A31AF6"/>
    <w:rsid w:val="00A31B12"/>
    <w:rsid w:val="00A31BBD"/>
    <w:rsid w:val="00A31C94"/>
    <w:rsid w:val="00A31CB4"/>
    <w:rsid w:val="00A31D41"/>
    <w:rsid w:val="00A31E57"/>
    <w:rsid w:val="00A3208A"/>
    <w:rsid w:val="00A3231E"/>
    <w:rsid w:val="00A325BC"/>
    <w:rsid w:val="00A3267E"/>
    <w:rsid w:val="00A3268D"/>
    <w:rsid w:val="00A3288C"/>
    <w:rsid w:val="00A3291E"/>
    <w:rsid w:val="00A32A41"/>
    <w:rsid w:val="00A32E3A"/>
    <w:rsid w:val="00A32EEF"/>
    <w:rsid w:val="00A3319D"/>
    <w:rsid w:val="00A334A2"/>
    <w:rsid w:val="00A3368C"/>
    <w:rsid w:val="00A33866"/>
    <w:rsid w:val="00A339E7"/>
    <w:rsid w:val="00A340AA"/>
    <w:rsid w:val="00A341B5"/>
    <w:rsid w:val="00A343EF"/>
    <w:rsid w:val="00A3445C"/>
    <w:rsid w:val="00A3463A"/>
    <w:rsid w:val="00A347D1"/>
    <w:rsid w:val="00A34A2A"/>
    <w:rsid w:val="00A34A69"/>
    <w:rsid w:val="00A34B79"/>
    <w:rsid w:val="00A34F3B"/>
    <w:rsid w:val="00A34FE4"/>
    <w:rsid w:val="00A35126"/>
    <w:rsid w:val="00A353E5"/>
    <w:rsid w:val="00A35417"/>
    <w:rsid w:val="00A35486"/>
    <w:rsid w:val="00A358FF"/>
    <w:rsid w:val="00A35B60"/>
    <w:rsid w:val="00A35B78"/>
    <w:rsid w:val="00A35FA3"/>
    <w:rsid w:val="00A36195"/>
    <w:rsid w:val="00A36280"/>
    <w:rsid w:val="00A36296"/>
    <w:rsid w:val="00A3642D"/>
    <w:rsid w:val="00A364E1"/>
    <w:rsid w:val="00A36633"/>
    <w:rsid w:val="00A3698C"/>
    <w:rsid w:val="00A369BB"/>
    <w:rsid w:val="00A36CFA"/>
    <w:rsid w:val="00A36D4D"/>
    <w:rsid w:val="00A36E5C"/>
    <w:rsid w:val="00A373C2"/>
    <w:rsid w:val="00A3758E"/>
    <w:rsid w:val="00A375F3"/>
    <w:rsid w:val="00A37608"/>
    <w:rsid w:val="00A37636"/>
    <w:rsid w:val="00A37707"/>
    <w:rsid w:val="00A37A89"/>
    <w:rsid w:val="00A37E45"/>
    <w:rsid w:val="00A40110"/>
    <w:rsid w:val="00A40405"/>
    <w:rsid w:val="00A40430"/>
    <w:rsid w:val="00A404E3"/>
    <w:rsid w:val="00A40558"/>
    <w:rsid w:val="00A40AB2"/>
    <w:rsid w:val="00A40AED"/>
    <w:rsid w:val="00A40B5C"/>
    <w:rsid w:val="00A40BE8"/>
    <w:rsid w:val="00A40C65"/>
    <w:rsid w:val="00A40DFC"/>
    <w:rsid w:val="00A41273"/>
    <w:rsid w:val="00A4143C"/>
    <w:rsid w:val="00A415E6"/>
    <w:rsid w:val="00A41676"/>
    <w:rsid w:val="00A4189F"/>
    <w:rsid w:val="00A41AB4"/>
    <w:rsid w:val="00A41D6D"/>
    <w:rsid w:val="00A41EFA"/>
    <w:rsid w:val="00A4243C"/>
    <w:rsid w:val="00A42485"/>
    <w:rsid w:val="00A42623"/>
    <w:rsid w:val="00A42996"/>
    <w:rsid w:val="00A429E7"/>
    <w:rsid w:val="00A42A55"/>
    <w:rsid w:val="00A42F86"/>
    <w:rsid w:val="00A430CA"/>
    <w:rsid w:val="00A430F4"/>
    <w:rsid w:val="00A431DF"/>
    <w:rsid w:val="00A43234"/>
    <w:rsid w:val="00A435CC"/>
    <w:rsid w:val="00A4374F"/>
    <w:rsid w:val="00A43848"/>
    <w:rsid w:val="00A4389E"/>
    <w:rsid w:val="00A43AF2"/>
    <w:rsid w:val="00A43C20"/>
    <w:rsid w:val="00A43C50"/>
    <w:rsid w:val="00A43C6F"/>
    <w:rsid w:val="00A43D46"/>
    <w:rsid w:val="00A43ED8"/>
    <w:rsid w:val="00A44370"/>
    <w:rsid w:val="00A443B8"/>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38E"/>
    <w:rsid w:val="00A47495"/>
    <w:rsid w:val="00A474D3"/>
    <w:rsid w:val="00A47686"/>
    <w:rsid w:val="00A476AE"/>
    <w:rsid w:val="00A47A11"/>
    <w:rsid w:val="00A47B20"/>
    <w:rsid w:val="00A47B50"/>
    <w:rsid w:val="00A5018B"/>
    <w:rsid w:val="00A50442"/>
    <w:rsid w:val="00A5083B"/>
    <w:rsid w:val="00A50851"/>
    <w:rsid w:val="00A50858"/>
    <w:rsid w:val="00A50A65"/>
    <w:rsid w:val="00A50B6E"/>
    <w:rsid w:val="00A50BEE"/>
    <w:rsid w:val="00A50C46"/>
    <w:rsid w:val="00A50DDA"/>
    <w:rsid w:val="00A50F5C"/>
    <w:rsid w:val="00A50FC2"/>
    <w:rsid w:val="00A514E9"/>
    <w:rsid w:val="00A5162C"/>
    <w:rsid w:val="00A51DA9"/>
    <w:rsid w:val="00A521D5"/>
    <w:rsid w:val="00A5270C"/>
    <w:rsid w:val="00A5270F"/>
    <w:rsid w:val="00A528B6"/>
    <w:rsid w:val="00A528F3"/>
    <w:rsid w:val="00A52972"/>
    <w:rsid w:val="00A52B47"/>
    <w:rsid w:val="00A52C60"/>
    <w:rsid w:val="00A52C70"/>
    <w:rsid w:val="00A52EEF"/>
    <w:rsid w:val="00A52F72"/>
    <w:rsid w:val="00A53061"/>
    <w:rsid w:val="00A530F1"/>
    <w:rsid w:val="00A530FD"/>
    <w:rsid w:val="00A53276"/>
    <w:rsid w:val="00A5356F"/>
    <w:rsid w:val="00A53B53"/>
    <w:rsid w:val="00A53D3C"/>
    <w:rsid w:val="00A54038"/>
    <w:rsid w:val="00A54414"/>
    <w:rsid w:val="00A5443B"/>
    <w:rsid w:val="00A545D5"/>
    <w:rsid w:val="00A546C5"/>
    <w:rsid w:val="00A54A8C"/>
    <w:rsid w:val="00A54B2F"/>
    <w:rsid w:val="00A54C74"/>
    <w:rsid w:val="00A54D26"/>
    <w:rsid w:val="00A54D4F"/>
    <w:rsid w:val="00A54E86"/>
    <w:rsid w:val="00A551E5"/>
    <w:rsid w:val="00A55260"/>
    <w:rsid w:val="00A5529C"/>
    <w:rsid w:val="00A555C5"/>
    <w:rsid w:val="00A55B14"/>
    <w:rsid w:val="00A55DD1"/>
    <w:rsid w:val="00A55F56"/>
    <w:rsid w:val="00A55FEF"/>
    <w:rsid w:val="00A56309"/>
    <w:rsid w:val="00A5662D"/>
    <w:rsid w:val="00A566A4"/>
    <w:rsid w:val="00A56A6B"/>
    <w:rsid w:val="00A56CDE"/>
    <w:rsid w:val="00A56DB5"/>
    <w:rsid w:val="00A57032"/>
    <w:rsid w:val="00A57352"/>
    <w:rsid w:val="00A57481"/>
    <w:rsid w:val="00A574EC"/>
    <w:rsid w:val="00A577F4"/>
    <w:rsid w:val="00A57873"/>
    <w:rsid w:val="00A579B9"/>
    <w:rsid w:val="00A57A84"/>
    <w:rsid w:val="00A57D07"/>
    <w:rsid w:val="00A57EA7"/>
    <w:rsid w:val="00A57F60"/>
    <w:rsid w:val="00A6002A"/>
    <w:rsid w:val="00A6005D"/>
    <w:rsid w:val="00A602E2"/>
    <w:rsid w:val="00A603E3"/>
    <w:rsid w:val="00A604CB"/>
    <w:rsid w:val="00A606DD"/>
    <w:rsid w:val="00A60707"/>
    <w:rsid w:val="00A608BC"/>
    <w:rsid w:val="00A608F4"/>
    <w:rsid w:val="00A60920"/>
    <w:rsid w:val="00A60AB1"/>
    <w:rsid w:val="00A60ACC"/>
    <w:rsid w:val="00A60D21"/>
    <w:rsid w:val="00A60FAF"/>
    <w:rsid w:val="00A610FF"/>
    <w:rsid w:val="00A6134C"/>
    <w:rsid w:val="00A61ACE"/>
    <w:rsid w:val="00A61B7A"/>
    <w:rsid w:val="00A61D2A"/>
    <w:rsid w:val="00A61E85"/>
    <w:rsid w:val="00A6211A"/>
    <w:rsid w:val="00A621A1"/>
    <w:rsid w:val="00A6223A"/>
    <w:rsid w:val="00A623EF"/>
    <w:rsid w:val="00A62684"/>
    <w:rsid w:val="00A62695"/>
    <w:rsid w:val="00A627CD"/>
    <w:rsid w:val="00A6281D"/>
    <w:rsid w:val="00A628D9"/>
    <w:rsid w:val="00A62ACB"/>
    <w:rsid w:val="00A633A4"/>
    <w:rsid w:val="00A6374D"/>
    <w:rsid w:val="00A637DE"/>
    <w:rsid w:val="00A638C5"/>
    <w:rsid w:val="00A638FA"/>
    <w:rsid w:val="00A63900"/>
    <w:rsid w:val="00A63A44"/>
    <w:rsid w:val="00A63C46"/>
    <w:rsid w:val="00A63CEF"/>
    <w:rsid w:val="00A63F08"/>
    <w:rsid w:val="00A64055"/>
    <w:rsid w:val="00A64171"/>
    <w:rsid w:val="00A6455B"/>
    <w:rsid w:val="00A64582"/>
    <w:rsid w:val="00A64805"/>
    <w:rsid w:val="00A648EF"/>
    <w:rsid w:val="00A64924"/>
    <w:rsid w:val="00A6493F"/>
    <w:rsid w:val="00A6499E"/>
    <w:rsid w:val="00A64A40"/>
    <w:rsid w:val="00A64CA7"/>
    <w:rsid w:val="00A64DC9"/>
    <w:rsid w:val="00A65026"/>
    <w:rsid w:val="00A65065"/>
    <w:rsid w:val="00A6508E"/>
    <w:rsid w:val="00A651C2"/>
    <w:rsid w:val="00A65237"/>
    <w:rsid w:val="00A65329"/>
    <w:rsid w:val="00A6550C"/>
    <w:rsid w:val="00A6590E"/>
    <w:rsid w:val="00A65CCC"/>
    <w:rsid w:val="00A660E4"/>
    <w:rsid w:val="00A664DB"/>
    <w:rsid w:val="00A66596"/>
    <w:rsid w:val="00A666C2"/>
    <w:rsid w:val="00A666FC"/>
    <w:rsid w:val="00A66B88"/>
    <w:rsid w:val="00A66CB2"/>
    <w:rsid w:val="00A66DDD"/>
    <w:rsid w:val="00A67120"/>
    <w:rsid w:val="00A6739E"/>
    <w:rsid w:val="00A676A8"/>
    <w:rsid w:val="00A67883"/>
    <w:rsid w:val="00A67886"/>
    <w:rsid w:val="00A678A4"/>
    <w:rsid w:val="00A6790D"/>
    <w:rsid w:val="00A67C35"/>
    <w:rsid w:val="00A70353"/>
    <w:rsid w:val="00A70367"/>
    <w:rsid w:val="00A7040A"/>
    <w:rsid w:val="00A704FC"/>
    <w:rsid w:val="00A70505"/>
    <w:rsid w:val="00A70812"/>
    <w:rsid w:val="00A7096A"/>
    <w:rsid w:val="00A709A7"/>
    <w:rsid w:val="00A709FA"/>
    <w:rsid w:val="00A70C30"/>
    <w:rsid w:val="00A70CD7"/>
    <w:rsid w:val="00A71159"/>
    <w:rsid w:val="00A71190"/>
    <w:rsid w:val="00A711B4"/>
    <w:rsid w:val="00A712E1"/>
    <w:rsid w:val="00A7132A"/>
    <w:rsid w:val="00A71903"/>
    <w:rsid w:val="00A7199F"/>
    <w:rsid w:val="00A71A1F"/>
    <w:rsid w:val="00A71C5E"/>
    <w:rsid w:val="00A71D29"/>
    <w:rsid w:val="00A71E77"/>
    <w:rsid w:val="00A71ECA"/>
    <w:rsid w:val="00A71F32"/>
    <w:rsid w:val="00A72194"/>
    <w:rsid w:val="00A72306"/>
    <w:rsid w:val="00A725D9"/>
    <w:rsid w:val="00A72707"/>
    <w:rsid w:val="00A72774"/>
    <w:rsid w:val="00A729D0"/>
    <w:rsid w:val="00A72B08"/>
    <w:rsid w:val="00A72E25"/>
    <w:rsid w:val="00A731B0"/>
    <w:rsid w:val="00A734A2"/>
    <w:rsid w:val="00A736EA"/>
    <w:rsid w:val="00A739BB"/>
    <w:rsid w:val="00A73CED"/>
    <w:rsid w:val="00A73CF3"/>
    <w:rsid w:val="00A73D67"/>
    <w:rsid w:val="00A73E81"/>
    <w:rsid w:val="00A73EB3"/>
    <w:rsid w:val="00A73F47"/>
    <w:rsid w:val="00A7409A"/>
    <w:rsid w:val="00A740D0"/>
    <w:rsid w:val="00A7414D"/>
    <w:rsid w:val="00A74165"/>
    <w:rsid w:val="00A744AA"/>
    <w:rsid w:val="00A7452B"/>
    <w:rsid w:val="00A74567"/>
    <w:rsid w:val="00A746CD"/>
    <w:rsid w:val="00A746E1"/>
    <w:rsid w:val="00A755A4"/>
    <w:rsid w:val="00A755FB"/>
    <w:rsid w:val="00A7563F"/>
    <w:rsid w:val="00A757BF"/>
    <w:rsid w:val="00A7581D"/>
    <w:rsid w:val="00A75A91"/>
    <w:rsid w:val="00A75AC9"/>
    <w:rsid w:val="00A75B1C"/>
    <w:rsid w:val="00A75C5A"/>
    <w:rsid w:val="00A75E2B"/>
    <w:rsid w:val="00A75EEF"/>
    <w:rsid w:val="00A76016"/>
    <w:rsid w:val="00A76147"/>
    <w:rsid w:val="00A762B7"/>
    <w:rsid w:val="00A76517"/>
    <w:rsid w:val="00A7663F"/>
    <w:rsid w:val="00A7683C"/>
    <w:rsid w:val="00A768EC"/>
    <w:rsid w:val="00A76924"/>
    <w:rsid w:val="00A76A18"/>
    <w:rsid w:val="00A76A95"/>
    <w:rsid w:val="00A76C12"/>
    <w:rsid w:val="00A76C51"/>
    <w:rsid w:val="00A77035"/>
    <w:rsid w:val="00A77136"/>
    <w:rsid w:val="00A77267"/>
    <w:rsid w:val="00A773C6"/>
    <w:rsid w:val="00A775FD"/>
    <w:rsid w:val="00A77784"/>
    <w:rsid w:val="00A77807"/>
    <w:rsid w:val="00A77993"/>
    <w:rsid w:val="00A80272"/>
    <w:rsid w:val="00A804D4"/>
    <w:rsid w:val="00A805DE"/>
    <w:rsid w:val="00A80976"/>
    <w:rsid w:val="00A809FD"/>
    <w:rsid w:val="00A80D5E"/>
    <w:rsid w:val="00A80D6F"/>
    <w:rsid w:val="00A81355"/>
    <w:rsid w:val="00A8147F"/>
    <w:rsid w:val="00A81590"/>
    <w:rsid w:val="00A81693"/>
    <w:rsid w:val="00A81825"/>
    <w:rsid w:val="00A819B1"/>
    <w:rsid w:val="00A81C5F"/>
    <w:rsid w:val="00A81CA7"/>
    <w:rsid w:val="00A81D0F"/>
    <w:rsid w:val="00A821D9"/>
    <w:rsid w:val="00A822DB"/>
    <w:rsid w:val="00A8269C"/>
    <w:rsid w:val="00A82719"/>
    <w:rsid w:val="00A8277E"/>
    <w:rsid w:val="00A827BD"/>
    <w:rsid w:val="00A82A0F"/>
    <w:rsid w:val="00A82AB3"/>
    <w:rsid w:val="00A82B11"/>
    <w:rsid w:val="00A82B43"/>
    <w:rsid w:val="00A82B66"/>
    <w:rsid w:val="00A82C21"/>
    <w:rsid w:val="00A82E19"/>
    <w:rsid w:val="00A82F1D"/>
    <w:rsid w:val="00A8303C"/>
    <w:rsid w:val="00A83679"/>
    <w:rsid w:val="00A83CF5"/>
    <w:rsid w:val="00A83EC4"/>
    <w:rsid w:val="00A83F88"/>
    <w:rsid w:val="00A83FA8"/>
    <w:rsid w:val="00A84195"/>
    <w:rsid w:val="00A8434F"/>
    <w:rsid w:val="00A844EF"/>
    <w:rsid w:val="00A84596"/>
    <w:rsid w:val="00A84BC7"/>
    <w:rsid w:val="00A84EC1"/>
    <w:rsid w:val="00A84FFD"/>
    <w:rsid w:val="00A850F9"/>
    <w:rsid w:val="00A85172"/>
    <w:rsid w:val="00A8528E"/>
    <w:rsid w:val="00A852C6"/>
    <w:rsid w:val="00A85325"/>
    <w:rsid w:val="00A85384"/>
    <w:rsid w:val="00A853B2"/>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8E5"/>
    <w:rsid w:val="00A87AF8"/>
    <w:rsid w:val="00A87B7D"/>
    <w:rsid w:val="00A87D56"/>
    <w:rsid w:val="00A9014B"/>
    <w:rsid w:val="00A90794"/>
    <w:rsid w:val="00A90795"/>
    <w:rsid w:val="00A90DEA"/>
    <w:rsid w:val="00A90E6B"/>
    <w:rsid w:val="00A90E85"/>
    <w:rsid w:val="00A90FA1"/>
    <w:rsid w:val="00A90FA4"/>
    <w:rsid w:val="00A91174"/>
    <w:rsid w:val="00A91664"/>
    <w:rsid w:val="00A9174A"/>
    <w:rsid w:val="00A91A1C"/>
    <w:rsid w:val="00A91ACD"/>
    <w:rsid w:val="00A91EDF"/>
    <w:rsid w:val="00A91FF9"/>
    <w:rsid w:val="00A92347"/>
    <w:rsid w:val="00A92407"/>
    <w:rsid w:val="00A9253B"/>
    <w:rsid w:val="00A925F3"/>
    <w:rsid w:val="00A92AFF"/>
    <w:rsid w:val="00A92BD1"/>
    <w:rsid w:val="00A92DAC"/>
    <w:rsid w:val="00A92DF9"/>
    <w:rsid w:val="00A92EF0"/>
    <w:rsid w:val="00A93101"/>
    <w:rsid w:val="00A931F2"/>
    <w:rsid w:val="00A932B8"/>
    <w:rsid w:val="00A9336E"/>
    <w:rsid w:val="00A9338F"/>
    <w:rsid w:val="00A935BD"/>
    <w:rsid w:val="00A937D7"/>
    <w:rsid w:val="00A93C9B"/>
    <w:rsid w:val="00A93D0E"/>
    <w:rsid w:val="00A93F0B"/>
    <w:rsid w:val="00A93F4F"/>
    <w:rsid w:val="00A940DF"/>
    <w:rsid w:val="00A9421F"/>
    <w:rsid w:val="00A94354"/>
    <w:rsid w:val="00A94843"/>
    <w:rsid w:val="00A94BD7"/>
    <w:rsid w:val="00A94DED"/>
    <w:rsid w:val="00A94EA5"/>
    <w:rsid w:val="00A94F39"/>
    <w:rsid w:val="00A9500D"/>
    <w:rsid w:val="00A950FC"/>
    <w:rsid w:val="00A95198"/>
    <w:rsid w:val="00A95399"/>
    <w:rsid w:val="00A95740"/>
    <w:rsid w:val="00A95962"/>
    <w:rsid w:val="00A95A4A"/>
    <w:rsid w:val="00A95C7A"/>
    <w:rsid w:val="00A95CA5"/>
    <w:rsid w:val="00A95E7D"/>
    <w:rsid w:val="00A961B5"/>
    <w:rsid w:val="00A96605"/>
    <w:rsid w:val="00A96A05"/>
    <w:rsid w:val="00A96AF4"/>
    <w:rsid w:val="00A96BAE"/>
    <w:rsid w:val="00A96C2C"/>
    <w:rsid w:val="00A96E7E"/>
    <w:rsid w:val="00A96F1A"/>
    <w:rsid w:val="00A97116"/>
    <w:rsid w:val="00A9715D"/>
    <w:rsid w:val="00A971CA"/>
    <w:rsid w:val="00A974D5"/>
    <w:rsid w:val="00A97536"/>
    <w:rsid w:val="00A97551"/>
    <w:rsid w:val="00A97581"/>
    <w:rsid w:val="00A9766F"/>
    <w:rsid w:val="00A9768F"/>
    <w:rsid w:val="00A977C6"/>
    <w:rsid w:val="00A97857"/>
    <w:rsid w:val="00A97E78"/>
    <w:rsid w:val="00A97FF2"/>
    <w:rsid w:val="00AA003E"/>
    <w:rsid w:val="00AA007C"/>
    <w:rsid w:val="00AA00EC"/>
    <w:rsid w:val="00AA03E9"/>
    <w:rsid w:val="00AA0746"/>
    <w:rsid w:val="00AA089A"/>
    <w:rsid w:val="00AA09A4"/>
    <w:rsid w:val="00AA0A27"/>
    <w:rsid w:val="00AA0AA9"/>
    <w:rsid w:val="00AA125A"/>
    <w:rsid w:val="00AA1285"/>
    <w:rsid w:val="00AA1692"/>
    <w:rsid w:val="00AA1718"/>
    <w:rsid w:val="00AA17CC"/>
    <w:rsid w:val="00AA1937"/>
    <w:rsid w:val="00AA1A34"/>
    <w:rsid w:val="00AA1AE8"/>
    <w:rsid w:val="00AA1C95"/>
    <w:rsid w:val="00AA2140"/>
    <w:rsid w:val="00AA23AE"/>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E77"/>
    <w:rsid w:val="00AA3F07"/>
    <w:rsid w:val="00AA4003"/>
    <w:rsid w:val="00AA44DF"/>
    <w:rsid w:val="00AA47A3"/>
    <w:rsid w:val="00AA47D6"/>
    <w:rsid w:val="00AA480C"/>
    <w:rsid w:val="00AA4D54"/>
    <w:rsid w:val="00AA4E39"/>
    <w:rsid w:val="00AA4E8D"/>
    <w:rsid w:val="00AA54CD"/>
    <w:rsid w:val="00AA5555"/>
    <w:rsid w:val="00AA5760"/>
    <w:rsid w:val="00AA5B08"/>
    <w:rsid w:val="00AA5C8A"/>
    <w:rsid w:val="00AA5CD0"/>
    <w:rsid w:val="00AA5EDA"/>
    <w:rsid w:val="00AA6193"/>
    <w:rsid w:val="00AA6220"/>
    <w:rsid w:val="00AA6619"/>
    <w:rsid w:val="00AA6802"/>
    <w:rsid w:val="00AA6883"/>
    <w:rsid w:val="00AA6A4A"/>
    <w:rsid w:val="00AA6BDE"/>
    <w:rsid w:val="00AA6F9F"/>
    <w:rsid w:val="00AA7001"/>
    <w:rsid w:val="00AA7011"/>
    <w:rsid w:val="00AA72DA"/>
    <w:rsid w:val="00AA76BE"/>
    <w:rsid w:val="00AA7944"/>
    <w:rsid w:val="00AA7B1B"/>
    <w:rsid w:val="00AA7BC6"/>
    <w:rsid w:val="00AB00C5"/>
    <w:rsid w:val="00AB01F4"/>
    <w:rsid w:val="00AB02E6"/>
    <w:rsid w:val="00AB0588"/>
    <w:rsid w:val="00AB05B1"/>
    <w:rsid w:val="00AB0645"/>
    <w:rsid w:val="00AB0697"/>
    <w:rsid w:val="00AB06FF"/>
    <w:rsid w:val="00AB080A"/>
    <w:rsid w:val="00AB0869"/>
    <w:rsid w:val="00AB0990"/>
    <w:rsid w:val="00AB0A9D"/>
    <w:rsid w:val="00AB0B8A"/>
    <w:rsid w:val="00AB0B8D"/>
    <w:rsid w:val="00AB1678"/>
    <w:rsid w:val="00AB16D4"/>
    <w:rsid w:val="00AB17A8"/>
    <w:rsid w:val="00AB1967"/>
    <w:rsid w:val="00AB1FCB"/>
    <w:rsid w:val="00AB26B5"/>
    <w:rsid w:val="00AB2E6E"/>
    <w:rsid w:val="00AB2EC7"/>
    <w:rsid w:val="00AB2FA7"/>
    <w:rsid w:val="00AB303F"/>
    <w:rsid w:val="00AB3097"/>
    <w:rsid w:val="00AB3197"/>
    <w:rsid w:val="00AB31EB"/>
    <w:rsid w:val="00AB32D3"/>
    <w:rsid w:val="00AB338F"/>
    <w:rsid w:val="00AB348C"/>
    <w:rsid w:val="00AB34BD"/>
    <w:rsid w:val="00AB3566"/>
    <w:rsid w:val="00AB3683"/>
    <w:rsid w:val="00AB38F7"/>
    <w:rsid w:val="00AB3957"/>
    <w:rsid w:val="00AB3A06"/>
    <w:rsid w:val="00AB3AAE"/>
    <w:rsid w:val="00AB3B39"/>
    <w:rsid w:val="00AB3B93"/>
    <w:rsid w:val="00AB3D53"/>
    <w:rsid w:val="00AB3E6E"/>
    <w:rsid w:val="00AB4283"/>
    <w:rsid w:val="00AB45D3"/>
    <w:rsid w:val="00AB462E"/>
    <w:rsid w:val="00AB4A81"/>
    <w:rsid w:val="00AB4B02"/>
    <w:rsid w:val="00AB4DB8"/>
    <w:rsid w:val="00AB4E7E"/>
    <w:rsid w:val="00AB4F5F"/>
    <w:rsid w:val="00AB4FC4"/>
    <w:rsid w:val="00AB514D"/>
    <w:rsid w:val="00AB5462"/>
    <w:rsid w:val="00AB5633"/>
    <w:rsid w:val="00AB5793"/>
    <w:rsid w:val="00AB595D"/>
    <w:rsid w:val="00AB5A1A"/>
    <w:rsid w:val="00AB5AAE"/>
    <w:rsid w:val="00AB5ADA"/>
    <w:rsid w:val="00AB5BEE"/>
    <w:rsid w:val="00AB5C18"/>
    <w:rsid w:val="00AB5CD2"/>
    <w:rsid w:val="00AB5CDF"/>
    <w:rsid w:val="00AB5F84"/>
    <w:rsid w:val="00AB6251"/>
    <w:rsid w:val="00AB62EC"/>
    <w:rsid w:val="00AB6356"/>
    <w:rsid w:val="00AB638F"/>
    <w:rsid w:val="00AB659A"/>
    <w:rsid w:val="00AB66B6"/>
    <w:rsid w:val="00AB673C"/>
    <w:rsid w:val="00AB6741"/>
    <w:rsid w:val="00AB68D3"/>
    <w:rsid w:val="00AB69CE"/>
    <w:rsid w:val="00AB6B08"/>
    <w:rsid w:val="00AB6B2A"/>
    <w:rsid w:val="00AB6B2B"/>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65B"/>
    <w:rsid w:val="00AC182D"/>
    <w:rsid w:val="00AC1871"/>
    <w:rsid w:val="00AC18CE"/>
    <w:rsid w:val="00AC1B93"/>
    <w:rsid w:val="00AC20E6"/>
    <w:rsid w:val="00AC210F"/>
    <w:rsid w:val="00AC23F5"/>
    <w:rsid w:val="00AC2748"/>
    <w:rsid w:val="00AC2CC1"/>
    <w:rsid w:val="00AC2D3F"/>
    <w:rsid w:val="00AC2DD6"/>
    <w:rsid w:val="00AC2E89"/>
    <w:rsid w:val="00AC2F2D"/>
    <w:rsid w:val="00AC31D1"/>
    <w:rsid w:val="00AC33F1"/>
    <w:rsid w:val="00AC3717"/>
    <w:rsid w:val="00AC39D0"/>
    <w:rsid w:val="00AC3A68"/>
    <w:rsid w:val="00AC3B16"/>
    <w:rsid w:val="00AC3F71"/>
    <w:rsid w:val="00AC3FBF"/>
    <w:rsid w:val="00AC424F"/>
    <w:rsid w:val="00AC45E1"/>
    <w:rsid w:val="00AC4C08"/>
    <w:rsid w:val="00AC4FD3"/>
    <w:rsid w:val="00AC511C"/>
    <w:rsid w:val="00AC5357"/>
    <w:rsid w:val="00AC566A"/>
    <w:rsid w:val="00AC5C94"/>
    <w:rsid w:val="00AC5DDE"/>
    <w:rsid w:val="00AC5F08"/>
    <w:rsid w:val="00AC614A"/>
    <w:rsid w:val="00AC62F8"/>
    <w:rsid w:val="00AC64A3"/>
    <w:rsid w:val="00AC652D"/>
    <w:rsid w:val="00AC6845"/>
    <w:rsid w:val="00AC6A5A"/>
    <w:rsid w:val="00AC6A9B"/>
    <w:rsid w:val="00AC6CA4"/>
    <w:rsid w:val="00AC6F2E"/>
    <w:rsid w:val="00AC7115"/>
    <w:rsid w:val="00AC736F"/>
    <w:rsid w:val="00AC756F"/>
    <w:rsid w:val="00AC7694"/>
    <w:rsid w:val="00AC7D08"/>
    <w:rsid w:val="00AC7DAA"/>
    <w:rsid w:val="00AD0099"/>
    <w:rsid w:val="00AD0135"/>
    <w:rsid w:val="00AD06E3"/>
    <w:rsid w:val="00AD0AF2"/>
    <w:rsid w:val="00AD0CCF"/>
    <w:rsid w:val="00AD0D6E"/>
    <w:rsid w:val="00AD0F8B"/>
    <w:rsid w:val="00AD1124"/>
    <w:rsid w:val="00AD1174"/>
    <w:rsid w:val="00AD176A"/>
    <w:rsid w:val="00AD1808"/>
    <w:rsid w:val="00AD19BD"/>
    <w:rsid w:val="00AD1AFF"/>
    <w:rsid w:val="00AD209C"/>
    <w:rsid w:val="00AD235D"/>
    <w:rsid w:val="00AD2668"/>
    <w:rsid w:val="00AD293E"/>
    <w:rsid w:val="00AD2D43"/>
    <w:rsid w:val="00AD34AA"/>
    <w:rsid w:val="00AD351F"/>
    <w:rsid w:val="00AD35EE"/>
    <w:rsid w:val="00AD36DC"/>
    <w:rsid w:val="00AD3B62"/>
    <w:rsid w:val="00AD3BD1"/>
    <w:rsid w:val="00AD3C9F"/>
    <w:rsid w:val="00AD3D64"/>
    <w:rsid w:val="00AD3DDE"/>
    <w:rsid w:val="00AD3E2E"/>
    <w:rsid w:val="00AD3F65"/>
    <w:rsid w:val="00AD3F83"/>
    <w:rsid w:val="00AD3FF3"/>
    <w:rsid w:val="00AD411D"/>
    <w:rsid w:val="00AD416B"/>
    <w:rsid w:val="00AD4193"/>
    <w:rsid w:val="00AD41EE"/>
    <w:rsid w:val="00AD42D2"/>
    <w:rsid w:val="00AD4420"/>
    <w:rsid w:val="00AD450E"/>
    <w:rsid w:val="00AD47EF"/>
    <w:rsid w:val="00AD486A"/>
    <w:rsid w:val="00AD4CA9"/>
    <w:rsid w:val="00AD4DB5"/>
    <w:rsid w:val="00AD4DDC"/>
    <w:rsid w:val="00AD4E56"/>
    <w:rsid w:val="00AD50EA"/>
    <w:rsid w:val="00AD50FB"/>
    <w:rsid w:val="00AD5813"/>
    <w:rsid w:val="00AD59EB"/>
    <w:rsid w:val="00AD5A0B"/>
    <w:rsid w:val="00AD5A3D"/>
    <w:rsid w:val="00AD5AE7"/>
    <w:rsid w:val="00AD5BCC"/>
    <w:rsid w:val="00AD5BFF"/>
    <w:rsid w:val="00AD5C59"/>
    <w:rsid w:val="00AD5DD1"/>
    <w:rsid w:val="00AD600F"/>
    <w:rsid w:val="00AD63B1"/>
    <w:rsid w:val="00AD65A4"/>
    <w:rsid w:val="00AD678D"/>
    <w:rsid w:val="00AD67CF"/>
    <w:rsid w:val="00AD6BDF"/>
    <w:rsid w:val="00AD70DA"/>
    <w:rsid w:val="00AD73C9"/>
    <w:rsid w:val="00AD75BF"/>
    <w:rsid w:val="00AD764F"/>
    <w:rsid w:val="00AD76E3"/>
    <w:rsid w:val="00AD77CA"/>
    <w:rsid w:val="00AD78E8"/>
    <w:rsid w:val="00AD7A28"/>
    <w:rsid w:val="00AD7CE7"/>
    <w:rsid w:val="00AD7EE7"/>
    <w:rsid w:val="00AD7F1E"/>
    <w:rsid w:val="00AD7F21"/>
    <w:rsid w:val="00AD7F73"/>
    <w:rsid w:val="00AD7F92"/>
    <w:rsid w:val="00AE0298"/>
    <w:rsid w:val="00AE038C"/>
    <w:rsid w:val="00AE047F"/>
    <w:rsid w:val="00AE075D"/>
    <w:rsid w:val="00AE08B3"/>
    <w:rsid w:val="00AE0918"/>
    <w:rsid w:val="00AE0B6E"/>
    <w:rsid w:val="00AE0C70"/>
    <w:rsid w:val="00AE0D0A"/>
    <w:rsid w:val="00AE0F81"/>
    <w:rsid w:val="00AE1330"/>
    <w:rsid w:val="00AE138C"/>
    <w:rsid w:val="00AE1634"/>
    <w:rsid w:val="00AE16FE"/>
    <w:rsid w:val="00AE1733"/>
    <w:rsid w:val="00AE17BC"/>
    <w:rsid w:val="00AE17FC"/>
    <w:rsid w:val="00AE1A0B"/>
    <w:rsid w:val="00AE1FE4"/>
    <w:rsid w:val="00AE262B"/>
    <w:rsid w:val="00AE27F4"/>
    <w:rsid w:val="00AE27F9"/>
    <w:rsid w:val="00AE2B19"/>
    <w:rsid w:val="00AE2C2B"/>
    <w:rsid w:val="00AE3058"/>
    <w:rsid w:val="00AE3310"/>
    <w:rsid w:val="00AE354F"/>
    <w:rsid w:val="00AE37A1"/>
    <w:rsid w:val="00AE3956"/>
    <w:rsid w:val="00AE3A4F"/>
    <w:rsid w:val="00AE3D5E"/>
    <w:rsid w:val="00AE3D85"/>
    <w:rsid w:val="00AE41EF"/>
    <w:rsid w:val="00AE4677"/>
    <w:rsid w:val="00AE4703"/>
    <w:rsid w:val="00AE4BF3"/>
    <w:rsid w:val="00AE4FE2"/>
    <w:rsid w:val="00AE516D"/>
    <w:rsid w:val="00AE517E"/>
    <w:rsid w:val="00AE5246"/>
    <w:rsid w:val="00AE5292"/>
    <w:rsid w:val="00AE52B4"/>
    <w:rsid w:val="00AE56A2"/>
    <w:rsid w:val="00AE56C7"/>
    <w:rsid w:val="00AE586E"/>
    <w:rsid w:val="00AE58C5"/>
    <w:rsid w:val="00AE5993"/>
    <w:rsid w:val="00AE5B55"/>
    <w:rsid w:val="00AE5BF8"/>
    <w:rsid w:val="00AE5F51"/>
    <w:rsid w:val="00AE6070"/>
    <w:rsid w:val="00AE6119"/>
    <w:rsid w:val="00AE6127"/>
    <w:rsid w:val="00AE619F"/>
    <w:rsid w:val="00AE68DE"/>
    <w:rsid w:val="00AE6957"/>
    <w:rsid w:val="00AE6AF4"/>
    <w:rsid w:val="00AE6B4D"/>
    <w:rsid w:val="00AE6BCD"/>
    <w:rsid w:val="00AE6D3E"/>
    <w:rsid w:val="00AE6DAC"/>
    <w:rsid w:val="00AE6E3C"/>
    <w:rsid w:val="00AE6E84"/>
    <w:rsid w:val="00AE6EFE"/>
    <w:rsid w:val="00AE6F29"/>
    <w:rsid w:val="00AE704C"/>
    <w:rsid w:val="00AE728F"/>
    <w:rsid w:val="00AE741F"/>
    <w:rsid w:val="00AE7533"/>
    <w:rsid w:val="00AE7709"/>
    <w:rsid w:val="00AE77E1"/>
    <w:rsid w:val="00AE78B0"/>
    <w:rsid w:val="00AE79B5"/>
    <w:rsid w:val="00AE79C3"/>
    <w:rsid w:val="00AE7A57"/>
    <w:rsid w:val="00AE7BC9"/>
    <w:rsid w:val="00AE7C33"/>
    <w:rsid w:val="00AE7D10"/>
    <w:rsid w:val="00AE7EB8"/>
    <w:rsid w:val="00AF00FB"/>
    <w:rsid w:val="00AF0122"/>
    <w:rsid w:val="00AF0225"/>
    <w:rsid w:val="00AF039B"/>
    <w:rsid w:val="00AF0476"/>
    <w:rsid w:val="00AF0497"/>
    <w:rsid w:val="00AF0508"/>
    <w:rsid w:val="00AF0606"/>
    <w:rsid w:val="00AF067A"/>
    <w:rsid w:val="00AF0924"/>
    <w:rsid w:val="00AF0B8F"/>
    <w:rsid w:val="00AF0BB5"/>
    <w:rsid w:val="00AF0BDC"/>
    <w:rsid w:val="00AF0C0E"/>
    <w:rsid w:val="00AF0F53"/>
    <w:rsid w:val="00AF1123"/>
    <w:rsid w:val="00AF15AF"/>
    <w:rsid w:val="00AF1672"/>
    <w:rsid w:val="00AF1CF7"/>
    <w:rsid w:val="00AF1EB2"/>
    <w:rsid w:val="00AF2164"/>
    <w:rsid w:val="00AF2325"/>
    <w:rsid w:val="00AF2330"/>
    <w:rsid w:val="00AF23C9"/>
    <w:rsid w:val="00AF2572"/>
    <w:rsid w:val="00AF276D"/>
    <w:rsid w:val="00AF284F"/>
    <w:rsid w:val="00AF2F95"/>
    <w:rsid w:val="00AF303A"/>
    <w:rsid w:val="00AF32EB"/>
    <w:rsid w:val="00AF333E"/>
    <w:rsid w:val="00AF37FA"/>
    <w:rsid w:val="00AF38BE"/>
    <w:rsid w:val="00AF3928"/>
    <w:rsid w:val="00AF3B06"/>
    <w:rsid w:val="00AF3C4D"/>
    <w:rsid w:val="00AF3D18"/>
    <w:rsid w:val="00AF40A0"/>
    <w:rsid w:val="00AF44F8"/>
    <w:rsid w:val="00AF4514"/>
    <w:rsid w:val="00AF46C4"/>
    <w:rsid w:val="00AF46C7"/>
    <w:rsid w:val="00AF4717"/>
    <w:rsid w:val="00AF4956"/>
    <w:rsid w:val="00AF53A4"/>
    <w:rsid w:val="00AF5798"/>
    <w:rsid w:val="00AF5959"/>
    <w:rsid w:val="00AF5C7C"/>
    <w:rsid w:val="00AF5CC9"/>
    <w:rsid w:val="00AF5EC5"/>
    <w:rsid w:val="00AF5F5D"/>
    <w:rsid w:val="00AF66DE"/>
    <w:rsid w:val="00AF6A8A"/>
    <w:rsid w:val="00AF6B26"/>
    <w:rsid w:val="00AF6BDB"/>
    <w:rsid w:val="00AF6DB3"/>
    <w:rsid w:val="00AF6DD6"/>
    <w:rsid w:val="00AF6F80"/>
    <w:rsid w:val="00AF70CB"/>
    <w:rsid w:val="00AF7535"/>
    <w:rsid w:val="00AF799C"/>
    <w:rsid w:val="00AF7CA9"/>
    <w:rsid w:val="00B00000"/>
    <w:rsid w:val="00B00959"/>
    <w:rsid w:val="00B009EB"/>
    <w:rsid w:val="00B00B19"/>
    <w:rsid w:val="00B00D80"/>
    <w:rsid w:val="00B00F03"/>
    <w:rsid w:val="00B012CC"/>
    <w:rsid w:val="00B01732"/>
    <w:rsid w:val="00B0177D"/>
    <w:rsid w:val="00B01887"/>
    <w:rsid w:val="00B01E07"/>
    <w:rsid w:val="00B0237B"/>
    <w:rsid w:val="00B02557"/>
    <w:rsid w:val="00B02BFB"/>
    <w:rsid w:val="00B030F8"/>
    <w:rsid w:val="00B03106"/>
    <w:rsid w:val="00B03253"/>
    <w:rsid w:val="00B0332F"/>
    <w:rsid w:val="00B03895"/>
    <w:rsid w:val="00B03904"/>
    <w:rsid w:val="00B03A5D"/>
    <w:rsid w:val="00B03AC9"/>
    <w:rsid w:val="00B03B4C"/>
    <w:rsid w:val="00B03B56"/>
    <w:rsid w:val="00B03B9A"/>
    <w:rsid w:val="00B03FF9"/>
    <w:rsid w:val="00B04158"/>
    <w:rsid w:val="00B04301"/>
    <w:rsid w:val="00B0432B"/>
    <w:rsid w:val="00B0432D"/>
    <w:rsid w:val="00B04469"/>
    <w:rsid w:val="00B0458D"/>
    <w:rsid w:val="00B04625"/>
    <w:rsid w:val="00B04AE0"/>
    <w:rsid w:val="00B04C69"/>
    <w:rsid w:val="00B04EC8"/>
    <w:rsid w:val="00B05414"/>
    <w:rsid w:val="00B054CD"/>
    <w:rsid w:val="00B0562B"/>
    <w:rsid w:val="00B05783"/>
    <w:rsid w:val="00B0580C"/>
    <w:rsid w:val="00B058D1"/>
    <w:rsid w:val="00B059E5"/>
    <w:rsid w:val="00B05CA0"/>
    <w:rsid w:val="00B05CE8"/>
    <w:rsid w:val="00B0601D"/>
    <w:rsid w:val="00B061B2"/>
    <w:rsid w:val="00B063D3"/>
    <w:rsid w:val="00B06952"/>
    <w:rsid w:val="00B06D28"/>
    <w:rsid w:val="00B06D9A"/>
    <w:rsid w:val="00B06DB4"/>
    <w:rsid w:val="00B06DB5"/>
    <w:rsid w:val="00B06EB7"/>
    <w:rsid w:val="00B070B0"/>
    <w:rsid w:val="00B070CE"/>
    <w:rsid w:val="00B073F0"/>
    <w:rsid w:val="00B07756"/>
    <w:rsid w:val="00B07799"/>
    <w:rsid w:val="00B07D77"/>
    <w:rsid w:val="00B1041B"/>
    <w:rsid w:val="00B10616"/>
    <w:rsid w:val="00B10651"/>
    <w:rsid w:val="00B10954"/>
    <w:rsid w:val="00B110A1"/>
    <w:rsid w:val="00B111CE"/>
    <w:rsid w:val="00B11204"/>
    <w:rsid w:val="00B1128E"/>
    <w:rsid w:val="00B112A0"/>
    <w:rsid w:val="00B11476"/>
    <w:rsid w:val="00B114BC"/>
    <w:rsid w:val="00B1153A"/>
    <w:rsid w:val="00B1169E"/>
    <w:rsid w:val="00B119E6"/>
    <w:rsid w:val="00B11A60"/>
    <w:rsid w:val="00B11A88"/>
    <w:rsid w:val="00B11AF8"/>
    <w:rsid w:val="00B11CB2"/>
    <w:rsid w:val="00B11DB8"/>
    <w:rsid w:val="00B1215B"/>
    <w:rsid w:val="00B1246F"/>
    <w:rsid w:val="00B12729"/>
    <w:rsid w:val="00B12B30"/>
    <w:rsid w:val="00B12DED"/>
    <w:rsid w:val="00B131F1"/>
    <w:rsid w:val="00B13222"/>
    <w:rsid w:val="00B1388B"/>
    <w:rsid w:val="00B138BE"/>
    <w:rsid w:val="00B13AB7"/>
    <w:rsid w:val="00B13BCC"/>
    <w:rsid w:val="00B13D36"/>
    <w:rsid w:val="00B13DDF"/>
    <w:rsid w:val="00B14018"/>
    <w:rsid w:val="00B1410B"/>
    <w:rsid w:val="00B143D6"/>
    <w:rsid w:val="00B14457"/>
    <w:rsid w:val="00B14596"/>
    <w:rsid w:val="00B147F7"/>
    <w:rsid w:val="00B14EA4"/>
    <w:rsid w:val="00B1504B"/>
    <w:rsid w:val="00B150C9"/>
    <w:rsid w:val="00B154E4"/>
    <w:rsid w:val="00B1571F"/>
    <w:rsid w:val="00B1577F"/>
    <w:rsid w:val="00B15897"/>
    <w:rsid w:val="00B159C1"/>
    <w:rsid w:val="00B15A26"/>
    <w:rsid w:val="00B15B78"/>
    <w:rsid w:val="00B15D1D"/>
    <w:rsid w:val="00B162EC"/>
    <w:rsid w:val="00B164F7"/>
    <w:rsid w:val="00B1659A"/>
    <w:rsid w:val="00B16620"/>
    <w:rsid w:val="00B167B4"/>
    <w:rsid w:val="00B16839"/>
    <w:rsid w:val="00B16888"/>
    <w:rsid w:val="00B169BE"/>
    <w:rsid w:val="00B16B67"/>
    <w:rsid w:val="00B16CF9"/>
    <w:rsid w:val="00B16F3F"/>
    <w:rsid w:val="00B170A1"/>
    <w:rsid w:val="00B170CF"/>
    <w:rsid w:val="00B171E9"/>
    <w:rsid w:val="00B17370"/>
    <w:rsid w:val="00B17465"/>
    <w:rsid w:val="00B17555"/>
    <w:rsid w:val="00B175FE"/>
    <w:rsid w:val="00B177C0"/>
    <w:rsid w:val="00B1791F"/>
    <w:rsid w:val="00B17C2C"/>
    <w:rsid w:val="00B17C49"/>
    <w:rsid w:val="00B17D83"/>
    <w:rsid w:val="00B17E55"/>
    <w:rsid w:val="00B17E99"/>
    <w:rsid w:val="00B203E8"/>
    <w:rsid w:val="00B203F9"/>
    <w:rsid w:val="00B2087F"/>
    <w:rsid w:val="00B20B60"/>
    <w:rsid w:val="00B20D55"/>
    <w:rsid w:val="00B21494"/>
    <w:rsid w:val="00B21CF0"/>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827"/>
    <w:rsid w:val="00B23932"/>
    <w:rsid w:val="00B23B32"/>
    <w:rsid w:val="00B23C66"/>
    <w:rsid w:val="00B23D98"/>
    <w:rsid w:val="00B23DCC"/>
    <w:rsid w:val="00B23F89"/>
    <w:rsid w:val="00B2413F"/>
    <w:rsid w:val="00B246A8"/>
    <w:rsid w:val="00B24B3B"/>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76B"/>
    <w:rsid w:val="00B2681A"/>
    <w:rsid w:val="00B268AA"/>
    <w:rsid w:val="00B26ADC"/>
    <w:rsid w:val="00B26C56"/>
    <w:rsid w:val="00B27011"/>
    <w:rsid w:val="00B27180"/>
    <w:rsid w:val="00B27219"/>
    <w:rsid w:val="00B27349"/>
    <w:rsid w:val="00B27586"/>
    <w:rsid w:val="00B2775D"/>
    <w:rsid w:val="00B279A8"/>
    <w:rsid w:val="00B27C91"/>
    <w:rsid w:val="00B27E12"/>
    <w:rsid w:val="00B30180"/>
    <w:rsid w:val="00B30817"/>
    <w:rsid w:val="00B3086D"/>
    <w:rsid w:val="00B308F0"/>
    <w:rsid w:val="00B30920"/>
    <w:rsid w:val="00B30A5C"/>
    <w:rsid w:val="00B30AFC"/>
    <w:rsid w:val="00B30C8B"/>
    <w:rsid w:val="00B30CFB"/>
    <w:rsid w:val="00B30E52"/>
    <w:rsid w:val="00B31025"/>
    <w:rsid w:val="00B31204"/>
    <w:rsid w:val="00B314AB"/>
    <w:rsid w:val="00B31566"/>
    <w:rsid w:val="00B31581"/>
    <w:rsid w:val="00B31982"/>
    <w:rsid w:val="00B319BB"/>
    <w:rsid w:val="00B31A2B"/>
    <w:rsid w:val="00B31A5C"/>
    <w:rsid w:val="00B31FDF"/>
    <w:rsid w:val="00B3227B"/>
    <w:rsid w:val="00B322F9"/>
    <w:rsid w:val="00B3235B"/>
    <w:rsid w:val="00B3261B"/>
    <w:rsid w:val="00B3269A"/>
    <w:rsid w:val="00B32BB0"/>
    <w:rsid w:val="00B33185"/>
    <w:rsid w:val="00B33196"/>
    <w:rsid w:val="00B331B4"/>
    <w:rsid w:val="00B3334F"/>
    <w:rsid w:val="00B333C6"/>
    <w:rsid w:val="00B34035"/>
    <w:rsid w:val="00B341E3"/>
    <w:rsid w:val="00B3449D"/>
    <w:rsid w:val="00B34511"/>
    <w:rsid w:val="00B34768"/>
    <w:rsid w:val="00B34929"/>
    <w:rsid w:val="00B34B78"/>
    <w:rsid w:val="00B34BD6"/>
    <w:rsid w:val="00B34D6A"/>
    <w:rsid w:val="00B34F23"/>
    <w:rsid w:val="00B34F3A"/>
    <w:rsid w:val="00B34F8D"/>
    <w:rsid w:val="00B35083"/>
    <w:rsid w:val="00B35799"/>
    <w:rsid w:val="00B357D5"/>
    <w:rsid w:val="00B357EA"/>
    <w:rsid w:val="00B35A02"/>
    <w:rsid w:val="00B35C09"/>
    <w:rsid w:val="00B35FBF"/>
    <w:rsid w:val="00B36604"/>
    <w:rsid w:val="00B36817"/>
    <w:rsid w:val="00B36A04"/>
    <w:rsid w:val="00B36D32"/>
    <w:rsid w:val="00B3722B"/>
    <w:rsid w:val="00B3733A"/>
    <w:rsid w:val="00B373A4"/>
    <w:rsid w:val="00B373B1"/>
    <w:rsid w:val="00B37612"/>
    <w:rsid w:val="00B3763C"/>
    <w:rsid w:val="00B37640"/>
    <w:rsid w:val="00B37769"/>
    <w:rsid w:val="00B378BB"/>
    <w:rsid w:val="00B37A70"/>
    <w:rsid w:val="00B37C5E"/>
    <w:rsid w:val="00B4009E"/>
    <w:rsid w:val="00B4013A"/>
    <w:rsid w:val="00B4031E"/>
    <w:rsid w:val="00B403E5"/>
    <w:rsid w:val="00B407C0"/>
    <w:rsid w:val="00B4099A"/>
    <w:rsid w:val="00B409D6"/>
    <w:rsid w:val="00B40A31"/>
    <w:rsid w:val="00B40A47"/>
    <w:rsid w:val="00B40A7F"/>
    <w:rsid w:val="00B40BAA"/>
    <w:rsid w:val="00B40F4F"/>
    <w:rsid w:val="00B40F89"/>
    <w:rsid w:val="00B412AB"/>
    <w:rsid w:val="00B416B0"/>
    <w:rsid w:val="00B41960"/>
    <w:rsid w:val="00B4198D"/>
    <w:rsid w:val="00B41992"/>
    <w:rsid w:val="00B41A10"/>
    <w:rsid w:val="00B41B42"/>
    <w:rsid w:val="00B41D4E"/>
    <w:rsid w:val="00B42000"/>
    <w:rsid w:val="00B420CA"/>
    <w:rsid w:val="00B42163"/>
    <w:rsid w:val="00B42231"/>
    <w:rsid w:val="00B42562"/>
    <w:rsid w:val="00B4264F"/>
    <w:rsid w:val="00B42975"/>
    <w:rsid w:val="00B42ADD"/>
    <w:rsid w:val="00B4319D"/>
    <w:rsid w:val="00B433B2"/>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36F"/>
    <w:rsid w:val="00B453FF"/>
    <w:rsid w:val="00B457D5"/>
    <w:rsid w:val="00B45BB7"/>
    <w:rsid w:val="00B45E61"/>
    <w:rsid w:val="00B45F88"/>
    <w:rsid w:val="00B4604D"/>
    <w:rsid w:val="00B46080"/>
    <w:rsid w:val="00B461B6"/>
    <w:rsid w:val="00B463FF"/>
    <w:rsid w:val="00B464EF"/>
    <w:rsid w:val="00B4662E"/>
    <w:rsid w:val="00B466E4"/>
    <w:rsid w:val="00B46751"/>
    <w:rsid w:val="00B4682D"/>
    <w:rsid w:val="00B46989"/>
    <w:rsid w:val="00B46CAE"/>
    <w:rsid w:val="00B46EF0"/>
    <w:rsid w:val="00B47049"/>
    <w:rsid w:val="00B47289"/>
    <w:rsid w:val="00B47A9B"/>
    <w:rsid w:val="00B47E82"/>
    <w:rsid w:val="00B47EAF"/>
    <w:rsid w:val="00B47EF4"/>
    <w:rsid w:val="00B47F59"/>
    <w:rsid w:val="00B5005D"/>
    <w:rsid w:val="00B501AD"/>
    <w:rsid w:val="00B502E7"/>
    <w:rsid w:val="00B50454"/>
    <w:rsid w:val="00B5048E"/>
    <w:rsid w:val="00B504D4"/>
    <w:rsid w:val="00B50566"/>
    <w:rsid w:val="00B505FD"/>
    <w:rsid w:val="00B50711"/>
    <w:rsid w:val="00B50AB8"/>
    <w:rsid w:val="00B50C6A"/>
    <w:rsid w:val="00B50C8A"/>
    <w:rsid w:val="00B50FD2"/>
    <w:rsid w:val="00B5149E"/>
    <w:rsid w:val="00B51568"/>
    <w:rsid w:val="00B516B4"/>
    <w:rsid w:val="00B517F8"/>
    <w:rsid w:val="00B5183F"/>
    <w:rsid w:val="00B51979"/>
    <w:rsid w:val="00B51A65"/>
    <w:rsid w:val="00B51A6A"/>
    <w:rsid w:val="00B51DBB"/>
    <w:rsid w:val="00B51FF2"/>
    <w:rsid w:val="00B521D0"/>
    <w:rsid w:val="00B5233E"/>
    <w:rsid w:val="00B52520"/>
    <w:rsid w:val="00B52684"/>
    <w:rsid w:val="00B528F3"/>
    <w:rsid w:val="00B52A02"/>
    <w:rsid w:val="00B52F7E"/>
    <w:rsid w:val="00B53165"/>
    <w:rsid w:val="00B53566"/>
    <w:rsid w:val="00B5362D"/>
    <w:rsid w:val="00B536F5"/>
    <w:rsid w:val="00B53758"/>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3D1"/>
    <w:rsid w:val="00B55433"/>
    <w:rsid w:val="00B55894"/>
    <w:rsid w:val="00B558F6"/>
    <w:rsid w:val="00B55B8F"/>
    <w:rsid w:val="00B55D61"/>
    <w:rsid w:val="00B55F8D"/>
    <w:rsid w:val="00B5600E"/>
    <w:rsid w:val="00B56297"/>
    <w:rsid w:val="00B5651D"/>
    <w:rsid w:val="00B56796"/>
    <w:rsid w:val="00B56AF7"/>
    <w:rsid w:val="00B56B9B"/>
    <w:rsid w:val="00B56B9D"/>
    <w:rsid w:val="00B56F47"/>
    <w:rsid w:val="00B57039"/>
    <w:rsid w:val="00B574D6"/>
    <w:rsid w:val="00B574DA"/>
    <w:rsid w:val="00B57A5C"/>
    <w:rsid w:val="00B57DA4"/>
    <w:rsid w:val="00B57DFA"/>
    <w:rsid w:val="00B60168"/>
    <w:rsid w:val="00B60531"/>
    <w:rsid w:val="00B605F5"/>
    <w:rsid w:val="00B606D8"/>
    <w:rsid w:val="00B60720"/>
    <w:rsid w:val="00B609CF"/>
    <w:rsid w:val="00B60B94"/>
    <w:rsid w:val="00B60D77"/>
    <w:rsid w:val="00B6133F"/>
    <w:rsid w:val="00B6140D"/>
    <w:rsid w:val="00B614FB"/>
    <w:rsid w:val="00B615B0"/>
    <w:rsid w:val="00B6161C"/>
    <w:rsid w:val="00B61741"/>
    <w:rsid w:val="00B61C14"/>
    <w:rsid w:val="00B61E60"/>
    <w:rsid w:val="00B61EEC"/>
    <w:rsid w:val="00B62057"/>
    <w:rsid w:val="00B620EB"/>
    <w:rsid w:val="00B62742"/>
    <w:rsid w:val="00B6277A"/>
    <w:rsid w:val="00B627DF"/>
    <w:rsid w:val="00B62946"/>
    <w:rsid w:val="00B62A1E"/>
    <w:rsid w:val="00B62A55"/>
    <w:rsid w:val="00B62B23"/>
    <w:rsid w:val="00B62C60"/>
    <w:rsid w:val="00B62DF4"/>
    <w:rsid w:val="00B62DFA"/>
    <w:rsid w:val="00B632AA"/>
    <w:rsid w:val="00B63385"/>
    <w:rsid w:val="00B635F8"/>
    <w:rsid w:val="00B6387E"/>
    <w:rsid w:val="00B6391C"/>
    <w:rsid w:val="00B639A5"/>
    <w:rsid w:val="00B63AB7"/>
    <w:rsid w:val="00B63C37"/>
    <w:rsid w:val="00B63CBC"/>
    <w:rsid w:val="00B63E94"/>
    <w:rsid w:val="00B63F7D"/>
    <w:rsid w:val="00B64064"/>
    <w:rsid w:val="00B6437B"/>
    <w:rsid w:val="00B64439"/>
    <w:rsid w:val="00B64479"/>
    <w:rsid w:val="00B644CF"/>
    <w:rsid w:val="00B645A6"/>
    <w:rsid w:val="00B64BC8"/>
    <w:rsid w:val="00B64D0E"/>
    <w:rsid w:val="00B654E9"/>
    <w:rsid w:val="00B65616"/>
    <w:rsid w:val="00B656C5"/>
    <w:rsid w:val="00B656FE"/>
    <w:rsid w:val="00B65EC9"/>
    <w:rsid w:val="00B66018"/>
    <w:rsid w:val="00B66127"/>
    <w:rsid w:val="00B6616E"/>
    <w:rsid w:val="00B663DD"/>
    <w:rsid w:val="00B6647A"/>
    <w:rsid w:val="00B6687A"/>
    <w:rsid w:val="00B6691F"/>
    <w:rsid w:val="00B66C15"/>
    <w:rsid w:val="00B66F68"/>
    <w:rsid w:val="00B67187"/>
    <w:rsid w:val="00B6733A"/>
    <w:rsid w:val="00B6766B"/>
    <w:rsid w:val="00B67681"/>
    <w:rsid w:val="00B67741"/>
    <w:rsid w:val="00B6789A"/>
    <w:rsid w:val="00B67A47"/>
    <w:rsid w:val="00B67B72"/>
    <w:rsid w:val="00B67FAD"/>
    <w:rsid w:val="00B7022A"/>
    <w:rsid w:val="00B70232"/>
    <w:rsid w:val="00B7048E"/>
    <w:rsid w:val="00B704DF"/>
    <w:rsid w:val="00B705FC"/>
    <w:rsid w:val="00B70771"/>
    <w:rsid w:val="00B709B3"/>
    <w:rsid w:val="00B70BD5"/>
    <w:rsid w:val="00B71188"/>
    <w:rsid w:val="00B71267"/>
    <w:rsid w:val="00B714AC"/>
    <w:rsid w:val="00B7153E"/>
    <w:rsid w:val="00B71628"/>
    <w:rsid w:val="00B716A9"/>
    <w:rsid w:val="00B71770"/>
    <w:rsid w:val="00B71881"/>
    <w:rsid w:val="00B7198A"/>
    <w:rsid w:val="00B71BFD"/>
    <w:rsid w:val="00B7217B"/>
    <w:rsid w:val="00B721D9"/>
    <w:rsid w:val="00B7226F"/>
    <w:rsid w:val="00B722F5"/>
    <w:rsid w:val="00B72639"/>
    <w:rsid w:val="00B72767"/>
    <w:rsid w:val="00B7282B"/>
    <w:rsid w:val="00B72948"/>
    <w:rsid w:val="00B72B05"/>
    <w:rsid w:val="00B72C26"/>
    <w:rsid w:val="00B72E2A"/>
    <w:rsid w:val="00B72F6D"/>
    <w:rsid w:val="00B72FA9"/>
    <w:rsid w:val="00B73062"/>
    <w:rsid w:val="00B7372C"/>
    <w:rsid w:val="00B7388C"/>
    <w:rsid w:val="00B738DB"/>
    <w:rsid w:val="00B73B96"/>
    <w:rsid w:val="00B73D9B"/>
    <w:rsid w:val="00B740DB"/>
    <w:rsid w:val="00B742AD"/>
    <w:rsid w:val="00B74331"/>
    <w:rsid w:val="00B7438F"/>
    <w:rsid w:val="00B74605"/>
    <w:rsid w:val="00B746F9"/>
    <w:rsid w:val="00B74776"/>
    <w:rsid w:val="00B7488D"/>
    <w:rsid w:val="00B74A78"/>
    <w:rsid w:val="00B74B2B"/>
    <w:rsid w:val="00B74F28"/>
    <w:rsid w:val="00B751F2"/>
    <w:rsid w:val="00B75329"/>
    <w:rsid w:val="00B7537D"/>
    <w:rsid w:val="00B75580"/>
    <w:rsid w:val="00B75AFF"/>
    <w:rsid w:val="00B75BBA"/>
    <w:rsid w:val="00B7646E"/>
    <w:rsid w:val="00B7690D"/>
    <w:rsid w:val="00B76B95"/>
    <w:rsid w:val="00B76C80"/>
    <w:rsid w:val="00B76D2C"/>
    <w:rsid w:val="00B76FF0"/>
    <w:rsid w:val="00B76FF8"/>
    <w:rsid w:val="00B77025"/>
    <w:rsid w:val="00B7716C"/>
    <w:rsid w:val="00B772BB"/>
    <w:rsid w:val="00B7745A"/>
    <w:rsid w:val="00B77540"/>
    <w:rsid w:val="00B776C1"/>
    <w:rsid w:val="00B7785F"/>
    <w:rsid w:val="00B77930"/>
    <w:rsid w:val="00B77ABE"/>
    <w:rsid w:val="00B77B91"/>
    <w:rsid w:val="00B77F3D"/>
    <w:rsid w:val="00B8005D"/>
    <w:rsid w:val="00B80091"/>
    <w:rsid w:val="00B800B1"/>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9DA"/>
    <w:rsid w:val="00B81AED"/>
    <w:rsid w:val="00B81DB6"/>
    <w:rsid w:val="00B81F79"/>
    <w:rsid w:val="00B81FBD"/>
    <w:rsid w:val="00B8224B"/>
    <w:rsid w:val="00B8252D"/>
    <w:rsid w:val="00B8275D"/>
    <w:rsid w:val="00B8278C"/>
    <w:rsid w:val="00B827B3"/>
    <w:rsid w:val="00B827BF"/>
    <w:rsid w:val="00B82949"/>
    <w:rsid w:val="00B8298E"/>
    <w:rsid w:val="00B82A42"/>
    <w:rsid w:val="00B82BDB"/>
    <w:rsid w:val="00B82D59"/>
    <w:rsid w:val="00B82DCD"/>
    <w:rsid w:val="00B831ED"/>
    <w:rsid w:val="00B83334"/>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936"/>
    <w:rsid w:val="00B84AFC"/>
    <w:rsid w:val="00B84C82"/>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C24"/>
    <w:rsid w:val="00B86EC0"/>
    <w:rsid w:val="00B86F6F"/>
    <w:rsid w:val="00B87270"/>
    <w:rsid w:val="00B87385"/>
    <w:rsid w:val="00B879A4"/>
    <w:rsid w:val="00B879AB"/>
    <w:rsid w:val="00B87DBE"/>
    <w:rsid w:val="00B87EEE"/>
    <w:rsid w:val="00B87EF2"/>
    <w:rsid w:val="00B900E9"/>
    <w:rsid w:val="00B9012D"/>
    <w:rsid w:val="00B90535"/>
    <w:rsid w:val="00B90566"/>
    <w:rsid w:val="00B905E0"/>
    <w:rsid w:val="00B90619"/>
    <w:rsid w:val="00B908C8"/>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B88"/>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1CB"/>
    <w:rsid w:val="00B95341"/>
    <w:rsid w:val="00B9536A"/>
    <w:rsid w:val="00B953FA"/>
    <w:rsid w:val="00B95AB0"/>
    <w:rsid w:val="00B95C70"/>
    <w:rsid w:val="00B95D79"/>
    <w:rsid w:val="00B95DBF"/>
    <w:rsid w:val="00B95E24"/>
    <w:rsid w:val="00B96224"/>
    <w:rsid w:val="00B9626C"/>
    <w:rsid w:val="00B962F3"/>
    <w:rsid w:val="00B96418"/>
    <w:rsid w:val="00B9649D"/>
    <w:rsid w:val="00B96C70"/>
    <w:rsid w:val="00B96D23"/>
    <w:rsid w:val="00B96D4F"/>
    <w:rsid w:val="00B96D54"/>
    <w:rsid w:val="00B96ED9"/>
    <w:rsid w:val="00B97104"/>
    <w:rsid w:val="00B97642"/>
    <w:rsid w:val="00B977B6"/>
    <w:rsid w:val="00B97934"/>
    <w:rsid w:val="00B97A1F"/>
    <w:rsid w:val="00B97A26"/>
    <w:rsid w:val="00B97A7A"/>
    <w:rsid w:val="00B97D6A"/>
    <w:rsid w:val="00B97D76"/>
    <w:rsid w:val="00B97FA4"/>
    <w:rsid w:val="00BA01F4"/>
    <w:rsid w:val="00BA0325"/>
    <w:rsid w:val="00BA03BD"/>
    <w:rsid w:val="00BA04CC"/>
    <w:rsid w:val="00BA0564"/>
    <w:rsid w:val="00BA070E"/>
    <w:rsid w:val="00BA083E"/>
    <w:rsid w:val="00BA08F2"/>
    <w:rsid w:val="00BA0A5E"/>
    <w:rsid w:val="00BA0BB1"/>
    <w:rsid w:val="00BA0D70"/>
    <w:rsid w:val="00BA0E24"/>
    <w:rsid w:val="00BA1112"/>
    <w:rsid w:val="00BA12C3"/>
    <w:rsid w:val="00BA1377"/>
    <w:rsid w:val="00BA1432"/>
    <w:rsid w:val="00BA15B9"/>
    <w:rsid w:val="00BA1913"/>
    <w:rsid w:val="00BA198C"/>
    <w:rsid w:val="00BA1AD6"/>
    <w:rsid w:val="00BA1C33"/>
    <w:rsid w:val="00BA1DA0"/>
    <w:rsid w:val="00BA1DF1"/>
    <w:rsid w:val="00BA1F19"/>
    <w:rsid w:val="00BA1FBE"/>
    <w:rsid w:val="00BA20CC"/>
    <w:rsid w:val="00BA22EC"/>
    <w:rsid w:val="00BA23F6"/>
    <w:rsid w:val="00BA242D"/>
    <w:rsid w:val="00BA246A"/>
    <w:rsid w:val="00BA27D1"/>
    <w:rsid w:val="00BA27FC"/>
    <w:rsid w:val="00BA3271"/>
    <w:rsid w:val="00BA3A40"/>
    <w:rsid w:val="00BA3FED"/>
    <w:rsid w:val="00BA401F"/>
    <w:rsid w:val="00BA424C"/>
    <w:rsid w:val="00BA43C9"/>
    <w:rsid w:val="00BA48DE"/>
    <w:rsid w:val="00BA4931"/>
    <w:rsid w:val="00BA4950"/>
    <w:rsid w:val="00BA4A43"/>
    <w:rsid w:val="00BA4AC6"/>
    <w:rsid w:val="00BA4CD6"/>
    <w:rsid w:val="00BA4CFB"/>
    <w:rsid w:val="00BA4D1B"/>
    <w:rsid w:val="00BA5729"/>
    <w:rsid w:val="00BA578E"/>
    <w:rsid w:val="00BA5CD2"/>
    <w:rsid w:val="00BA5CF4"/>
    <w:rsid w:val="00BA5DA3"/>
    <w:rsid w:val="00BA5E0C"/>
    <w:rsid w:val="00BA5EA4"/>
    <w:rsid w:val="00BA5F47"/>
    <w:rsid w:val="00BA615C"/>
    <w:rsid w:val="00BA624A"/>
    <w:rsid w:val="00BA62AC"/>
    <w:rsid w:val="00BA639F"/>
    <w:rsid w:val="00BA650B"/>
    <w:rsid w:val="00BA6B0A"/>
    <w:rsid w:val="00BA6C68"/>
    <w:rsid w:val="00BA7008"/>
    <w:rsid w:val="00BA7068"/>
    <w:rsid w:val="00BA71B4"/>
    <w:rsid w:val="00BA7218"/>
    <w:rsid w:val="00BA72BD"/>
    <w:rsid w:val="00BA7359"/>
    <w:rsid w:val="00BA73E5"/>
    <w:rsid w:val="00BA73F4"/>
    <w:rsid w:val="00BA78BA"/>
    <w:rsid w:val="00BA7AB7"/>
    <w:rsid w:val="00BA7E56"/>
    <w:rsid w:val="00BB00AA"/>
    <w:rsid w:val="00BB00FE"/>
    <w:rsid w:val="00BB046D"/>
    <w:rsid w:val="00BB04FF"/>
    <w:rsid w:val="00BB0673"/>
    <w:rsid w:val="00BB09BC"/>
    <w:rsid w:val="00BB0A06"/>
    <w:rsid w:val="00BB0B5D"/>
    <w:rsid w:val="00BB0C8E"/>
    <w:rsid w:val="00BB0F4D"/>
    <w:rsid w:val="00BB1071"/>
    <w:rsid w:val="00BB108B"/>
    <w:rsid w:val="00BB110B"/>
    <w:rsid w:val="00BB136B"/>
    <w:rsid w:val="00BB14CE"/>
    <w:rsid w:val="00BB15F4"/>
    <w:rsid w:val="00BB1694"/>
    <w:rsid w:val="00BB1907"/>
    <w:rsid w:val="00BB19A9"/>
    <w:rsid w:val="00BB1B4D"/>
    <w:rsid w:val="00BB2156"/>
    <w:rsid w:val="00BB2193"/>
    <w:rsid w:val="00BB2283"/>
    <w:rsid w:val="00BB22CB"/>
    <w:rsid w:val="00BB239D"/>
    <w:rsid w:val="00BB24FC"/>
    <w:rsid w:val="00BB2559"/>
    <w:rsid w:val="00BB27C6"/>
    <w:rsid w:val="00BB2812"/>
    <w:rsid w:val="00BB2883"/>
    <w:rsid w:val="00BB29BF"/>
    <w:rsid w:val="00BB2B37"/>
    <w:rsid w:val="00BB2CC6"/>
    <w:rsid w:val="00BB30FF"/>
    <w:rsid w:val="00BB3306"/>
    <w:rsid w:val="00BB33C2"/>
    <w:rsid w:val="00BB3442"/>
    <w:rsid w:val="00BB38EA"/>
    <w:rsid w:val="00BB39E4"/>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76"/>
    <w:rsid w:val="00BB55B4"/>
    <w:rsid w:val="00BB581B"/>
    <w:rsid w:val="00BB5830"/>
    <w:rsid w:val="00BB58F8"/>
    <w:rsid w:val="00BB5B64"/>
    <w:rsid w:val="00BB5EB3"/>
    <w:rsid w:val="00BB5F9B"/>
    <w:rsid w:val="00BB5FB1"/>
    <w:rsid w:val="00BB6302"/>
    <w:rsid w:val="00BB633D"/>
    <w:rsid w:val="00BB65E7"/>
    <w:rsid w:val="00BB663F"/>
    <w:rsid w:val="00BB6664"/>
    <w:rsid w:val="00BB66CA"/>
    <w:rsid w:val="00BB6794"/>
    <w:rsid w:val="00BB69E6"/>
    <w:rsid w:val="00BB6A9F"/>
    <w:rsid w:val="00BB6BCA"/>
    <w:rsid w:val="00BB6C15"/>
    <w:rsid w:val="00BB6D89"/>
    <w:rsid w:val="00BB6EA6"/>
    <w:rsid w:val="00BB6F54"/>
    <w:rsid w:val="00BB7114"/>
    <w:rsid w:val="00BB748D"/>
    <w:rsid w:val="00BB7652"/>
    <w:rsid w:val="00BB7DAA"/>
    <w:rsid w:val="00BB7EEF"/>
    <w:rsid w:val="00BB7F93"/>
    <w:rsid w:val="00BC0005"/>
    <w:rsid w:val="00BC001B"/>
    <w:rsid w:val="00BC003D"/>
    <w:rsid w:val="00BC02EA"/>
    <w:rsid w:val="00BC03F7"/>
    <w:rsid w:val="00BC0561"/>
    <w:rsid w:val="00BC0766"/>
    <w:rsid w:val="00BC082A"/>
    <w:rsid w:val="00BC09A1"/>
    <w:rsid w:val="00BC0B24"/>
    <w:rsid w:val="00BC0DBD"/>
    <w:rsid w:val="00BC0E3E"/>
    <w:rsid w:val="00BC0EBB"/>
    <w:rsid w:val="00BC0EF4"/>
    <w:rsid w:val="00BC0FF3"/>
    <w:rsid w:val="00BC13D1"/>
    <w:rsid w:val="00BC1472"/>
    <w:rsid w:val="00BC1862"/>
    <w:rsid w:val="00BC18D1"/>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C25"/>
    <w:rsid w:val="00BC3E8D"/>
    <w:rsid w:val="00BC403D"/>
    <w:rsid w:val="00BC41B4"/>
    <w:rsid w:val="00BC44C8"/>
    <w:rsid w:val="00BC452B"/>
    <w:rsid w:val="00BC47FA"/>
    <w:rsid w:val="00BC48C2"/>
    <w:rsid w:val="00BC4B96"/>
    <w:rsid w:val="00BC504D"/>
    <w:rsid w:val="00BC5061"/>
    <w:rsid w:val="00BC50AA"/>
    <w:rsid w:val="00BC5372"/>
    <w:rsid w:val="00BC541E"/>
    <w:rsid w:val="00BC5447"/>
    <w:rsid w:val="00BC5724"/>
    <w:rsid w:val="00BC582C"/>
    <w:rsid w:val="00BC588E"/>
    <w:rsid w:val="00BC5AF5"/>
    <w:rsid w:val="00BC5B89"/>
    <w:rsid w:val="00BC5EB0"/>
    <w:rsid w:val="00BC6135"/>
    <w:rsid w:val="00BC61AA"/>
    <w:rsid w:val="00BC6262"/>
    <w:rsid w:val="00BC6628"/>
    <w:rsid w:val="00BC66A1"/>
    <w:rsid w:val="00BC66A9"/>
    <w:rsid w:val="00BC67DF"/>
    <w:rsid w:val="00BC6C1B"/>
    <w:rsid w:val="00BC703D"/>
    <w:rsid w:val="00BC721C"/>
    <w:rsid w:val="00BC7362"/>
    <w:rsid w:val="00BC75DF"/>
    <w:rsid w:val="00BC7825"/>
    <w:rsid w:val="00BC7915"/>
    <w:rsid w:val="00BC79A7"/>
    <w:rsid w:val="00BC7A40"/>
    <w:rsid w:val="00BC7AE1"/>
    <w:rsid w:val="00BC7E8F"/>
    <w:rsid w:val="00BC7EA1"/>
    <w:rsid w:val="00BC7EC1"/>
    <w:rsid w:val="00BD0237"/>
    <w:rsid w:val="00BD031C"/>
    <w:rsid w:val="00BD03EE"/>
    <w:rsid w:val="00BD08EC"/>
    <w:rsid w:val="00BD0992"/>
    <w:rsid w:val="00BD0A98"/>
    <w:rsid w:val="00BD0ADB"/>
    <w:rsid w:val="00BD0B34"/>
    <w:rsid w:val="00BD0BC1"/>
    <w:rsid w:val="00BD0D90"/>
    <w:rsid w:val="00BD0E5B"/>
    <w:rsid w:val="00BD0F8E"/>
    <w:rsid w:val="00BD0FFE"/>
    <w:rsid w:val="00BD123F"/>
    <w:rsid w:val="00BD133D"/>
    <w:rsid w:val="00BD1389"/>
    <w:rsid w:val="00BD1500"/>
    <w:rsid w:val="00BD1589"/>
    <w:rsid w:val="00BD1792"/>
    <w:rsid w:val="00BD19E5"/>
    <w:rsid w:val="00BD1A29"/>
    <w:rsid w:val="00BD1ABB"/>
    <w:rsid w:val="00BD1AC4"/>
    <w:rsid w:val="00BD1B2D"/>
    <w:rsid w:val="00BD1C3D"/>
    <w:rsid w:val="00BD2742"/>
    <w:rsid w:val="00BD2766"/>
    <w:rsid w:val="00BD2926"/>
    <w:rsid w:val="00BD299E"/>
    <w:rsid w:val="00BD2A5C"/>
    <w:rsid w:val="00BD2A66"/>
    <w:rsid w:val="00BD2AC7"/>
    <w:rsid w:val="00BD2AE5"/>
    <w:rsid w:val="00BD2C5F"/>
    <w:rsid w:val="00BD2D35"/>
    <w:rsid w:val="00BD2E77"/>
    <w:rsid w:val="00BD30CC"/>
    <w:rsid w:val="00BD32B6"/>
    <w:rsid w:val="00BD34DB"/>
    <w:rsid w:val="00BD3722"/>
    <w:rsid w:val="00BD3819"/>
    <w:rsid w:val="00BD3855"/>
    <w:rsid w:val="00BD3919"/>
    <w:rsid w:val="00BD3B4D"/>
    <w:rsid w:val="00BD3EAD"/>
    <w:rsid w:val="00BD3EC2"/>
    <w:rsid w:val="00BD412C"/>
    <w:rsid w:val="00BD41B0"/>
    <w:rsid w:val="00BD4327"/>
    <w:rsid w:val="00BD44B6"/>
    <w:rsid w:val="00BD4632"/>
    <w:rsid w:val="00BD480C"/>
    <w:rsid w:val="00BD4B10"/>
    <w:rsid w:val="00BD4C67"/>
    <w:rsid w:val="00BD4CC2"/>
    <w:rsid w:val="00BD4CED"/>
    <w:rsid w:val="00BD4EE8"/>
    <w:rsid w:val="00BD4F99"/>
    <w:rsid w:val="00BD5101"/>
    <w:rsid w:val="00BD51F2"/>
    <w:rsid w:val="00BD52EA"/>
    <w:rsid w:val="00BD5375"/>
    <w:rsid w:val="00BD5397"/>
    <w:rsid w:val="00BD53A6"/>
    <w:rsid w:val="00BD5702"/>
    <w:rsid w:val="00BD5C3F"/>
    <w:rsid w:val="00BD5CEA"/>
    <w:rsid w:val="00BD5E45"/>
    <w:rsid w:val="00BD5FDF"/>
    <w:rsid w:val="00BD64AF"/>
    <w:rsid w:val="00BD6552"/>
    <w:rsid w:val="00BD65DA"/>
    <w:rsid w:val="00BD66D6"/>
    <w:rsid w:val="00BD68EA"/>
    <w:rsid w:val="00BD6CD9"/>
    <w:rsid w:val="00BD6D6D"/>
    <w:rsid w:val="00BD7023"/>
    <w:rsid w:val="00BD720C"/>
    <w:rsid w:val="00BD7317"/>
    <w:rsid w:val="00BD732A"/>
    <w:rsid w:val="00BD7BFF"/>
    <w:rsid w:val="00BD7F8E"/>
    <w:rsid w:val="00BE02B3"/>
    <w:rsid w:val="00BE050B"/>
    <w:rsid w:val="00BE0590"/>
    <w:rsid w:val="00BE080D"/>
    <w:rsid w:val="00BE0AB8"/>
    <w:rsid w:val="00BE0D7D"/>
    <w:rsid w:val="00BE0E8B"/>
    <w:rsid w:val="00BE0FB8"/>
    <w:rsid w:val="00BE13D8"/>
    <w:rsid w:val="00BE14A0"/>
    <w:rsid w:val="00BE1866"/>
    <w:rsid w:val="00BE19F0"/>
    <w:rsid w:val="00BE1D5A"/>
    <w:rsid w:val="00BE1E31"/>
    <w:rsid w:val="00BE1F26"/>
    <w:rsid w:val="00BE21BC"/>
    <w:rsid w:val="00BE2249"/>
    <w:rsid w:val="00BE248C"/>
    <w:rsid w:val="00BE2593"/>
    <w:rsid w:val="00BE26BD"/>
    <w:rsid w:val="00BE26D7"/>
    <w:rsid w:val="00BE27F3"/>
    <w:rsid w:val="00BE2CD1"/>
    <w:rsid w:val="00BE3451"/>
    <w:rsid w:val="00BE3506"/>
    <w:rsid w:val="00BE3990"/>
    <w:rsid w:val="00BE3AE6"/>
    <w:rsid w:val="00BE3CA2"/>
    <w:rsid w:val="00BE3E18"/>
    <w:rsid w:val="00BE3FAB"/>
    <w:rsid w:val="00BE4A40"/>
    <w:rsid w:val="00BE4B1D"/>
    <w:rsid w:val="00BE53DF"/>
    <w:rsid w:val="00BE54CF"/>
    <w:rsid w:val="00BE5604"/>
    <w:rsid w:val="00BE5642"/>
    <w:rsid w:val="00BE5713"/>
    <w:rsid w:val="00BE5749"/>
    <w:rsid w:val="00BE58BD"/>
    <w:rsid w:val="00BE5911"/>
    <w:rsid w:val="00BE5A55"/>
    <w:rsid w:val="00BE5B3A"/>
    <w:rsid w:val="00BE5BC0"/>
    <w:rsid w:val="00BE5D30"/>
    <w:rsid w:val="00BE5FB5"/>
    <w:rsid w:val="00BE601E"/>
    <w:rsid w:val="00BE6056"/>
    <w:rsid w:val="00BE61E0"/>
    <w:rsid w:val="00BE6434"/>
    <w:rsid w:val="00BE65A9"/>
    <w:rsid w:val="00BE66CD"/>
    <w:rsid w:val="00BE6749"/>
    <w:rsid w:val="00BE6796"/>
    <w:rsid w:val="00BE680A"/>
    <w:rsid w:val="00BE698C"/>
    <w:rsid w:val="00BE69C2"/>
    <w:rsid w:val="00BE6B3F"/>
    <w:rsid w:val="00BE6C29"/>
    <w:rsid w:val="00BE6EFA"/>
    <w:rsid w:val="00BE6F03"/>
    <w:rsid w:val="00BE6F11"/>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21"/>
    <w:rsid w:val="00BF0DAE"/>
    <w:rsid w:val="00BF0F34"/>
    <w:rsid w:val="00BF10B7"/>
    <w:rsid w:val="00BF114E"/>
    <w:rsid w:val="00BF1401"/>
    <w:rsid w:val="00BF1480"/>
    <w:rsid w:val="00BF1514"/>
    <w:rsid w:val="00BF1651"/>
    <w:rsid w:val="00BF1A35"/>
    <w:rsid w:val="00BF1BD7"/>
    <w:rsid w:val="00BF1CA3"/>
    <w:rsid w:val="00BF1D73"/>
    <w:rsid w:val="00BF1DAC"/>
    <w:rsid w:val="00BF225C"/>
    <w:rsid w:val="00BF26BE"/>
    <w:rsid w:val="00BF26C3"/>
    <w:rsid w:val="00BF2803"/>
    <w:rsid w:val="00BF2D63"/>
    <w:rsid w:val="00BF30C3"/>
    <w:rsid w:val="00BF30C4"/>
    <w:rsid w:val="00BF33AD"/>
    <w:rsid w:val="00BF344D"/>
    <w:rsid w:val="00BF34E7"/>
    <w:rsid w:val="00BF3777"/>
    <w:rsid w:val="00BF3914"/>
    <w:rsid w:val="00BF3A01"/>
    <w:rsid w:val="00BF3BF6"/>
    <w:rsid w:val="00BF3EC6"/>
    <w:rsid w:val="00BF48F4"/>
    <w:rsid w:val="00BF497A"/>
    <w:rsid w:val="00BF4AD9"/>
    <w:rsid w:val="00BF4B98"/>
    <w:rsid w:val="00BF4DE8"/>
    <w:rsid w:val="00BF4FE8"/>
    <w:rsid w:val="00BF5088"/>
    <w:rsid w:val="00BF521E"/>
    <w:rsid w:val="00BF5268"/>
    <w:rsid w:val="00BF5342"/>
    <w:rsid w:val="00BF538E"/>
    <w:rsid w:val="00BF54EE"/>
    <w:rsid w:val="00BF5702"/>
    <w:rsid w:val="00BF579F"/>
    <w:rsid w:val="00BF581D"/>
    <w:rsid w:val="00BF592D"/>
    <w:rsid w:val="00BF5A3F"/>
    <w:rsid w:val="00BF5EF0"/>
    <w:rsid w:val="00BF607A"/>
    <w:rsid w:val="00BF63C4"/>
    <w:rsid w:val="00BF659C"/>
    <w:rsid w:val="00BF660A"/>
    <w:rsid w:val="00BF67EF"/>
    <w:rsid w:val="00BF68A0"/>
    <w:rsid w:val="00BF68D9"/>
    <w:rsid w:val="00BF6AB5"/>
    <w:rsid w:val="00BF6B12"/>
    <w:rsid w:val="00BF6B85"/>
    <w:rsid w:val="00BF721B"/>
    <w:rsid w:val="00BF727A"/>
    <w:rsid w:val="00BF73F0"/>
    <w:rsid w:val="00BF744E"/>
    <w:rsid w:val="00BF7780"/>
    <w:rsid w:val="00BF7813"/>
    <w:rsid w:val="00BF7845"/>
    <w:rsid w:val="00BF7865"/>
    <w:rsid w:val="00BF7BF2"/>
    <w:rsid w:val="00BF7C8B"/>
    <w:rsid w:val="00C0000C"/>
    <w:rsid w:val="00C0079C"/>
    <w:rsid w:val="00C0083C"/>
    <w:rsid w:val="00C009F0"/>
    <w:rsid w:val="00C010A8"/>
    <w:rsid w:val="00C0141D"/>
    <w:rsid w:val="00C014DE"/>
    <w:rsid w:val="00C0152B"/>
    <w:rsid w:val="00C0164A"/>
    <w:rsid w:val="00C01798"/>
    <w:rsid w:val="00C017BF"/>
    <w:rsid w:val="00C019FC"/>
    <w:rsid w:val="00C01B0B"/>
    <w:rsid w:val="00C01E7D"/>
    <w:rsid w:val="00C01EBD"/>
    <w:rsid w:val="00C01F1E"/>
    <w:rsid w:val="00C02001"/>
    <w:rsid w:val="00C0202B"/>
    <w:rsid w:val="00C02049"/>
    <w:rsid w:val="00C021BB"/>
    <w:rsid w:val="00C021EB"/>
    <w:rsid w:val="00C0224D"/>
    <w:rsid w:val="00C02299"/>
    <w:rsid w:val="00C0240F"/>
    <w:rsid w:val="00C0277E"/>
    <w:rsid w:val="00C029EA"/>
    <w:rsid w:val="00C02A20"/>
    <w:rsid w:val="00C02B39"/>
    <w:rsid w:val="00C02B4F"/>
    <w:rsid w:val="00C02DE3"/>
    <w:rsid w:val="00C02ECB"/>
    <w:rsid w:val="00C02FE1"/>
    <w:rsid w:val="00C03012"/>
    <w:rsid w:val="00C03526"/>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91"/>
    <w:rsid w:val="00C051D9"/>
    <w:rsid w:val="00C0525D"/>
    <w:rsid w:val="00C05451"/>
    <w:rsid w:val="00C0555E"/>
    <w:rsid w:val="00C0558B"/>
    <w:rsid w:val="00C05613"/>
    <w:rsid w:val="00C05699"/>
    <w:rsid w:val="00C057EE"/>
    <w:rsid w:val="00C058D4"/>
    <w:rsid w:val="00C05A1B"/>
    <w:rsid w:val="00C05B9C"/>
    <w:rsid w:val="00C05BE5"/>
    <w:rsid w:val="00C05C4E"/>
    <w:rsid w:val="00C05CB8"/>
    <w:rsid w:val="00C05DF1"/>
    <w:rsid w:val="00C05E55"/>
    <w:rsid w:val="00C0606C"/>
    <w:rsid w:val="00C063D9"/>
    <w:rsid w:val="00C06408"/>
    <w:rsid w:val="00C06416"/>
    <w:rsid w:val="00C064A7"/>
    <w:rsid w:val="00C06508"/>
    <w:rsid w:val="00C066D3"/>
    <w:rsid w:val="00C06CFA"/>
    <w:rsid w:val="00C06F4D"/>
    <w:rsid w:val="00C070CF"/>
    <w:rsid w:val="00C0719D"/>
    <w:rsid w:val="00C074E0"/>
    <w:rsid w:val="00C076D3"/>
    <w:rsid w:val="00C0792A"/>
    <w:rsid w:val="00C07B21"/>
    <w:rsid w:val="00C07C03"/>
    <w:rsid w:val="00C07C0E"/>
    <w:rsid w:val="00C07DD9"/>
    <w:rsid w:val="00C07F1C"/>
    <w:rsid w:val="00C1008D"/>
    <w:rsid w:val="00C10462"/>
    <w:rsid w:val="00C106BA"/>
    <w:rsid w:val="00C10792"/>
    <w:rsid w:val="00C108D4"/>
    <w:rsid w:val="00C1092E"/>
    <w:rsid w:val="00C10B90"/>
    <w:rsid w:val="00C10C7E"/>
    <w:rsid w:val="00C10DC1"/>
    <w:rsid w:val="00C112DF"/>
    <w:rsid w:val="00C1166D"/>
    <w:rsid w:val="00C1195F"/>
    <w:rsid w:val="00C119A8"/>
    <w:rsid w:val="00C119EF"/>
    <w:rsid w:val="00C11AAC"/>
    <w:rsid w:val="00C11D8F"/>
    <w:rsid w:val="00C11E99"/>
    <w:rsid w:val="00C11EE1"/>
    <w:rsid w:val="00C123F5"/>
    <w:rsid w:val="00C12574"/>
    <w:rsid w:val="00C125F2"/>
    <w:rsid w:val="00C12A56"/>
    <w:rsid w:val="00C12BF3"/>
    <w:rsid w:val="00C12C47"/>
    <w:rsid w:val="00C12C7C"/>
    <w:rsid w:val="00C12DE2"/>
    <w:rsid w:val="00C12E59"/>
    <w:rsid w:val="00C12E7E"/>
    <w:rsid w:val="00C12E82"/>
    <w:rsid w:val="00C12FEB"/>
    <w:rsid w:val="00C13236"/>
    <w:rsid w:val="00C136F8"/>
    <w:rsid w:val="00C138B0"/>
    <w:rsid w:val="00C138F3"/>
    <w:rsid w:val="00C13C45"/>
    <w:rsid w:val="00C13CAC"/>
    <w:rsid w:val="00C13DC2"/>
    <w:rsid w:val="00C13F6C"/>
    <w:rsid w:val="00C13F9E"/>
    <w:rsid w:val="00C143A3"/>
    <w:rsid w:val="00C14479"/>
    <w:rsid w:val="00C144BD"/>
    <w:rsid w:val="00C145AF"/>
    <w:rsid w:val="00C14A4D"/>
    <w:rsid w:val="00C14AE3"/>
    <w:rsid w:val="00C14B86"/>
    <w:rsid w:val="00C14E0D"/>
    <w:rsid w:val="00C14FE6"/>
    <w:rsid w:val="00C14FF4"/>
    <w:rsid w:val="00C150F4"/>
    <w:rsid w:val="00C152F1"/>
    <w:rsid w:val="00C15354"/>
    <w:rsid w:val="00C153EC"/>
    <w:rsid w:val="00C1563D"/>
    <w:rsid w:val="00C157A3"/>
    <w:rsid w:val="00C15828"/>
    <w:rsid w:val="00C15B14"/>
    <w:rsid w:val="00C15D1E"/>
    <w:rsid w:val="00C15F1E"/>
    <w:rsid w:val="00C1623D"/>
    <w:rsid w:val="00C16276"/>
    <w:rsid w:val="00C1649C"/>
    <w:rsid w:val="00C16745"/>
    <w:rsid w:val="00C16A2E"/>
    <w:rsid w:val="00C16AAA"/>
    <w:rsid w:val="00C16CBF"/>
    <w:rsid w:val="00C176E9"/>
    <w:rsid w:val="00C178E6"/>
    <w:rsid w:val="00C179EB"/>
    <w:rsid w:val="00C17EA5"/>
    <w:rsid w:val="00C17FC3"/>
    <w:rsid w:val="00C2012B"/>
    <w:rsid w:val="00C203E8"/>
    <w:rsid w:val="00C206A9"/>
    <w:rsid w:val="00C20794"/>
    <w:rsid w:val="00C2081E"/>
    <w:rsid w:val="00C20C68"/>
    <w:rsid w:val="00C20D20"/>
    <w:rsid w:val="00C20D4D"/>
    <w:rsid w:val="00C2107D"/>
    <w:rsid w:val="00C2123D"/>
    <w:rsid w:val="00C2156B"/>
    <w:rsid w:val="00C21875"/>
    <w:rsid w:val="00C21BBD"/>
    <w:rsid w:val="00C21EB2"/>
    <w:rsid w:val="00C22008"/>
    <w:rsid w:val="00C220E4"/>
    <w:rsid w:val="00C2225D"/>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417"/>
    <w:rsid w:val="00C245B1"/>
    <w:rsid w:val="00C24672"/>
    <w:rsid w:val="00C246EA"/>
    <w:rsid w:val="00C247C0"/>
    <w:rsid w:val="00C248A8"/>
    <w:rsid w:val="00C24FF6"/>
    <w:rsid w:val="00C250CC"/>
    <w:rsid w:val="00C253D2"/>
    <w:rsid w:val="00C25A2D"/>
    <w:rsid w:val="00C25EFB"/>
    <w:rsid w:val="00C26018"/>
    <w:rsid w:val="00C26204"/>
    <w:rsid w:val="00C26479"/>
    <w:rsid w:val="00C267F3"/>
    <w:rsid w:val="00C2684E"/>
    <w:rsid w:val="00C26B1C"/>
    <w:rsid w:val="00C26BBA"/>
    <w:rsid w:val="00C26BE9"/>
    <w:rsid w:val="00C26D6D"/>
    <w:rsid w:val="00C26E34"/>
    <w:rsid w:val="00C27301"/>
    <w:rsid w:val="00C27591"/>
    <w:rsid w:val="00C27629"/>
    <w:rsid w:val="00C27709"/>
    <w:rsid w:val="00C2770E"/>
    <w:rsid w:val="00C27940"/>
    <w:rsid w:val="00C27991"/>
    <w:rsid w:val="00C27CE9"/>
    <w:rsid w:val="00C27E1F"/>
    <w:rsid w:val="00C301EE"/>
    <w:rsid w:val="00C30210"/>
    <w:rsid w:val="00C302AB"/>
    <w:rsid w:val="00C3036C"/>
    <w:rsid w:val="00C3060C"/>
    <w:rsid w:val="00C308C7"/>
    <w:rsid w:val="00C309F2"/>
    <w:rsid w:val="00C30A20"/>
    <w:rsid w:val="00C30AE7"/>
    <w:rsid w:val="00C30BE3"/>
    <w:rsid w:val="00C30C25"/>
    <w:rsid w:val="00C30D7D"/>
    <w:rsid w:val="00C30DE6"/>
    <w:rsid w:val="00C31118"/>
    <w:rsid w:val="00C31173"/>
    <w:rsid w:val="00C312DF"/>
    <w:rsid w:val="00C31501"/>
    <w:rsid w:val="00C315AB"/>
    <w:rsid w:val="00C316DD"/>
    <w:rsid w:val="00C31CD6"/>
    <w:rsid w:val="00C31DE7"/>
    <w:rsid w:val="00C31E10"/>
    <w:rsid w:val="00C320B7"/>
    <w:rsid w:val="00C32243"/>
    <w:rsid w:val="00C322D1"/>
    <w:rsid w:val="00C3252A"/>
    <w:rsid w:val="00C325BB"/>
    <w:rsid w:val="00C3278C"/>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94C"/>
    <w:rsid w:val="00C34ADF"/>
    <w:rsid w:val="00C34B1A"/>
    <w:rsid w:val="00C34B49"/>
    <w:rsid w:val="00C34BC4"/>
    <w:rsid w:val="00C34C12"/>
    <w:rsid w:val="00C34FF9"/>
    <w:rsid w:val="00C35312"/>
    <w:rsid w:val="00C35521"/>
    <w:rsid w:val="00C35562"/>
    <w:rsid w:val="00C3571B"/>
    <w:rsid w:val="00C35744"/>
    <w:rsid w:val="00C35A5F"/>
    <w:rsid w:val="00C35AA4"/>
    <w:rsid w:val="00C35B2C"/>
    <w:rsid w:val="00C35D8E"/>
    <w:rsid w:val="00C35E70"/>
    <w:rsid w:val="00C360CA"/>
    <w:rsid w:val="00C36143"/>
    <w:rsid w:val="00C361B3"/>
    <w:rsid w:val="00C361FF"/>
    <w:rsid w:val="00C36550"/>
    <w:rsid w:val="00C367C7"/>
    <w:rsid w:val="00C367EC"/>
    <w:rsid w:val="00C3691E"/>
    <w:rsid w:val="00C36963"/>
    <w:rsid w:val="00C369A6"/>
    <w:rsid w:val="00C369AA"/>
    <w:rsid w:val="00C36A8A"/>
    <w:rsid w:val="00C36A9A"/>
    <w:rsid w:val="00C36AD2"/>
    <w:rsid w:val="00C36B32"/>
    <w:rsid w:val="00C36CE4"/>
    <w:rsid w:val="00C36E60"/>
    <w:rsid w:val="00C37096"/>
    <w:rsid w:val="00C3709C"/>
    <w:rsid w:val="00C370AD"/>
    <w:rsid w:val="00C3715C"/>
    <w:rsid w:val="00C37397"/>
    <w:rsid w:val="00C3743B"/>
    <w:rsid w:val="00C374D6"/>
    <w:rsid w:val="00C37618"/>
    <w:rsid w:val="00C37689"/>
    <w:rsid w:val="00C37A45"/>
    <w:rsid w:val="00C37D11"/>
    <w:rsid w:val="00C37D38"/>
    <w:rsid w:val="00C37FED"/>
    <w:rsid w:val="00C406A2"/>
    <w:rsid w:val="00C40A33"/>
    <w:rsid w:val="00C40AA1"/>
    <w:rsid w:val="00C40B04"/>
    <w:rsid w:val="00C40B8D"/>
    <w:rsid w:val="00C40C5C"/>
    <w:rsid w:val="00C40E4D"/>
    <w:rsid w:val="00C40E78"/>
    <w:rsid w:val="00C412CD"/>
    <w:rsid w:val="00C41407"/>
    <w:rsid w:val="00C41557"/>
    <w:rsid w:val="00C41771"/>
    <w:rsid w:val="00C41A77"/>
    <w:rsid w:val="00C41F9B"/>
    <w:rsid w:val="00C429B4"/>
    <w:rsid w:val="00C42A62"/>
    <w:rsid w:val="00C42B80"/>
    <w:rsid w:val="00C42D11"/>
    <w:rsid w:val="00C430C6"/>
    <w:rsid w:val="00C43ADE"/>
    <w:rsid w:val="00C440E9"/>
    <w:rsid w:val="00C445BE"/>
    <w:rsid w:val="00C44609"/>
    <w:rsid w:val="00C44809"/>
    <w:rsid w:val="00C44C6E"/>
    <w:rsid w:val="00C45349"/>
    <w:rsid w:val="00C45685"/>
    <w:rsid w:val="00C45914"/>
    <w:rsid w:val="00C459BA"/>
    <w:rsid w:val="00C45A3D"/>
    <w:rsid w:val="00C45A88"/>
    <w:rsid w:val="00C45C64"/>
    <w:rsid w:val="00C45C88"/>
    <w:rsid w:val="00C45F13"/>
    <w:rsid w:val="00C45FDB"/>
    <w:rsid w:val="00C46284"/>
    <w:rsid w:val="00C462A6"/>
    <w:rsid w:val="00C4632B"/>
    <w:rsid w:val="00C4658C"/>
    <w:rsid w:val="00C468B8"/>
    <w:rsid w:val="00C4695B"/>
    <w:rsid w:val="00C46D4F"/>
    <w:rsid w:val="00C46F78"/>
    <w:rsid w:val="00C470B9"/>
    <w:rsid w:val="00C47118"/>
    <w:rsid w:val="00C473FF"/>
    <w:rsid w:val="00C47432"/>
    <w:rsid w:val="00C4764A"/>
    <w:rsid w:val="00C47885"/>
    <w:rsid w:val="00C47A6F"/>
    <w:rsid w:val="00C47D7C"/>
    <w:rsid w:val="00C47F39"/>
    <w:rsid w:val="00C47FE2"/>
    <w:rsid w:val="00C50321"/>
    <w:rsid w:val="00C510DD"/>
    <w:rsid w:val="00C511E3"/>
    <w:rsid w:val="00C517F3"/>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70C"/>
    <w:rsid w:val="00C53937"/>
    <w:rsid w:val="00C53BD5"/>
    <w:rsid w:val="00C53D31"/>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1FE"/>
    <w:rsid w:val="00C55335"/>
    <w:rsid w:val="00C55368"/>
    <w:rsid w:val="00C553AD"/>
    <w:rsid w:val="00C554B9"/>
    <w:rsid w:val="00C5572A"/>
    <w:rsid w:val="00C55863"/>
    <w:rsid w:val="00C5586A"/>
    <w:rsid w:val="00C55CBF"/>
    <w:rsid w:val="00C55CE9"/>
    <w:rsid w:val="00C55D12"/>
    <w:rsid w:val="00C55DBC"/>
    <w:rsid w:val="00C55E8F"/>
    <w:rsid w:val="00C55EC4"/>
    <w:rsid w:val="00C561BB"/>
    <w:rsid w:val="00C56708"/>
    <w:rsid w:val="00C56779"/>
    <w:rsid w:val="00C5683B"/>
    <w:rsid w:val="00C56842"/>
    <w:rsid w:val="00C56861"/>
    <w:rsid w:val="00C568F7"/>
    <w:rsid w:val="00C56901"/>
    <w:rsid w:val="00C56E1F"/>
    <w:rsid w:val="00C5707C"/>
    <w:rsid w:val="00C572B3"/>
    <w:rsid w:val="00C57632"/>
    <w:rsid w:val="00C576D9"/>
    <w:rsid w:val="00C5776B"/>
    <w:rsid w:val="00C5797D"/>
    <w:rsid w:val="00C57BE1"/>
    <w:rsid w:val="00C57F1F"/>
    <w:rsid w:val="00C60013"/>
    <w:rsid w:val="00C60015"/>
    <w:rsid w:val="00C60042"/>
    <w:rsid w:val="00C6091C"/>
    <w:rsid w:val="00C60A45"/>
    <w:rsid w:val="00C60E2E"/>
    <w:rsid w:val="00C610D2"/>
    <w:rsid w:val="00C61270"/>
    <w:rsid w:val="00C6144E"/>
    <w:rsid w:val="00C618C7"/>
    <w:rsid w:val="00C61CEA"/>
    <w:rsid w:val="00C61F29"/>
    <w:rsid w:val="00C61FD1"/>
    <w:rsid w:val="00C62015"/>
    <w:rsid w:val="00C62710"/>
    <w:rsid w:val="00C6283E"/>
    <w:rsid w:val="00C62C6C"/>
    <w:rsid w:val="00C63336"/>
    <w:rsid w:val="00C63370"/>
    <w:rsid w:val="00C636BA"/>
    <w:rsid w:val="00C638E0"/>
    <w:rsid w:val="00C63D71"/>
    <w:rsid w:val="00C63DEE"/>
    <w:rsid w:val="00C63EE7"/>
    <w:rsid w:val="00C63F9C"/>
    <w:rsid w:val="00C64232"/>
    <w:rsid w:val="00C6452E"/>
    <w:rsid w:val="00C645FE"/>
    <w:rsid w:val="00C64994"/>
    <w:rsid w:val="00C64E9E"/>
    <w:rsid w:val="00C65012"/>
    <w:rsid w:val="00C653A3"/>
    <w:rsid w:val="00C653E9"/>
    <w:rsid w:val="00C6549F"/>
    <w:rsid w:val="00C65635"/>
    <w:rsid w:val="00C6572B"/>
    <w:rsid w:val="00C65838"/>
    <w:rsid w:val="00C658EA"/>
    <w:rsid w:val="00C65A2C"/>
    <w:rsid w:val="00C65BFD"/>
    <w:rsid w:val="00C65E23"/>
    <w:rsid w:val="00C65EA3"/>
    <w:rsid w:val="00C65FCA"/>
    <w:rsid w:val="00C6609F"/>
    <w:rsid w:val="00C6633B"/>
    <w:rsid w:val="00C6668C"/>
    <w:rsid w:val="00C667C4"/>
    <w:rsid w:val="00C6681D"/>
    <w:rsid w:val="00C66B29"/>
    <w:rsid w:val="00C6703C"/>
    <w:rsid w:val="00C6742F"/>
    <w:rsid w:val="00C676EE"/>
    <w:rsid w:val="00C67874"/>
    <w:rsid w:val="00C678F6"/>
    <w:rsid w:val="00C67CE4"/>
    <w:rsid w:val="00C67E1C"/>
    <w:rsid w:val="00C67E40"/>
    <w:rsid w:val="00C67F10"/>
    <w:rsid w:val="00C70100"/>
    <w:rsid w:val="00C701E9"/>
    <w:rsid w:val="00C702E2"/>
    <w:rsid w:val="00C70519"/>
    <w:rsid w:val="00C70599"/>
    <w:rsid w:val="00C705D0"/>
    <w:rsid w:val="00C7067C"/>
    <w:rsid w:val="00C707A1"/>
    <w:rsid w:val="00C707B4"/>
    <w:rsid w:val="00C70B23"/>
    <w:rsid w:val="00C70CDD"/>
    <w:rsid w:val="00C7115C"/>
    <w:rsid w:val="00C71227"/>
    <w:rsid w:val="00C7147D"/>
    <w:rsid w:val="00C715D6"/>
    <w:rsid w:val="00C71727"/>
    <w:rsid w:val="00C71909"/>
    <w:rsid w:val="00C71B91"/>
    <w:rsid w:val="00C71D14"/>
    <w:rsid w:val="00C71DE0"/>
    <w:rsid w:val="00C7207A"/>
    <w:rsid w:val="00C72281"/>
    <w:rsid w:val="00C7237B"/>
    <w:rsid w:val="00C72411"/>
    <w:rsid w:val="00C724EB"/>
    <w:rsid w:val="00C7261F"/>
    <w:rsid w:val="00C72633"/>
    <w:rsid w:val="00C726D6"/>
    <w:rsid w:val="00C72701"/>
    <w:rsid w:val="00C72A16"/>
    <w:rsid w:val="00C72B96"/>
    <w:rsid w:val="00C72D09"/>
    <w:rsid w:val="00C72D36"/>
    <w:rsid w:val="00C72D74"/>
    <w:rsid w:val="00C72EA2"/>
    <w:rsid w:val="00C72EBD"/>
    <w:rsid w:val="00C72F03"/>
    <w:rsid w:val="00C7322E"/>
    <w:rsid w:val="00C73443"/>
    <w:rsid w:val="00C7349A"/>
    <w:rsid w:val="00C73553"/>
    <w:rsid w:val="00C73633"/>
    <w:rsid w:val="00C736EA"/>
    <w:rsid w:val="00C73803"/>
    <w:rsid w:val="00C73918"/>
    <w:rsid w:val="00C73965"/>
    <w:rsid w:val="00C739FE"/>
    <w:rsid w:val="00C73A20"/>
    <w:rsid w:val="00C73CEC"/>
    <w:rsid w:val="00C73DCD"/>
    <w:rsid w:val="00C73EA6"/>
    <w:rsid w:val="00C745C6"/>
    <w:rsid w:val="00C74C06"/>
    <w:rsid w:val="00C74CEC"/>
    <w:rsid w:val="00C74EBE"/>
    <w:rsid w:val="00C751DF"/>
    <w:rsid w:val="00C753CF"/>
    <w:rsid w:val="00C75657"/>
    <w:rsid w:val="00C75782"/>
    <w:rsid w:val="00C759F3"/>
    <w:rsid w:val="00C75A9D"/>
    <w:rsid w:val="00C75AA9"/>
    <w:rsid w:val="00C75CE8"/>
    <w:rsid w:val="00C7614A"/>
    <w:rsid w:val="00C761D5"/>
    <w:rsid w:val="00C764D9"/>
    <w:rsid w:val="00C76646"/>
    <w:rsid w:val="00C766E7"/>
    <w:rsid w:val="00C7671C"/>
    <w:rsid w:val="00C76F18"/>
    <w:rsid w:val="00C77034"/>
    <w:rsid w:val="00C772E9"/>
    <w:rsid w:val="00C7764B"/>
    <w:rsid w:val="00C7765D"/>
    <w:rsid w:val="00C77763"/>
    <w:rsid w:val="00C77827"/>
    <w:rsid w:val="00C77AA1"/>
    <w:rsid w:val="00C77CA0"/>
    <w:rsid w:val="00C77D9D"/>
    <w:rsid w:val="00C77EAA"/>
    <w:rsid w:val="00C80530"/>
    <w:rsid w:val="00C8053D"/>
    <w:rsid w:val="00C805B9"/>
    <w:rsid w:val="00C80612"/>
    <w:rsid w:val="00C80766"/>
    <w:rsid w:val="00C80A18"/>
    <w:rsid w:val="00C80A98"/>
    <w:rsid w:val="00C80DE5"/>
    <w:rsid w:val="00C8116B"/>
    <w:rsid w:val="00C813CD"/>
    <w:rsid w:val="00C81487"/>
    <w:rsid w:val="00C817EB"/>
    <w:rsid w:val="00C81CC0"/>
    <w:rsid w:val="00C81E70"/>
    <w:rsid w:val="00C8207F"/>
    <w:rsid w:val="00C8272D"/>
    <w:rsid w:val="00C82922"/>
    <w:rsid w:val="00C82968"/>
    <w:rsid w:val="00C82CCB"/>
    <w:rsid w:val="00C83280"/>
    <w:rsid w:val="00C834C2"/>
    <w:rsid w:val="00C83513"/>
    <w:rsid w:val="00C835F4"/>
    <w:rsid w:val="00C83711"/>
    <w:rsid w:val="00C83789"/>
    <w:rsid w:val="00C8396A"/>
    <w:rsid w:val="00C83CA0"/>
    <w:rsid w:val="00C83D6B"/>
    <w:rsid w:val="00C83F3E"/>
    <w:rsid w:val="00C841A1"/>
    <w:rsid w:val="00C8426B"/>
    <w:rsid w:val="00C8428C"/>
    <w:rsid w:val="00C842BB"/>
    <w:rsid w:val="00C843A0"/>
    <w:rsid w:val="00C84687"/>
    <w:rsid w:val="00C8473C"/>
    <w:rsid w:val="00C84862"/>
    <w:rsid w:val="00C8492E"/>
    <w:rsid w:val="00C849BA"/>
    <w:rsid w:val="00C84AE4"/>
    <w:rsid w:val="00C84D53"/>
    <w:rsid w:val="00C850A4"/>
    <w:rsid w:val="00C85283"/>
    <w:rsid w:val="00C85287"/>
    <w:rsid w:val="00C85567"/>
    <w:rsid w:val="00C85753"/>
    <w:rsid w:val="00C85814"/>
    <w:rsid w:val="00C85816"/>
    <w:rsid w:val="00C85A0A"/>
    <w:rsid w:val="00C85D43"/>
    <w:rsid w:val="00C85F9E"/>
    <w:rsid w:val="00C85FD2"/>
    <w:rsid w:val="00C85FD9"/>
    <w:rsid w:val="00C8602D"/>
    <w:rsid w:val="00C8609E"/>
    <w:rsid w:val="00C860A9"/>
    <w:rsid w:val="00C86277"/>
    <w:rsid w:val="00C862C8"/>
    <w:rsid w:val="00C863DC"/>
    <w:rsid w:val="00C8665D"/>
    <w:rsid w:val="00C8675E"/>
    <w:rsid w:val="00C86873"/>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91A"/>
    <w:rsid w:val="00C90C3F"/>
    <w:rsid w:val="00C90CE6"/>
    <w:rsid w:val="00C90F22"/>
    <w:rsid w:val="00C90F28"/>
    <w:rsid w:val="00C90FEE"/>
    <w:rsid w:val="00C91004"/>
    <w:rsid w:val="00C9112C"/>
    <w:rsid w:val="00C9116D"/>
    <w:rsid w:val="00C911DB"/>
    <w:rsid w:val="00C9186A"/>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744"/>
    <w:rsid w:val="00C939B2"/>
    <w:rsid w:val="00C93E06"/>
    <w:rsid w:val="00C93F31"/>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51E"/>
    <w:rsid w:val="00C9653C"/>
    <w:rsid w:val="00C9680C"/>
    <w:rsid w:val="00C96948"/>
    <w:rsid w:val="00C96B52"/>
    <w:rsid w:val="00C96BD7"/>
    <w:rsid w:val="00C96D40"/>
    <w:rsid w:val="00C96DB6"/>
    <w:rsid w:val="00C96F52"/>
    <w:rsid w:val="00C96FA7"/>
    <w:rsid w:val="00C971CD"/>
    <w:rsid w:val="00C97211"/>
    <w:rsid w:val="00C97279"/>
    <w:rsid w:val="00C97323"/>
    <w:rsid w:val="00C9742A"/>
    <w:rsid w:val="00C978E0"/>
    <w:rsid w:val="00C97AF1"/>
    <w:rsid w:val="00C97C2A"/>
    <w:rsid w:val="00C97FC4"/>
    <w:rsid w:val="00CA03BA"/>
    <w:rsid w:val="00CA043C"/>
    <w:rsid w:val="00CA057D"/>
    <w:rsid w:val="00CA0A26"/>
    <w:rsid w:val="00CA0A48"/>
    <w:rsid w:val="00CA0BEF"/>
    <w:rsid w:val="00CA0D2F"/>
    <w:rsid w:val="00CA0E21"/>
    <w:rsid w:val="00CA0EF4"/>
    <w:rsid w:val="00CA1363"/>
    <w:rsid w:val="00CA13BB"/>
    <w:rsid w:val="00CA13E0"/>
    <w:rsid w:val="00CA1414"/>
    <w:rsid w:val="00CA1505"/>
    <w:rsid w:val="00CA16B4"/>
    <w:rsid w:val="00CA17E9"/>
    <w:rsid w:val="00CA1851"/>
    <w:rsid w:val="00CA189C"/>
    <w:rsid w:val="00CA18FF"/>
    <w:rsid w:val="00CA1C56"/>
    <w:rsid w:val="00CA1FE9"/>
    <w:rsid w:val="00CA2139"/>
    <w:rsid w:val="00CA22DA"/>
    <w:rsid w:val="00CA2568"/>
    <w:rsid w:val="00CA2A3F"/>
    <w:rsid w:val="00CA2B16"/>
    <w:rsid w:val="00CA2EAB"/>
    <w:rsid w:val="00CA2ED6"/>
    <w:rsid w:val="00CA2FC0"/>
    <w:rsid w:val="00CA3041"/>
    <w:rsid w:val="00CA309B"/>
    <w:rsid w:val="00CA310A"/>
    <w:rsid w:val="00CA32F1"/>
    <w:rsid w:val="00CA33D5"/>
    <w:rsid w:val="00CA3589"/>
    <w:rsid w:val="00CA367F"/>
    <w:rsid w:val="00CA3796"/>
    <w:rsid w:val="00CA3CE3"/>
    <w:rsid w:val="00CA3D63"/>
    <w:rsid w:val="00CA420E"/>
    <w:rsid w:val="00CA4312"/>
    <w:rsid w:val="00CA4338"/>
    <w:rsid w:val="00CA4534"/>
    <w:rsid w:val="00CA49D0"/>
    <w:rsid w:val="00CA4B1F"/>
    <w:rsid w:val="00CA4BFB"/>
    <w:rsid w:val="00CA4E3D"/>
    <w:rsid w:val="00CA4E51"/>
    <w:rsid w:val="00CA514E"/>
    <w:rsid w:val="00CA51B8"/>
    <w:rsid w:val="00CA5654"/>
    <w:rsid w:val="00CA5663"/>
    <w:rsid w:val="00CA5698"/>
    <w:rsid w:val="00CA5789"/>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27"/>
    <w:rsid w:val="00CA71A5"/>
    <w:rsid w:val="00CA7288"/>
    <w:rsid w:val="00CA72B1"/>
    <w:rsid w:val="00CA7420"/>
    <w:rsid w:val="00CA749E"/>
    <w:rsid w:val="00CA788C"/>
    <w:rsid w:val="00CA7B4B"/>
    <w:rsid w:val="00CA7CDC"/>
    <w:rsid w:val="00CA7D9B"/>
    <w:rsid w:val="00CA7F93"/>
    <w:rsid w:val="00CB0135"/>
    <w:rsid w:val="00CB0198"/>
    <w:rsid w:val="00CB02C7"/>
    <w:rsid w:val="00CB04A5"/>
    <w:rsid w:val="00CB07F8"/>
    <w:rsid w:val="00CB089C"/>
    <w:rsid w:val="00CB097B"/>
    <w:rsid w:val="00CB09E4"/>
    <w:rsid w:val="00CB0A99"/>
    <w:rsid w:val="00CB0C7B"/>
    <w:rsid w:val="00CB0C84"/>
    <w:rsid w:val="00CB1291"/>
    <w:rsid w:val="00CB15FD"/>
    <w:rsid w:val="00CB174A"/>
    <w:rsid w:val="00CB18DC"/>
    <w:rsid w:val="00CB1948"/>
    <w:rsid w:val="00CB1E6F"/>
    <w:rsid w:val="00CB20F0"/>
    <w:rsid w:val="00CB261E"/>
    <w:rsid w:val="00CB2954"/>
    <w:rsid w:val="00CB2A91"/>
    <w:rsid w:val="00CB2B45"/>
    <w:rsid w:val="00CB2CE6"/>
    <w:rsid w:val="00CB2D0A"/>
    <w:rsid w:val="00CB2D15"/>
    <w:rsid w:val="00CB2D3B"/>
    <w:rsid w:val="00CB3051"/>
    <w:rsid w:val="00CB328E"/>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4939"/>
    <w:rsid w:val="00CB5364"/>
    <w:rsid w:val="00CB548D"/>
    <w:rsid w:val="00CB551A"/>
    <w:rsid w:val="00CB565E"/>
    <w:rsid w:val="00CB5661"/>
    <w:rsid w:val="00CB5A2F"/>
    <w:rsid w:val="00CB5AFE"/>
    <w:rsid w:val="00CB5B23"/>
    <w:rsid w:val="00CB5CA0"/>
    <w:rsid w:val="00CB5E12"/>
    <w:rsid w:val="00CB6036"/>
    <w:rsid w:val="00CB6416"/>
    <w:rsid w:val="00CB65C6"/>
    <w:rsid w:val="00CB6778"/>
    <w:rsid w:val="00CB69AA"/>
    <w:rsid w:val="00CB6A8E"/>
    <w:rsid w:val="00CB6B3A"/>
    <w:rsid w:val="00CB6FEF"/>
    <w:rsid w:val="00CB71D2"/>
    <w:rsid w:val="00CB738A"/>
    <w:rsid w:val="00CB758D"/>
    <w:rsid w:val="00CB7A89"/>
    <w:rsid w:val="00CB7E6B"/>
    <w:rsid w:val="00CC002D"/>
    <w:rsid w:val="00CC03A6"/>
    <w:rsid w:val="00CC0565"/>
    <w:rsid w:val="00CC07C1"/>
    <w:rsid w:val="00CC07C7"/>
    <w:rsid w:val="00CC07CB"/>
    <w:rsid w:val="00CC08D3"/>
    <w:rsid w:val="00CC0908"/>
    <w:rsid w:val="00CC0EB8"/>
    <w:rsid w:val="00CC102B"/>
    <w:rsid w:val="00CC11C7"/>
    <w:rsid w:val="00CC11D8"/>
    <w:rsid w:val="00CC1212"/>
    <w:rsid w:val="00CC1293"/>
    <w:rsid w:val="00CC15FC"/>
    <w:rsid w:val="00CC176E"/>
    <w:rsid w:val="00CC18DD"/>
    <w:rsid w:val="00CC194A"/>
    <w:rsid w:val="00CC1DBF"/>
    <w:rsid w:val="00CC1DCC"/>
    <w:rsid w:val="00CC1E69"/>
    <w:rsid w:val="00CC1EC6"/>
    <w:rsid w:val="00CC1EF8"/>
    <w:rsid w:val="00CC212F"/>
    <w:rsid w:val="00CC2382"/>
    <w:rsid w:val="00CC250B"/>
    <w:rsid w:val="00CC259B"/>
    <w:rsid w:val="00CC2701"/>
    <w:rsid w:val="00CC293A"/>
    <w:rsid w:val="00CC2A27"/>
    <w:rsid w:val="00CC2DC0"/>
    <w:rsid w:val="00CC2E12"/>
    <w:rsid w:val="00CC2E8A"/>
    <w:rsid w:val="00CC3237"/>
    <w:rsid w:val="00CC32E7"/>
    <w:rsid w:val="00CC3325"/>
    <w:rsid w:val="00CC35A9"/>
    <w:rsid w:val="00CC36DC"/>
    <w:rsid w:val="00CC3B57"/>
    <w:rsid w:val="00CC3CF5"/>
    <w:rsid w:val="00CC4179"/>
    <w:rsid w:val="00CC429D"/>
    <w:rsid w:val="00CC43EA"/>
    <w:rsid w:val="00CC4426"/>
    <w:rsid w:val="00CC48EF"/>
    <w:rsid w:val="00CC4D07"/>
    <w:rsid w:val="00CC4EBB"/>
    <w:rsid w:val="00CC4F40"/>
    <w:rsid w:val="00CC5215"/>
    <w:rsid w:val="00CC52AC"/>
    <w:rsid w:val="00CC53FF"/>
    <w:rsid w:val="00CC540C"/>
    <w:rsid w:val="00CC5883"/>
    <w:rsid w:val="00CC5A11"/>
    <w:rsid w:val="00CC5AAB"/>
    <w:rsid w:val="00CC5CA1"/>
    <w:rsid w:val="00CC5CDE"/>
    <w:rsid w:val="00CC5E9D"/>
    <w:rsid w:val="00CC6025"/>
    <w:rsid w:val="00CC607F"/>
    <w:rsid w:val="00CC620D"/>
    <w:rsid w:val="00CC64AC"/>
    <w:rsid w:val="00CC64D4"/>
    <w:rsid w:val="00CC6763"/>
    <w:rsid w:val="00CC699C"/>
    <w:rsid w:val="00CC6CEB"/>
    <w:rsid w:val="00CC71CB"/>
    <w:rsid w:val="00CC734D"/>
    <w:rsid w:val="00CC74FD"/>
    <w:rsid w:val="00CC7542"/>
    <w:rsid w:val="00CC769A"/>
    <w:rsid w:val="00CC780A"/>
    <w:rsid w:val="00CC7813"/>
    <w:rsid w:val="00CC7ACA"/>
    <w:rsid w:val="00CC7D29"/>
    <w:rsid w:val="00CC7E8B"/>
    <w:rsid w:val="00CD001A"/>
    <w:rsid w:val="00CD009E"/>
    <w:rsid w:val="00CD00A8"/>
    <w:rsid w:val="00CD019D"/>
    <w:rsid w:val="00CD027F"/>
    <w:rsid w:val="00CD02DC"/>
    <w:rsid w:val="00CD0351"/>
    <w:rsid w:val="00CD061B"/>
    <w:rsid w:val="00CD0989"/>
    <w:rsid w:val="00CD0AEA"/>
    <w:rsid w:val="00CD0F55"/>
    <w:rsid w:val="00CD1082"/>
    <w:rsid w:val="00CD10A8"/>
    <w:rsid w:val="00CD12CC"/>
    <w:rsid w:val="00CD12DC"/>
    <w:rsid w:val="00CD15FC"/>
    <w:rsid w:val="00CD173C"/>
    <w:rsid w:val="00CD1A25"/>
    <w:rsid w:val="00CD1B9A"/>
    <w:rsid w:val="00CD1C5F"/>
    <w:rsid w:val="00CD1E7D"/>
    <w:rsid w:val="00CD2037"/>
    <w:rsid w:val="00CD21EC"/>
    <w:rsid w:val="00CD222E"/>
    <w:rsid w:val="00CD227E"/>
    <w:rsid w:val="00CD229A"/>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10F"/>
    <w:rsid w:val="00CD445C"/>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B99"/>
    <w:rsid w:val="00CD5C88"/>
    <w:rsid w:val="00CD614A"/>
    <w:rsid w:val="00CD620A"/>
    <w:rsid w:val="00CD69E7"/>
    <w:rsid w:val="00CD6A76"/>
    <w:rsid w:val="00CD6D39"/>
    <w:rsid w:val="00CD6E8B"/>
    <w:rsid w:val="00CD6EAC"/>
    <w:rsid w:val="00CD6F01"/>
    <w:rsid w:val="00CD73DB"/>
    <w:rsid w:val="00CD7575"/>
    <w:rsid w:val="00CD767C"/>
    <w:rsid w:val="00CD7F16"/>
    <w:rsid w:val="00CE0296"/>
    <w:rsid w:val="00CE0318"/>
    <w:rsid w:val="00CE03FE"/>
    <w:rsid w:val="00CE08C2"/>
    <w:rsid w:val="00CE099E"/>
    <w:rsid w:val="00CE0B02"/>
    <w:rsid w:val="00CE0C3C"/>
    <w:rsid w:val="00CE0DED"/>
    <w:rsid w:val="00CE0FA8"/>
    <w:rsid w:val="00CE1076"/>
    <w:rsid w:val="00CE1767"/>
    <w:rsid w:val="00CE1B9A"/>
    <w:rsid w:val="00CE1D2D"/>
    <w:rsid w:val="00CE1F90"/>
    <w:rsid w:val="00CE2209"/>
    <w:rsid w:val="00CE222E"/>
    <w:rsid w:val="00CE2560"/>
    <w:rsid w:val="00CE2605"/>
    <w:rsid w:val="00CE26B4"/>
    <w:rsid w:val="00CE278A"/>
    <w:rsid w:val="00CE2C72"/>
    <w:rsid w:val="00CE2C9E"/>
    <w:rsid w:val="00CE2EA7"/>
    <w:rsid w:val="00CE339D"/>
    <w:rsid w:val="00CE33C5"/>
    <w:rsid w:val="00CE347A"/>
    <w:rsid w:val="00CE34D3"/>
    <w:rsid w:val="00CE352F"/>
    <w:rsid w:val="00CE36FE"/>
    <w:rsid w:val="00CE37A0"/>
    <w:rsid w:val="00CE38FD"/>
    <w:rsid w:val="00CE3BA8"/>
    <w:rsid w:val="00CE3E5B"/>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37B"/>
    <w:rsid w:val="00CE641D"/>
    <w:rsid w:val="00CE6542"/>
    <w:rsid w:val="00CE6D34"/>
    <w:rsid w:val="00CE7012"/>
    <w:rsid w:val="00CE71C9"/>
    <w:rsid w:val="00CE72AE"/>
    <w:rsid w:val="00CE7314"/>
    <w:rsid w:val="00CE73F2"/>
    <w:rsid w:val="00CE75A1"/>
    <w:rsid w:val="00CE75F1"/>
    <w:rsid w:val="00CE7770"/>
    <w:rsid w:val="00CE7776"/>
    <w:rsid w:val="00CE7853"/>
    <w:rsid w:val="00CE7A7D"/>
    <w:rsid w:val="00CE7B20"/>
    <w:rsid w:val="00CF020F"/>
    <w:rsid w:val="00CF03C0"/>
    <w:rsid w:val="00CF0422"/>
    <w:rsid w:val="00CF088D"/>
    <w:rsid w:val="00CF0C9C"/>
    <w:rsid w:val="00CF130A"/>
    <w:rsid w:val="00CF13AF"/>
    <w:rsid w:val="00CF1441"/>
    <w:rsid w:val="00CF1B11"/>
    <w:rsid w:val="00CF1BDA"/>
    <w:rsid w:val="00CF1D86"/>
    <w:rsid w:val="00CF2564"/>
    <w:rsid w:val="00CF2AE6"/>
    <w:rsid w:val="00CF304C"/>
    <w:rsid w:val="00CF3752"/>
    <w:rsid w:val="00CF393C"/>
    <w:rsid w:val="00CF3C43"/>
    <w:rsid w:val="00CF3C57"/>
    <w:rsid w:val="00CF404F"/>
    <w:rsid w:val="00CF414C"/>
    <w:rsid w:val="00CF4219"/>
    <w:rsid w:val="00CF44C8"/>
    <w:rsid w:val="00CF4656"/>
    <w:rsid w:val="00CF4FA6"/>
    <w:rsid w:val="00CF5018"/>
    <w:rsid w:val="00CF5257"/>
    <w:rsid w:val="00CF52CF"/>
    <w:rsid w:val="00CF53CD"/>
    <w:rsid w:val="00CF5502"/>
    <w:rsid w:val="00CF55E0"/>
    <w:rsid w:val="00CF56F9"/>
    <w:rsid w:val="00CF5739"/>
    <w:rsid w:val="00CF5772"/>
    <w:rsid w:val="00CF59FB"/>
    <w:rsid w:val="00CF5D68"/>
    <w:rsid w:val="00CF5DBF"/>
    <w:rsid w:val="00CF5EEA"/>
    <w:rsid w:val="00CF60CE"/>
    <w:rsid w:val="00CF62E7"/>
    <w:rsid w:val="00CF635E"/>
    <w:rsid w:val="00CF63C0"/>
    <w:rsid w:val="00CF64B3"/>
    <w:rsid w:val="00CF660A"/>
    <w:rsid w:val="00CF669A"/>
    <w:rsid w:val="00CF66A1"/>
    <w:rsid w:val="00CF6D79"/>
    <w:rsid w:val="00CF7036"/>
    <w:rsid w:val="00CF7137"/>
    <w:rsid w:val="00CF73C6"/>
    <w:rsid w:val="00CF74E3"/>
    <w:rsid w:val="00CF76C2"/>
    <w:rsid w:val="00CF7AFF"/>
    <w:rsid w:val="00CF7CDC"/>
    <w:rsid w:val="00CF7E65"/>
    <w:rsid w:val="00D0041B"/>
    <w:rsid w:val="00D00618"/>
    <w:rsid w:val="00D00C21"/>
    <w:rsid w:val="00D00FD7"/>
    <w:rsid w:val="00D012CB"/>
    <w:rsid w:val="00D0137F"/>
    <w:rsid w:val="00D01726"/>
    <w:rsid w:val="00D01B3A"/>
    <w:rsid w:val="00D01BC3"/>
    <w:rsid w:val="00D01EB5"/>
    <w:rsid w:val="00D02470"/>
    <w:rsid w:val="00D0249C"/>
    <w:rsid w:val="00D024E0"/>
    <w:rsid w:val="00D0252E"/>
    <w:rsid w:val="00D026AB"/>
    <w:rsid w:val="00D027E7"/>
    <w:rsid w:val="00D02865"/>
    <w:rsid w:val="00D02BD1"/>
    <w:rsid w:val="00D02C48"/>
    <w:rsid w:val="00D02E63"/>
    <w:rsid w:val="00D02E8D"/>
    <w:rsid w:val="00D02FBF"/>
    <w:rsid w:val="00D03384"/>
    <w:rsid w:val="00D036AA"/>
    <w:rsid w:val="00D037CD"/>
    <w:rsid w:val="00D03AFC"/>
    <w:rsid w:val="00D03C34"/>
    <w:rsid w:val="00D03E4B"/>
    <w:rsid w:val="00D03F84"/>
    <w:rsid w:val="00D044A7"/>
    <w:rsid w:val="00D04935"/>
    <w:rsid w:val="00D04958"/>
    <w:rsid w:val="00D04C5A"/>
    <w:rsid w:val="00D04D28"/>
    <w:rsid w:val="00D04E55"/>
    <w:rsid w:val="00D04EA9"/>
    <w:rsid w:val="00D0507D"/>
    <w:rsid w:val="00D050DA"/>
    <w:rsid w:val="00D054F5"/>
    <w:rsid w:val="00D05C42"/>
    <w:rsid w:val="00D05C71"/>
    <w:rsid w:val="00D05CC7"/>
    <w:rsid w:val="00D05FFF"/>
    <w:rsid w:val="00D06236"/>
    <w:rsid w:val="00D063FC"/>
    <w:rsid w:val="00D0652C"/>
    <w:rsid w:val="00D06785"/>
    <w:rsid w:val="00D067B2"/>
    <w:rsid w:val="00D06A3B"/>
    <w:rsid w:val="00D06C03"/>
    <w:rsid w:val="00D06E2D"/>
    <w:rsid w:val="00D06ED5"/>
    <w:rsid w:val="00D06EED"/>
    <w:rsid w:val="00D0734A"/>
    <w:rsid w:val="00D0734B"/>
    <w:rsid w:val="00D0739E"/>
    <w:rsid w:val="00D073A2"/>
    <w:rsid w:val="00D0763B"/>
    <w:rsid w:val="00D07EB3"/>
    <w:rsid w:val="00D1008B"/>
    <w:rsid w:val="00D10096"/>
    <w:rsid w:val="00D10632"/>
    <w:rsid w:val="00D106A0"/>
    <w:rsid w:val="00D10784"/>
    <w:rsid w:val="00D10D36"/>
    <w:rsid w:val="00D10D3B"/>
    <w:rsid w:val="00D10DD2"/>
    <w:rsid w:val="00D10EEB"/>
    <w:rsid w:val="00D10FBC"/>
    <w:rsid w:val="00D111D2"/>
    <w:rsid w:val="00D11B4C"/>
    <w:rsid w:val="00D11BA8"/>
    <w:rsid w:val="00D11D3E"/>
    <w:rsid w:val="00D11EA1"/>
    <w:rsid w:val="00D11F1D"/>
    <w:rsid w:val="00D11F7B"/>
    <w:rsid w:val="00D11FA9"/>
    <w:rsid w:val="00D1217D"/>
    <w:rsid w:val="00D1223A"/>
    <w:rsid w:val="00D1226C"/>
    <w:rsid w:val="00D123EE"/>
    <w:rsid w:val="00D12403"/>
    <w:rsid w:val="00D1250A"/>
    <w:rsid w:val="00D125E1"/>
    <w:rsid w:val="00D1262D"/>
    <w:rsid w:val="00D1276C"/>
    <w:rsid w:val="00D127D3"/>
    <w:rsid w:val="00D12999"/>
    <w:rsid w:val="00D12D74"/>
    <w:rsid w:val="00D12F06"/>
    <w:rsid w:val="00D12F2B"/>
    <w:rsid w:val="00D12FB8"/>
    <w:rsid w:val="00D12FFF"/>
    <w:rsid w:val="00D1331E"/>
    <w:rsid w:val="00D1340B"/>
    <w:rsid w:val="00D1349E"/>
    <w:rsid w:val="00D134A3"/>
    <w:rsid w:val="00D13852"/>
    <w:rsid w:val="00D13863"/>
    <w:rsid w:val="00D13AC0"/>
    <w:rsid w:val="00D13BD5"/>
    <w:rsid w:val="00D13D5B"/>
    <w:rsid w:val="00D13FC6"/>
    <w:rsid w:val="00D14453"/>
    <w:rsid w:val="00D14564"/>
    <w:rsid w:val="00D14879"/>
    <w:rsid w:val="00D14B41"/>
    <w:rsid w:val="00D14B54"/>
    <w:rsid w:val="00D14CF3"/>
    <w:rsid w:val="00D14E2E"/>
    <w:rsid w:val="00D1520A"/>
    <w:rsid w:val="00D15295"/>
    <w:rsid w:val="00D1542D"/>
    <w:rsid w:val="00D15649"/>
    <w:rsid w:val="00D1577A"/>
    <w:rsid w:val="00D15E36"/>
    <w:rsid w:val="00D1615C"/>
    <w:rsid w:val="00D1617C"/>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983"/>
    <w:rsid w:val="00D20B6B"/>
    <w:rsid w:val="00D20DEF"/>
    <w:rsid w:val="00D20F98"/>
    <w:rsid w:val="00D2119C"/>
    <w:rsid w:val="00D21543"/>
    <w:rsid w:val="00D21602"/>
    <w:rsid w:val="00D2162E"/>
    <w:rsid w:val="00D217DF"/>
    <w:rsid w:val="00D2196D"/>
    <w:rsid w:val="00D219EC"/>
    <w:rsid w:val="00D21B2C"/>
    <w:rsid w:val="00D21D72"/>
    <w:rsid w:val="00D21F98"/>
    <w:rsid w:val="00D220D9"/>
    <w:rsid w:val="00D2266D"/>
    <w:rsid w:val="00D22A83"/>
    <w:rsid w:val="00D22C26"/>
    <w:rsid w:val="00D22CD3"/>
    <w:rsid w:val="00D23017"/>
    <w:rsid w:val="00D2301F"/>
    <w:rsid w:val="00D23286"/>
    <w:rsid w:val="00D23416"/>
    <w:rsid w:val="00D236C2"/>
    <w:rsid w:val="00D238CB"/>
    <w:rsid w:val="00D238D9"/>
    <w:rsid w:val="00D238FA"/>
    <w:rsid w:val="00D2391D"/>
    <w:rsid w:val="00D23C54"/>
    <w:rsid w:val="00D23CF1"/>
    <w:rsid w:val="00D23F9C"/>
    <w:rsid w:val="00D24196"/>
    <w:rsid w:val="00D241E2"/>
    <w:rsid w:val="00D24784"/>
    <w:rsid w:val="00D248A2"/>
    <w:rsid w:val="00D248DB"/>
    <w:rsid w:val="00D24B79"/>
    <w:rsid w:val="00D24BAD"/>
    <w:rsid w:val="00D24BD6"/>
    <w:rsid w:val="00D24CF9"/>
    <w:rsid w:val="00D24D0A"/>
    <w:rsid w:val="00D24EB2"/>
    <w:rsid w:val="00D24EBC"/>
    <w:rsid w:val="00D24EFC"/>
    <w:rsid w:val="00D24FCB"/>
    <w:rsid w:val="00D25258"/>
    <w:rsid w:val="00D25343"/>
    <w:rsid w:val="00D2535D"/>
    <w:rsid w:val="00D25B49"/>
    <w:rsid w:val="00D25C74"/>
    <w:rsid w:val="00D26391"/>
    <w:rsid w:val="00D26472"/>
    <w:rsid w:val="00D264F3"/>
    <w:rsid w:val="00D26746"/>
    <w:rsid w:val="00D26752"/>
    <w:rsid w:val="00D26ABB"/>
    <w:rsid w:val="00D26AF0"/>
    <w:rsid w:val="00D26BBE"/>
    <w:rsid w:val="00D26CEA"/>
    <w:rsid w:val="00D26D28"/>
    <w:rsid w:val="00D26D8F"/>
    <w:rsid w:val="00D27362"/>
    <w:rsid w:val="00D27423"/>
    <w:rsid w:val="00D27428"/>
    <w:rsid w:val="00D274B4"/>
    <w:rsid w:val="00D278A2"/>
    <w:rsid w:val="00D2796E"/>
    <w:rsid w:val="00D279D1"/>
    <w:rsid w:val="00D279E0"/>
    <w:rsid w:val="00D27D25"/>
    <w:rsid w:val="00D27D58"/>
    <w:rsid w:val="00D27FC8"/>
    <w:rsid w:val="00D3013A"/>
    <w:rsid w:val="00D30348"/>
    <w:rsid w:val="00D3049C"/>
    <w:rsid w:val="00D3057A"/>
    <w:rsid w:val="00D305D6"/>
    <w:rsid w:val="00D30693"/>
    <w:rsid w:val="00D306CB"/>
    <w:rsid w:val="00D307D3"/>
    <w:rsid w:val="00D30AD4"/>
    <w:rsid w:val="00D30BCC"/>
    <w:rsid w:val="00D30CA8"/>
    <w:rsid w:val="00D30DCD"/>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541"/>
    <w:rsid w:val="00D33841"/>
    <w:rsid w:val="00D3396C"/>
    <w:rsid w:val="00D339C0"/>
    <w:rsid w:val="00D33A04"/>
    <w:rsid w:val="00D33C4A"/>
    <w:rsid w:val="00D33C96"/>
    <w:rsid w:val="00D341CB"/>
    <w:rsid w:val="00D342A1"/>
    <w:rsid w:val="00D3431B"/>
    <w:rsid w:val="00D34F66"/>
    <w:rsid w:val="00D3522F"/>
    <w:rsid w:val="00D35333"/>
    <w:rsid w:val="00D353FB"/>
    <w:rsid w:val="00D35417"/>
    <w:rsid w:val="00D355D6"/>
    <w:rsid w:val="00D358EF"/>
    <w:rsid w:val="00D358F3"/>
    <w:rsid w:val="00D358FB"/>
    <w:rsid w:val="00D3595F"/>
    <w:rsid w:val="00D35963"/>
    <w:rsid w:val="00D3596D"/>
    <w:rsid w:val="00D35D1E"/>
    <w:rsid w:val="00D35D53"/>
    <w:rsid w:val="00D35D9C"/>
    <w:rsid w:val="00D35E78"/>
    <w:rsid w:val="00D3648B"/>
    <w:rsid w:val="00D36624"/>
    <w:rsid w:val="00D36DF4"/>
    <w:rsid w:val="00D36E5C"/>
    <w:rsid w:val="00D36F82"/>
    <w:rsid w:val="00D3727B"/>
    <w:rsid w:val="00D373F2"/>
    <w:rsid w:val="00D376B7"/>
    <w:rsid w:val="00D3793B"/>
    <w:rsid w:val="00D379A6"/>
    <w:rsid w:val="00D37A0F"/>
    <w:rsid w:val="00D37EC3"/>
    <w:rsid w:val="00D37FF0"/>
    <w:rsid w:val="00D40246"/>
    <w:rsid w:val="00D403B4"/>
    <w:rsid w:val="00D403BF"/>
    <w:rsid w:val="00D4067C"/>
    <w:rsid w:val="00D40B51"/>
    <w:rsid w:val="00D40CD6"/>
    <w:rsid w:val="00D40DE3"/>
    <w:rsid w:val="00D40E05"/>
    <w:rsid w:val="00D41072"/>
    <w:rsid w:val="00D4108F"/>
    <w:rsid w:val="00D410DF"/>
    <w:rsid w:val="00D410E6"/>
    <w:rsid w:val="00D413F9"/>
    <w:rsid w:val="00D4168F"/>
    <w:rsid w:val="00D41691"/>
    <w:rsid w:val="00D418E0"/>
    <w:rsid w:val="00D4194B"/>
    <w:rsid w:val="00D419E2"/>
    <w:rsid w:val="00D419F8"/>
    <w:rsid w:val="00D41B77"/>
    <w:rsid w:val="00D41DC9"/>
    <w:rsid w:val="00D4205D"/>
    <w:rsid w:val="00D420B7"/>
    <w:rsid w:val="00D4252D"/>
    <w:rsid w:val="00D425C8"/>
    <w:rsid w:val="00D42685"/>
    <w:rsid w:val="00D42902"/>
    <w:rsid w:val="00D4299C"/>
    <w:rsid w:val="00D42A22"/>
    <w:rsid w:val="00D42AE4"/>
    <w:rsid w:val="00D42B1F"/>
    <w:rsid w:val="00D42FC8"/>
    <w:rsid w:val="00D4327C"/>
    <w:rsid w:val="00D4342E"/>
    <w:rsid w:val="00D4355D"/>
    <w:rsid w:val="00D436D6"/>
    <w:rsid w:val="00D43839"/>
    <w:rsid w:val="00D43BF1"/>
    <w:rsid w:val="00D43E54"/>
    <w:rsid w:val="00D44042"/>
    <w:rsid w:val="00D4422A"/>
    <w:rsid w:val="00D442EF"/>
    <w:rsid w:val="00D444EA"/>
    <w:rsid w:val="00D4475F"/>
    <w:rsid w:val="00D447CB"/>
    <w:rsid w:val="00D44D18"/>
    <w:rsid w:val="00D4510A"/>
    <w:rsid w:val="00D4514A"/>
    <w:rsid w:val="00D4528E"/>
    <w:rsid w:val="00D45333"/>
    <w:rsid w:val="00D454C9"/>
    <w:rsid w:val="00D45567"/>
    <w:rsid w:val="00D45949"/>
    <w:rsid w:val="00D45979"/>
    <w:rsid w:val="00D45A6D"/>
    <w:rsid w:val="00D45A7A"/>
    <w:rsid w:val="00D45A89"/>
    <w:rsid w:val="00D45AED"/>
    <w:rsid w:val="00D45EC8"/>
    <w:rsid w:val="00D464F3"/>
    <w:rsid w:val="00D4661C"/>
    <w:rsid w:val="00D466C6"/>
    <w:rsid w:val="00D46875"/>
    <w:rsid w:val="00D46AF0"/>
    <w:rsid w:val="00D46C04"/>
    <w:rsid w:val="00D46C89"/>
    <w:rsid w:val="00D46EEA"/>
    <w:rsid w:val="00D47101"/>
    <w:rsid w:val="00D47755"/>
    <w:rsid w:val="00D4791C"/>
    <w:rsid w:val="00D479F7"/>
    <w:rsid w:val="00D47B6E"/>
    <w:rsid w:val="00D47D59"/>
    <w:rsid w:val="00D47DCD"/>
    <w:rsid w:val="00D47F5F"/>
    <w:rsid w:val="00D5044A"/>
    <w:rsid w:val="00D50805"/>
    <w:rsid w:val="00D50820"/>
    <w:rsid w:val="00D50961"/>
    <w:rsid w:val="00D509E9"/>
    <w:rsid w:val="00D50E0F"/>
    <w:rsid w:val="00D50E2C"/>
    <w:rsid w:val="00D50F79"/>
    <w:rsid w:val="00D50FC9"/>
    <w:rsid w:val="00D510E8"/>
    <w:rsid w:val="00D512E5"/>
    <w:rsid w:val="00D513FC"/>
    <w:rsid w:val="00D5189F"/>
    <w:rsid w:val="00D51E5C"/>
    <w:rsid w:val="00D5201B"/>
    <w:rsid w:val="00D520B1"/>
    <w:rsid w:val="00D52174"/>
    <w:rsid w:val="00D522C6"/>
    <w:rsid w:val="00D522EC"/>
    <w:rsid w:val="00D5240E"/>
    <w:rsid w:val="00D52643"/>
    <w:rsid w:val="00D5269C"/>
    <w:rsid w:val="00D52B21"/>
    <w:rsid w:val="00D52EC1"/>
    <w:rsid w:val="00D53015"/>
    <w:rsid w:val="00D5311C"/>
    <w:rsid w:val="00D533C3"/>
    <w:rsid w:val="00D534A9"/>
    <w:rsid w:val="00D53605"/>
    <w:rsid w:val="00D536B9"/>
    <w:rsid w:val="00D53823"/>
    <w:rsid w:val="00D5393A"/>
    <w:rsid w:val="00D5396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15"/>
    <w:rsid w:val="00D5527B"/>
    <w:rsid w:val="00D55285"/>
    <w:rsid w:val="00D554A8"/>
    <w:rsid w:val="00D55619"/>
    <w:rsid w:val="00D5577E"/>
    <w:rsid w:val="00D559C0"/>
    <w:rsid w:val="00D55A7D"/>
    <w:rsid w:val="00D55AB5"/>
    <w:rsid w:val="00D55AD0"/>
    <w:rsid w:val="00D55D5A"/>
    <w:rsid w:val="00D55DAA"/>
    <w:rsid w:val="00D55EC2"/>
    <w:rsid w:val="00D56104"/>
    <w:rsid w:val="00D562E4"/>
    <w:rsid w:val="00D5632D"/>
    <w:rsid w:val="00D563CA"/>
    <w:rsid w:val="00D56668"/>
    <w:rsid w:val="00D56DC8"/>
    <w:rsid w:val="00D571C2"/>
    <w:rsid w:val="00D5731B"/>
    <w:rsid w:val="00D5731F"/>
    <w:rsid w:val="00D573AE"/>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86C"/>
    <w:rsid w:val="00D60B11"/>
    <w:rsid w:val="00D60CBF"/>
    <w:rsid w:val="00D60CD3"/>
    <w:rsid w:val="00D610E6"/>
    <w:rsid w:val="00D61134"/>
    <w:rsid w:val="00D6130A"/>
    <w:rsid w:val="00D61600"/>
    <w:rsid w:val="00D61614"/>
    <w:rsid w:val="00D6171D"/>
    <w:rsid w:val="00D617D8"/>
    <w:rsid w:val="00D61821"/>
    <w:rsid w:val="00D6184A"/>
    <w:rsid w:val="00D6186E"/>
    <w:rsid w:val="00D61BAC"/>
    <w:rsid w:val="00D61C06"/>
    <w:rsid w:val="00D61CF1"/>
    <w:rsid w:val="00D622A7"/>
    <w:rsid w:val="00D623C7"/>
    <w:rsid w:val="00D624A2"/>
    <w:rsid w:val="00D6266A"/>
    <w:rsid w:val="00D62689"/>
    <w:rsid w:val="00D627DA"/>
    <w:rsid w:val="00D62858"/>
    <w:rsid w:val="00D629F4"/>
    <w:rsid w:val="00D62B65"/>
    <w:rsid w:val="00D62BF2"/>
    <w:rsid w:val="00D62E02"/>
    <w:rsid w:val="00D63089"/>
    <w:rsid w:val="00D6318E"/>
    <w:rsid w:val="00D631D4"/>
    <w:rsid w:val="00D6331E"/>
    <w:rsid w:val="00D63324"/>
    <w:rsid w:val="00D63329"/>
    <w:rsid w:val="00D6377C"/>
    <w:rsid w:val="00D637E1"/>
    <w:rsid w:val="00D6381C"/>
    <w:rsid w:val="00D63902"/>
    <w:rsid w:val="00D63925"/>
    <w:rsid w:val="00D63AA5"/>
    <w:rsid w:val="00D63C09"/>
    <w:rsid w:val="00D63C7D"/>
    <w:rsid w:val="00D63DB7"/>
    <w:rsid w:val="00D63E54"/>
    <w:rsid w:val="00D63E7D"/>
    <w:rsid w:val="00D6403E"/>
    <w:rsid w:val="00D64142"/>
    <w:rsid w:val="00D645CA"/>
    <w:rsid w:val="00D645EC"/>
    <w:rsid w:val="00D646A9"/>
    <w:rsid w:val="00D646F4"/>
    <w:rsid w:val="00D647B8"/>
    <w:rsid w:val="00D648B8"/>
    <w:rsid w:val="00D6530A"/>
    <w:rsid w:val="00D653FD"/>
    <w:rsid w:val="00D654C2"/>
    <w:rsid w:val="00D65554"/>
    <w:rsid w:val="00D655FD"/>
    <w:rsid w:val="00D6564E"/>
    <w:rsid w:val="00D657AA"/>
    <w:rsid w:val="00D65A30"/>
    <w:rsid w:val="00D65AC0"/>
    <w:rsid w:val="00D65C5D"/>
    <w:rsid w:val="00D65CD5"/>
    <w:rsid w:val="00D65D22"/>
    <w:rsid w:val="00D65DBB"/>
    <w:rsid w:val="00D65E0A"/>
    <w:rsid w:val="00D65F79"/>
    <w:rsid w:val="00D66259"/>
    <w:rsid w:val="00D662F5"/>
    <w:rsid w:val="00D66C19"/>
    <w:rsid w:val="00D66EE3"/>
    <w:rsid w:val="00D67254"/>
    <w:rsid w:val="00D67324"/>
    <w:rsid w:val="00D673EA"/>
    <w:rsid w:val="00D67939"/>
    <w:rsid w:val="00D679A2"/>
    <w:rsid w:val="00D67D9D"/>
    <w:rsid w:val="00D67E6A"/>
    <w:rsid w:val="00D70254"/>
    <w:rsid w:val="00D70287"/>
    <w:rsid w:val="00D70507"/>
    <w:rsid w:val="00D7059D"/>
    <w:rsid w:val="00D70973"/>
    <w:rsid w:val="00D70A11"/>
    <w:rsid w:val="00D70C62"/>
    <w:rsid w:val="00D70E26"/>
    <w:rsid w:val="00D70E32"/>
    <w:rsid w:val="00D70EC0"/>
    <w:rsid w:val="00D70F94"/>
    <w:rsid w:val="00D710B1"/>
    <w:rsid w:val="00D713E9"/>
    <w:rsid w:val="00D71417"/>
    <w:rsid w:val="00D714F6"/>
    <w:rsid w:val="00D7152E"/>
    <w:rsid w:val="00D718D0"/>
    <w:rsid w:val="00D71BB0"/>
    <w:rsid w:val="00D71C4C"/>
    <w:rsid w:val="00D71D10"/>
    <w:rsid w:val="00D71F28"/>
    <w:rsid w:val="00D72069"/>
    <w:rsid w:val="00D720C6"/>
    <w:rsid w:val="00D720E8"/>
    <w:rsid w:val="00D72112"/>
    <w:rsid w:val="00D722D1"/>
    <w:rsid w:val="00D724CE"/>
    <w:rsid w:val="00D72561"/>
    <w:rsid w:val="00D725A3"/>
    <w:rsid w:val="00D725D7"/>
    <w:rsid w:val="00D7272F"/>
    <w:rsid w:val="00D727AF"/>
    <w:rsid w:val="00D728FE"/>
    <w:rsid w:val="00D72B7F"/>
    <w:rsid w:val="00D72BDE"/>
    <w:rsid w:val="00D73015"/>
    <w:rsid w:val="00D7308C"/>
    <w:rsid w:val="00D7317C"/>
    <w:rsid w:val="00D731D6"/>
    <w:rsid w:val="00D734B5"/>
    <w:rsid w:val="00D735DF"/>
    <w:rsid w:val="00D7389C"/>
    <w:rsid w:val="00D73912"/>
    <w:rsid w:val="00D73A25"/>
    <w:rsid w:val="00D73CB6"/>
    <w:rsid w:val="00D74331"/>
    <w:rsid w:val="00D743C3"/>
    <w:rsid w:val="00D743DC"/>
    <w:rsid w:val="00D74528"/>
    <w:rsid w:val="00D7464A"/>
    <w:rsid w:val="00D74719"/>
    <w:rsid w:val="00D74780"/>
    <w:rsid w:val="00D7495F"/>
    <w:rsid w:val="00D74A16"/>
    <w:rsid w:val="00D74D77"/>
    <w:rsid w:val="00D74DE1"/>
    <w:rsid w:val="00D74DF5"/>
    <w:rsid w:val="00D74E6A"/>
    <w:rsid w:val="00D750F8"/>
    <w:rsid w:val="00D75177"/>
    <w:rsid w:val="00D7528F"/>
    <w:rsid w:val="00D752E8"/>
    <w:rsid w:val="00D75304"/>
    <w:rsid w:val="00D75566"/>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94"/>
    <w:rsid w:val="00D771AA"/>
    <w:rsid w:val="00D7724A"/>
    <w:rsid w:val="00D775DD"/>
    <w:rsid w:val="00D7764C"/>
    <w:rsid w:val="00D776DA"/>
    <w:rsid w:val="00D77781"/>
    <w:rsid w:val="00D777CF"/>
    <w:rsid w:val="00D77D28"/>
    <w:rsid w:val="00D77EF4"/>
    <w:rsid w:val="00D77EF6"/>
    <w:rsid w:val="00D77F4D"/>
    <w:rsid w:val="00D801B7"/>
    <w:rsid w:val="00D80432"/>
    <w:rsid w:val="00D8056F"/>
    <w:rsid w:val="00D80697"/>
    <w:rsid w:val="00D806E4"/>
    <w:rsid w:val="00D807BB"/>
    <w:rsid w:val="00D8081D"/>
    <w:rsid w:val="00D80B51"/>
    <w:rsid w:val="00D80C62"/>
    <w:rsid w:val="00D80C86"/>
    <w:rsid w:val="00D80D5E"/>
    <w:rsid w:val="00D80DA2"/>
    <w:rsid w:val="00D80E22"/>
    <w:rsid w:val="00D81231"/>
    <w:rsid w:val="00D8183C"/>
    <w:rsid w:val="00D818A4"/>
    <w:rsid w:val="00D8242C"/>
    <w:rsid w:val="00D827D1"/>
    <w:rsid w:val="00D827F2"/>
    <w:rsid w:val="00D828A6"/>
    <w:rsid w:val="00D832B9"/>
    <w:rsid w:val="00D83398"/>
    <w:rsid w:val="00D83410"/>
    <w:rsid w:val="00D8348E"/>
    <w:rsid w:val="00D83660"/>
    <w:rsid w:val="00D836EF"/>
    <w:rsid w:val="00D83889"/>
    <w:rsid w:val="00D8389F"/>
    <w:rsid w:val="00D8398B"/>
    <w:rsid w:val="00D839EE"/>
    <w:rsid w:val="00D841A8"/>
    <w:rsid w:val="00D8469F"/>
    <w:rsid w:val="00D846E7"/>
    <w:rsid w:val="00D8485A"/>
    <w:rsid w:val="00D84AB7"/>
    <w:rsid w:val="00D84CF0"/>
    <w:rsid w:val="00D84D6A"/>
    <w:rsid w:val="00D84DD6"/>
    <w:rsid w:val="00D8533B"/>
    <w:rsid w:val="00D855CF"/>
    <w:rsid w:val="00D85876"/>
    <w:rsid w:val="00D858C9"/>
    <w:rsid w:val="00D85942"/>
    <w:rsid w:val="00D85CB6"/>
    <w:rsid w:val="00D8615E"/>
    <w:rsid w:val="00D86240"/>
    <w:rsid w:val="00D8627B"/>
    <w:rsid w:val="00D8653D"/>
    <w:rsid w:val="00D86588"/>
    <w:rsid w:val="00D86907"/>
    <w:rsid w:val="00D86A4C"/>
    <w:rsid w:val="00D86A8A"/>
    <w:rsid w:val="00D86D62"/>
    <w:rsid w:val="00D86EC6"/>
    <w:rsid w:val="00D86FFA"/>
    <w:rsid w:val="00D870D2"/>
    <w:rsid w:val="00D87219"/>
    <w:rsid w:val="00D8736B"/>
    <w:rsid w:val="00D87463"/>
    <w:rsid w:val="00D879FB"/>
    <w:rsid w:val="00D87BB6"/>
    <w:rsid w:val="00D87CC8"/>
    <w:rsid w:val="00D87CCC"/>
    <w:rsid w:val="00D87DEA"/>
    <w:rsid w:val="00D87F46"/>
    <w:rsid w:val="00D900B9"/>
    <w:rsid w:val="00D901A8"/>
    <w:rsid w:val="00D902C3"/>
    <w:rsid w:val="00D902D3"/>
    <w:rsid w:val="00D90655"/>
    <w:rsid w:val="00D909AE"/>
    <w:rsid w:val="00D909F9"/>
    <w:rsid w:val="00D90B84"/>
    <w:rsid w:val="00D90E70"/>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81"/>
    <w:rsid w:val="00D931BA"/>
    <w:rsid w:val="00D931E2"/>
    <w:rsid w:val="00D93719"/>
    <w:rsid w:val="00D939FD"/>
    <w:rsid w:val="00D93A3A"/>
    <w:rsid w:val="00D93B11"/>
    <w:rsid w:val="00D93B53"/>
    <w:rsid w:val="00D93C24"/>
    <w:rsid w:val="00D94234"/>
    <w:rsid w:val="00D94689"/>
    <w:rsid w:val="00D948A7"/>
    <w:rsid w:val="00D94B94"/>
    <w:rsid w:val="00D94DE7"/>
    <w:rsid w:val="00D950A6"/>
    <w:rsid w:val="00D95177"/>
    <w:rsid w:val="00D952DD"/>
    <w:rsid w:val="00D95787"/>
    <w:rsid w:val="00D9585A"/>
    <w:rsid w:val="00D958DF"/>
    <w:rsid w:val="00D9591B"/>
    <w:rsid w:val="00D959AF"/>
    <w:rsid w:val="00D95B05"/>
    <w:rsid w:val="00D95C5C"/>
    <w:rsid w:val="00D95CDE"/>
    <w:rsid w:val="00D95E0F"/>
    <w:rsid w:val="00D96183"/>
    <w:rsid w:val="00D961EC"/>
    <w:rsid w:val="00D96346"/>
    <w:rsid w:val="00D963B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4AC"/>
    <w:rsid w:val="00D97654"/>
    <w:rsid w:val="00D97766"/>
    <w:rsid w:val="00D97C0A"/>
    <w:rsid w:val="00D97DAA"/>
    <w:rsid w:val="00D97EB4"/>
    <w:rsid w:val="00DA0078"/>
    <w:rsid w:val="00DA018D"/>
    <w:rsid w:val="00DA0259"/>
    <w:rsid w:val="00DA10E1"/>
    <w:rsid w:val="00DA11B2"/>
    <w:rsid w:val="00DA12B1"/>
    <w:rsid w:val="00DA1766"/>
    <w:rsid w:val="00DA19D4"/>
    <w:rsid w:val="00DA1A57"/>
    <w:rsid w:val="00DA1DB2"/>
    <w:rsid w:val="00DA1E1C"/>
    <w:rsid w:val="00DA1F46"/>
    <w:rsid w:val="00DA2835"/>
    <w:rsid w:val="00DA2B9E"/>
    <w:rsid w:val="00DA2D8E"/>
    <w:rsid w:val="00DA2E17"/>
    <w:rsid w:val="00DA2E2C"/>
    <w:rsid w:val="00DA304D"/>
    <w:rsid w:val="00DA3065"/>
    <w:rsid w:val="00DA3095"/>
    <w:rsid w:val="00DA34D6"/>
    <w:rsid w:val="00DA38D5"/>
    <w:rsid w:val="00DA3FD4"/>
    <w:rsid w:val="00DA4506"/>
    <w:rsid w:val="00DA4620"/>
    <w:rsid w:val="00DA4784"/>
    <w:rsid w:val="00DA49A0"/>
    <w:rsid w:val="00DA4B10"/>
    <w:rsid w:val="00DA4D04"/>
    <w:rsid w:val="00DA4E8A"/>
    <w:rsid w:val="00DA517E"/>
    <w:rsid w:val="00DA52B8"/>
    <w:rsid w:val="00DA53BC"/>
    <w:rsid w:val="00DA53CC"/>
    <w:rsid w:val="00DA5593"/>
    <w:rsid w:val="00DA55FB"/>
    <w:rsid w:val="00DA58FB"/>
    <w:rsid w:val="00DA59BE"/>
    <w:rsid w:val="00DA5A6E"/>
    <w:rsid w:val="00DA5D0E"/>
    <w:rsid w:val="00DA5D33"/>
    <w:rsid w:val="00DA5E8D"/>
    <w:rsid w:val="00DA6059"/>
    <w:rsid w:val="00DA609E"/>
    <w:rsid w:val="00DA651E"/>
    <w:rsid w:val="00DA68E1"/>
    <w:rsid w:val="00DA6D73"/>
    <w:rsid w:val="00DA70A3"/>
    <w:rsid w:val="00DA70D5"/>
    <w:rsid w:val="00DA7130"/>
    <w:rsid w:val="00DA714C"/>
    <w:rsid w:val="00DA73E4"/>
    <w:rsid w:val="00DA74BE"/>
    <w:rsid w:val="00DA7500"/>
    <w:rsid w:val="00DA7617"/>
    <w:rsid w:val="00DA77FD"/>
    <w:rsid w:val="00DA79B1"/>
    <w:rsid w:val="00DA7BD2"/>
    <w:rsid w:val="00DA7C9F"/>
    <w:rsid w:val="00DA7D3D"/>
    <w:rsid w:val="00DB029D"/>
    <w:rsid w:val="00DB0609"/>
    <w:rsid w:val="00DB0A23"/>
    <w:rsid w:val="00DB0CA8"/>
    <w:rsid w:val="00DB0CDD"/>
    <w:rsid w:val="00DB0D8F"/>
    <w:rsid w:val="00DB1192"/>
    <w:rsid w:val="00DB12C2"/>
    <w:rsid w:val="00DB13ED"/>
    <w:rsid w:val="00DB13F3"/>
    <w:rsid w:val="00DB1666"/>
    <w:rsid w:val="00DB1B8E"/>
    <w:rsid w:val="00DB1C7C"/>
    <w:rsid w:val="00DB1CF8"/>
    <w:rsid w:val="00DB1D67"/>
    <w:rsid w:val="00DB1D97"/>
    <w:rsid w:val="00DB1E9C"/>
    <w:rsid w:val="00DB1F48"/>
    <w:rsid w:val="00DB21EB"/>
    <w:rsid w:val="00DB2247"/>
    <w:rsid w:val="00DB23A0"/>
    <w:rsid w:val="00DB243C"/>
    <w:rsid w:val="00DB25EC"/>
    <w:rsid w:val="00DB2686"/>
    <w:rsid w:val="00DB31AF"/>
    <w:rsid w:val="00DB341E"/>
    <w:rsid w:val="00DB34E0"/>
    <w:rsid w:val="00DB3560"/>
    <w:rsid w:val="00DB3623"/>
    <w:rsid w:val="00DB367D"/>
    <w:rsid w:val="00DB399C"/>
    <w:rsid w:val="00DB3C3F"/>
    <w:rsid w:val="00DB3FDD"/>
    <w:rsid w:val="00DB41C2"/>
    <w:rsid w:val="00DB4261"/>
    <w:rsid w:val="00DB465D"/>
    <w:rsid w:val="00DB472B"/>
    <w:rsid w:val="00DB47E8"/>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85"/>
    <w:rsid w:val="00DB6D76"/>
    <w:rsid w:val="00DB7116"/>
    <w:rsid w:val="00DB7125"/>
    <w:rsid w:val="00DB71A1"/>
    <w:rsid w:val="00DB745A"/>
    <w:rsid w:val="00DB7597"/>
    <w:rsid w:val="00DB765A"/>
    <w:rsid w:val="00DB77DD"/>
    <w:rsid w:val="00DB790E"/>
    <w:rsid w:val="00DB7B22"/>
    <w:rsid w:val="00DB7B88"/>
    <w:rsid w:val="00DB7C45"/>
    <w:rsid w:val="00DC0172"/>
    <w:rsid w:val="00DC01C3"/>
    <w:rsid w:val="00DC0328"/>
    <w:rsid w:val="00DC0370"/>
    <w:rsid w:val="00DC066C"/>
    <w:rsid w:val="00DC095B"/>
    <w:rsid w:val="00DC09A2"/>
    <w:rsid w:val="00DC0A55"/>
    <w:rsid w:val="00DC0B32"/>
    <w:rsid w:val="00DC1025"/>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355"/>
    <w:rsid w:val="00DC25ED"/>
    <w:rsid w:val="00DC25F3"/>
    <w:rsid w:val="00DC274C"/>
    <w:rsid w:val="00DC2E0D"/>
    <w:rsid w:val="00DC2EA5"/>
    <w:rsid w:val="00DC3261"/>
    <w:rsid w:val="00DC3406"/>
    <w:rsid w:val="00DC3536"/>
    <w:rsid w:val="00DC38A7"/>
    <w:rsid w:val="00DC3AE7"/>
    <w:rsid w:val="00DC400F"/>
    <w:rsid w:val="00DC4088"/>
    <w:rsid w:val="00DC4174"/>
    <w:rsid w:val="00DC4572"/>
    <w:rsid w:val="00DC49D5"/>
    <w:rsid w:val="00DC4AFB"/>
    <w:rsid w:val="00DC4BE5"/>
    <w:rsid w:val="00DC4CA1"/>
    <w:rsid w:val="00DC4F15"/>
    <w:rsid w:val="00DC4F38"/>
    <w:rsid w:val="00DC4F9B"/>
    <w:rsid w:val="00DC500E"/>
    <w:rsid w:val="00DC53E8"/>
    <w:rsid w:val="00DC54CE"/>
    <w:rsid w:val="00DC5651"/>
    <w:rsid w:val="00DC5BF7"/>
    <w:rsid w:val="00DC5C3B"/>
    <w:rsid w:val="00DC5D7B"/>
    <w:rsid w:val="00DC5ED1"/>
    <w:rsid w:val="00DC6038"/>
    <w:rsid w:val="00DC618E"/>
    <w:rsid w:val="00DC665F"/>
    <w:rsid w:val="00DC681A"/>
    <w:rsid w:val="00DC6B57"/>
    <w:rsid w:val="00DC6CC8"/>
    <w:rsid w:val="00DC6D51"/>
    <w:rsid w:val="00DC6DBC"/>
    <w:rsid w:val="00DC6F41"/>
    <w:rsid w:val="00DC7238"/>
    <w:rsid w:val="00DC7489"/>
    <w:rsid w:val="00DC74B6"/>
    <w:rsid w:val="00DC7553"/>
    <w:rsid w:val="00DC766F"/>
    <w:rsid w:val="00DC76B5"/>
    <w:rsid w:val="00DC7888"/>
    <w:rsid w:val="00DC78B7"/>
    <w:rsid w:val="00DC7921"/>
    <w:rsid w:val="00DC7B36"/>
    <w:rsid w:val="00DC7B4A"/>
    <w:rsid w:val="00DC7E9A"/>
    <w:rsid w:val="00DC7F66"/>
    <w:rsid w:val="00DD01BE"/>
    <w:rsid w:val="00DD06CB"/>
    <w:rsid w:val="00DD0954"/>
    <w:rsid w:val="00DD0A00"/>
    <w:rsid w:val="00DD1009"/>
    <w:rsid w:val="00DD1146"/>
    <w:rsid w:val="00DD1378"/>
    <w:rsid w:val="00DD140A"/>
    <w:rsid w:val="00DD1506"/>
    <w:rsid w:val="00DD157D"/>
    <w:rsid w:val="00DD1973"/>
    <w:rsid w:val="00DD1B0D"/>
    <w:rsid w:val="00DD1B30"/>
    <w:rsid w:val="00DD1CF4"/>
    <w:rsid w:val="00DD1ECF"/>
    <w:rsid w:val="00DD1FDF"/>
    <w:rsid w:val="00DD2007"/>
    <w:rsid w:val="00DD2405"/>
    <w:rsid w:val="00DD242E"/>
    <w:rsid w:val="00DD2574"/>
    <w:rsid w:val="00DD25D2"/>
    <w:rsid w:val="00DD2608"/>
    <w:rsid w:val="00DD2791"/>
    <w:rsid w:val="00DD27DA"/>
    <w:rsid w:val="00DD2925"/>
    <w:rsid w:val="00DD2B15"/>
    <w:rsid w:val="00DD2B95"/>
    <w:rsid w:val="00DD2DA0"/>
    <w:rsid w:val="00DD2E3D"/>
    <w:rsid w:val="00DD2F9A"/>
    <w:rsid w:val="00DD3334"/>
    <w:rsid w:val="00DD36AA"/>
    <w:rsid w:val="00DD37A4"/>
    <w:rsid w:val="00DD37C0"/>
    <w:rsid w:val="00DD39AA"/>
    <w:rsid w:val="00DD3D7B"/>
    <w:rsid w:val="00DD40A6"/>
    <w:rsid w:val="00DD40C0"/>
    <w:rsid w:val="00DD4281"/>
    <w:rsid w:val="00DD4321"/>
    <w:rsid w:val="00DD4406"/>
    <w:rsid w:val="00DD449F"/>
    <w:rsid w:val="00DD44EF"/>
    <w:rsid w:val="00DD453C"/>
    <w:rsid w:val="00DD46FA"/>
    <w:rsid w:val="00DD47EE"/>
    <w:rsid w:val="00DD4815"/>
    <w:rsid w:val="00DD4E50"/>
    <w:rsid w:val="00DD4E56"/>
    <w:rsid w:val="00DD501C"/>
    <w:rsid w:val="00DD501E"/>
    <w:rsid w:val="00DD50FA"/>
    <w:rsid w:val="00DD5262"/>
    <w:rsid w:val="00DD52A7"/>
    <w:rsid w:val="00DD531D"/>
    <w:rsid w:val="00DD56B9"/>
    <w:rsid w:val="00DD588A"/>
    <w:rsid w:val="00DD5955"/>
    <w:rsid w:val="00DD5956"/>
    <w:rsid w:val="00DD59A4"/>
    <w:rsid w:val="00DD5A0C"/>
    <w:rsid w:val="00DD5BA4"/>
    <w:rsid w:val="00DD5BB8"/>
    <w:rsid w:val="00DD5D7A"/>
    <w:rsid w:val="00DD5D9E"/>
    <w:rsid w:val="00DD6558"/>
    <w:rsid w:val="00DD6731"/>
    <w:rsid w:val="00DD6A2A"/>
    <w:rsid w:val="00DD6CFF"/>
    <w:rsid w:val="00DD735E"/>
    <w:rsid w:val="00DD7362"/>
    <w:rsid w:val="00DD739E"/>
    <w:rsid w:val="00DD74C3"/>
    <w:rsid w:val="00DD75F1"/>
    <w:rsid w:val="00DD7674"/>
    <w:rsid w:val="00DD7730"/>
    <w:rsid w:val="00DD782E"/>
    <w:rsid w:val="00DD7873"/>
    <w:rsid w:val="00DD7968"/>
    <w:rsid w:val="00DD7995"/>
    <w:rsid w:val="00DD7A1C"/>
    <w:rsid w:val="00DD7CDE"/>
    <w:rsid w:val="00DD7E87"/>
    <w:rsid w:val="00DD7F13"/>
    <w:rsid w:val="00DD7F56"/>
    <w:rsid w:val="00DE00CF"/>
    <w:rsid w:val="00DE017C"/>
    <w:rsid w:val="00DE0183"/>
    <w:rsid w:val="00DE03B8"/>
    <w:rsid w:val="00DE06F3"/>
    <w:rsid w:val="00DE07E8"/>
    <w:rsid w:val="00DE0B69"/>
    <w:rsid w:val="00DE0DF4"/>
    <w:rsid w:val="00DE0E10"/>
    <w:rsid w:val="00DE0E7E"/>
    <w:rsid w:val="00DE10A1"/>
    <w:rsid w:val="00DE10E3"/>
    <w:rsid w:val="00DE10F5"/>
    <w:rsid w:val="00DE1692"/>
    <w:rsid w:val="00DE18EC"/>
    <w:rsid w:val="00DE1C22"/>
    <w:rsid w:val="00DE20CE"/>
    <w:rsid w:val="00DE23FF"/>
    <w:rsid w:val="00DE249D"/>
    <w:rsid w:val="00DE2804"/>
    <w:rsid w:val="00DE2AC1"/>
    <w:rsid w:val="00DE2CEF"/>
    <w:rsid w:val="00DE2D73"/>
    <w:rsid w:val="00DE2F65"/>
    <w:rsid w:val="00DE31EA"/>
    <w:rsid w:val="00DE3265"/>
    <w:rsid w:val="00DE35D3"/>
    <w:rsid w:val="00DE36D4"/>
    <w:rsid w:val="00DE38E4"/>
    <w:rsid w:val="00DE3A0B"/>
    <w:rsid w:val="00DE3A76"/>
    <w:rsid w:val="00DE3F06"/>
    <w:rsid w:val="00DE4552"/>
    <w:rsid w:val="00DE4720"/>
    <w:rsid w:val="00DE48A4"/>
    <w:rsid w:val="00DE4B9F"/>
    <w:rsid w:val="00DE4BB2"/>
    <w:rsid w:val="00DE4C0C"/>
    <w:rsid w:val="00DE4D74"/>
    <w:rsid w:val="00DE4EA3"/>
    <w:rsid w:val="00DE502D"/>
    <w:rsid w:val="00DE5388"/>
    <w:rsid w:val="00DE55FC"/>
    <w:rsid w:val="00DE5674"/>
    <w:rsid w:val="00DE57C4"/>
    <w:rsid w:val="00DE5B92"/>
    <w:rsid w:val="00DE6392"/>
    <w:rsid w:val="00DE6674"/>
    <w:rsid w:val="00DE6796"/>
    <w:rsid w:val="00DE6844"/>
    <w:rsid w:val="00DE688D"/>
    <w:rsid w:val="00DE6D82"/>
    <w:rsid w:val="00DE6D9D"/>
    <w:rsid w:val="00DE6E69"/>
    <w:rsid w:val="00DE6EEB"/>
    <w:rsid w:val="00DE6EED"/>
    <w:rsid w:val="00DE6EF2"/>
    <w:rsid w:val="00DE7847"/>
    <w:rsid w:val="00DE784C"/>
    <w:rsid w:val="00DE7880"/>
    <w:rsid w:val="00DE7A26"/>
    <w:rsid w:val="00DE7D39"/>
    <w:rsid w:val="00DF05C8"/>
    <w:rsid w:val="00DF0768"/>
    <w:rsid w:val="00DF0C29"/>
    <w:rsid w:val="00DF0C96"/>
    <w:rsid w:val="00DF0FD9"/>
    <w:rsid w:val="00DF15B0"/>
    <w:rsid w:val="00DF1795"/>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E20"/>
    <w:rsid w:val="00DF2E3C"/>
    <w:rsid w:val="00DF32AA"/>
    <w:rsid w:val="00DF334B"/>
    <w:rsid w:val="00DF3BA0"/>
    <w:rsid w:val="00DF3E29"/>
    <w:rsid w:val="00DF3ED6"/>
    <w:rsid w:val="00DF4065"/>
    <w:rsid w:val="00DF40E0"/>
    <w:rsid w:val="00DF4192"/>
    <w:rsid w:val="00DF41CC"/>
    <w:rsid w:val="00DF430A"/>
    <w:rsid w:val="00DF45C8"/>
    <w:rsid w:val="00DF4B52"/>
    <w:rsid w:val="00DF4C6D"/>
    <w:rsid w:val="00DF4E1B"/>
    <w:rsid w:val="00DF5018"/>
    <w:rsid w:val="00DF52B2"/>
    <w:rsid w:val="00DF53CC"/>
    <w:rsid w:val="00DF53D0"/>
    <w:rsid w:val="00DF5519"/>
    <w:rsid w:val="00DF554B"/>
    <w:rsid w:val="00DF58A8"/>
    <w:rsid w:val="00DF5B46"/>
    <w:rsid w:val="00DF5BD7"/>
    <w:rsid w:val="00DF64CA"/>
    <w:rsid w:val="00DF659E"/>
    <w:rsid w:val="00DF692E"/>
    <w:rsid w:val="00DF6C9D"/>
    <w:rsid w:val="00DF6E5D"/>
    <w:rsid w:val="00DF70EF"/>
    <w:rsid w:val="00DF7250"/>
    <w:rsid w:val="00DF72CD"/>
    <w:rsid w:val="00DF743C"/>
    <w:rsid w:val="00DF7459"/>
    <w:rsid w:val="00DF745A"/>
    <w:rsid w:val="00DF7655"/>
    <w:rsid w:val="00DF781F"/>
    <w:rsid w:val="00DF798D"/>
    <w:rsid w:val="00DF7ACD"/>
    <w:rsid w:val="00DF7D3A"/>
    <w:rsid w:val="00E000F4"/>
    <w:rsid w:val="00E001E5"/>
    <w:rsid w:val="00E0084F"/>
    <w:rsid w:val="00E00A8A"/>
    <w:rsid w:val="00E00ACA"/>
    <w:rsid w:val="00E00C78"/>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40"/>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3F34"/>
    <w:rsid w:val="00E045C3"/>
    <w:rsid w:val="00E048FF"/>
    <w:rsid w:val="00E04AB7"/>
    <w:rsid w:val="00E05064"/>
    <w:rsid w:val="00E050EF"/>
    <w:rsid w:val="00E05400"/>
    <w:rsid w:val="00E0556C"/>
    <w:rsid w:val="00E05789"/>
    <w:rsid w:val="00E05A4D"/>
    <w:rsid w:val="00E05AC4"/>
    <w:rsid w:val="00E05C7A"/>
    <w:rsid w:val="00E05E9E"/>
    <w:rsid w:val="00E06073"/>
    <w:rsid w:val="00E06096"/>
    <w:rsid w:val="00E060E3"/>
    <w:rsid w:val="00E06402"/>
    <w:rsid w:val="00E064D9"/>
    <w:rsid w:val="00E06708"/>
    <w:rsid w:val="00E068C1"/>
    <w:rsid w:val="00E06B00"/>
    <w:rsid w:val="00E06F85"/>
    <w:rsid w:val="00E07354"/>
    <w:rsid w:val="00E074FB"/>
    <w:rsid w:val="00E076FC"/>
    <w:rsid w:val="00E07897"/>
    <w:rsid w:val="00E07ACC"/>
    <w:rsid w:val="00E07B1B"/>
    <w:rsid w:val="00E07C5A"/>
    <w:rsid w:val="00E07C91"/>
    <w:rsid w:val="00E07D0C"/>
    <w:rsid w:val="00E1056D"/>
    <w:rsid w:val="00E10788"/>
    <w:rsid w:val="00E109C4"/>
    <w:rsid w:val="00E10C6A"/>
    <w:rsid w:val="00E10D28"/>
    <w:rsid w:val="00E10F98"/>
    <w:rsid w:val="00E110A4"/>
    <w:rsid w:val="00E11213"/>
    <w:rsid w:val="00E115D7"/>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8D8"/>
    <w:rsid w:val="00E13A86"/>
    <w:rsid w:val="00E13BC8"/>
    <w:rsid w:val="00E13C9E"/>
    <w:rsid w:val="00E13DFD"/>
    <w:rsid w:val="00E13E06"/>
    <w:rsid w:val="00E140C2"/>
    <w:rsid w:val="00E14237"/>
    <w:rsid w:val="00E1428C"/>
    <w:rsid w:val="00E14756"/>
    <w:rsid w:val="00E14C91"/>
    <w:rsid w:val="00E14F41"/>
    <w:rsid w:val="00E1562D"/>
    <w:rsid w:val="00E1598D"/>
    <w:rsid w:val="00E159AC"/>
    <w:rsid w:val="00E16030"/>
    <w:rsid w:val="00E163CF"/>
    <w:rsid w:val="00E16862"/>
    <w:rsid w:val="00E16868"/>
    <w:rsid w:val="00E16869"/>
    <w:rsid w:val="00E16D8A"/>
    <w:rsid w:val="00E16E34"/>
    <w:rsid w:val="00E16EEE"/>
    <w:rsid w:val="00E173C1"/>
    <w:rsid w:val="00E174E6"/>
    <w:rsid w:val="00E17577"/>
    <w:rsid w:val="00E17990"/>
    <w:rsid w:val="00E17C3D"/>
    <w:rsid w:val="00E17C47"/>
    <w:rsid w:val="00E17E53"/>
    <w:rsid w:val="00E2003B"/>
    <w:rsid w:val="00E20089"/>
    <w:rsid w:val="00E20238"/>
    <w:rsid w:val="00E20394"/>
    <w:rsid w:val="00E20439"/>
    <w:rsid w:val="00E2048E"/>
    <w:rsid w:val="00E20650"/>
    <w:rsid w:val="00E206C6"/>
    <w:rsid w:val="00E20D0A"/>
    <w:rsid w:val="00E210A3"/>
    <w:rsid w:val="00E211FB"/>
    <w:rsid w:val="00E21467"/>
    <w:rsid w:val="00E2162E"/>
    <w:rsid w:val="00E219AB"/>
    <w:rsid w:val="00E21BB5"/>
    <w:rsid w:val="00E21D2F"/>
    <w:rsid w:val="00E21DA1"/>
    <w:rsid w:val="00E22052"/>
    <w:rsid w:val="00E220CF"/>
    <w:rsid w:val="00E222A0"/>
    <w:rsid w:val="00E222FD"/>
    <w:rsid w:val="00E2256C"/>
    <w:rsid w:val="00E225C4"/>
    <w:rsid w:val="00E22624"/>
    <w:rsid w:val="00E22F84"/>
    <w:rsid w:val="00E22FEC"/>
    <w:rsid w:val="00E2326C"/>
    <w:rsid w:val="00E233C7"/>
    <w:rsid w:val="00E23528"/>
    <w:rsid w:val="00E235EB"/>
    <w:rsid w:val="00E23723"/>
    <w:rsid w:val="00E23918"/>
    <w:rsid w:val="00E23940"/>
    <w:rsid w:val="00E23AE4"/>
    <w:rsid w:val="00E23B7A"/>
    <w:rsid w:val="00E23ED8"/>
    <w:rsid w:val="00E2408E"/>
    <w:rsid w:val="00E2427C"/>
    <w:rsid w:val="00E24295"/>
    <w:rsid w:val="00E242D5"/>
    <w:rsid w:val="00E242EA"/>
    <w:rsid w:val="00E24406"/>
    <w:rsid w:val="00E24649"/>
    <w:rsid w:val="00E24836"/>
    <w:rsid w:val="00E24BDE"/>
    <w:rsid w:val="00E24D87"/>
    <w:rsid w:val="00E24E19"/>
    <w:rsid w:val="00E25005"/>
    <w:rsid w:val="00E252D9"/>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7DB"/>
    <w:rsid w:val="00E26CA9"/>
    <w:rsid w:val="00E270D0"/>
    <w:rsid w:val="00E2718A"/>
    <w:rsid w:val="00E271A7"/>
    <w:rsid w:val="00E27289"/>
    <w:rsid w:val="00E27383"/>
    <w:rsid w:val="00E276B7"/>
    <w:rsid w:val="00E277D4"/>
    <w:rsid w:val="00E27B37"/>
    <w:rsid w:val="00E27BE4"/>
    <w:rsid w:val="00E27D57"/>
    <w:rsid w:val="00E27DF1"/>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0F97"/>
    <w:rsid w:val="00E312F5"/>
    <w:rsid w:val="00E31342"/>
    <w:rsid w:val="00E315F7"/>
    <w:rsid w:val="00E31665"/>
    <w:rsid w:val="00E3187C"/>
    <w:rsid w:val="00E318F4"/>
    <w:rsid w:val="00E318F9"/>
    <w:rsid w:val="00E3198C"/>
    <w:rsid w:val="00E31995"/>
    <w:rsid w:val="00E319AE"/>
    <w:rsid w:val="00E31DAA"/>
    <w:rsid w:val="00E326A7"/>
    <w:rsid w:val="00E3275F"/>
    <w:rsid w:val="00E3279C"/>
    <w:rsid w:val="00E327F0"/>
    <w:rsid w:val="00E32B0C"/>
    <w:rsid w:val="00E32BBD"/>
    <w:rsid w:val="00E32C82"/>
    <w:rsid w:val="00E32CB2"/>
    <w:rsid w:val="00E32EC7"/>
    <w:rsid w:val="00E33065"/>
    <w:rsid w:val="00E330D5"/>
    <w:rsid w:val="00E33237"/>
    <w:rsid w:val="00E333F7"/>
    <w:rsid w:val="00E33484"/>
    <w:rsid w:val="00E335F7"/>
    <w:rsid w:val="00E3367F"/>
    <w:rsid w:val="00E33745"/>
    <w:rsid w:val="00E3409A"/>
    <w:rsid w:val="00E34475"/>
    <w:rsid w:val="00E3448C"/>
    <w:rsid w:val="00E347A5"/>
    <w:rsid w:val="00E34DFA"/>
    <w:rsid w:val="00E34F03"/>
    <w:rsid w:val="00E3516E"/>
    <w:rsid w:val="00E35233"/>
    <w:rsid w:val="00E353C2"/>
    <w:rsid w:val="00E3571D"/>
    <w:rsid w:val="00E3578F"/>
    <w:rsid w:val="00E35BB4"/>
    <w:rsid w:val="00E35C74"/>
    <w:rsid w:val="00E35D78"/>
    <w:rsid w:val="00E36081"/>
    <w:rsid w:val="00E36137"/>
    <w:rsid w:val="00E3630E"/>
    <w:rsid w:val="00E363D7"/>
    <w:rsid w:val="00E36447"/>
    <w:rsid w:val="00E36682"/>
    <w:rsid w:val="00E36870"/>
    <w:rsid w:val="00E36894"/>
    <w:rsid w:val="00E37049"/>
    <w:rsid w:val="00E372B6"/>
    <w:rsid w:val="00E373A7"/>
    <w:rsid w:val="00E3754A"/>
    <w:rsid w:val="00E3754C"/>
    <w:rsid w:val="00E37B1A"/>
    <w:rsid w:val="00E37B6D"/>
    <w:rsid w:val="00E37D0A"/>
    <w:rsid w:val="00E37FD7"/>
    <w:rsid w:val="00E4006C"/>
    <w:rsid w:val="00E400DC"/>
    <w:rsid w:val="00E4011E"/>
    <w:rsid w:val="00E40299"/>
    <w:rsid w:val="00E405E9"/>
    <w:rsid w:val="00E40774"/>
    <w:rsid w:val="00E40B32"/>
    <w:rsid w:val="00E4118D"/>
    <w:rsid w:val="00E41208"/>
    <w:rsid w:val="00E4139D"/>
    <w:rsid w:val="00E4147A"/>
    <w:rsid w:val="00E414F4"/>
    <w:rsid w:val="00E41658"/>
    <w:rsid w:val="00E41B4A"/>
    <w:rsid w:val="00E41BF4"/>
    <w:rsid w:val="00E42457"/>
    <w:rsid w:val="00E424EE"/>
    <w:rsid w:val="00E428B1"/>
    <w:rsid w:val="00E42971"/>
    <w:rsid w:val="00E42CF4"/>
    <w:rsid w:val="00E42E09"/>
    <w:rsid w:val="00E430C6"/>
    <w:rsid w:val="00E43475"/>
    <w:rsid w:val="00E4362C"/>
    <w:rsid w:val="00E43637"/>
    <w:rsid w:val="00E43686"/>
    <w:rsid w:val="00E436CB"/>
    <w:rsid w:val="00E43729"/>
    <w:rsid w:val="00E4376E"/>
    <w:rsid w:val="00E437BD"/>
    <w:rsid w:val="00E43819"/>
    <w:rsid w:val="00E43A01"/>
    <w:rsid w:val="00E43BE1"/>
    <w:rsid w:val="00E43D20"/>
    <w:rsid w:val="00E44270"/>
    <w:rsid w:val="00E44540"/>
    <w:rsid w:val="00E447EA"/>
    <w:rsid w:val="00E44869"/>
    <w:rsid w:val="00E448D9"/>
    <w:rsid w:val="00E44986"/>
    <w:rsid w:val="00E449A7"/>
    <w:rsid w:val="00E44A19"/>
    <w:rsid w:val="00E44BB5"/>
    <w:rsid w:val="00E44E46"/>
    <w:rsid w:val="00E44F01"/>
    <w:rsid w:val="00E4505E"/>
    <w:rsid w:val="00E45189"/>
    <w:rsid w:val="00E453DF"/>
    <w:rsid w:val="00E45505"/>
    <w:rsid w:val="00E45678"/>
    <w:rsid w:val="00E4567D"/>
    <w:rsid w:val="00E4568E"/>
    <w:rsid w:val="00E458D8"/>
    <w:rsid w:val="00E45C9E"/>
    <w:rsid w:val="00E46075"/>
    <w:rsid w:val="00E4608C"/>
    <w:rsid w:val="00E46445"/>
    <w:rsid w:val="00E46553"/>
    <w:rsid w:val="00E46758"/>
    <w:rsid w:val="00E467F7"/>
    <w:rsid w:val="00E4690E"/>
    <w:rsid w:val="00E469A5"/>
    <w:rsid w:val="00E46E0C"/>
    <w:rsid w:val="00E46E74"/>
    <w:rsid w:val="00E46E7C"/>
    <w:rsid w:val="00E471F8"/>
    <w:rsid w:val="00E47207"/>
    <w:rsid w:val="00E47333"/>
    <w:rsid w:val="00E47428"/>
    <w:rsid w:val="00E476FC"/>
    <w:rsid w:val="00E477EB"/>
    <w:rsid w:val="00E478A5"/>
    <w:rsid w:val="00E47A6C"/>
    <w:rsid w:val="00E47A88"/>
    <w:rsid w:val="00E47C75"/>
    <w:rsid w:val="00E47C90"/>
    <w:rsid w:val="00E47D82"/>
    <w:rsid w:val="00E47FB4"/>
    <w:rsid w:val="00E50193"/>
    <w:rsid w:val="00E50376"/>
    <w:rsid w:val="00E50450"/>
    <w:rsid w:val="00E50554"/>
    <w:rsid w:val="00E506A1"/>
    <w:rsid w:val="00E50709"/>
    <w:rsid w:val="00E5076B"/>
    <w:rsid w:val="00E507C5"/>
    <w:rsid w:val="00E507CF"/>
    <w:rsid w:val="00E5093A"/>
    <w:rsid w:val="00E50BE6"/>
    <w:rsid w:val="00E50D06"/>
    <w:rsid w:val="00E50E90"/>
    <w:rsid w:val="00E50EBF"/>
    <w:rsid w:val="00E51329"/>
    <w:rsid w:val="00E513C9"/>
    <w:rsid w:val="00E515B5"/>
    <w:rsid w:val="00E51875"/>
    <w:rsid w:val="00E519CC"/>
    <w:rsid w:val="00E51BA9"/>
    <w:rsid w:val="00E522A2"/>
    <w:rsid w:val="00E5233A"/>
    <w:rsid w:val="00E523AF"/>
    <w:rsid w:val="00E52688"/>
    <w:rsid w:val="00E526B9"/>
    <w:rsid w:val="00E5274D"/>
    <w:rsid w:val="00E5275D"/>
    <w:rsid w:val="00E5285C"/>
    <w:rsid w:val="00E52A96"/>
    <w:rsid w:val="00E52A9C"/>
    <w:rsid w:val="00E52B79"/>
    <w:rsid w:val="00E52B8B"/>
    <w:rsid w:val="00E52CAC"/>
    <w:rsid w:val="00E52E3D"/>
    <w:rsid w:val="00E52F5A"/>
    <w:rsid w:val="00E52F76"/>
    <w:rsid w:val="00E52FC4"/>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A9B"/>
    <w:rsid w:val="00E54E0A"/>
    <w:rsid w:val="00E55056"/>
    <w:rsid w:val="00E55079"/>
    <w:rsid w:val="00E556E9"/>
    <w:rsid w:val="00E557A0"/>
    <w:rsid w:val="00E557B2"/>
    <w:rsid w:val="00E5589A"/>
    <w:rsid w:val="00E55AA5"/>
    <w:rsid w:val="00E562E2"/>
    <w:rsid w:val="00E564EC"/>
    <w:rsid w:val="00E5656E"/>
    <w:rsid w:val="00E5659C"/>
    <w:rsid w:val="00E568D0"/>
    <w:rsid w:val="00E56965"/>
    <w:rsid w:val="00E56C80"/>
    <w:rsid w:val="00E56D16"/>
    <w:rsid w:val="00E570A5"/>
    <w:rsid w:val="00E57172"/>
    <w:rsid w:val="00E5730B"/>
    <w:rsid w:val="00E5774E"/>
    <w:rsid w:val="00E577A4"/>
    <w:rsid w:val="00E57914"/>
    <w:rsid w:val="00E579CB"/>
    <w:rsid w:val="00E57A50"/>
    <w:rsid w:val="00E57B75"/>
    <w:rsid w:val="00E57CEE"/>
    <w:rsid w:val="00E57D8C"/>
    <w:rsid w:val="00E57E19"/>
    <w:rsid w:val="00E57F11"/>
    <w:rsid w:val="00E57FE1"/>
    <w:rsid w:val="00E6004D"/>
    <w:rsid w:val="00E60417"/>
    <w:rsid w:val="00E6053D"/>
    <w:rsid w:val="00E60810"/>
    <w:rsid w:val="00E6088E"/>
    <w:rsid w:val="00E60942"/>
    <w:rsid w:val="00E60C7D"/>
    <w:rsid w:val="00E60DEF"/>
    <w:rsid w:val="00E60F5A"/>
    <w:rsid w:val="00E60F8F"/>
    <w:rsid w:val="00E611E1"/>
    <w:rsid w:val="00E6138E"/>
    <w:rsid w:val="00E61419"/>
    <w:rsid w:val="00E61658"/>
    <w:rsid w:val="00E6182F"/>
    <w:rsid w:val="00E619AB"/>
    <w:rsid w:val="00E619EF"/>
    <w:rsid w:val="00E61DC9"/>
    <w:rsid w:val="00E62006"/>
    <w:rsid w:val="00E62015"/>
    <w:rsid w:val="00E62336"/>
    <w:rsid w:val="00E6236B"/>
    <w:rsid w:val="00E624C5"/>
    <w:rsid w:val="00E6257B"/>
    <w:rsid w:val="00E625B8"/>
    <w:rsid w:val="00E626ED"/>
    <w:rsid w:val="00E62885"/>
    <w:rsid w:val="00E62B42"/>
    <w:rsid w:val="00E62BF9"/>
    <w:rsid w:val="00E62D79"/>
    <w:rsid w:val="00E62DC7"/>
    <w:rsid w:val="00E6312E"/>
    <w:rsid w:val="00E634C5"/>
    <w:rsid w:val="00E63512"/>
    <w:rsid w:val="00E635F1"/>
    <w:rsid w:val="00E63827"/>
    <w:rsid w:val="00E639BB"/>
    <w:rsid w:val="00E63A7A"/>
    <w:rsid w:val="00E63B18"/>
    <w:rsid w:val="00E63BBD"/>
    <w:rsid w:val="00E63F9C"/>
    <w:rsid w:val="00E6403D"/>
    <w:rsid w:val="00E640F5"/>
    <w:rsid w:val="00E641E4"/>
    <w:rsid w:val="00E6435F"/>
    <w:rsid w:val="00E64413"/>
    <w:rsid w:val="00E644DA"/>
    <w:rsid w:val="00E64634"/>
    <w:rsid w:val="00E64A4A"/>
    <w:rsid w:val="00E64D54"/>
    <w:rsid w:val="00E64FEE"/>
    <w:rsid w:val="00E65220"/>
    <w:rsid w:val="00E6537E"/>
    <w:rsid w:val="00E65702"/>
    <w:rsid w:val="00E65E3D"/>
    <w:rsid w:val="00E65EF6"/>
    <w:rsid w:val="00E65EFA"/>
    <w:rsid w:val="00E65EFE"/>
    <w:rsid w:val="00E65FFE"/>
    <w:rsid w:val="00E66064"/>
    <w:rsid w:val="00E66293"/>
    <w:rsid w:val="00E66479"/>
    <w:rsid w:val="00E667E3"/>
    <w:rsid w:val="00E669C1"/>
    <w:rsid w:val="00E66E5F"/>
    <w:rsid w:val="00E670A6"/>
    <w:rsid w:val="00E673CC"/>
    <w:rsid w:val="00E673DD"/>
    <w:rsid w:val="00E674AE"/>
    <w:rsid w:val="00E67716"/>
    <w:rsid w:val="00E67893"/>
    <w:rsid w:val="00E67AD0"/>
    <w:rsid w:val="00E67C1F"/>
    <w:rsid w:val="00E67CF6"/>
    <w:rsid w:val="00E67D1E"/>
    <w:rsid w:val="00E701C2"/>
    <w:rsid w:val="00E70276"/>
    <w:rsid w:val="00E703A4"/>
    <w:rsid w:val="00E705CB"/>
    <w:rsid w:val="00E705F0"/>
    <w:rsid w:val="00E70C77"/>
    <w:rsid w:val="00E70CB0"/>
    <w:rsid w:val="00E70DFF"/>
    <w:rsid w:val="00E70E63"/>
    <w:rsid w:val="00E70EE5"/>
    <w:rsid w:val="00E70F0A"/>
    <w:rsid w:val="00E70F7B"/>
    <w:rsid w:val="00E712FA"/>
    <w:rsid w:val="00E71350"/>
    <w:rsid w:val="00E71561"/>
    <w:rsid w:val="00E716A0"/>
    <w:rsid w:val="00E7171C"/>
    <w:rsid w:val="00E7181F"/>
    <w:rsid w:val="00E7185C"/>
    <w:rsid w:val="00E71873"/>
    <w:rsid w:val="00E71A42"/>
    <w:rsid w:val="00E71B5E"/>
    <w:rsid w:val="00E71E58"/>
    <w:rsid w:val="00E71F09"/>
    <w:rsid w:val="00E72209"/>
    <w:rsid w:val="00E728FE"/>
    <w:rsid w:val="00E72F88"/>
    <w:rsid w:val="00E73291"/>
    <w:rsid w:val="00E7334E"/>
    <w:rsid w:val="00E73637"/>
    <w:rsid w:val="00E7366C"/>
    <w:rsid w:val="00E738C6"/>
    <w:rsid w:val="00E739D4"/>
    <w:rsid w:val="00E73A47"/>
    <w:rsid w:val="00E73BA1"/>
    <w:rsid w:val="00E73C20"/>
    <w:rsid w:val="00E73EC9"/>
    <w:rsid w:val="00E740BE"/>
    <w:rsid w:val="00E741AD"/>
    <w:rsid w:val="00E7426C"/>
    <w:rsid w:val="00E74287"/>
    <w:rsid w:val="00E743DB"/>
    <w:rsid w:val="00E744A0"/>
    <w:rsid w:val="00E74679"/>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8CF"/>
    <w:rsid w:val="00E769E0"/>
    <w:rsid w:val="00E76A29"/>
    <w:rsid w:val="00E77248"/>
    <w:rsid w:val="00E77435"/>
    <w:rsid w:val="00E77499"/>
    <w:rsid w:val="00E774EA"/>
    <w:rsid w:val="00E77521"/>
    <w:rsid w:val="00E77601"/>
    <w:rsid w:val="00E776BC"/>
    <w:rsid w:val="00E777D8"/>
    <w:rsid w:val="00E77821"/>
    <w:rsid w:val="00E77A94"/>
    <w:rsid w:val="00E77AF5"/>
    <w:rsid w:val="00E77D78"/>
    <w:rsid w:val="00E803F4"/>
    <w:rsid w:val="00E80409"/>
    <w:rsid w:val="00E805F0"/>
    <w:rsid w:val="00E80C1B"/>
    <w:rsid w:val="00E80D88"/>
    <w:rsid w:val="00E80EA1"/>
    <w:rsid w:val="00E80F72"/>
    <w:rsid w:val="00E81056"/>
    <w:rsid w:val="00E810B2"/>
    <w:rsid w:val="00E8118B"/>
    <w:rsid w:val="00E81272"/>
    <w:rsid w:val="00E814D3"/>
    <w:rsid w:val="00E814FD"/>
    <w:rsid w:val="00E81877"/>
    <w:rsid w:val="00E81D81"/>
    <w:rsid w:val="00E81DD5"/>
    <w:rsid w:val="00E81EAC"/>
    <w:rsid w:val="00E821B9"/>
    <w:rsid w:val="00E8232B"/>
    <w:rsid w:val="00E823BD"/>
    <w:rsid w:val="00E82453"/>
    <w:rsid w:val="00E8246D"/>
    <w:rsid w:val="00E828A3"/>
    <w:rsid w:val="00E82CEB"/>
    <w:rsid w:val="00E82D51"/>
    <w:rsid w:val="00E82DDF"/>
    <w:rsid w:val="00E83116"/>
    <w:rsid w:val="00E832B5"/>
    <w:rsid w:val="00E83343"/>
    <w:rsid w:val="00E83482"/>
    <w:rsid w:val="00E83672"/>
    <w:rsid w:val="00E836B5"/>
    <w:rsid w:val="00E838DC"/>
    <w:rsid w:val="00E83C69"/>
    <w:rsid w:val="00E83D41"/>
    <w:rsid w:val="00E83EEB"/>
    <w:rsid w:val="00E83F82"/>
    <w:rsid w:val="00E83FF0"/>
    <w:rsid w:val="00E84004"/>
    <w:rsid w:val="00E841A5"/>
    <w:rsid w:val="00E8431B"/>
    <w:rsid w:val="00E8439A"/>
    <w:rsid w:val="00E8492C"/>
    <w:rsid w:val="00E84B4C"/>
    <w:rsid w:val="00E84C10"/>
    <w:rsid w:val="00E84CF5"/>
    <w:rsid w:val="00E84D2B"/>
    <w:rsid w:val="00E8506A"/>
    <w:rsid w:val="00E850A9"/>
    <w:rsid w:val="00E85376"/>
    <w:rsid w:val="00E853FC"/>
    <w:rsid w:val="00E85A25"/>
    <w:rsid w:val="00E85ABB"/>
    <w:rsid w:val="00E85C65"/>
    <w:rsid w:val="00E85E24"/>
    <w:rsid w:val="00E86246"/>
    <w:rsid w:val="00E86506"/>
    <w:rsid w:val="00E86650"/>
    <w:rsid w:val="00E867C7"/>
    <w:rsid w:val="00E869B1"/>
    <w:rsid w:val="00E86B25"/>
    <w:rsid w:val="00E86C3F"/>
    <w:rsid w:val="00E86DF7"/>
    <w:rsid w:val="00E86ED9"/>
    <w:rsid w:val="00E86EE5"/>
    <w:rsid w:val="00E871C7"/>
    <w:rsid w:val="00E87246"/>
    <w:rsid w:val="00E87571"/>
    <w:rsid w:val="00E87686"/>
    <w:rsid w:val="00E87A54"/>
    <w:rsid w:val="00E87B02"/>
    <w:rsid w:val="00E87BC3"/>
    <w:rsid w:val="00E87D9B"/>
    <w:rsid w:val="00E90073"/>
    <w:rsid w:val="00E903DC"/>
    <w:rsid w:val="00E90517"/>
    <w:rsid w:val="00E90611"/>
    <w:rsid w:val="00E90CB1"/>
    <w:rsid w:val="00E90E8B"/>
    <w:rsid w:val="00E90ECC"/>
    <w:rsid w:val="00E90FA8"/>
    <w:rsid w:val="00E90FB4"/>
    <w:rsid w:val="00E9104C"/>
    <w:rsid w:val="00E910A5"/>
    <w:rsid w:val="00E917E9"/>
    <w:rsid w:val="00E9181C"/>
    <w:rsid w:val="00E9191F"/>
    <w:rsid w:val="00E91E6C"/>
    <w:rsid w:val="00E92168"/>
    <w:rsid w:val="00E922A6"/>
    <w:rsid w:val="00E924DA"/>
    <w:rsid w:val="00E92550"/>
    <w:rsid w:val="00E92597"/>
    <w:rsid w:val="00E928FA"/>
    <w:rsid w:val="00E92922"/>
    <w:rsid w:val="00E92F0A"/>
    <w:rsid w:val="00E9303F"/>
    <w:rsid w:val="00E93050"/>
    <w:rsid w:val="00E930BF"/>
    <w:rsid w:val="00E93540"/>
    <w:rsid w:val="00E93586"/>
    <w:rsid w:val="00E9383F"/>
    <w:rsid w:val="00E93848"/>
    <w:rsid w:val="00E93881"/>
    <w:rsid w:val="00E939BA"/>
    <w:rsid w:val="00E939E2"/>
    <w:rsid w:val="00E93A3F"/>
    <w:rsid w:val="00E93AEA"/>
    <w:rsid w:val="00E93E62"/>
    <w:rsid w:val="00E94035"/>
    <w:rsid w:val="00E940E2"/>
    <w:rsid w:val="00E943EC"/>
    <w:rsid w:val="00E9461A"/>
    <w:rsid w:val="00E946F8"/>
    <w:rsid w:val="00E94726"/>
    <w:rsid w:val="00E94786"/>
    <w:rsid w:val="00E94861"/>
    <w:rsid w:val="00E949DB"/>
    <w:rsid w:val="00E94AF7"/>
    <w:rsid w:val="00E953CB"/>
    <w:rsid w:val="00E95513"/>
    <w:rsid w:val="00E95556"/>
    <w:rsid w:val="00E956C4"/>
    <w:rsid w:val="00E95B1C"/>
    <w:rsid w:val="00E95BA3"/>
    <w:rsid w:val="00E95CF4"/>
    <w:rsid w:val="00E95E85"/>
    <w:rsid w:val="00E962AA"/>
    <w:rsid w:val="00E964AA"/>
    <w:rsid w:val="00E96896"/>
    <w:rsid w:val="00E968F5"/>
    <w:rsid w:val="00E9692F"/>
    <w:rsid w:val="00E96949"/>
    <w:rsid w:val="00E96B09"/>
    <w:rsid w:val="00E96FCA"/>
    <w:rsid w:val="00E9700B"/>
    <w:rsid w:val="00E9702D"/>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10A1"/>
    <w:rsid w:val="00EA14F4"/>
    <w:rsid w:val="00EA17C0"/>
    <w:rsid w:val="00EA1A59"/>
    <w:rsid w:val="00EA1CF1"/>
    <w:rsid w:val="00EA1D0F"/>
    <w:rsid w:val="00EA1DB6"/>
    <w:rsid w:val="00EA1FC5"/>
    <w:rsid w:val="00EA219F"/>
    <w:rsid w:val="00EA22C2"/>
    <w:rsid w:val="00EA23E6"/>
    <w:rsid w:val="00EA25D3"/>
    <w:rsid w:val="00EA2618"/>
    <w:rsid w:val="00EA2665"/>
    <w:rsid w:val="00EA2893"/>
    <w:rsid w:val="00EA2A3E"/>
    <w:rsid w:val="00EA2B7F"/>
    <w:rsid w:val="00EA2F8C"/>
    <w:rsid w:val="00EA3110"/>
    <w:rsid w:val="00EA32C4"/>
    <w:rsid w:val="00EA342F"/>
    <w:rsid w:val="00EA3D1F"/>
    <w:rsid w:val="00EA403F"/>
    <w:rsid w:val="00EA40E5"/>
    <w:rsid w:val="00EA45BC"/>
    <w:rsid w:val="00EA4706"/>
    <w:rsid w:val="00EA48BB"/>
    <w:rsid w:val="00EA4D16"/>
    <w:rsid w:val="00EA4D25"/>
    <w:rsid w:val="00EA4D2D"/>
    <w:rsid w:val="00EA4DA3"/>
    <w:rsid w:val="00EA5086"/>
    <w:rsid w:val="00EA520F"/>
    <w:rsid w:val="00EA5376"/>
    <w:rsid w:val="00EA5386"/>
    <w:rsid w:val="00EA53E7"/>
    <w:rsid w:val="00EA54AB"/>
    <w:rsid w:val="00EA558C"/>
    <w:rsid w:val="00EA57D1"/>
    <w:rsid w:val="00EA590C"/>
    <w:rsid w:val="00EA59CC"/>
    <w:rsid w:val="00EA5D9E"/>
    <w:rsid w:val="00EA5F56"/>
    <w:rsid w:val="00EA5F76"/>
    <w:rsid w:val="00EA5FC8"/>
    <w:rsid w:val="00EA66B2"/>
    <w:rsid w:val="00EA67F5"/>
    <w:rsid w:val="00EA6D06"/>
    <w:rsid w:val="00EA736E"/>
    <w:rsid w:val="00EA7648"/>
    <w:rsid w:val="00EA7934"/>
    <w:rsid w:val="00EA7C1C"/>
    <w:rsid w:val="00EA7F07"/>
    <w:rsid w:val="00EA7FC3"/>
    <w:rsid w:val="00EB0190"/>
    <w:rsid w:val="00EB02A1"/>
    <w:rsid w:val="00EB0500"/>
    <w:rsid w:val="00EB0798"/>
    <w:rsid w:val="00EB07BC"/>
    <w:rsid w:val="00EB0A07"/>
    <w:rsid w:val="00EB0BD6"/>
    <w:rsid w:val="00EB0DFC"/>
    <w:rsid w:val="00EB13BB"/>
    <w:rsid w:val="00EB161C"/>
    <w:rsid w:val="00EB1636"/>
    <w:rsid w:val="00EB18E9"/>
    <w:rsid w:val="00EB204E"/>
    <w:rsid w:val="00EB21F8"/>
    <w:rsid w:val="00EB2513"/>
    <w:rsid w:val="00EB2751"/>
    <w:rsid w:val="00EB27A3"/>
    <w:rsid w:val="00EB27BF"/>
    <w:rsid w:val="00EB293F"/>
    <w:rsid w:val="00EB2A28"/>
    <w:rsid w:val="00EB2DF9"/>
    <w:rsid w:val="00EB2E7B"/>
    <w:rsid w:val="00EB2FD8"/>
    <w:rsid w:val="00EB3060"/>
    <w:rsid w:val="00EB318A"/>
    <w:rsid w:val="00EB319E"/>
    <w:rsid w:val="00EB31EE"/>
    <w:rsid w:val="00EB343C"/>
    <w:rsid w:val="00EB35C2"/>
    <w:rsid w:val="00EB397E"/>
    <w:rsid w:val="00EB3CD0"/>
    <w:rsid w:val="00EB3E24"/>
    <w:rsid w:val="00EB3E45"/>
    <w:rsid w:val="00EB3EE3"/>
    <w:rsid w:val="00EB3F9F"/>
    <w:rsid w:val="00EB4075"/>
    <w:rsid w:val="00EB41BE"/>
    <w:rsid w:val="00EB4365"/>
    <w:rsid w:val="00EB4425"/>
    <w:rsid w:val="00EB4559"/>
    <w:rsid w:val="00EB4670"/>
    <w:rsid w:val="00EB46A4"/>
    <w:rsid w:val="00EB4851"/>
    <w:rsid w:val="00EB4B88"/>
    <w:rsid w:val="00EB4C17"/>
    <w:rsid w:val="00EB4E8D"/>
    <w:rsid w:val="00EB500F"/>
    <w:rsid w:val="00EB5079"/>
    <w:rsid w:val="00EB5142"/>
    <w:rsid w:val="00EB5298"/>
    <w:rsid w:val="00EB5319"/>
    <w:rsid w:val="00EB5364"/>
    <w:rsid w:val="00EB55EA"/>
    <w:rsid w:val="00EB571A"/>
    <w:rsid w:val="00EB5763"/>
    <w:rsid w:val="00EB58A0"/>
    <w:rsid w:val="00EB5BD5"/>
    <w:rsid w:val="00EB5EAC"/>
    <w:rsid w:val="00EB61A0"/>
    <w:rsid w:val="00EB63FA"/>
    <w:rsid w:val="00EB6872"/>
    <w:rsid w:val="00EB6CFB"/>
    <w:rsid w:val="00EB6D6E"/>
    <w:rsid w:val="00EB6D94"/>
    <w:rsid w:val="00EB7226"/>
    <w:rsid w:val="00EB7259"/>
    <w:rsid w:val="00EB74C1"/>
    <w:rsid w:val="00EB75B8"/>
    <w:rsid w:val="00EB770C"/>
    <w:rsid w:val="00EB7891"/>
    <w:rsid w:val="00EB7A91"/>
    <w:rsid w:val="00EB7B29"/>
    <w:rsid w:val="00EB7C3D"/>
    <w:rsid w:val="00EB7D39"/>
    <w:rsid w:val="00EB7DF2"/>
    <w:rsid w:val="00EB7E37"/>
    <w:rsid w:val="00EC002D"/>
    <w:rsid w:val="00EC00C7"/>
    <w:rsid w:val="00EC01E9"/>
    <w:rsid w:val="00EC0525"/>
    <w:rsid w:val="00EC066F"/>
    <w:rsid w:val="00EC06A4"/>
    <w:rsid w:val="00EC077E"/>
    <w:rsid w:val="00EC0801"/>
    <w:rsid w:val="00EC1046"/>
    <w:rsid w:val="00EC10C6"/>
    <w:rsid w:val="00EC10E0"/>
    <w:rsid w:val="00EC1172"/>
    <w:rsid w:val="00EC1494"/>
    <w:rsid w:val="00EC1572"/>
    <w:rsid w:val="00EC158A"/>
    <w:rsid w:val="00EC1743"/>
    <w:rsid w:val="00EC17D1"/>
    <w:rsid w:val="00EC1993"/>
    <w:rsid w:val="00EC19AE"/>
    <w:rsid w:val="00EC2123"/>
    <w:rsid w:val="00EC2364"/>
    <w:rsid w:val="00EC25F1"/>
    <w:rsid w:val="00EC266E"/>
    <w:rsid w:val="00EC29CF"/>
    <w:rsid w:val="00EC2C48"/>
    <w:rsid w:val="00EC306F"/>
    <w:rsid w:val="00EC3331"/>
    <w:rsid w:val="00EC335F"/>
    <w:rsid w:val="00EC34D1"/>
    <w:rsid w:val="00EC3558"/>
    <w:rsid w:val="00EC3844"/>
    <w:rsid w:val="00EC3950"/>
    <w:rsid w:val="00EC39E7"/>
    <w:rsid w:val="00EC3A97"/>
    <w:rsid w:val="00EC3C0B"/>
    <w:rsid w:val="00EC3CFC"/>
    <w:rsid w:val="00EC3D70"/>
    <w:rsid w:val="00EC4425"/>
    <w:rsid w:val="00EC4505"/>
    <w:rsid w:val="00EC458F"/>
    <w:rsid w:val="00EC4647"/>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156"/>
    <w:rsid w:val="00EC63F4"/>
    <w:rsid w:val="00EC6502"/>
    <w:rsid w:val="00EC655B"/>
    <w:rsid w:val="00EC67F3"/>
    <w:rsid w:val="00EC696F"/>
    <w:rsid w:val="00EC6B90"/>
    <w:rsid w:val="00EC6BF8"/>
    <w:rsid w:val="00EC6C3E"/>
    <w:rsid w:val="00EC6DE6"/>
    <w:rsid w:val="00EC6F7B"/>
    <w:rsid w:val="00EC7099"/>
    <w:rsid w:val="00EC730A"/>
    <w:rsid w:val="00EC7380"/>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F0"/>
    <w:rsid w:val="00ED11FD"/>
    <w:rsid w:val="00ED12FF"/>
    <w:rsid w:val="00ED15F6"/>
    <w:rsid w:val="00ED1687"/>
    <w:rsid w:val="00ED16CF"/>
    <w:rsid w:val="00ED187E"/>
    <w:rsid w:val="00ED19A1"/>
    <w:rsid w:val="00ED2146"/>
    <w:rsid w:val="00ED21DF"/>
    <w:rsid w:val="00ED2759"/>
    <w:rsid w:val="00ED2DCB"/>
    <w:rsid w:val="00ED3131"/>
    <w:rsid w:val="00ED31DE"/>
    <w:rsid w:val="00ED31EC"/>
    <w:rsid w:val="00ED34D6"/>
    <w:rsid w:val="00ED3555"/>
    <w:rsid w:val="00ED3658"/>
    <w:rsid w:val="00ED36CB"/>
    <w:rsid w:val="00ED386C"/>
    <w:rsid w:val="00ED388D"/>
    <w:rsid w:val="00ED3F2C"/>
    <w:rsid w:val="00ED4212"/>
    <w:rsid w:val="00ED444C"/>
    <w:rsid w:val="00ED46BE"/>
    <w:rsid w:val="00ED4813"/>
    <w:rsid w:val="00ED4861"/>
    <w:rsid w:val="00ED48C7"/>
    <w:rsid w:val="00ED4AD4"/>
    <w:rsid w:val="00ED4E49"/>
    <w:rsid w:val="00ED5054"/>
    <w:rsid w:val="00ED50E4"/>
    <w:rsid w:val="00ED527B"/>
    <w:rsid w:val="00ED531F"/>
    <w:rsid w:val="00ED5489"/>
    <w:rsid w:val="00ED5619"/>
    <w:rsid w:val="00ED58A4"/>
    <w:rsid w:val="00ED5955"/>
    <w:rsid w:val="00ED5C2E"/>
    <w:rsid w:val="00ED6057"/>
    <w:rsid w:val="00ED6102"/>
    <w:rsid w:val="00ED612A"/>
    <w:rsid w:val="00ED64C8"/>
    <w:rsid w:val="00ED66D4"/>
    <w:rsid w:val="00ED67AC"/>
    <w:rsid w:val="00ED67D5"/>
    <w:rsid w:val="00ED68E4"/>
    <w:rsid w:val="00ED6A48"/>
    <w:rsid w:val="00ED6E81"/>
    <w:rsid w:val="00ED7019"/>
    <w:rsid w:val="00ED7599"/>
    <w:rsid w:val="00ED7626"/>
    <w:rsid w:val="00ED7736"/>
    <w:rsid w:val="00ED7B25"/>
    <w:rsid w:val="00ED7B82"/>
    <w:rsid w:val="00ED7E8F"/>
    <w:rsid w:val="00ED7ED4"/>
    <w:rsid w:val="00EE0110"/>
    <w:rsid w:val="00EE0203"/>
    <w:rsid w:val="00EE021A"/>
    <w:rsid w:val="00EE02AA"/>
    <w:rsid w:val="00EE03D2"/>
    <w:rsid w:val="00EE08D8"/>
    <w:rsid w:val="00EE0928"/>
    <w:rsid w:val="00EE0949"/>
    <w:rsid w:val="00EE09CC"/>
    <w:rsid w:val="00EE0A9A"/>
    <w:rsid w:val="00EE0BFC"/>
    <w:rsid w:val="00EE0C0F"/>
    <w:rsid w:val="00EE0DE3"/>
    <w:rsid w:val="00EE0EE6"/>
    <w:rsid w:val="00EE0FB2"/>
    <w:rsid w:val="00EE124F"/>
    <w:rsid w:val="00EE1498"/>
    <w:rsid w:val="00EE18CA"/>
    <w:rsid w:val="00EE1AA2"/>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7E3"/>
    <w:rsid w:val="00EE4A17"/>
    <w:rsid w:val="00EE4A2C"/>
    <w:rsid w:val="00EE4C46"/>
    <w:rsid w:val="00EE4CA5"/>
    <w:rsid w:val="00EE4E37"/>
    <w:rsid w:val="00EE5147"/>
    <w:rsid w:val="00EE52B7"/>
    <w:rsid w:val="00EE534C"/>
    <w:rsid w:val="00EE5677"/>
    <w:rsid w:val="00EE5806"/>
    <w:rsid w:val="00EE5901"/>
    <w:rsid w:val="00EE5B34"/>
    <w:rsid w:val="00EE5BAF"/>
    <w:rsid w:val="00EE6104"/>
    <w:rsid w:val="00EE6500"/>
    <w:rsid w:val="00EE6898"/>
    <w:rsid w:val="00EE6984"/>
    <w:rsid w:val="00EE69A4"/>
    <w:rsid w:val="00EE6B46"/>
    <w:rsid w:val="00EE6C8E"/>
    <w:rsid w:val="00EE71D1"/>
    <w:rsid w:val="00EE7277"/>
    <w:rsid w:val="00EE7804"/>
    <w:rsid w:val="00EE78C0"/>
    <w:rsid w:val="00EE7A4F"/>
    <w:rsid w:val="00EE7C07"/>
    <w:rsid w:val="00EE7D09"/>
    <w:rsid w:val="00EE7D7C"/>
    <w:rsid w:val="00EE7DE0"/>
    <w:rsid w:val="00EE7EE6"/>
    <w:rsid w:val="00EF04DF"/>
    <w:rsid w:val="00EF0539"/>
    <w:rsid w:val="00EF0559"/>
    <w:rsid w:val="00EF086C"/>
    <w:rsid w:val="00EF0B24"/>
    <w:rsid w:val="00EF0EA1"/>
    <w:rsid w:val="00EF0EC5"/>
    <w:rsid w:val="00EF1008"/>
    <w:rsid w:val="00EF1105"/>
    <w:rsid w:val="00EF1176"/>
    <w:rsid w:val="00EF1230"/>
    <w:rsid w:val="00EF12C8"/>
    <w:rsid w:val="00EF134A"/>
    <w:rsid w:val="00EF1626"/>
    <w:rsid w:val="00EF162A"/>
    <w:rsid w:val="00EF16D4"/>
    <w:rsid w:val="00EF1830"/>
    <w:rsid w:val="00EF1B04"/>
    <w:rsid w:val="00EF1B14"/>
    <w:rsid w:val="00EF1C39"/>
    <w:rsid w:val="00EF1C9B"/>
    <w:rsid w:val="00EF2599"/>
    <w:rsid w:val="00EF2956"/>
    <w:rsid w:val="00EF2E17"/>
    <w:rsid w:val="00EF2EEA"/>
    <w:rsid w:val="00EF2FF5"/>
    <w:rsid w:val="00EF32EF"/>
    <w:rsid w:val="00EF3821"/>
    <w:rsid w:val="00EF3AFF"/>
    <w:rsid w:val="00EF3C24"/>
    <w:rsid w:val="00EF3C3F"/>
    <w:rsid w:val="00EF3F75"/>
    <w:rsid w:val="00EF3FAA"/>
    <w:rsid w:val="00EF409D"/>
    <w:rsid w:val="00EF4185"/>
    <w:rsid w:val="00EF421E"/>
    <w:rsid w:val="00EF4329"/>
    <w:rsid w:val="00EF4717"/>
    <w:rsid w:val="00EF4A02"/>
    <w:rsid w:val="00EF4CD2"/>
    <w:rsid w:val="00EF4E7D"/>
    <w:rsid w:val="00EF4FE3"/>
    <w:rsid w:val="00EF5016"/>
    <w:rsid w:val="00EF51F9"/>
    <w:rsid w:val="00EF5211"/>
    <w:rsid w:val="00EF548C"/>
    <w:rsid w:val="00EF565C"/>
    <w:rsid w:val="00EF58B7"/>
    <w:rsid w:val="00EF5AD7"/>
    <w:rsid w:val="00EF5BE3"/>
    <w:rsid w:val="00EF5C38"/>
    <w:rsid w:val="00EF61A4"/>
    <w:rsid w:val="00EF63E3"/>
    <w:rsid w:val="00EF6455"/>
    <w:rsid w:val="00EF68A7"/>
    <w:rsid w:val="00EF6ABC"/>
    <w:rsid w:val="00EF6BFE"/>
    <w:rsid w:val="00EF6D90"/>
    <w:rsid w:val="00EF6D9B"/>
    <w:rsid w:val="00EF7286"/>
    <w:rsid w:val="00EF72FD"/>
    <w:rsid w:val="00EF74DD"/>
    <w:rsid w:val="00EF7525"/>
    <w:rsid w:val="00EF7561"/>
    <w:rsid w:val="00EF7703"/>
    <w:rsid w:val="00EF77B9"/>
    <w:rsid w:val="00EF7AD7"/>
    <w:rsid w:val="00EF7BEC"/>
    <w:rsid w:val="00EF7D5D"/>
    <w:rsid w:val="00F001AC"/>
    <w:rsid w:val="00F0045B"/>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1C04"/>
    <w:rsid w:val="00F01CDD"/>
    <w:rsid w:val="00F020E4"/>
    <w:rsid w:val="00F02245"/>
    <w:rsid w:val="00F025AA"/>
    <w:rsid w:val="00F026AE"/>
    <w:rsid w:val="00F02AB2"/>
    <w:rsid w:val="00F02B09"/>
    <w:rsid w:val="00F0318A"/>
    <w:rsid w:val="00F031B7"/>
    <w:rsid w:val="00F031C4"/>
    <w:rsid w:val="00F03216"/>
    <w:rsid w:val="00F033CD"/>
    <w:rsid w:val="00F0365D"/>
    <w:rsid w:val="00F0374B"/>
    <w:rsid w:val="00F03857"/>
    <w:rsid w:val="00F03A2D"/>
    <w:rsid w:val="00F03B04"/>
    <w:rsid w:val="00F03B46"/>
    <w:rsid w:val="00F03CEB"/>
    <w:rsid w:val="00F03D1F"/>
    <w:rsid w:val="00F03F20"/>
    <w:rsid w:val="00F040AE"/>
    <w:rsid w:val="00F0427C"/>
    <w:rsid w:val="00F0439A"/>
    <w:rsid w:val="00F04461"/>
    <w:rsid w:val="00F04703"/>
    <w:rsid w:val="00F049DD"/>
    <w:rsid w:val="00F04B5B"/>
    <w:rsid w:val="00F04CE1"/>
    <w:rsid w:val="00F0507E"/>
    <w:rsid w:val="00F050A7"/>
    <w:rsid w:val="00F05190"/>
    <w:rsid w:val="00F054D8"/>
    <w:rsid w:val="00F0559B"/>
    <w:rsid w:val="00F05613"/>
    <w:rsid w:val="00F0561B"/>
    <w:rsid w:val="00F05755"/>
    <w:rsid w:val="00F05789"/>
    <w:rsid w:val="00F05BA9"/>
    <w:rsid w:val="00F06199"/>
    <w:rsid w:val="00F06781"/>
    <w:rsid w:val="00F06919"/>
    <w:rsid w:val="00F06A73"/>
    <w:rsid w:val="00F06B95"/>
    <w:rsid w:val="00F06C2C"/>
    <w:rsid w:val="00F06DA4"/>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AA0"/>
    <w:rsid w:val="00F11C1D"/>
    <w:rsid w:val="00F11C6E"/>
    <w:rsid w:val="00F11DB5"/>
    <w:rsid w:val="00F11EA8"/>
    <w:rsid w:val="00F120BE"/>
    <w:rsid w:val="00F12108"/>
    <w:rsid w:val="00F12232"/>
    <w:rsid w:val="00F1251D"/>
    <w:rsid w:val="00F12573"/>
    <w:rsid w:val="00F1269E"/>
    <w:rsid w:val="00F126A8"/>
    <w:rsid w:val="00F1271F"/>
    <w:rsid w:val="00F1282A"/>
    <w:rsid w:val="00F128EA"/>
    <w:rsid w:val="00F129B9"/>
    <w:rsid w:val="00F12AD0"/>
    <w:rsid w:val="00F12D67"/>
    <w:rsid w:val="00F12FEA"/>
    <w:rsid w:val="00F1326D"/>
    <w:rsid w:val="00F136C1"/>
    <w:rsid w:val="00F13765"/>
    <w:rsid w:val="00F13806"/>
    <w:rsid w:val="00F139DC"/>
    <w:rsid w:val="00F13E1C"/>
    <w:rsid w:val="00F14006"/>
    <w:rsid w:val="00F1400E"/>
    <w:rsid w:val="00F14098"/>
    <w:rsid w:val="00F140AD"/>
    <w:rsid w:val="00F1429C"/>
    <w:rsid w:val="00F142D6"/>
    <w:rsid w:val="00F14B2E"/>
    <w:rsid w:val="00F14B4F"/>
    <w:rsid w:val="00F14FEB"/>
    <w:rsid w:val="00F151EF"/>
    <w:rsid w:val="00F15316"/>
    <w:rsid w:val="00F1533D"/>
    <w:rsid w:val="00F154A2"/>
    <w:rsid w:val="00F1558F"/>
    <w:rsid w:val="00F1573F"/>
    <w:rsid w:val="00F15786"/>
    <w:rsid w:val="00F15833"/>
    <w:rsid w:val="00F15861"/>
    <w:rsid w:val="00F15B02"/>
    <w:rsid w:val="00F15B40"/>
    <w:rsid w:val="00F15BFB"/>
    <w:rsid w:val="00F15C51"/>
    <w:rsid w:val="00F15C99"/>
    <w:rsid w:val="00F15E38"/>
    <w:rsid w:val="00F15FE6"/>
    <w:rsid w:val="00F1615C"/>
    <w:rsid w:val="00F16225"/>
    <w:rsid w:val="00F163F1"/>
    <w:rsid w:val="00F1648F"/>
    <w:rsid w:val="00F16504"/>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402"/>
    <w:rsid w:val="00F22431"/>
    <w:rsid w:val="00F22471"/>
    <w:rsid w:val="00F22A1B"/>
    <w:rsid w:val="00F22A4F"/>
    <w:rsid w:val="00F22BA1"/>
    <w:rsid w:val="00F22D0B"/>
    <w:rsid w:val="00F230B6"/>
    <w:rsid w:val="00F23224"/>
    <w:rsid w:val="00F234A1"/>
    <w:rsid w:val="00F234F2"/>
    <w:rsid w:val="00F23753"/>
    <w:rsid w:val="00F237F4"/>
    <w:rsid w:val="00F2398D"/>
    <w:rsid w:val="00F23B3F"/>
    <w:rsid w:val="00F23EB1"/>
    <w:rsid w:val="00F242C5"/>
    <w:rsid w:val="00F245D5"/>
    <w:rsid w:val="00F24667"/>
    <w:rsid w:val="00F2478B"/>
    <w:rsid w:val="00F249AD"/>
    <w:rsid w:val="00F24A05"/>
    <w:rsid w:val="00F24E55"/>
    <w:rsid w:val="00F24EF4"/>
    <w:rsid w:val="00F25063"/>
    <w:rsid w:val="00F250A4"/>
    <w:rsid w:val="00F25172"/>
    <w:rsid w:val="00F251F3"/>
    <w:rsid w:val="00F2536A"/>
    <w:rsid w:val="00F2537F"/>
    <w:rsid w:val="00F26066"/>
    <w:rsid w:val="00F26125"/>
    <w:rsid w:val="00F261FB"/>
    <w:rsid w:val="00F2622B"/>
    <w:rsid w:val="00F262C1"/>
    <w:rsid w:val="00F2650D"/>
    <w:rsid w:val="00F26A49"/>
    <w:rsid w:val="00F26CF1"/>
    <w:rsid w:val="00F26FC4"/>
    <w:rsid w:val="00F272AD"/>
    <w:rsid w:val="00F27671"/>
    <w:rsid w:val="00F2785A"/>
    <w:rsid w:val="00F279DD"/>
    <w:rsid w:val="00F27A21"/>
    <w:rsid w:val="00F27D20"/>
    <w:rsid w:val="00F27DCE"/>
    <w:rsid w:val="00F300C2"/>
    <w:rsid w:val="00F30378"/>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659"/>
    <w:rsid w:val="00F33822"/>
    <w:rsid w:val="00F33BAD"/>
    <w:rsid w:val="00F33C9E"/>
    <w:rsid w:val="00F3425B"/>
    <w:rsid w:val="00F3474F"/>
    <w:rsid w:val="00F34A4B"/>
    <w:rsid w:val="00F34BD2"/>
    <w:rsid w:val="00F34C8C"/>
    <w:rsid w:val="00F34EAC"/>
    <w:rsid w:val="00F34EE3"/>
    <w:rsid w:val="00F3511E"/>
    <w:rsid w:val="00F35155"/>
    <w:rsid w:val="00F352F9"/>
    <w:rsid w:val="00F353BF"/>
    <w:rsid w:val="00F356B2"/>
    <w:rsid w:val="00F3575A"/>
    <w:rsid w:val="00F35BDB"/>
    <w:rsid w:val="00F35E57"/>
    <w:rsid w:val="00F3609A"/>
    <w:rsid w:val="00F36329"/>
    <w:rsid w:val="00F363BA"/>
    <w:rsid w:val="00F36520"/>
    <w:rsid w:val="00F3653E"/>
    <w:rsid w:val="00F3654E"/>
    <w:rsid w:val="00F36AED"/>
    <w:rsid w:val="00F36E70"/>
    <w:rsid w:val="00F37085"/>
    <w:rsid w:val="00F37181"/>
    <w:rsid w:val="00F372F6"/>
    <w:rsid w:val="00F373F7"/>
    <w:rsid w:val="00F37425"/>
    <w:rsid w:val="00F3742D"/>
    <w:rsid w:val="00F374C7"/>
    <w:rsid w:val="00F37823"/>
    <w:rsid w:val="00F37ABA"/>
    <w:rsid w:val="00F37C40"/>
    <w:rsid w:val="00F37CA7"/>
    <w:rsid w:val="00F37CB0"/>
    <w:rsid w:val="00F37CC0"/>
    <w:rsid w:val="00F37D4B"/>
    <w:rsid w:val="00F37E74"/>
    <w:rsid w:val="00F37FF9"/>
    <w:rsid w:val="00F4016F"/>
    <w:rsid w:val="00F402AB"/>
    <w:rsid w:val="00F4056B"/>
    <w:rsid w:val="00F40647"/>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C03"/>
    <w:rsid w:val="00F41CA8"/>
    <w:rsid w:val="00F41D85"/>
    <w:rsid w:val="00F41EBB"/>
    <w:rsid w:val="00F4238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3B87"/>
    <w:rsid w:val="00F44172"/>
    <w:rsid w:val="00F44214"/>
    <w:rsid w:val="00F44521"/>
    <w:rsid w:val="00F445DC"/>
    <w:rsid w:val="00F445FB"/>
    <w:rsid w:val="00F44818"/>
    <w:rsid w:val="00F44C27"/>
    <w:rsid w:val="00F44CD6"/>
    <w:rsid w:val="00F44D4F"/>
    <w:rsid w:val="00F4528E"/>
    <w:rsid w:val="00F452C3"/>
    <w:rsid w:val="00F454A8"/>
    <w:rsid w:val="00F454C0"/>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6A4"/>
    <w:rsid w:val="00F47C76"/>
    <w:rsid w:val="00F47DA7"/>
    <w:rsid w:val="00F47EE0"/>
    <w:rsid w:val="00F47F65"/>
    <w:rsid w:val="00F500DE"/>
    <w:rsid w:val="00F50264"/>
    <w:rsid w:val="00F50293"/>
    <w:rsid w:val="00F50CB4"/>
    <w:rsid w:val="00F50D1E"/>
    <w:rsid w:val="00F5116C"/>
    <w:rsid w:val="00F513CD"/>
    <w:rsid w:val="00F51513"/>
    <w:rsid w:val="00F515D2"/>
    <w:rsid w:val="00F51915"/>
    <w:rsid w:val="00F519D5"/>
    <w:rsid w:val="00F51B80"/>
    <w:rsid w:val="00F51B96"/>
    <w:rsid w:val="00F524C4"/>
    <w:rsid w:val="00F52537"/>
    <w:rsid w:val="00F5286F"/>
    <w:rsid w:val="00F528A3"/>
    <w:rsid w:val="00F52A68"/>
    <w:rsid w:val="00F52BE5"/>
    <w:rsid w:val="00F52F59"/>
    <w:rsid w:val="00F530A7"/>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DB"/>
    <w:rsid w:val="00F550ED"/>
    <w:rsid w:val="00F55639"/>
    <w:rsid w:val="00F5586B"/>
    <w:rsid w:val="00F558DD"/>
    <w:rsid w:val="00F55A55"/>
    <w:rsid w:val="00F55B31"/>
    <w:rsid w:val="00F561B8"/>
    <w:rsid w:val="00F562FB"/>
    <w:rsid w:val="00F5638C"/>
    <w:rsid w:val="00F563D9"/>
    <w:rsid w:val="00F56612"/>
    <w:rsid w:val="00F56875"/>
    <w:rsid w:val="00F56902"/>
    <w:rsid w:val="00F56990"/>
    <w:rsid w:val="00F569A9"/>
    <w:rsid w:val="00F56ABC"/>
    <w:rsid w:val="00F56BB3"/>
    <w:rsid w:val="00F56E0C"/>
    <w:rsid w:val="00F57039"/>
    <w:rsid w:val="00F5709C"/>
    <w:rsid w:val="00F572F8"/>
    <w:rsid w:val="00F57348"/>
    <w:rsid w:val="00F57410"/>
    <w:rsid w:val="00F57583"/>
    <w:rsid w:val="00F57CD5"/>
    <w:rsid w:val="00F57E89"/>
    <w:rsid w:val="00F60209"/>
    <w:rsid w:val="00F60475"/>
    <w:rsid w:val="00F607BC"/>
    <w:rsid w:val="00F60920"/>
    <w:rsid w:val="00F60D10"/>
    <w:rsid w:val="00F60D79"/>
    <w:rsid w:val="00F61186"/>
    <w:rsid w:val="00F611F2"/>
    <w:rsid w:val="00F614F4"/>
    <w:rsid w:val="00F6150B"/>
    <w:rsid w:val="00F61533"/>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BF"/>
    <w:rsid w:val="00F628DA"/>
    <w:rsid w:val="00F628E7"/>
    <w:rsid w:val="00F6295F"/>
    <w:rsid w:val="00F6298B"/>
    <w:rsid w:val="00F62C25"/>
    <w:rsid w:val="00F62EBC"/>
    <w:rsid w:val="00F63108"/>
    <w:rsid w:val="00F633F1"/>
    <w:rsid w:val="00F6349F"/>
    <w:rsid w:val="00F635F9"/>
    <w:rsid w:val="00F6369D"/>
    <w:rsid w:val="00F63A95"/>
    <w:rsid w:val="00F646A3"/>
    <w:rsid w:val="00F646A8"/>
    <w:rsid w:val="00F647C1"/>
    <w:rsid w:val="00F6499E"/>
    <w:rsid w:val="00F64A27"/>
    <w:rsid w:val="00F64B0B"/>
    <w:rsid w:val="00F64B9B"/>
    <w:rsid w:val="00F64C06"/>
    <w:rsid w:val="00F64CF3"/>
    <w:rsid w:val="00F650EF"/>
    <w:rsid w:val="00F65153"/>
    <w:rsid w:val="00F65177"/>
    <w:rsid w:val="00F6519C"/>
    <w:rsid w:val="00F653EF"/>
    <w:rsid w:val="00F6560E"/>
    <w:rsid w:val="00F656C3"/>
    <w:rsid w:val="00F658B8"/>
    <w:rsid w:val="00F65921"/>
    <w:rsid w:val="00F65C3F"/>
    <w:rsid w:val="00F65C4F"/>
    <w:rsid w:val="00F65DB0"/>
    <w:rsid w:val="00F65F2F"/>
    <w:rsid w:val="00F66038"/>
    <w:rsid w:val="00F660F6"/>
    <w:rsid w:val="00F661AC"/>
    <w:rsid w:val="00F66ED4"/>
    <w:rsid w:val="00F66FB8"/>
    <w:rsid w:val="00F67256"/>
    <w:rsid w:val="00F674DB"/>
    <w:rsid w:val="00F67590"/>
    <w:rsid w:val="00F6772B"/>
    <w:rsid w:val="00F67881"/>
    <w:rsid w:val="00F67889"/>
    <w:rsid w:val="00F67A31"/>
    <w:rsid w:val="00F67D69"/>
    <w:rsid w:val="00F67D86"/>
    <w:rsid w:val="00F67E1F"/>
    <w:rsid w:val="00F67EDB"/>
    <w:rsid w:val="00F702E8"/>
    <w:rsid w:val="00F7070B"/>
    <w:rsid w:val="00F7090E"/>
    <w:rsid w:val="00F70D58"/>
    <w:rsid w:val="00F70EF1"/>
    <w:rsid w:val="00F70FAD"/>
    <w:rsid w:val="00F711AF"/>
    <w:rsid w:val="00F711B2"/>
    <w:rsid w:val="00F7120C"/>
    <w:rsid w:val="00F712EE"/>
    <w:rsid w:val="00F71383"/>
    <w:rsid w:val="00F714A8"/>
    <w:rsid w:val="00F716BF"/>
    <w:rsid w:val="00F7170C"/>
    <w:rsid w:val="00F71753"/>
    <w:rsid w:val="00F72086"/>
    <w:rsid w:val="00F7211A"/>
    <w:rsid w:val="00F721FA"/>
    <w:rsid w:val="00F7226B"/>
    <w:rsid w:val="00F7257C"/>
    <w:rsid w:val="00F72827"/>
    <w:rsid w:val="00F728DC"/>
    <w:rsid w:val="00F72A45"/>
    <w:rsid w:val="00F72C7E"/>
    <w:rsid w:val="00F72E31"/>
    <w:rsid w:val="00F73078"/>
    <w:rsid w:val="00F73194"/>
    <w:rsid w:val="00F7324A"/>
    <w:rsid w:val="00F7342F"/>
    <w:rsid w:val="00F73720"/>
    <w:rsid w:val="00F737C0"/>
    <w:rsid w:val="00F7384E"/>
    <w:rsid w:val="00F738A5"/>
    <w:rsid w:val="00F73A3A"/>
    <w:rsid w:val="00F73A9B"/>
    <w:rsid w:val="00F73FBA"/>
    <w:rsid w:val="00F743D0"/>
    <w:rsid w:val="00F7448A"/>
    <w:rsid w:val="00F7473A"/>
    <w:rsid w:val="00F747BE"/>
    <w:rsid w:val="00F749BA"/>
    <w:rsid w:val="00F74EFA"/>
    <w:rsid w:val="00F74FD2"/>
    <w:rsid w:val="00F754A0"/>
    <w:rsid w:val="00F7577D"/>
    <w:rsid w:val="00F757D2"/>
    <w:rsid w:val="00F759C3"/>
    <w:rsid w:val="00F75DBB"/>
    <w:rsid w:val="00F75DE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88"/>
    <w:rsid w:val="00F802E1"/>
    <w:rsid w:val="00F80343"/>
    <w:rsid w:val="00F80500"/>
    <w:rsid w:val="00F80728"/>
    <w:rsid w:val="00F807B3"/>
    <w:rsid w:val="00F80922"/>
    <w:rsid w:val="00F80933"/>
    <w:rsid w:val="00F811D4"/>
    <w:rsid w:val="00F811DC"/>
    <w:rsid w:val="00F811DF"/>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3620"/>
    <w:rsid w:val="00F837A5"/>
    <w:rsid w:val="00F840F6"/>
    <w:rsid w:val="00F841AC"/>
    <w:rsid w:val="00F84229"/>
    <w:rsid w:val="00F843A8"/>
    <w:rsid w:val="00F8467A"/>
    <w:rsid w:val="00F84766"/>
    <w:rsid w:val="00F848E2"/>
    <w:rsid w:val="00F84A13"/>
    <w:rsid w:val="00F84A8C"/>
    <w:rsid w:val="00F84CF8"/>
    <w:rsid w:val="00F84D63"/>
    <w:rsid w:val="00F84DE9"/>
    <w:rsid w:val="00F8539A"/>
    <w:rsid w:val="00F85514"/>
    <w:rsid w:val="00F855A7"/>
    <w:rsid w:val="00F8574D"/>
    <w:rsid w:val="00F85789"/>
    <w:rsid w:val="00F85C2A"/>
    <w:rsid w:val="00F85DC9"/>
    <w:rsid w:val="00F85F1E"/>
    <w:rsid w:val="00F85FED"/>
    <w:rsid w:val="00F860AE"/>
    <w:rsid w:val="00F861F4"/>
    <w:rsid w:val="00F862B1"/>
    <w:rsid w:val="00F8636E"/>
    <w:rsid w:val="00F86837"/>
    <w:rsid w:val="00F86973"/>
    <w:rsid w:val="00F86A60"/>
    <w:rsid w:val="00F86AD2"/>
    <w:rsid w:val="00F86C85"/>
    <w:rsid w:val="00F87590"/>
    <w:rsid w:val="00F875DF"/>
    <w:rsid w:val="00F875E0"/>
    <w:rsid w:val="00F87722"/>
    <w:rsid w:val="00F877D1"/>
    <w:rsid w:val="00F878B7"/>
    <w:rsid w:val="00F878BA"/>
    <w:rsid w:val="00F87B05"/>
    <w:rsid w:val="00F87ED9"/>
    <w:rsid w:val="00F9094D"/>
    <w:rsid w:val="00F90952"/>
    <w:rsid w:val="00F90A04"/>
    <w:rsid w:val="00F90B92"/>
    <w:rsid w:val="00F91176"/>
    <w:rsid w:val="00F9127C"/>
    <w:rsid w:val="00F91315"/>
    <w:rsid w:val="00F914FA"/>
    <w:rsid w:val="00F9159D"/>
    <w:rsid w:val="00F917D3"/>
    <w:rsid w:val="00F918F5"/>
    <w:rsid w:val="00F91A25"/>
    <w:rsid w:val="00F91F72"/>
    <w:rsid w:val="00F923AD"/>
    <w:rsid w:val="00F92A28"/>
    <w:rsid w:val="00F92B4C"/>
    <w:rsid w:val="00F92CDA"/>
    <w:rsid w:val="00F92E24"/>
    <w:rsid w:val="00F934CB"/>
    <w:rsid w:val="00F93541"/>
    <w:rsid w:val="00F9354E"/>
    <w:rsid w:val="00F936A7"/>
    <w:rsid w:val="00F9389D"/>
    <w:rsid w:val="00F939D0"/>
    <w:rsid w:val="00F93C7F"/>
    <w:rsid w:val="00F93EA0"/>
    <w:rsid w:val="00F93FDB"/>
    <w:rsid w:val="00F9410B"/>
    <w:rsid w:val="00F94214"/>
    <w:rsid w:val="00F943B5"/>
    <w:rsid w:val="00F9444B"/>
    <w:rsid w:val="00F9455B"/>
    <w:rsid w:val="00F94563"/>
    <w:rsid w:val="00F94BBE"/>
    <w:rsid w:val="00F94D15"/>
    <w:rsid w:val="00F94D54"/>
    <w:rsid w:val="00F94D7B"/>
    <w:rsid w:val="00F94DD9"/>
    <w:rsid w:val="00F94FAA"/>
    <w:rsid w:val="00F95443"/>
    <w:rsid w:val="00F95532"/>
    <w:rsid w:val="00F95639"/>
    <w:rsid w:val="00F95A22"/>
    <w:rsid w:val="00F95C46"/>
    <w:rsid w:val="00F95E84"/>
    <w:rsid w:val="00F9644F"/>
    <w:rsid w:val="00F96A5B"/>
    <w:rsid w:val="00F96B70"/>
    <w:rsid w:val="00F96E12"/>
    <w:rsid w:val="00F96FD4"/>
    <w:rsid w:val="00F9707B"/>
    <w:rsid w:val="00F971C5"/>
    <w:rsid w:val="00F971C8"/>
    <w:rsid w:val="00F97256"/>
    <w:rsid w:val="00F97765"/>
    <w:rsid w:val="00F9787F"/>
    <w:rsid w:val="00F97953"/>
    <w:rsid w:val="00F97AE2"/>
    <w:rsid w:val="00F97C3B"/>
    <w:rsid w:val="00F97F05"/>
    <w:rsid w:val="00FA04E5"/>
    <w:rsid w:val="00FA09A0"/>
    <w:rsid w:val="00FA09FA"/>
    <w:rsid w:val="00FA0CFA"/>
    <w:rsid w:val="00FA10C2"/>
    <w:rsid w:val="00FA127F"/>
    <w:rsid w:val="00FA13B0"/>
    <w:rsid w:val="00FA13FA"/>
    <w:rsid w:val="00FA16E6"/>
    <w:rsid w:val="00FA181C"/>
    <w:rsid w:val="00FA1957"/>
    <w:rsid w:val="00FA1B4D"/>
    <w:rsid w:val="00FA1BDF"/>
    <w:rsid w:val="00FA1E10"/>
    <w:rsid w:val="00FA1FB6"/>
    <w:rsid w:val="00FA214F"/>
    <w:rsid w:val="00FA2254"/>
    <w:rsid w:val="00FA2333"/>
    <w:rsid w:val="00FA272F"/>
    <w:rsid w:val="00FA277C"/>
    <w:rsid w:val="00FA28F5"/>
    <w:rsid w:val="00FA3090"/>
    <w:rsid w:val="00FA30B6"/>
    <w:rsid w:val="00FA3264"/>
    <w:rsid w:val="00FA329E"/>
    <w:rsid w:val="00FA3306"/>
    <w:rsid w:val="00FA386C"/>
    <w:rsid w:val="00FA388F"/>
    <w:rsid w:val="00FA39DD"/>
    <w:rsid w:val="00FA3BD8"/>
    <w:rsid w:val="00FA3CB5"/>
    <w:rsid w:val="00FA3CDB"/>
    <w:rsid w:val="00FA3DD4"/>
    <w:rsid w:val="00FA4239"/>
    <w:rsid w:val="00FA4306"/>
    <w:rsid w:val="00FA43DB"/>
    <w:rsid w:val="00FA445F"/>
    <w:rsid w:val="00FA45D1"/>
    <w:rsid w:val="00FA465A"/>
    <w:rsid w:val="00FA46F9"/>
    <w:rsid w:val="00FA4B87"/>
    <w:rsid w:val="00FA4BAB"/>
    <w:rsid w:val="00FA4E8D"/>
    <w:rsid w:val="00FA4FE2"/>
    <w:rsid w:val="00FA53E3"/>
    <w:rsid w:val="00FA554C"/>
    <w:rsid w:val="00FA580D"/>
    <w:rsid w:val="00FA5D4E"/>
    <w:rsid w:val="00FA5F08"/>
    <w:rsid w:val="00FA5F91"/>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B03B6"/>
    <w:rsid w:val="00FB063B"/>
    <w:rsid w:val="00FB063E"/>
    <w:rsid w:val="00FB0749"/>
    <w:rsid w:val="00FB0A44"/>
    <w:rsid w:val="00FB0A96"/>
    <w:rsid w:val="00FB0C75"/>
    <w:rsid w:val="00FB0DD7"/>
    <w:rsid w:val="00FB0EBF"/>
    <w:rsid w:val="00FB103E"/>
    <w:rsid w:val="00FB11AF"/>
    <w:rsid w:val="00FB11E9"/>
    <w:rsid w:val="00FB128D"/>
    <w:rsid w:val="00FB14ED"/>
    <w:rsid w:val="00FB1A20"/>
    <w:rsid w:val="00FB1BBE"/>
    <w:rsid w:val="00FB1C91"/>
    <w:rsid w:val="00FB1C98"/>
    <w:rsid w:val="00FB1CB3"/>
    <w:rsid w:val="00FB1DF5"/>
    <w:rsid w:val="00FB1E07"/>
    <w:rsid w:val="00FB21AF"/>
    <w:rsid w:val="00FB2262"/>
    <w:rsid w:val="00FB2290"/>
    <w:rsid w:val="00FB231B"/>
    <w:rsid w:val="00FB23DB"/>
    <w:rsid w:val="00FB2423"/>
    <w:rsid w:val="00FB24A7"/>
    <w:rsid w:val="00FB24FE"/>
    <w:rsid w:val="00FB2665"/>
    <w:rsid w:val="00FB29E0"/>
    <w:rsid w:val="00FB2ADA"/>
    <w:rsid w:val="00FB2CF0"/>
    <w:rsid w:val="00FB2DA9"/>
    <w:rsid w:val="00FB2F46"/>
    <w:rsid w:val="00FB330B"/>
    <w:rsid w:val="00FB35F4"/>
    <w:rsid w:val="00FB36A0"/>
    <w:rsid w:val="00FB3B9C"/>
    <w:rsid w:val="00FB3D89"/>
    <w:rsid w:val="00FB4243"/>
    <w:rsid w:val="00FB44CA"/>
    <w:rsid w:val="00FB5189"/>
    <w:rsid w:val="00FB5361"/>
    <w:rsid w:val="00FB53E3"/>
    <w:rsid w:val="00FB5403"/>
    <w:rsid w:val="00FB55F0"/>
    <w:rsid w:val="00FB566A"/>
    <w:rsid w:val="00FB56C5"/>
    <w:rsid w:val="00FB5E41"/>
    <w:rsid w:val="00FB5ED6"/>
    <w:rsid w:val="00FB6021"/>
    <w:rsid w:val="00FB61C4"/>
    <w:rsid w:val="00FB637D"/>
    <w:rsid w:val="00FB65ED"/>
    <w:rsid w:val="00FB6830"/>
    <w:rsid w:val="00FB6A1A"/>
    <w:rsid w:val="00FB6B14"/>
    <w:rsid w:val="00FB6BAE"/>
    <w:rsid w:val="00FB6D47"/>
    <w:rsid w:val="00FB6DA8"/>
    <w:rsid w:val="00FB6E73"/>
    <w:rsid w:val="00FB6EAD"/>
    <w:rsid w:val="00FB6EFB"/>
    <w:rsid w:val="00FB708B"/>
    <w:rsid w:val="00FB7116"/>
    <w:rsid w:val="00FB711A"/>
    <w:rsid w:val="00FB7486"/>
    <w:rsid w:val="00FB752B"/>
    <w:rsid w:val="00FB757D"/>
    <w:rsid w:val="00FB7588"/>
    <w:rsid w:val="00FB767D"/>
    <w:rsid w:val="00FB7816"/>
    <w:rsid w:val="00FB782F"/>
    <w:rsid w:val="00FB7A2B"/>
    <w:rsid w:val="00FC051D"/>
    <w:rsid w:val="00FC05D7"/>
    <w:rsid w:val="00FC0B40"/>
    <w:rsid w:val="00FC0C08"/>
    <w:rsid w:val="00FC0D68"/>
    <w:rsid w:val="00FC0E38"/>
    <w:rsid w:val="00FC12B0"/>
    <w:rsid w:val="00FC16BF"/>
    <w:rsid w:val="00FC1858"/>
    <w:rsid w:val="00FC1900"/>
    <w:rsid w:val="00FC1937"/>
    <w:rsid w:val="00FC1A78"/>
    <w:rsid w:val="00FC1C90"/>
    <w:rsid w:val="00FC1CC8"/>
    <w:rsid w:val="00FC1F5E"/>
    <w:rsid w:val="00FC1F95"/>
    <w:rsid w:val="00FC20E9"/>
    <w:rsid w:val="00FC217D"/>
    <w:rsid w:val="00FC2435"/>
    <w:rsid w:val="00FC24A6"/>
    <w:rsid w:val="00FC2701"/>
    <w:rsid w:val="00FC2ECF"/>
    <w:rsid w:val="00FC2EF9"/>
    <w:rsid w:val="00FC332F"/>
    <w:rsid w:val="00FC33FF"/>
    <w:rsid w:val="00FC3488"/>
    <w:rsid w:val="00FC3617"/>
    <w:rsid w:val="00FC3661"/>
    <w:rsid w:val="00FC3A39"/>
    <w:rsid w:val="00FC3AEC"/>
    <w:rsid w:val="00FC3FBC"/>
    <w:rsid w:val="00FC4A36"/>
    <w:rsid w:val="00FC4AFD"/>
    <w:rsid w:val="00FC4BBC"/>
    <w:rsid w:val="00FC4C0C"/>
    <w:rsid w:val="00FC512C"/>
    <w:rsid w:val="00FC5197"/>
    <w:rsid w:val="00FC5321"/>
    <w:rsid w:val="00FC5585"/>
    <w:rsid w:val="00FC5633"/>
    <w:rsid w:val="00FC5A77"/>
    <w:rsid w:val="00FC5D16"/>
    <w:rsid w:val="00FC619D"/>
    <w:rsid w:val="00FC61C8"/>
    <w:rsid w:val="00FC6416"/>
    <w:rsid w:val="00FC644A"/>
    <w:rsid w:val="00FC6461"/>
    <w:rsid w:val="00FC678F"/>
    <w:rsid w:val="00FC67BC"/>
    <w:rsid w:val="00FC6833"/>
    <w:rsid w:val="00FC69BA"/>
    <w:rsid w:val="00FC6AE6"/>
    <w:rsid w:val="00FC6D71"/>
    <w:rsid w:val="00FC6ECE"/>
    <w:rsid w:val="00FC70A1"/>
    <w:rsid w:val="00FC7163"/>
    <w:rsid w:val="00FC71B2"/>
    <w:rsid w:val="00FC7329"/>
    <w:rsid w:val="00FC7844"/>
    <w:rsid w:val="00FC7D4D"/>
    <w:rsid w:val="00FC7E53"/>
    <w:rsid w:val="00FD02D5"/>
    <w:rsid w:val="00FD043B"/>
    <w:rsid w:val="00FD0983"/>
    <w:rsid w:val="00FD0C03"/>
    <w:rsid w:val="00FD0E27"/>
    <w:rsid w:val="00FD0E2F"/>
    <w:rsid w:val="00FD0EF6"/>
    <w:rsid w:val="00FD1024"/>
    <w:rsid w:val="00FD1104"/>
    <w:rsid w:val="00FD1300"/>
    <w:rsid w:val="00FD1458"/>
    <w:rsid w:val="00FD157C"/>
    <w:rsid w:val="00FD179D"/>
    <w:rsid w:val="00FD1945"/>
    <w:rsid w:val="00FD1A44"/>
    <w:rsid w:val="00FD1AD0"/>
    <w:rsid w:val="00FD1CF7"/>
    <w:rsid w:val="00FD1D2F"/>
    <w:rsid w:val="00FD1EB5"/>
    <w:rsid w:val="00FD22E2"/>
    <w:rsid w:val="00FD236F"/>
    <w:rsid w:val="00FD294E"/>
    <w:rsid w:val="00FD2FA9"/>
    <w:rsid w:val="00FD31AA"/>
    <w:rsid w:val="00FD3958"/>
    <w:rsid w:val="00FD39F1"/>
    <w:rsid w:val="00FD417D"/>
    <w:rsid w:val="00FD435A"/>
    <w:rsid w:val="00FD45B8"/>
    <w:rsid w:val="00FD4643"/>
    <w:rsid w:val="00FD47B7"/>
    <w:rsid w:val="00FD4E0F"/>
    <w:rsid w:val="00FD4FA0"/>
    <w:rsid w:val="00FD4FDD"/>
    <w:rsid w:val="00FD5006"/>
    <w:rsid w:val="00FD51EA"/>
    <w:rsid w:val="00FD5672"/>
    <w:rsid w:val="00FD56D4"/>
    <w:rsid w:val="00FD5982"/>
    <w:rsid w:val="00FD59F8"/>
    <w:rsid w:val="00FD5B63"/>
    <w:rsid w:val="00FD5B91"/>
    <w:rsid w:val="00FD5BD3"/>
    <w:rsid w:val="00FD5D9B"/>
    <w:rsid w:val="00FD649F"/>
    <w:rsid w:val="00FD660F"/>
    <w:rsid w:val="00FD6702"/>
    <w:rsid w:val="00FD699B"/>
    <w:rsid w:val="00FD6A78"/>
    <w:rsid w:val="00FD6C8A"/>
    <w:rsid w:val="00FD7033"/>
    <w:rsid w:val="00FD737E"/>
    <w:rsid w:val="00FD743B"/>
    <w:rsid w:val="00FD75A6"/>
    <w:rsid w:val="00FD7650"/>
    <w:rsid w:val="00FD7805"/>
    <w:rsid w:val="00FD7864"/>
    <w:rsid w:val="00FD7B88"/>
    <w:rsid w:val="00FD7C8B"/>
    <w:rsid w:val="00FD7DCF"/>
    <w:rsid w:val="00FD7F14"/>
    <w:rsid w:val="00FD7FDF"/>
    <w:rsid w:val="00FE00AA"/>
    <w:rsid w:val="00FE03E4"/>
    <w:rsid w:val="00FE04AB"/>
    <w:rsid w:val="00FE055F"/>
    <w:rsid w:val="00FE0863"/>
    <w:rsid w:val="00FE0A0C"/>
    <w:rsid w:val="00FE0D8A"/>
    <w:rsid w:val="00FE0F06"/>
    <w:rsid w:val="00FE0FCF"/>
    <w:rsid w:val="00FE0FDD"/>
    <w:rsid w:val="00FE0FE5"/>
    <w:rsid w:val="00FE119D"/>
    <w:rsid w:val="00FE151A"/>
    <w:rsid w:val="00FE160A"/>
    <w:rsid w:val="00FE1661"/>
    <w:rsid w:val="00FE184D"/>
    <w:rsid w:val="00FE184E"/>
    <w:rsid w:val="00FE187B"/>
    <w:rsid w:val="00FE1904"/>
    <w:rsid w:val="00FE19E4"/>
    <w:rsid w:val="00FE1D57"/>
    <w:rsid w:val="00FE1EF4"/>
    <w:rsid w:val="00FE20A2"/>
    <w:rsid w:val="00FE2201"/>
    <w:rsid w:val="00FE2392"/>
    <w:rsid w:val="00FE26C1"/>
    <w:rsid w:val="00FE2842"/>
    <w:rsid w:val="00FE2F7A"/>
    <w:rsid w:val="00FE30B6"/>
    <w:rsid w:val="00FE3109"/>
    <w:rsid w:val="00FE3D4E"/>
    <w:rsid w:val="00FE3D93"/>
    <w:rsid w:val="00FE3E5C"/>
    <w:rsid w:val="00FE3EA0"/>
    <w:rsid w:val="00FE414C"/>
    <w:rsid w:val="00FE4246"/>
    <w:rsid w:val="00FE43B0"/>
    <w:rsid w:val="00FE4415"/>
    <w:rsid w:val="00FE4486"/>
    <w:rsid w:val="00FE4496"/>
    <w:rsid w:val="00FE4653"/>
    <w:rsid w:val="00FE4832"/>
    <w:rsid w:val="00FE488D"/>
    <w:rsid w:val="00FE495D"/>
    <w:rsid w:val="00FE4A38"/>
    <w:rsid w:val="00FE4B29"/>
    <w:rsid w:val="00FE4E49"/>
    <w:rsid w:val="00FE4FFA"/>
    <w:rsid w:val="00FE522F"/>
    <w:rsid w:val="00FE52F8"/>
    <w:rsid w:val="00FE5980"/>
    <w:rsid w:val="00FE5C69"/>
    <w:rsid w:val="00FE609C"/>
    <w:rsid w:val="00FE6230"/>
    <w:rsid w:val="00FE62F2"/>
    <w:rsid w:val="00FE6468"/>
    <w:rsid w:val="00FE6646"/>
    <w:rsid w:val="00FE669B"/>
    <w:rsid w:val="00FE714D"/>
    <w:rsid w:val="00FE7352"/>
    <w:rsid w:val="00FE7BF8"/>
    <w:rsid w:val="00FE7D6A"/>
    <w:rsid w:val="00FF018D"/>
    <w:rsid w:val="00FF01B0"/>
    <w:rsid w:val="00FF029E"/>
    <w:rsid w:val="00FF034B"/>
    <w:rsid w:val="00FF03B0"/>
    <w:rsid w:val="00FF0403"/>
    <w:rsid w:val="00FF05A6"/>
    <w:rsid w:val="00FF0655"/>
    <w:rsid w:val="00FF0961"/>
    <w:rsid w:val="00FF09F9"/>
    <w:rsid w:val="00FF0C30"/>
    <w:rsid w:val="00FF1007"/>
    <w:rsid w:val="00FF122C"/>
    <w:rsid w:val="00FF13B9"/>
    <w:rsid w:val="00FF1660"/>
    <w:rsid w:val="00FF1842"/>
    <w:rsid w:val="00FF196B"/>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1EC"/>
    <w:rsid w:val="00FF43EE"/>
    <w:rsid w:val="00FF45ED"/>
    <w:rsid w:val="00FF48E6"/>
    <w:rsid w:val="00FF4ACE"/>
    <w:rsid w:val="00FF4AD0"/>
    <w:rsid w:val="00FF4B29"/>
    <w:rsid w:val="00FF4B4F"/>
    <w:rsid w:val="00FF4D99"/>
    <w:rsid w:val="00FF4DA1"/>
    <w:rsid w:val="00FF5225"/>
    <w:rsid w:val="00FF5450"/>
    <w:rsid w:val="00FF5455"/>
    <w:rsid w:val="00FF547C"/>
    <w:rsid w:val="00FF5C14"/>
    <w:rsid w:val="00FF5FA3"/>
    <w:rsid w:val="00FF5FF1"/>
    <w:rsid w:val="00FF6005"/>
    <w:rsid w:val="00FF613D"/>
    <w:rsid w:val="00FF6189"/>
    <w:rsid w:val="00FF677B"/>
    <w:rsid w:val="00FF6916"/>
    <w:rsid w:val="00FF6982"/>
    <w:rsid w:val="00FF6A2B"/>
    <w:rsid w:val="00FF6C1C"/>
    <w:rsid w:val="00FF6C35"/>
    <w:rsid w:val="00FF6F85"/>
    <w:rsid w:val="00FF7060"/>
    <w:rsid w:val="00FF7636"/>
    <w:rsid w:val="00FF765F"/>
    <w:rsid w:val="00FF7989"/>
    <w:rsid w:val="00FF7D03"/>
    <w:rsid w:val="01325A8F"/>
    <w:rsid w:val="01364351"/>
    <w:rsid w:val="014557C2"/>
    <w:rsid w:val="01487061"/>
    <w:rsid w:val="01633ADA"/>
    <w:rsid w:val="016E2F6B"/>
    <w:rsid w:val="01781190"/>
    <w:rsid w:val="01A87AFF"/>
    <w:rsid w:val="01A95AA3"/>
    <w:rsid w:val="01C51963"/>
    <w:rsid w:val="01EE5E5A"/>
    <w:rsid w:val="021E358E"/>
    <w:rsid w:val="02562772"/>
    <w:rsid w:val="026B3B03"/>
    <w:rsid w:val="02913644"/>
    <w:rsid w:val="029D33DC"/>
    <w:rsid w:val="02CD47AD"/>
    <w:rsid w:val="02D3381D"/>
    <w:rsid w:val="02DF57A3"/>
    <w:rsid w:val="02EF1E8A"/>
    <w:rsid w:val="02F92D08"/>
    <w:rsid w:val="02FD0E82"/>
    <w:rsid w:val="031E0AD7"/>
    <w:rsid w:val="03343CEA"/>
    <w:rsid w:val="03370265"/>
    <w:rsid w:val="03557EC9"/>
    <w:rsid w:val="03626DFC"/>
    <w:rsid w:val="03704BBD"/>
    <w:rsid w:val="038C76D9"/>
    <w:rsid w:val="038F0F77"/>
    <w:rsid w:val="03A112DD"/>
    <w:rsid w:val="03AA4003"/>
    <w:rsid w:val="03BB5AE2"/>
    <w:rsid w:val="03D42E2E"/>
    <w:rsid w:val="03DD5B2F"/>
    <w:rsid w:val="03EE2141"/>
    <w:rsid w:val="04073D74"/>
    <w:rsid w:val="04094CDD"/>
    <w:rsid w:val="041B0A5C"/>
    <w:rsid w:val="041F5C52"/>
    <w:rsid w:val="04213F44"/>
    <w:rsid w:val="04290BA6"/>
    <w:rsid w:val="042B5143"/>
    <w:rsid w:val="043770CF"/>
    <w:rsid w:val="044955CA"/>
    <w:rsid w:val="045D1075"/>
    <w:rsid w:val="045D2F8E"/>
    <w:rsid w:val="04844854"/>
    <w:rsid w:val="04991621"/>
    <w:rsid w:val="04A2573B"/>
    <w:rsid w:val="04CA562D"/>
    <w:rsid w:val="04D1736D"/>
    <w:rsid w:val="04F73278"/>
    <w:rsid w:val="050D22F6"/>
    <w:rsid w:val="05121E5F"/>
    <w:rsid w:val="052A3E92"/>
    <w:rsid w:val="053B6C38"/>
    <w:rsid w:val="05403FC4"/>
    <w:rsid w:val="055F4E32"/>
    <w:rsid w:val="056F0435"/>
    <w:rsid w:val="05716D2A"/>
    <w:rsid w:val="057448C8"/>
    <w:rsid w:val="058F525E"/>
    <w:rsid w:val="05A91C74"/>
    <w:rsid w:val="05C84C14"/>
    <w:rsid w:val="05CE61C9"/>
    <w:rsid w:val="05D76C05"/>
    <w:rsid w:val="05ED6429"/>
    <w:rsid w:val="060E0879"/>
    <w:rsid w:val="06101A24"/>
    <w:rsid w:val="06182F0F"/>
    <w:rsid w:val="06202923"/>
    <w:rsid w:val="062137D7"/>
    <w:rsid w:val="064061DE"/>
    <w:rsid w:val="06510766"/>
    <w:rsid w:val="068A643E"/>
    <w:rsid w:val="069D7E4F"/>
    <w:rsid w:val="06AF6F4A"/>
    <w:rsid w:val="06CA103D"/>
    <w:rsid w:val="06FC4B75"/>
    <w:rsid w:val="07130E7E"/>
    <w:rsid w:val="07283BBC"/>
    <w:rsid w:val="079C3F15"/>
    <w:rsid w:val="07C26529"/>
    <w:rsid w:val="07D30FBC"/>
    <w:rsid w:val="07E3599F"/>
    <w:rsid w:val="07E35D35"/>
    <w:rsid w:val="07F22D5C"/>
    <w:rsid w:val="07F7358F"/>
    <w:rsid w:val="081C375E"/>
    <w:rsid w:val="08326375"/>
    <w:rsid w:val="083B7AC2"/>
    <w:rsid w:val="08530A5A"/>
    <w:rsid w:val="0853390E"/>
    <w:rsid w:val="08766BA9"/>
    <w:rsid w:val="08A76D63"/>
    <w:rsid w:val="08AA4C4F"/>
    <w:rsid w:val="08BB6277"/>
    <w:rsid w:val="08D034F0"/>
    <w:rsid w:val="08E65ADD"/>
    <w:rsid w:val="08E720CC"/>
    <w:rsid w:val="09051125"/>
    <w:rsid w:val="09293C1C"/>
    <w:rsid w:val="094016B3"/>
    <w:rsid w:val="097148FC"/>
    <w:rsid w:val="0983157E"/>
    <w:rsid w:val="0992356F"/>
    <w:rsid w:val="09A46ABD"/>
    <w:rsid w:val="09B47989"/>
    <w:rsid w:val="09C94AB7"/>
    <w:rsid w:val="09D564CA"/>
    <w:rsid w:val="09EB5505"/>
    <w:rsid w:val="0A3464DC"/>
    <w:rsid w:val="0A3D172D"/>
    <w:rsid w:val="0A40746F"/>
    <w:rsid w:val="0A6F1B02"/>
    <w:rsid w:val="0A943317"/>
    <w:rsid w:val="0A9A3486"/>
    <w:rsid w:val="0B077F8D"/>
    <w:rsid w:val="0B187AA4"/>
    <w:rsid w:val="0B1F187F"/>
    <w:rsid w:val="0B1F7084"/>
    <w:rsid w:val="0B3A01F2"/>
    <w:rsid w:val="0B3A5C6C"/>
    <w:rsid w:val="0B534F80"/>
    <w:rsid w:val="0B660C1A"/>
    <w:rsid w:val="0B77738F"/>
    <w:rsid w:val="0B884C29"/>
    <w:rsid w:val="0B947B5F"/>
    <w:rsid w:val="0BB27EF8"/>
    <w:rsid w:val="0BBA0B5B"/>
    <w:rsid w:val="0BC47C2C"/>
    <w:rsid w:val="0BC814CA"/>
    <w:rsid w:val="0BDC0054"/>
    <w:rsid w:val="0BE67068"/>
    <w:rsid w:val="0C246131"/>
    <w:rsid w:val="0C413097"/>
    <w:rsid w:val="0C4F3999"/>
    <w:rsid w:val="0C727688"/>
    <w:rsid w:val="0CCF0636"/>
    <w:rsid w:val="0CD04D19"/>
    <w:rsid w:val="0CFB58CF"/>
    <w:rsid w:val="0D613984"/>
    <w:rsid w:val="0D643474"/>
    <w:rsid w:val="0D6F7E79"/>
    <w:rsid w:val="0D7440FC"/>
    <w:rsid w:val="0D850569"/>
    <w:rsid w:val="0D94459E"/>
    <w:rsid w:val="0DDB609A"/>
    <w:rsid w:val="0DE16084"/>
    <w:rsid w:val="0DFC18FF"/>
    <w:rsid w:val="0E1521B3"/>
    <w:rsid w:val="0E240CB1"/>
    <w:rsid w:val="0E356BBF"/>
    <w:rsid w:val="0E4D188C"/>
    <w:rsid w:val="0E512F82"/>
    <w:rsid w:val="0E547045"/>
    <w:rsid w:val="0E811E04"/>
    <w:rsid w:val="0EA3623F"/>
    <w:rsid w:val="0EB775D4"/>
    <w:rsid w:val="0EBB5316"/>
    <w:rsid w:val="0ECC7523"/>
    <w:rsid w:val="0EE075E1"/>
    <w:rsid w:val="0EE90E12"/>
    <w:rsid w:val="0F1A3753"/>
    <w:rsid w:val="0F3B1FB3"/>
    <w:rsid w:val="0F544668"/>
    <w:rsid w:val="0F706100"/>
    <w:rsid w:val="0F74302B"/>
    <w:rsid w:val="0F933FDB"/>
    <w:rsid w:val="0F9E6EC4"/>
    <w:rsid w:val="0FF54858"/>
    <w:rsid w:val="10183B9A"/>
    <w:rsid w:val="1029043F"/>
    <w:rsid w:val="103A04BC"/>
    <w:rsid w:val="10473DD0"/>
    <w:rsid w:val="106C2D6C"/>
    <w:rsid w:val="10834AAD"/>
    <w:rsid w:val="10B57E5D"/>
    <w:rsid w:val="10BA18DC"/>
    <w:rsid w:val="10D26947"/>
    <w:rsid w:val="10DE353E"/>
    <w:rsid w:val="10DE709A"/>
    <w:rsid w:val="11292A0B"/>
    <w:rsid w:val="112A6783"/>
    <w:rsid w:val="114E06C3"/>
    <w:rsid w:val="116B48A3"/>
    <w:rsid w:val="11725BF6"/>
    <w:rsid w:val="118916FB"/>
    <w:rsid w:val="11B61DC5"/>
    <w:rsid w:val="11B85498"/>
    <w:rsid w:val="11B85B3D"/>
    <w:rsid w:val="11BF302C"/>
    <w:rsid w:val="11C75D80"/>
    <w:rsid w:val="11EC57E6"/>
    <w:rsid w:val="122E4203"/>
    <w:rsid w:val="123420CD"/>
    <w:rsid w:val="12394ECF"/>
    <w:rsid w:val="124D097B"/>
    <w:rsid w:val="1283759D"/>
    <w:rsid w:val="129E4D32"/>
    <w:rsid w:val="12B502CE"/>
    <w:rsid w:val="12EA441C"/>
    <w:rsid w:val="12ED1816"/>
    <w:rsid w:val="12F92FAA"/>
    <w:rsid w:val="132757BB"/>
    <w:rsid w:val="13294F44"/>
    <w:rsid w:val="13324B8D"/>
    <w:rsid w:val="134F0723"/>
    <w:rsid w:val="13533D6F"/>
    <w:rsid w:val="135D7045"/>
    <w:rsid w:val="13735DF3"/>
    <w:rsid w:val="13A06A50"/>
    <w:rsid w:val="13AA3315"/>
    <w:rsid w:val="13C476FA"/>
    <w:rsid w:val="13E514EF"/>
    <w:rsid w:val="13EF0A3E"/>
    <w:rsid w:val="14074B59"/>
    <w:rsid w:val="14091685"/>
    <w:rsid w:val="14127003"/>
    <w:rsid w:val="142A42ED"/>
    <w:rsid w:val="144933C4"/>
    <w:rsid w:val="14582D26"/>
    <w:rsid w:val="149A777C"/>
    <w:rsid w:val="14B34626"/>
    <w:rsid w:val="15033573"/>
    <w:rsid w:val="15205ED3"/>
    <w:rsid w:val="152C7A61"/>
    <w:rsid w:val="15347304"/>
    <w:rsid w:val="153C5E15"/>
    <w:rsid w:val="15436065"/>
    <w:rsid w:val="15441893"/>
    <w:rsid w:val="159B023B"/>
    <w:rsid w:val="15A90492"/>
    <w:rsid w:val="15CF1ED6"/>
    <w:rsid w:val="15D7735E"/>
    <w:rsid w:val="15DB4DB5"/>
    <w:rsid w:val="15DD2016"/>
    <w:rsid w:val="15F64E85"/>
    <w:rsid w:val="16353C00"/>
    <w:rsid w:val="164C2CF7"/>
    <w:rsid w:val="16556050"/>
    <w:rsid w:val="166938A9"/>
    <w:rsid w:val="166C7E10"/>
    <w:rsid w:val="168406E3"/>
    <w:rsid w:val="16946B78"/>
    <w:rsid w:val="16B014D8"/>
    <w:rsid w:val="17143815"/>
    <w:rsid w:val="171D2481"/>
    <w:rsid w:val="17367C2F"/>
    <w:rsid w:val="17451C21"/>
    <w:rsid w:val="175012AE"/>
    <w:rsid w:val="17B37BDC"/>
    <w:rsid w:val="17BC65D7"/>
    <w:rsid w:val="17F52556"/>
    <w:rsid w:val="17F74F01"/>
    <w:rsid w:val="17F93E0B"/>
    <w:rsid w:val="1808472A"/>
    <w:rsid w:val="181021C8"/>
    <w:rsid w:val="1811509D"/>
    <w:rsid w:val="18256CDD"/>
    <w:rsid w:val="183B1920"/>
    <w:rsid w:val="187C78C4"/>
    <w:rsid w:val="188175F4"/>
    <w:rsid w:val="189D783A"/>
    <w:rsid w:val="18A97F7D"/>
    <w:rsid w:val="18AA07BD"/>
    <w:rsid w:val="18AC7C72"/>
    <w:rsid w:val="18B36013"/>
    <w:rsid w:val="18C868B6"/>
    <w:rsid w:val="18E73C03"/>
    <w:rsid w:val="19081158"/>
    <w:rsid w:val="195602F9"/>
    <w:rsid w:val="196E6A1B"/>
    <w:rsid w:val="1988767E"/>
    <w:rsid w:val="198E6C87"/>
    <w:rsid w:val="19A5755A"/>
    <w:rsid w:val="19C71741"/>
    <w:rsid w:val="19EF2CB1"/>
    <w:rsid w:val="1A20351D"/>
    <w:rsid w:val="1A3D12D5"/>
    <w:rsid w:val="1A434DDD"/>
    <w:rsid w:val="1A5F124B"/>
    <w:rsid w:val="1A6525DA"/>
    <w:rsid w:val="1A6920CA"/>
    <w:rsid w:val="1A6B5E42"/>
    <w:rsid w:val="1A6B693D"/>
    <w:rsid w:val="1A751FAD"/>
    <w:rsid w:val="1A930EF5"/>
    <w:rsid w:val="1AEE1050"/>
    <w:rsid w:val="1B2E0A97"/>
    <w:rsid w:val="1B3A5C69"/>
    <w:rsid w:val="1B446693"/>
    <w:rsid w:val="1B5840C1"/>
    <w:rsid w:val="1B836361"/>
    <w:rsid w:val="1BB47375"/>
    <w:rsid w:val="1BCB2652"/>
    <w:rsid w:val="1BDB39AC"/>
    <w:rsid w:val="1BDD2D6F"/>
    <w:rsid w:val="1BE83A0A"/>
    <w:rsid w:val="1C1A0F44"/>
    <w:rsid w:val="1C455CA5"/>
    <w:rsid w:val="1C597F1C"/>
    <w:rsid w:val="1C705992"/>
    <w:rsid w:val="1C7F5EB0"/>
    <w:rsid w:val="1C8B6ED3"/>
    <w:rsid w:val="1C8F393E"/>
    <w:rsid w:val="1C962363"/>
    <w:rsid w:val="1CB03FE0"/>
    <w:rsid w:val="1CC74B21"/>
    <w:rsid w:val="1CDD3D03"/>
    <w:rsid w:val="1CE1311C"/>
    <w:rsid w:val="1CFB65F9"/>
    <w:rsid w:val="1D2C69D2"/>
    <w:rsid w:val="1D426629"/>
    <w:rsid w:val="1D7274E7"/>
    <w:rsid w:val="1D7673D4"/>
    <w:rsid w:val="1D932A35"/>
    <w:rsid w:val="1DC064A5"/>
    <w:rsid w:val="1DCA7323"/>
    <w:rsid w:val="1DCF6CBE"/>
    <w:rsid w:val="1DD52908"/>
    <w:rsid w:val="1DDC2BB3"/>
    <w:rsid w:val="1DE62C31"/>
    <w:rsid w:val="1DEC01BC"/>
    <w:rsid w:val="1DED3012"/>
    <w:rsid w:val="1DF93765"/>
    <w:rsid w:val="1E234C86"/>
    <w:rsid w:val="1E2527AC"/>
    <w:rsid w:val="1E5E181A"/>
    <w:rsid w:val="1E601D25"/>
    <w:rsid w:val="1E780180"/>
    <w:rsid w:val="1EA90CE7"/>
    <w:rsid w:val="1EA93F48"/>
    <w:rsid w:val="1EAE7EAF"/>
    <w:rsid w:val="1EBC53DD"/>
    <w:rsid w:val="1EE76019"/>
    <w:rsid w:val="1EF700B0"/>
    <w:rsid w:val="1F110941"/>
    <w:rsid w:val="1F3559A5"/>
    <w:rsid w:val="1F380699"/>
    <w:rsid w:val="1F4D44D0"/>
    <w:rsid w:val="1F7B0734"/>
    <w:rsid w:val="1F7D6738"/>
    <w:rsid w:val="1F7F0158"/>
    <w:rsid w:val="1FB65DB1"/>
    <w:rsid w:val="1FCF6E11"/>
    <w:rsid w:val="1FD0767A"/>
    <w:rsid w:val="1FDFDDAB"/>
    <w:rsid w:val="1FE545C7"/>
    <w:rsid w:val="1FEA5A5B"/>
    <w:rsid w:val="2009500C"/>
    <w:rsid w:val="200E320D"/>
    <w:rsid w:val="20182D94"/>
    <w:rsid w:val="20215F61"/>
    <w:rsid w:val="207B2B57"/>
    <w:rsid w:val="20C11593"/>
    <w:rsid w:val="20D6050C"/>
    <w:rsid w:val="20F02553"/>
    <w:rsid w:val="21101DBD"/>
    <w:rsid w:val="213E0014"/>
    <w:rsid w:val="21511635"/>
    <w:rsid w:val="215C4736"/>
    <w:rsid w:val="217A6FDE"/>
    <w:rsid w:val="21845A40"/>
    <w:rsid w:val="219D5341"/>
    <w:rsid w:val="21A90873"/>
    <w:rsid w:val="21AE2AB8"/>
    <w:rsid w:val="21D50045"/>
    <w:rsid w:val="21D728F2"/>
    <w:rsid w:val="21E464DA"/>
    <w:rsid w:val="21ED1B0E"/>
    <w:rsid w:val="21F66E25"/>
    <w:rsid w:val="21FF35D2"/>
    <w:rsid w:val="22255B88"/>
    <w:rsid w:val="222A38D4"/>
    <w:rsid w:val="22366A73"/>
    <w:rsid w:val="223C4859"/>
    <w:rsid w:val="224551CB"/>
    <w:rsid w:val="22625D7D"/>
    <w:rsid w:val="226A4C31"/>
    <w:rsid w:val="226E456E"/>
    <w:rsid w:val="22812BD0"/>
    <w:rsid w:val="228E431C"/>
    <w:rsid w:val="229324FC"/>
    <w:rsid w:val="22993768"/>
    <w:rsid w:val="22A51A4C"/>
    <w:rsid w:val="22AA335D"/>
    <w:rsid w:val="22CA6D58"/>
    <w:rsid w:val="22D700DE"/>
    <w:rsid w:val="22F15352"/>
    <w:rsid w:val="230E1A60"/>
    <w:rsid w:val="23152DEF"/>
    <w:rsid w:val="233139A1"/>
    <w:rsid w:val="233314C7"/>
    <w:rsid w:val="233901C8"/>
    <w:rsid w:val="23443230"/>
    <w:rsid w:val="234A3786"/>
    <w:rsid w:val="23690525"/>
    <w:rsid w:val="236B14D7"/>
    <w:rsid w:val="237C19F5"/>
    <w:rsid w:val="239C4255"/>
    <w:rsid w:val="239E00B4"/>
    <w:rsid w:val="23A5560C"/>
    <w:rsid w:val="23A55C08"/>
    <w:rsid w:val="23A831CE"/>
    <w:rsid w:val="23E34C9B"/>
    <w:rsid w:val="23FE1AD5"/>
    <w:rsid w:val="24030E99"/>
    <w:rsid w:val="240370EB"/>
    <w:rsid w:val="2407259B"/>
    <w:rsid w:val="242017B5"/>
    <w:rsid w:val="242552B4"/>
    <w:rsid w:val="2426102C"/>
    <w:rsid w:val="24417C14"/>
    <w:rsid w:val="24495E31"/>
    <w:rsid w:val="24542EE9"/>
    <w:rsid w:val="245F009A"/>
    <w:rsid w:val="245F0529"/>
    <w:rsid w:val="246200F0"/>
    <w:rsid w:val="24877939"/>
    <w:rsid w:val="248D53F4"/>
    <w:rsid w:val="24A60F1C"/>
    <w:rsid w:val="24B108F5"/>
    <w:rsid w:val="24C525F3"/>
    <w:rsid w:val="24E61978"/>
    <w:rsid w:val="251102A8"/>
    <w:rsid w:val="251E74A4"/>
    <w:rsid w:val="25293C82"/>
    <w:rsid w:val="25317414"/>
    <w:rsid w:val="25643F3A"/>
    <w:rsid w:val="25714A8E"/>
    <w:rsid w:val="25875AFA"/>
    <w:rsid w:val="25CB59E7"/>
    <w:rsid w:val="25CD79B1"/>
    <w:rsid w:val="25E7285E"/>
    <w:rsid w:val="261212B5"/>
    <w:rsid w:val="261D0995"/>
    <w:rsid w:val="264E6CBF"/>
    <w:rsid w:val="26602CD7"/>
    <w:rsid w:val="266B0F78"/>
    <w:rsid w:val="266B40C6"/>
    <w:rsid w:val="2698080A"/>
    <w:rsid w:val="26AF0A66"/>
    <w:rsid w:val="26B7240F"/>
    <w:rsid w:val="26DD630E"/>
    <w:rsid w:val="26E15312"/>
    <w:rsid w:val="27121923"/>
    <w:rsid w:val="271433BD"/>
    <w:rsid w:val="27181663"/>
    <w:rsid w:val="2753038A"/>
    <w:rsid w:val="27843CE5"/>
    <w:rsid w:val="27AB594A"/>
    <w:rsid w:val="27E17743"/>
    <w:rsid w:val="28285372"/>
    <w:rsid w:val="283C701A"/>
    <w:rsid w:val="285B3086"/>
    <w:rsid w:val="288C300F"/>
    <w:rsid w:val="28940C5A"/>
    <w:rsid w:val="289C41D2"/>
    <w:rsid w:val="289F1583"/>
    <w:rsid w:val="28B430AA"/>
    <w:rsid w:val="28BA5D6D"/>
    <w:rsid w:val="28BC68FE"/>
    <w:rsid w:val="28CA642A"/>
    <w:rsid w:val="28F94262"/>
    <w:rsid w:val="29057462"/>
    <w:rsid w:val="29225B27"/>
    <w:rsid w:val="292A511A"/>
    <w:rsid w:val="292B30F5"/>
    <w:rsid w:val="29592D34"/>
    <w:rsid w:val="29634188"/>
    <w:rsid w:val="2981618A"/>
    <w:rsid w:val="299F78B6"/>
    <w:rsid w:val="29A66742"/>
    <w:rsid w:val="29B36EBE"/>
    <w:rsid w:val="29B9024C"/>
    <w:rsid w:val="29C12A82"/>
    <w:rsid w:val="29CB06AB"/>
    <w:rsid w:val="2A0E2666"/>
    <w:rsid w:val="2A297180"/>
    <w:rsid w:val="2A62494D"/>
    <w:rsid w:val="2A81513F"/>
    <w:rsid w:val="2A954815"/>
    <w:rsid w:val="2A962EE4"/>
    <w:rsid w:val="2ABF02CA"/>
    <w:rsid w:val="2ABF69A9"/>
    <w:rsid w:val="2ADE61BC"/>
    <w:rsid w:val="2AF541B4"/>
    <w:rsid w:val="2B28350A"/>
    <w:rsid w:val="2B34402E"/>
    <w:rsid w:val="2B453F3B"/>
    <w:rsid w:val="2B4A0283"/>
    <w:rsid w:val="2B692F1D"/>
    <w:rsid w:val="2B7B1C5D"/>
    <w:rsid w:val="2B824D9A"/>
    <w:rsid w:val="2B8E608D"/>
    <w:rsid w:val="2BC37160"/>
    <w:rsid w:val="2BFADCB9"/>
    <w:rsid w:val="2BFD7524"/>
    <w:rsid w:val="2C0A6E74"/>
    <w:rsid w:val="2C1F6A8C"/>
    <w:rsid w:val="2C277DD3"/>
    <w:rsid w:val="2C2D3DC6"/>
    <w:rsid w:val="2C5823E7"/>
    <w:rsid w:val="2C995EBB"/>
    <w:rsid w:val="2CA3656E"/>
    <w:rsid w:val="2CAD4D88"/>
    <w:rsid w:val="2CBA4974"/>
    <w:rsid w:val="2CBA6F57"/>
    <w:rsid w:val="2CFC5020"/>
    <w:rsid w:val="2D2F7B08"/>
    <w:rsid w:val="2D4F33A1"/>
    <w:rsid w:val="2D667522"/>
    <w:rsid w:val="2D6A3D37"/>
    <w:rsid w:val="2D7FE467"/>
    <w:rsid w:val="2D950CC0"/>
    <w:rsid w:val="2D9F2ED3"/>
    <w:rsid w:val="2DC0075F"/>
    <w:rsid w:val="2DD815E9"/>
    <w:rsid w:val="2DE24E81"/>
    <w:rsid w:val="2E0015D5"/>
    <w:rsid w:val="2E0A2E34"/>
    <w:rsid w:val="2E3D144C"/>
    <w:rsid w:val="2E410EA0"/>
    <w:rsid w:val="2E496043"/>
    <w:rsid w:val="2E692241"/>
    <w:rsid w:val="2E872667"/>
    <w:rsid w:val="2EB9568B"/>
    <w:rsid w:val="2EE061AF"/>
    <w:rsid w:val="2EF70DAF"/>
    <w:rsid w:val="2F132E58"/>
    <w:rsid w:val="2F236894"/>
    <w:rsid w:val="2F2B74F6"/>
    <w:rsid w:val="2F3F7751"/>
    <w:rsid w:val="2F520F27"/>
    <w:rsid w:val="2F5B70A6"/>
    <w:rsid w:val="2F6D7B0F"/>
    <w:rsid w:val="2F6F27F3"/>
    <w:rsid w:val="2F750763"/>
    <w:rsid w:val="2F775D48"/>
    <w:rsid w:val="2F9B65E1"/>
    <w:rsid w:val="2FB7522E"/>
    <w:rsid w:val="300C7F94"/>
    <w:rsid w:val="3086532C"/>
    <w:rsid w:val="30874C2B"/>
    <w:rsid w:val="308B46F0"/>
    <w:rsid w:val="30AC28B9"/>
    <w:rsid w:val="30C145B6"/>
    <w:rsid w:val="30EA57CD"/>
    <w:rsid w:val="30EF17DD"/>
    <w:rsid w:val="30F9554F"/>
    <w:rsid w:val="31085D41"/>
    <w:rsid w:val="31145F46"/>
    <w:rsid w:val="311B7062"/>
    <w:rsid w:val="311F752F"/>
    <w:rsid w:val="31554CFE"/>
    <w:rsid w:val="317E4255"/>
    <w:rsid w:val="31AF2660"/>
    <w:rsid w:val="31C5389B"/>
    <w:rsid w:val="31D85B2E"/>
    <w:rsid w:val="31DD7679"/>
    <w:rsid w:val="31DE18A0"/>
    <w:rsid w:val="32052280"/>
    <w:rsid w:val="32373E0B"/>
    <w:rsid w:val="325B0109"/>
    <w:rsid w:val="326C67A3"/>
    <w:rsid w:val="327B2543"/>
    <w:rsid w:val="32821347"/>
    <w:rsid w:val="32853FF4"/>
    <w:rsid w:val="32B35100"/>
    <w:rsid w:val="32BC3287"/>
    <w:rsid w:val="32CB171C"/>
    <w:rsid w:val="32D2791E"/>
    <w:rsid w:val="32D412CC"/>
    <w:rsid w:val="32DF3919"/>
    <w:rsid w:val="32E14934"/>
    <w:rsid w:val="32EB653A"/>
    <w:rsid w:val="32F80037"/>
    <w:rsid w:val="32FF4F22"/>
    <w:rsid w:val="332901F1"/>
    <w:rsid w:val="333C43C8"/>
    <w:rsid w:val="335E0716"/>
    <w:rsid w:val="336B6A5B"/>
    <w:rsid w:val="338342F2"/>
    <w:rsid w:val="33961874"/>
    <w:rsid w:val="33995376"/>
    <w:rsid w:val="33A04957"/>
    <w:rsid w:val="33B74740"/>
    <w:rsid w:val="33C06DA7"/>
    <w:rsid w:val="33EA5BD2"/>
    <w:rsid w:val="33FF0DD9"/>
    <w:rsid w:val="340F6D76"/>
    <w:rsid w:val="341E587B"/>
    <w:rsid w:val="34237336"/>
    <w:rsid w:val="34476B80"/>
    <w:rsid w:val="344828F8"/>
    <w:rsid w:val="34577031"/>
    <w:rsid w:val="34B61786"/>
    <w:rsid w:val="34C71782"/>
    <w:rsid w:val="34E90571"/>
    <w:rsid w:val="34ED71D7"/>
    <w:rsid w:val="34EF6AC7"/>
    <w:rsid w:val="35213875"/>
    <w:rsid w:val="354B7C37"/>
    <w:rsid w:val="35505F08"/>
    <w:rsid w:val="35636615"/>
    <w:rsid w:val="358B6F41"/>
    <w:rsid w:val="35A16764"/>
    <w:rsid w:val="35B93AAE"/>
    <w:rsid w:val="35CB37E1"/>
    <w:rsid w:val="35E14DB3"/>
    <w:rsid w:val="35F72C0B"/>
    <w:rsid w:val="361D136D"/>
    <w:rsid w:val="36417B60"/>
    <w:rsid w:val="364C4922"/>
    <w:rsid w:val="365B1A8E"/>
    <w:rsid w:val="3661563C"/>
    <w:rsid w:val="366B0C3F"/>
    <w:rsid w:val="367774C5"/>
    <w:rsid w:val="369A12A2"/>
    <w:rsid w:val="36BD4910"/>
    <w:rsid w:val="36C70AED"/>
    <w:rsid w:val="36CF09C1"/>
    <w:rsid w:val="36F06FCE"/>
    <w:rsid w:val="36F525A3"/>
    <w:rsid w:val="36F6663C"/>
    <w:rsid w:val="370E607B"/>
    <w:rsid w:val="371457BC"/>
    <w:rsid w:val="371664A9"/>
    <w:rsid w:val="378B76CC"/>
    <w:rsid w:val="37934AA4"/>
    <w:rsid w:val="379540A7"/>
    <w:rsid w:val="3799206B"/>
    <w:rsid w:val="37A158C5"/>
    <w:rsid w:val="37C231F5"/>
    <w:rsid w:val="37C42276"/>
    <w:rsid w:val="37C65590"/>
    <w:rsid w:val="37C672AE"/>
    <w:rsid w:val="37C8447C"/>
    <w:rsid w:val="38190834"/>
    <w:rsid w:val="383218F5"/>
    <w:rsid w:val="38324450"/>
    <w:rsid w:val="38533BE7"/>
    <w:rsid w:val="386153F3"/>
    <w:rsid w:val="389D76B7"/>
    <w:rsid w:val="389E2FF7"/>
    <w:rsid w:val="38CD7870"/>
    <w:rsid w:val="38E66C78"/>
    <w:rsid w:val="38F14160"/>
    <w:rsid w:val="38F71331"/>
    <w:rsid w:val="3916064A"/>
    <w:rsid w:val="39292CF8"/>
    <w:rsid w:val="392C608A"/>
    <w:rsid w:val="393D31F5"/>
    <w:rsid w:val="39406294"/>
    <w:rsid w:val="39535ED5"/>
    <w:rsid w:val="396673A2"/>
    <w:rsid w:val="396C07FD"/>
    <w:rsid w:val="39810D86"/>
    <w:rsid w:val="3984090B"/>
    <w:rsid w:val="3999711F"/>
    <w:rsid w:val="399A202A"/>
    <w:rsid w:val="39A405D1"/>
    <w:rsid w:val="39A46823"/>
    <w:rsid w:val="39AB195F"/>
    <w:rsid w:val="39C013F2"/>
    <w:rsid w:val="39D5463A"/>
    <w:rsid w:val="3A2D4A6A"/>
    <w:rsid w:val="3A3000B7"/>
    <w:rsid w:val="3A3976EF"/>
    <w:rsid w:val="3A3A0F35"/>
    <w:rsid w:val="3A441784"/>
    <w:rsid w:val="3A4F0AA8"/>
    <w:rsid w:val="3A530F94"/>
    <w:rsid w:val="3A685AA2"/>
    <w:rsid w:val="3A836438"/>
    <w:rsid w:val="3A904CEE"/>
    <w:rsid w:val="3A9B5E78"/>
    <w:rsid w:val="3AAA7E69"/>
    <w:rsid w:val="3AB64A60"/>
    <w:rsid w:val="3ABA4CE5"/>
    <w:rsid w:val="3AF64E5C"/>
    <w:rsid w:val="3B2D0303"/>
    <w:rsid w:val="3B412456"/>
    <w:rsid w:val="3B4756B8"/>
    <w:rsid w:val="3B74765B"/>
    <w:rsid w:val="3B8E0EC9"/>
    <w:rsid w:val="3B954421"/>
    <w:rsid w:val="3B960CE7"/>
    <w:rsid w:val="3B9F72C7"/>
    <w:rsid w:val="3BCB6780"/>
    <w:rsid w:val="3BD24DB6"/>
    <w:rsid w:val="3BFB0E0F"/>
    <w:rsid w:val="3C37566C"/>
    <w:rsid w:val="3C3814A4"/>
    <w:rsid w:val="3C41590A"/>
    <w:rsid w:val="3C487334"/>
    <w:rsid w:val="3C4A1903"/>
    <w:rsid w:val="3CBC20D5"/>
    <w:rsid w:val="3CEA0BE7"/>
    <w:rsid w:val="3CF96E86"/>
    <w:rsid w:val="3D287BE4"/>
    <w:rsid w:val="3D4E71D1"/>
    <w:rsid w:val="3D6C064D"/>
    <w:rsid w:val="3D740ECE"/>
    <w:rsid w:val="3DC967B6"/>
    <w:rsid w:val="3DDA0A65"/>
    <w:rsid w:val="3DDF4DA9"/>
    <w:rsid w:val="3DE35273"/>
    <w:rsid w:val="3DE73182"/>
    <w:rsid w:val="3DF37D79"/>
    <w:rsid w:val="3DF53AF1"/>
    <w:rsid w:val="3E073E62"/>
    <w:rsid w:val="3E0C36FF"/>
    <w:rsid w:val="3E395A82"/>
    <w:rsid w:val="3E580B6D"/>
    <w:rsid w:val="3E856862"/>
    <w:rsid w:val="3EE21011"/>
    <w:rsid w:val="3EE77DEF"/>
    <w:rsid w:val="3EEE08EC"/>
    <w:rsid w:val="3F033FEC"/>
    <w:rsid w:val="3F1E6F74"/>
    <w:rsid w:val="3F246AA4"/>
    <w:rsid w:val="3F3B5533"/>
    <w:rsid w:val="3F564502"/>
    <w:rsid w:val="3F7A6496"/>
    <w:rsid w:val="3F7CE229"/>
    <w:rsid w:val="3F80563C"/>
    <w:rsid w:val="3F8057F3"/>
    <w:rsid w:val="3FA02D6D"/>
    <w:rsid w:val="3FD71912"/>
    <w:rsid w:val="3FE71217"/>
    <w:rsid w:val="3FF5F3AE"/>
    <w:rsid w:val="400E78E4"/>
    <w:rsid w:val="40342703"/>
    <w:rsid w:val="40454D22"/>
    <w:rsid w:val="40596D74"/>
    <w:rsid w:val="408757F8"/>
    <w:rsid w:val="40896772"/>
    <w:rsid w:val="40A47108"/>
    <w:rsid w:val="40D07CF9"/>
    <w:rsid w:val="40E1210B"/>
    <w:rsid w:val="412220AB"/>
    <w:rsid w:val="413B7A6D"/>
    <w:rsid w:val="41511340"/>
    <w:rsid w:val="41676AB4"/>
    <w:rsid w:val="417B430D"/>
    <w:rsid w:val="41894C7C"/>
    <w:rsid w:val="41D17FFB"/>
    <w:rsid w:val="421E43D8"/>
    <w:rsid w:val="422D29E1"/>
    <w:rsid w:val="422D51C4"/>
    <w:rsid w:val="423347DF"/>
    <w:rsid w:val="424E1A22"/>
    <w:rsid w:val="425A37A9"/>
    <w:rsid w:val="425C32D7"/>
    <w:rsid w:val="4292190E"/>
    <w:rsid w:val="42996041"/>
    <w:rsid w:val="42A41363"/>
    <w:rsid w:val="42CD0A98"/>
    <w:rsid w:val="43114D98"/>
    <w:rsid w:val="431919F6"/>
    <w:rsid w:val="431A0C09"/>
    <w:rsid w:val="432A6298"/>
    <w:rsid w:val="43396F62"/>
    <w:rsid w:val="433F3268"/>
    <w:rsid w:val="43655275"/>
    <w:rsid w:val="43761230"/>
    <w:rsid w:val="439E68BC"/>
    <w:rsid w:val="43A01E09"/>
    <w:rsid w:val="43B43B06"/>
    <w:rsid w:val="43E3619A"/>
    <w:rsid w:val="43F565F9"/>
    <w:rsid w:val="441D5B50"/>
    <w:rsid w:val="44202F4A"/>
    <w:rsid w:val="442A5F52"/>
    <w:rsid w:val="443C4BBE"/>
    <w:rsid w:val="443F0E75"/>
    <w:rsid w:val="444A7E99"/>
    <w:rsid w:val="445F3A72"/>
    <w:rsid w:val="44676DCB"/>
    <w:rsid w:val="44827761"/>
    <w:rsid w:val="44C1472D"/>
    <w:rsid w:val="44C24FBF"/>
    <w:rsid w:val="44CD6789"/>
    <w:rsid w:val="44DC1D2B"/>
    <w:rsid w:val="4501596A"/>
    <w:rsid w:val="45062140"/>
    <w:rsid w:val="45350C77"/>
    <w:rsid w:val="455E7EB3"/>
    <w:rsid w:val="45617CBE"/>
    <w:rsid w:val="45683288"/>
    <w:rsid w:val="457C4AF8"/>
    <w:rsid w:val="45B1654F"/>
    <w:rsid w:val="45CE6E03"/>
    <w:rsid w:val="45DA6CB3"/>
    <w:rsid w:val="45DB23C4"/>
    <w:rsid w:val="45E32481"/>
    <w:rsid w:val="45EE1552"/>
    <w:rsid w:val="46113492"/>
    <w:rsid w:val="46156E4C"/>
    <w:rsid w:val="462712BE"/>
    <w:rsid w:val="46276BFB"/>
    <w:rsid w:val="464B69A4"/>
    <w:rsid w:val="465C26AB"/>
    <w:rsid w:val="466F06DD"/>
    <w:rsid w:val="468724BB"/>
    <w:rsid w:val="46B300A5"/>
    <w:rsid w:val="46BA7569"/>
    <w:rsid w:val="46DC4EE9"/>
    <w:rsid w:val="473311E6"/>
    <w:rsid w:val="4746716B"/>
    <w:rsid w:val="47505984"/>
    <w:rsid w:val="475B67A8"/>
    <w:rsid w:val="475B7D47"/>
    <w:rsid w:val="475F1FDB"/>
    <w:rsid w:val="479B6932"/>
    <w:rsid w:val="479C0CF5"/>
    <w:rsid w:val="47AA76FA"/>
    <w:rsid w:val="47B02837"/>
    <w:rsid w:val="47B24109"/>
    <w:rsid w:val="47E86474"/>
    <w:rsid w:val="47EF5FE0"/>
    <w:rsid w:val="47F266B7"/>
    <w:rsid w:val="480E2158"/>
    <w:rsid w:val="4832149E"/>
    <w:rsid w:val="4842620E"/>
    <w:rsid w:val="48482A6F"/>
    <w:rsid w:val="4857617F"/>
    <w:rsid w:val="487877F8"/>
    <w:rsid w:val="48A759E8"/>
    <w:rsid w:val="48B81274"/>
    <w:rsid w:val="48DA5DBD"/>
    <w:rsid w:val="48DC7D87"/>
    <w:rsid w:val="48E24C72"/>
    <w:rsid w:val="48FF1FDA"/>
    <w:rsid w:val="490270C2"/>
    <w:rsid w:val="49360002"/>
    <w:rsid w:val="49366702"/>
    <w:rsid w:val="494C37F2"/>
    <w:rsid w:val="495864E3"/>
    <w:rsid w:val="49734ABC"/>
    <w:rsid w:val="49843F7B"/>
    <w:rsid w:val="499917D4"/>
    <w:rsid w:val="49A40839"/>
    <w:rsid w:val="49B36F1F"/>
    <w:rsid w:val="49EF5898"/>
    <w:rsid w:val="4A040186"/>
    <w:rsid w:val="4A0D5D1E"/>
    <w:rsid w:val="4A111112"/>
    <w:rsid w:val="4A1B66A9"/>
    <w:rsid w:val="4A1D5EE3"/>
    <w:rsid w:val="4A3C5167"/>
    <w:rsid w:val="4A93131D"/>
    <w:rsid w:val="4A934476"/>
    <w:rsid w:val="4A9E34CE"/>
    <w:rsid w:val="4ABD5821"/>
    <w:rsid w:val="4B534EF1"/>
    <w:rsid w:val="4B65373A"/>
    <w:rsid w:val="4B683B54"/>
    <w:rsid w:val="4B751C89"/>
    <w:rsid w:val="4B991333"/>
    <w:rsid w:val="4B9A7A86"/>
    <w:rsid w:val="4BBA0128"/>
    <w:rsid w:val="4BC90A28"/>
    <w:rsid w:val="4BD034A7"/>
    <w:rsid w:val="4BDC6101"/>
    <w:rsid w:val="4BFB49C8"/>
    <w:rsid w:val="4C013661"/>
    <w:rsid w:val="4C15535E"/>
    <w:rsid w:val="4C196BFC"/>
    <w:rsid w:val="4C1F341F"/>
    <w:rsid w:val="4C2A705C"/>
    <w:rsid w:val="4C4334E7"/>
    <w:rsid w:val="4C4B4F7A"/>
    <w:rsid w:val="4C7402D7"/>
    <w:rsid w:val="4C9D1283"/>
    <w:rsid w:val="4CA23096"/>
    <w:rsid w:val="4CB117D3"/>
    <w:rsid w:val="4CBD1C7E"/>
    <w:rsid w:val="4CEE1C41"/>
    <w:rsid w:val="4D00163A"/>
    <w:rsid w:val="4D1D57DA"/>
    <w:rsid w:val="4D3F5702"/>
    <w:rsid w:val="4D454A63"/>
    <w:rsid w:val="4D52686A"/>
    <w:rsid w:val="4D5D0D6B"/>
    <w:rsid w:val="4D654D87"/>
    <w:rsid w:val="4D73431C"/>
    <w:rsid w:val="4D774C1C"/>
    <w:rsid w:val="4DE82745"/>
    <w:rsid w:val="4DED20EF"/>
    <w:rsid w:val="4DEF40B9"/>
    <w:rsid w:val="4E227B86"/>
    <w:rsid w:val="4E2B70BB"/>
    <w:rsid w:val="4E393D6F"/>
    <w:rsid w:val="4E683E6B"/>
    <w:rsid w:val="4E7C16C5"/>
    <w:rsid w:val="4E837BBD"/>
    <w:rsid w:val="4E9426F6"/>
    <w:rsid w:val="4EAC1FAA"/>
    <w:rsid w:val="4EB51578"/>
    <w:rsid w:val="4EF179BD"/>
    <w:rsid w:val="4EFC670B"/>
    <w:rsid w:val="4F0A3460"/>
    <w:rsid w:val="4F0F5BE3"/>
    <w:rsid w:val="4F1D07B2"/>
    <w:rsid w:val="4F2C4E99"/>
    <w:rsid w:val="4F493FA8"/>
    <w:rsid w:val="4F4E3061"/>
    <w:rsid w:val="4F59359D"/>
    <w:rsid w:val="4FC82698"/>
    <w:rsid w:val="4FCB46B2"/>
    <w:rsid w:val="4FCC3A0F"/>
    <w:rsid w:val="500E27F0"/>
    <w:rsid w:val="500F1732"/>
    <w:rsid w:val="50131920"/>
    <w:rsid w:val="502364EA"/>
    <w:rsid w:val="5038731D"/>
    <w:rsid w:val="50526B81"/>
    <w:rsid w:val="508A163B"/>
    <w:rsid w:val="50A218B6"/>
    <w:rsid w:val="50BD0C0D"/>
    <w:rsid w:val="50BE7D72"/>
    <w:rsid w:val="50BF175C"/>
    <w:rsid w:val="50C94AF3"/>
    <w:rsid w:val="50D2363D"/>
    <w:rsid w:val="50F6378F"/>
    <w:rsid w:val="51133A3E"/>
    <w:rsid w:val="51497F84"/>
    <w:rsid w:val="5153495F"/>
    <w:rsid w:val="516445D3"/>
    <w:rsid w:val="5167040A"/>
    <w:rsid w:val="516E19CC"/>
    <w:rsid w:val="518C1C1F"/>
    <w:rsid w:val="518D4DED"/>
    <w:rsid w:val="518E2DCE"/>
    <w:rsid w:val="519136D9"/>
    <w:rsid w:val="51A11B6E"/>
    <w:rsid w:val="51B80C66"/>
    <w:rsid w:val="51DF61F2"/>
    <w:rsid w:val="51EC090F"/>
    <w:rsid w:val="520B6FE7"/>
    <w:rsid w:val="521A36CE"/>
    <w:rsid w:val="521C4353"/>
    <w:rsid w:val="521F2A93"/>
    <w:rsid w:val="5228125F"/>
    <w:rsid w:val="522D51B0"/>
    <w:rsid w:val="522E2CD6"/>
    <w:rsid w:val="523A1E0B"/>
    <w:rsid w:val="52422029"/>
    <w:rsid w:val="524D5EDE"/>
    <w:rsid w:val="525D7A3E"/>
    <w:rsid w:val="52614E59"/>
    <w:rsid w:val="52654E55"/>
    <w:rsid w:val="5270724A"/>
    <w:rsid w:val="527A54DA"/>
    <w:rsid w:val="52A364C1"/>
    <w:rsid w:val="52B11877"/>
    <w:rsid w:val="52B34AF4"/>
    <w:rsid w:val="52D25D57"/>
    <w:rsid w:val="52E1146C"/>
    <w:rsid w:val="52F15371"/>
    <w:rsid w:val="52F637B0"/>
    <w:rsid w:val="52FE6B4C"/>
    <w:rsid w:val="530D788A"/>
    <w:rsid w:val="53114AD1"/>
    <w:rsid w:val="53654E1D"/>
    <w:rsid w:val="537137C2"/>
    <w:rsid w:val="537B40B5"/>
    <w:rsid w:val="539A6875"/>
    <w:rsid w:val="53A94D0A"/>
    <w:rsid w:val="53CE651E"/>
    <w:rsid w:val="541A79B6"/>
    <w:rsid w:val="54224ABC"/>
    <w:rsid w:val="542919A7"/>
    <w:rsid w:val="542C6358"/>
    <w:rsid w:val="54330A77"/>
    <w:rsid w:val="5463684B"/>
    <w:rsid w:val="546B6B6C"/>
    <w:rsid w:val="548E377E"/>
    <w:rsid w:val="549A2763"/>
    <w:rsid w:val="54B73456"/>
    <w:rsid w:val="55040901"/>
    <w:rsid w:val="55200FFC"/>
    <w:rsid w:val="553C21CE"/>
    <w:rsid w:val="554A6079"/>
    <w:rsid w:val="554B7F49"/>
    <w:rsid w:val="55644F0E"/>
    <w:rsid w:val="556E620B"/>
    <w:rsid w:val="55BD684B"/>
    <w:rsid w:val="55DC6688"/>
    <w:rsid w:val="55E27F0D"/>
    <w:rsid w:val="55F74CE4"/>
    <w:rsid w:val="560C06D7"/>
    <w:rsid w:val="561143A3"/>
    <w:rsid w:val="565A53AF"/>
    <w:rsid w:val="567C7F5C"/>
    <w:rsid w:val="56B934B6"/>
    <w:rsid w:val="56DE115A"/>
    <w:rsid w:val="56DF05DE"/>
    <w:rsid w:val="56F02255"/>
    <w:rsid w:val="57120E18"/>
    <w:rsid w:val="578E53C2"/>
    <w:rsid w:val="57976104"/>
    <w:rsid w:val="579F0B0E"/>
    <w:rsid w:val="57A87E83"/>
    <w:rsid w:val="57C742E9"/>
    <w:rsid w:val="57DB56AE"/>
    <w:rsid w:val="57F528D4"/>
    <w:rsid w:val="57FC6189"/>
    <w:rsid w:val="58022C3B"/>
    <w:rsid w:val="58032115"/>
    <w:rsid w:val="580A2134"/>
    <w:rsid w:val="58583495"/>
    <w:rsid w:val="58694855"/>
    <w:rsid w:val="586F5E2C"/>
    <w:rsid w:val="5888797A"/>
    <w:rsid w:val="589C6BEB"/>
    <w:rsid w:val="58A837E2"/>
    <w:rsid w:val="58D232E3"/>
    <w:rsid w:val="58E61836"/>
    <w:rsid w:val="591470C9"/>
    <w:rsid w:val="59150EB4"/>
    <w:rsid w:val="591E5F47"/>
    <w:rsid w:val="59644DA8"/>
    <w:rsid w:val="59B55FA7"/>
    <w:rsid w:val="59E56370"/>
    <w:rsid w:val="59FB5B93"/>
    <w:rsid w:val="5A003F4A"/>
    <w:rsid w:val="5A3572F7"/>
    <w:rsid w:val="5A360113"/>
    <w:rsid w:val="5A3A7F15"/>
    <w:rsid w:val="5AAB6954"/>
    <w:rsid w:val="5AB67D0C"/>
    <w:rsid w:val="5AC02F2C"/>
    <w:rsid w:val="5AF727FF"/>
    <w:rsid w:val="5B285A20"/>
    <w:rsid w:val="5B392E17"/>
    <w:rsid w:val="5B962018"/>
    <w:rsid w:val="5B965349"/>
    <w:rsid w:val="5BEB27EC"/>
    <w:rsid w:val="5C143633"/>
    <w:rsid w:val="5C3447B1"/>
    <w:rsid w:val="5C4A6129"/>
    <w:rsid w:val="5C4B5038"/>
    <w:rsid w:val="5C517AE3"/>
    <w:rsid w:val="5C574E90"/>
    <w:rsid w:val="5C6C116D"/>
    <w:rsid w:val="5C7F7682"/>
    <w:rsid w:val="5CA249EC"/>
    <w:rsid w:val="5CAC7095"/>
    <w:rsid w:val="5D057E4B"/>
    <w:rsid w:val="5D2B100D"/>
    <w:rsid w:val="5D3A5C33"/>
    <w:rsid w:val="5D4F36C9"/>
    <w:rsid w:val="5D7161CA"/>
    <w:rsid w:val="5D7C690B"/>
    <w:rsid w:val="5D883BE2"/>
    <w:rsid w:val="5D916BB6"/>
    <w:rsid w:val="5D9E3405"/>
    <w:rsid w:val="5DB20402"/>
    <w:rsid w:val="5E36363E"/>
    <w:rsid w:val="5E3932BB"/>
    <w:rsid w:val="5E446B26"/>
    <w:rsid w:val="5EBD1F42"/>
    <w:rsid w:val="5EE96902"/>
    <w:rsid w:val="5EED5F2A"/>
    <w:rsid w:val="5F073306"/>
    <w:rsid w:val="5F2931A3"/>
    <w:rsid w:val="5F4D6E91"/>
    <w:rsid w:val="5F585836"/>
    <w:rsid w:val="5F5A7800"/>
    <w:rsid w:val="5F5F73B9"/>
    <w:rsid w:val="5F9C022B"/>
    <w:rsid w:val="5FBE7D28"/>
    <w:rsid w:val="5FF4702D"/>
    <w:rsid w:val="5FFB05C6"/>
    <w:rsid w:val="60255718"/>
    <w:rsid w:val="604F07E6"/>
    <w:rsid w:val="60545ED4"/>
    <w:rsid w:val="60605B22"/>
    <w:rsid w:val="607059E6"/>
    <w:rsid w:val="60771CEC"/>
    <w:rsid w:val="609570E0"/>
    <w:rsid w:val="60AE14F9"/>
    <w:rsid w:val="60AF592A"/>
    <w:rsid w:val="60DD3A26"/>
    <w:rsid w:val="60E45481"/>
    <w:rsid w:val="60F73E24"/>
    <w:rsid w:val="61333AEB"/>
    <w:rsid w:val="61477910"/>
    <w:rsid w:val="615362B5"/>
    <w:rsid w:val="618446C0"/>
    <w:rsid w:val="618942FF"/>
    <w:rsid w:val="61970898"/>
    <w:rsid w:val="619F599E"/>
    <w:rsid w:val="61C84EF5"/>
    <w:rsid w:val="61D96496"/>
    <w:rsid w:val="61DD7394"/>
    <w:rsid w:val="61DE0341"/>
    <w:rsid w:val="61E005F9"/>
    <w:rsid w:val="623106B3"/>
    <w:rsid w:val="62316D43"/>
    <w:rsid w:val="623B047D"/>
    <w:rsid w:val="6243457B"/>
    <w:rsid w:val="624C1682"/>
    <w:rsid w:val="62582E89"/>
    <w:rsid w:val="627F5A8E"/>
    <w:rsid w:val="62961E66"/>
    <w:rsid w:val="62A0377C"/>
    <w:rsid w:val="62E44E44"/>
    <w:rsid w:val="62FB1DBD"/>
    <w:rsid w:val="63163E01"/>
    <w:rsid w:val="632A79A6"/>
    <w:rsid w:val="63305FF0"/>
    <w:rsid w:val="633B5253"/>
    <w:rsid w:val="636B5B38"/>
    <w:rsid w:val="63987C9A"/>
    <w:rsid w:val="63A661D8"/>
    <w:rsid w:val="63C81B5F"/>
    <w:rsid w:val="63CB4828"/>
    <w:rsid w:val="63DF02D4"/>
    <w:rsid w:val="641E0DFC"/>
    <w:rsid w:val="641E2BAA"/>
    <w:rsid w:val="64395C36"/>
    <w:rsid w:val="644D348F"/>
    <w:rsid w:val="64553DC8"/>
    <w:rsid w:val="647C6852"/>
    <w:rsid w:val="64813D24"/>
    <w:rsid w:val="649C13BB"/>
    <w:rsid w:val="64A05CB5"/>
    <w:rsid w:val="64C00105"/>
    <w:rsid w:val="64D20C1E"/>
    <w:rsid w:val="651E4E2C"/>
    <w:rsid w:val="65222B6E"/>
    <w:rsid w:val="652D3B62"/>
    <w:rsid w:val="65313C4D"/>
    <w:rsid w:val="654E765C"/>
    <w:rsid w:val="65884D99"/>
    <w:rsid w:val="65A36D1C"/>
    <w:rsid w:val="65A96DEB"/>
    <w:rsid w:val="65D452F1"/>
    <w:rsid w:val="65F242EE"/>
    <w:rsid w:val="65F535A8"/>
    <w:rsid w:val="65FD2C93"/>
    <w:rsid w:val="66206069"/>
    <w:rsid w:val="666A189B"/>
    <w:rsid w:val="66753561"/>
    <w:rsid w:val="66786D11"/>
    <w:rsid w:val="66B04FE3"/>
    <w:rsid w:val="66B67FA3"/>
    <w:rsid w:val="66D16930"/>
    <w:rsid w:val="66E031F5"/>
    <w:rsid w:val="670342D9"/>
    <w:rsid w:val="670B7E69"/>
    <w:rsid w:val="671033AA"/>
    <w:rsid w:val="67612AE3"/>
    <w:rsid w:val="676A4358"/>
    <w:rsid w:val="67997603"/>
    <w:rsid w:val="67B538B8"/>
    <w:rsid w:val="67D06FA7"/>
    <w:rsid w:val="67D070CE"/>
    <w:rsid w:val="67D20AD6"/>
    <w:rsid w:val="68123725"/>
    <w:rsid w:val="6838144E"/>
    <w:rsid w:val="68716534"/>
    <w:rsid w:val="68776D2D"/>
    <w:rsid w:val="687F1367"/>
    <w:rsid w:val="688B23EE"/>
    <w:rsid w:val="68910120"/>
    <w:rsid w:val="689E4DA6"/>
    <w:rsid w:val="68AA7398"/>
    <w:rsid w:val="68BA18DA"/>
    <w:rsid w:val="68D93544"/>
    <w:rsid w:val="68E24AEE"/>
    <w:rsid w:val="68F063EE"/>
    <w:rsid w:val="68F55EA4"/>
    <w:rsid w:val="6900649A"/>
    <w:rsid w:val="690832CF"/>
    <w:rsid w:val="69100251"/>
    <w:rsid w:val="69196036"/>
    <w:rsid w:val="69702FC4"/>
    <w:rsid w:val="69847953"/>
    <w:rsid w:val="699F653B"/>
    <w:rsid w:val="69B37AF9"/>
    <w:rsid w:val="69B55D5F"/>
    <w:rsid w:val="69CC1410"/>
    <w:rsid w:val="69CD498A"/>
    <w:rsid w:val="69EC4EB8"/>
    <w:rsid w:val="6A2B3EDC"/>
    <w:rsid w:val="6A3273AF"/>
    <w:rsid w:val="6A4F0248"/>
    <w:rsid w:val="6AA40580"/>
    <w:rsid w:val="6AD13496"/>
    <w:rsid w:val="6AF17E47"/>
    <w:rsid w:val="6AF503DD"/>
    <w:rsid w:val="6B0C5BC4"/>
    <w:rsid w:val="6B2E12AC"/>
    <w:rsid w:val="6B456583"/>
    <w:rsid w:val="6B511AB7"/>
    <w:rsid w:val="6B656DE3"/>
    <w:rsid w:val="6B7B3CF2"/>
    <w:rsid w:val="6B7B6B34"/>
    <w:rsid w:val="6B8754D9"/>
    <w:rsid w:val="6BC22EF6"/>
    <w:rsid w:val="6C111246"/>
    <w:rsid w:val="6C2C6080"/>
    <w:rsid w:val="6C4D7201"/>
    <w:rsid w:val="6C8746C6"/>
    <w:rsid w:val="6C877297"/>
    <w:rsid w:val="6CC10EBE"/>
    <w:rsid w:val="6CCB3AEB"/>
    <w:rsid w:val="6CE64481"/>
    <w:rsid w:val="6CF7043C"/>
    <w:rsid w:val="6D0D26B0"/>
    <w:rsid w:val="6D4D62AE"/>
    <w:rsid w:val="6D940381"/>
    <w:rsid w:val="6D9528EB"/>
    <w:rsid w:val="6D9804AF"/>
    <w:rsid w:val="6DD616F3"/>
    <w:rsid w:val="6DE67646"/>
    <w:rsid w:val="6DF00630"/>
    <w:rsid w:val="6DF8362E"/>
    <w:rsid w:val="6E0C5C79"/>
    <w:rsid w:val="6E430774"/>
    <w:rsid w:val="6E4466C0"/>
    <w:rsid w:val="6E845AC1"/>
    <w:rsid w:val="6ED22F0F"/>
    <w:rsid w:val="6EF336A4"/>
    <w:rsid w:val="6EFD08BA"/>
    <w:rsid w:val="6F266B8A"/>
    <w:rsid w:val="6F2B2ACB"/>
    <w:rsid w:val="6F303281"/>
    <w:rsid w:val="6F4420D9"/>
    <w:rsid w:val="6F486DA5"/>
    <w:rsid w:val="6F5D35C0"/>
    <w:rsid w:val="6F6A3147"/>
    <w:rsid w:val="6F737553"/>
    <w:rsid w:val="6F993A2D"/>
    <w:rsid w:val="6FA76196"/>
    <w:rsid w:val="6FBD0161"/>
    <w:rsid w:val="6FC7385C"/>
    <w:rsid w:val="6FDD585B"/>
    <w:rsid w:val="6FE17C17"/>
    <w:rsid w:val="7027728A"/>
    <w:rsid w:val="70645DE9"/>
    <w:rsid w:val="70837CBA"/>
    <w:rsid w:val="70956495"/>
    <w:rsid w:val="70AE175A"/>
    <w:rsid w:val="70C11743"/>
    <w:rsid w:val="70C361CB"/>
    <w:rsid w:val="70D50A94"/>
    <w:rsid w:val="70D50BDB"/>
    <w:rsid w:val="70D97856"/>
    <w:rsid w:val="71063344"/>
    <w:rsid w:val="7162066C"/>
    <w:rsid w:val="716E6788"/>
    <w:rsid w:val="717D2CE3"/>
    <w:rsid w:val="71820563"/>
    <w:rsid w:val="71A32941"/>
    <w:rsid w:val="71A50864"/>
    <w:rsid w:val="71CB0AD1"/>
    <w:rsid w:val="722B6785"/>
    <w:rsid w:val="723A5FB8"/>
    <w:rsid w:val="72807D3E"/>
    <w:rsid w:val="729F28C3"/>
    <w:rsid w:val="732857F3"/>
    <w:rsid w:val="732C3A42"/>
    <w:rsid w:val="73473B42"/>
    <w:rsid w:val="734939BC"/>
    <w:rsid w:val="734B6555"/>
    <w:rsid w:val="736E51D0"/>
    <w:rsid w:val="73950575"/>
    <w:rsid w:val="73994197"/>
    <w:rsid w:val="73A34EFA"/>
    <w:rsid w:val="73B70925"/>
    <w:rsid w:val="73D932B7"/>
    <w:rsid w:val="73DC3CF4"/>
    <w:rsid w:val="742026EA"/>
    <w:rsid w:val="742C597A"/>
    <w:rsid w:val="742D5CBA"/>
    <w:rsid w:val="744A110F"/>
    <w:rsid w:val="74982505"/>
    <w:rsid w:val="749A70BA"/>
    <w:rsid w:val="74A470FC"/>
    <w:rsid w:val="74BE75A8"/>
    <w:rsid w:val="74DB0643"/>
    <w:rsid w:val="74DB6895"/>
    <w:rsid w:val="74F372DB"/>
    <w:rsid w:val="7504076D"/>
    <w:rsid w:val="751023D5"/>
    <w:rsid w:val="752A6404"/>
    <w:rsid w:val="755A4088"/>
    <w:rsid w:val="755D4D38"/>
    <w:rsid w:val="75C80BC8"/>
    <w:rsid w:val="764B207F"/>
    <w:rsid w:val="767B5772"/>
    <w:rsid w:val="76852F5D"/>
    <w:rsid w:val="76897E6A"/>
    <w:rsid w:val="769B43B9"/>
    <w:rsid w:val="76A64DE9"/>
    <w:rsid w:val="76AE4262"/>
    <w:rsid w:val="76B86E8E"/>
    <w:rsid w:val="76CD220E"/>
    <w:rsid w:val="76D45D41"/>
    <w:rsid w:val="76E25CB9"/>
    <w:rsid w:val="76F459ED"/>
    <w:rsid w:val="76FD41E9"/>
    <w:rsid w:val="77043E82"/>
    <w:rsid w:val="770B3462"/>
    <w:rsid w:val="77117731"/>
    <w:rsid w:val="77285007"/>
    <w:rsid w:val="774D1C68"/>
    <w:rsid w:val="77640DC4"/>
    <w:rsid w:val="77976D00"/>
    <w:rsid w:val="77A06D7C"/>
    <w:rsid w:val="77C163F0"/>
    <w:rsid w:val="77E37F3B"/>
    <w:rsid w:val="78236589"/>
    <w:rsid w:val="782C7B34"/>
    <w:rsid w:val="78340796"/>
    <w:rsid w:val="78564BB1"/>
    <w:rsid w:val="78654DF4"/>
    <w:rsid w:val="78A23952"/>
    <w:rsid w:val="78B129D1"/>
    <w:rsid w:val="78BA7760"/>
    <w:rsid w:val="78FA267D"/>
    <w:rsid w:val="790F5FAB"/>
    <w:rsid w:val="79133EB3"/>
    <w:rsid w:val="791F1447"/>
    <w:rsid w:val="792627D5"/>
    <w:rsid w:val="7927258C"/>
    <w:rsid w:val="795D224C"/>
    <w:rsid w:val="79727E1D"/>
    <w:rsid w:val="79864CCC"/>
    <w:rsid w:val="798E498F"/>
    <w:rsid w:val="79BC4EE7"/>
    <w:rsid w:val="79ED2ED3"/>
    <w:rsid w:val="79FD78D1"/>
    <w:rsid w:val="7A344A7E"/>
    <w:rsid w:val="7A771C15"/>
    <w:rsid w:val="7A813A3B"/>
    <w:rsid w:val="7A8507F7"/>
    <w:rsid w:val="7A8A6D94"/>
    <w:rsid w:val="7AC53E94"/>
    <w:rsid w:val="7AD46118"/>
    <w:rsid w:val="7ADF7479"/>
    <w:rsid w:val="7AFD303C"/>
    <w:rsid w:val="7B002BB2"/>
    <w:rsid w:val="7B1D3764"/>
    <w:rsid w:val="7B203254"/>
    <w:rsid w:val="7B205002"/>
    <w:rsid w:val="7B2A40D3"/>
    <w:rsid w:val="7B420BEA"/>
    <w:rsid w:val="7B6969A9"/>
    <w:rsid w:val="7B77256F"/>
    <w:rsid w:val="7BA20E65"/>
    <w:rsid w:val="7BA21EBB"/>
    <w:rsid w:val="7BAF2EFC"/>
    <w:rsid w:val="7BB9DE76"/>
    <w:rsid w:val="7C0E7550"/>
    <w:rsid w:val="7C63164A"/>
    <w:rsid w:val="7C673EAB"/>
    <w:rsid w:val="7C6D071B"/>
    <w:rsid w:val="7C6D4277"/>
    <w:rsid w:val="7C7EF35C"/>
    <w:rsid w:val="7C880B77"/>
    <w:rsid w:val="7C8F68E3"/>
    <w:rsid w:val="7CA90FAD"/>
    <w:rsid w:val="7CCA52D0"/>
    <w:rsid w:val="7CDF4E6B"/>
    <w:rsid w:val="7CE87DA1"/>
    <w:rsid w:val="7CEB2C00"/>
    <w:rsid w:val="7CEE0EA5"/>
    <w:rsid w:val="7CEF2022"/>
    <w:rsid w:val="7CF07389"/>
    <w:rsid w:val="7D02458D"/>
    <w:rsid w:val="7D210610"/>
    <w:rsid w:val="7D33566D"/>
    <w:rsid w:val="7D4E62C2"/>
    <w:rsid w:val="7D5B24AC"/>
    <w:rsid w:val="7D9046C1"/>
    <w:rsid w:val="7DA52465"/>
    <w:rsid w:val="7DAC4E03"/>
    <w:rsid w:val="7DC026B0"/>
    <w:rsid w:val="7DCD68A6"/>
    <w:rsid w:val="7DDB241E"/>
    <w:rsid w:val="7DED1C3F"/>
    <w:rsid w:val="7DFD7A97"/>
    <w:rsid w:val="7E097FCF"/>
    <w:rsid w:val="7E1626EC"/>
    <w:rsid w:val="7E226F8F"/>
    <w:rsid w:val="7E2B1431"/>
    <w:rsid w:val="7E2D569D"/>
    <w:rsid w:val="7E4A7683"/>
    <w:rsid w:val="7E5A4CCF"/>
    <w:rsid w:val="7E8A7362"/>
    <w:rsid w:val="7E955D07"/>
    <w:rsid w:val="7EE80514"/>
    <w:rsid w:val="7F1F76CB"/>
    <w:rsid w:val="7F2B2C8A"/>
    <w:rsid w:val="7F3C32F9"/>
    <w:rsid w:val="7F5E4C7A"/>
    <w:rsid w:val="7F7A38B9"/>
    <w:rsid w:val="7F7D6EC7"/>
    <w:rsid w:val="7F827635"/>
    <w:rsid w:val="7F9B25B1"/>
    <w:rsid w:val="7FA36202"/>
    <w:rsid w:val="7FBE1F7E"/>
    <w:rsid w:val="7FCE5E71"/>
    <w:rsid w:val="7FE668A8"/>
    <w:rsid w:val="7FF78BD1"/>
    <w:rsid w:val="7FFA22C6"/>
    <w:rsid w:val="7FFD2DD6"/>
    <w:rsid w:val="ADF9AD35"/>
    <w:rsid w:val="AEFFA8A8"/>
    <w:rsid w:val="D7FFE433"/>
    <w:rsid w:val="DF7AD8D6"/>
    <w:rsid w:val="E1FFD2F3"/>
    <w:rsid w:val="E7BFC7CB"/>
    <w:rsid w:val="EFEE255C"/>
    <w:rsid w:val="F3EFEC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99"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qFormat="1" w:unhideWhenUsed="0" w:uiPriority="0" w:semiHidden="0" w:name="table of figures"/>
    <w:lsdException w:qFormat="1" w:unhideWhenUsed="0" w:uiPriority="0" w:semiHidden="0" w:name="envelope address"/>
    <w:lsdException w:qFormat="1" w:unhideWhenUsed="0" w:uiPriority="0" w:semiHidden="0" w:name="envelope return"/>
    <w:lsdException w:qFormat="1" w:unhideWhenUsed="0" w:uiPriority="0" w:semiHidden="0" w:name="footnote reference"/>
    <w:lsdException w:qFormat="1" w:unhideWhenUsed="0" w:uiPriority="99" w:semiHidden="0" w:name="annotation reference"/>
    <w:lsdException w:qFormat="1" w:unhideWhenUsed="0" w:uiPriority="0" w:semiHidden="0" w:name="line number"/>
    <w:lsdException w:qFormat="1" w:unhideWhenUsed="0" w:uiPriority="99" w:semiHidden="0" w:name="page number"/>
    <w:lsdException w:qFormat="1" w:unhideWhenUsed="0" w:uiPriority="0" w:semiHidden="0" w:name="endnote reference"/>
    <w:lsdException w:qFormat="1" w:unhideWhenUsed="0" w:uiPriority="0" w:semiHidden="0" w:name="endnote text"/>
    <w:lsdException w:qFormat="1" w:unhideWhenUsed="0" w:uiPriority="0" w:semiHidden="0" w:name="table of authorities"/>
    <w:lsdException w:qFormat="1" w:unhideWhenUsed="0" w:uiPriority="0" w:semiHidden="0" w:name="macro"/>
    <w:lsdException w:qFormat="1" w:unhideWhenUsed="0" w:uiPriority="0" w:semiHidden="0" w:name="toa heading"/>
    <w:lsdException w:qFormat="1" w:unhideWhenUsed="0" w:uiPriority="99"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0" w:semiHidden="0" w:name="Title"/>
    <w:lsdException w:qFormat="1" w:unhideWhenUsed="0" w:uiPriority="0" w:semiHidden="0" w:name="Closing"/>
    <w:lsdException w:qFormat="1"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qFormat="1" w:unhideWhenUsed="0" w:uiPriority="0" w:semiHidden="0"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99" w:semiHidden="0" w:name="Body Text 2"/>
    <w:lsdException w:qFormat="1" w:unhideWhenUsed="0" w:uiPriority="99" w:semiHidden="0" w:name="Body Text 3"/>
    <w:lsdException w:qFormat="1" w:unhideWhenUsed="0" w:uiPriority="0" w:semiHidden="0" w:name="Body Text Indent 2"/>
    <w:lsdException w:qFormat="1" w:unhideWhenUsed="0" w:uiPriority="0" w:semiHidden="0" w:name="Body Text Indent 3"/>
    <w:lsdException w:qFormat="1" w:unhideWhenUsed="0" w:uiPriority="99"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qFormat="1" w:unhideWhenUsed="0" w:uiPriority="99" w:semiHidden="0" w:name="Document Map"/>
    <w:lsdException w:qFormat="1" w:unhideWhenUsed="0" w:uiPriority="99" w:semiHidden="0" w:name="Plain Text"/>
    <w:lsdException w:qFormat="1" w:unhideWhenUsed="0" w:uiPriority="0" w:semiHidden="0" w:name="E-mail Signature"/>
    <w:lsdException w:qFormat="1" w:uiPriority="0" w:semiHidden="0" w:name="Normal (Web)"/>
    <w:lsdException w:unhideWhenUsed="0" w:uiPriority="0" w:semiHidden="0" w:name="HTML Acronym"/>
    <w:lsdException w:qFormat="1"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qFormat="1" w:unhideWhenUsed="0" w:uiPriority="0" w:semiHidden="0" w:name="HTML Typewriter"/>
    <w:lsdException w:unhideWhenUsed="0" w:uiPriority="0" w:semiHidden="0" w:name="HTML Variable"/>
    <w:lsdException w:qFormat="1" w:uiPriority="99" w:name="Normal Table"/>
    <w:lsdException w:qFormat="1" w:unhideWhenUsed="0"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semiHidden="0" w:name="Balloon Text"/>
    <w:lsdException w:qFormat="1" w:unhideWhenUsed="0" w:uiPriority="39"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qFormat="1" w:unhideWhenUsed="0" w:uiPriority="0"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78"/>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4">
    <w:name w:val="heading 2"/>
    <w:basedOn w:val="1"/>
    <w:next w:val="5"/>
    <w:link w:val="105"/>
    <w:qFormat/>
    <w:uiPriority w:val="99"/>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6">
    <w:name w:val="heading 3"/>
    <w:basedOn w:val="1"/>
    <w:next w:val="5"/>
    <w:link w:val="106"/>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7">
    <w:name w:val="heading 4"/>
    <w:basedOn w:val="1"/>
    <w:next w:val="1"/>
    <w:link w:val="279"/>
    <w:qFormat/>
    <w:uiPriority w:val="0"/>
    <w:pPr>
      <w:keepNext/>
      <w:keepLines/>
      <w:adjustRightInd w:val="0"/>
      <w:spacing w:before="280" w:after="290" w:line="376" w:lineRule="atLeast"/>
      <w:textAlignment w:val="baseline"/>
      <w:outlineLvl w:val="3"/>
    </w:pPr>
    <w:rPr>
      <w:rFonts w:ascii="Arial" w:hAnsi="Arial" w:eastAsia="黑体"/>
      <w:b/>
      <w:kern w:val="0"/>
      <w:sz w:val="28"/>
      <w:szCs w:val="20"/>
    </w:rPr>
  </w:style>
  <w:style w:type="paragraph" w:styleId="8">
    <w:name w:val="heading 5"/>
    <w:basedOn w:val="1"/>
    <w:next w:val="1"/>
    <w:link w:val="280"/>
    <w:qFormat/>
    <w:uiPriority w:val="0"/>
    <w:pPr>
      <w:keepNext/>
      <w:keepLines/>
      <w:adjustRightInd w:val="0"/>
      <w:spacing w:before="280" w:after="290" w:line="376" w:lineRule="atLeast"/>
      <w:textAlignment w:val="baseline"/>
      <w:outlineLvl w:val="4"/>
    </w:pPr>
    <w:rPr>
      <w:b/>
      <w:kern w:val="0"/>
      <w:sz w:val="28"/>
      <w:szCs w:val="20"/>
    </w:rPr>
  </w:style>
  <w:style w:type="paragraph" w:styleId="9">
    <w:name w:val="heading 6"/>
    <w:basedOn w:val="1"/>
    <w:next w:val="1"/>
    <w:link w:val="281"/>
    <w:qFormat/>
    <w:uiPriority w:val="0"/>
    <w:pPr>
      <w:keepNext/>
      <w:keepLines/>
      <w:adjustRightInd w:val="0"/>
      <w:spacing w:before="240" w:after="64" w:line="320" w:lineRule="atLeast"/>
      <w:textAlignment w:val="baseline"/>
      <w:outlineLvl w:val="5"/>
    </w:pPr>
    <w:rPr>
      <w:rFonts w:ascii="Arial" w:hAnsi="Arial" w:eastAsia="黑体"/>
      <w:b/>
      <w:kern w:val="0"/>
      <w:sz w:val="24"/>
      <w:szCs w:val="20"/>
    </w:rPr>
  </w:style>
  <w:style w:type="paragraph" w:styleId="10">
    <w:name w:val="heading 7"/>
    <w:basedOn w:val="1"/>
    <w:next w:val="1"/>
    <w:link w:val="282"/>
    <w:qFormat/>
    <w:uiPriority w:val="0"/>
    <w:pPr>
      <w:keepNext/>
      <w:keepLines/>
      <w:adjustRightInd w:val="0"/>
      <w:spacing w:before="240" w:after="64" w:line="320" w:lineRule="atLeast"/>
      <w:textAlignment w:val="baseline"/>
      <w:outlineLvl w:val="6"/>
    </w:pPr>
    <w:rPr>
      <w:b/>
      <w:kern w:val="0"/>
      <w:sz w:val="24"/>
      <w:szCs w:val="20"/>
    </w:rPr>
  </w:style>
  <w:style w:type="paragraph" w:styleId="11">
    <w:name w:val="heading 8"/>
    <w:basedOn w:val="1"/>
    <w:next w:val="1"/>
    <w:link w:val="283"/>
    <w:qFormat/>
    <w:uiPriority w:val="0"/>
    <w:pPr>
      <w:keepNext/>
      <w:keepLines/>
      <w:adjustRightInd w:val="0"/>
      <w:spacing w:before="240" w:after="64" w:line="320" w:lineRule="atLeast"/>
      <w:textAlignment w:val="baseline"/>
      <w:outlineLvl w:val="7"/>
    </w:pPr>
    <w:rPr>
      <w:rFonts w:ascii="Arial" w:hAnsi="Arial" w:eastAsia="黑体"/>
      <w:kern w:val="0"/>
      <w:sz w:val="24"/>
      <w:szCs w:val="20"/>
    </w:rPr>
  </w:style>
  <w:style w:type="paragraph" w:styleId="12">
    <w:name w:val="heading 9"/>
    <w:basedOn w:val="1"/>
    <w:next w:val="1"/>
    <w:link w:val="284"/>
    <w:qFormat/>
    <w:uiPriority w:val="0"/>
    <w:pPr>
      <w:keepNext/>
      <w:keepLines/>
      <w:adjustRightInd w:val="0"/>
      <w:spacing w:before="240" w:after="64" w:line="320" w:lineRule="atLeast"/>
      <w:textAlignment w:val="baseline"/>
      <w:outlineLvl w:val="8"/>
    </w:pPr>
    <w:rPr>
      <w:rFonts w:ascii="Arial" w:hAnsi="Arial" w:eastAsia="黑体"/>
      <w:kern w:val="0"/>
      <w:szCs w:val="20"/>
    </w:rPr>
  </w:style>
  <w:style w:type="character" w:default="1" w:styleId="91">
    <w:name w:val="Default Paragraph Font"/>
    <w:semiHidden/>
    <w:unhideWhenUsed/>
    <w:qFormat/>
    <w:uiPriority w:val="1"/>
  </w:style>
  <w:style w:type="table" w:default="1" w:styleId="88">
    <w:name w:val="Normal Table"/>
    <w:semiHidden/>
    <w:unhideWhenUsed/>
    <w:qFormat/>
    <w:uiPriority w:val="99"/>
    <w:tblPr>
      <w:tblCellMar>
        <w:top w:w="0" w:type="dxa"/>
        <w:left w:w="108" w:type="dxa"/>
        <w:bottom w:w="0" w:type="dxa"/>
        <w:right w:w="108" w:type="dxa"/>
      </w:tblCellMar>
    </w:tblPr>
  </w:style>
  <w:style w:type="paragraph" w:styleId="2">
    <w:name w:val="macro"/>
    <w:link w:val="317"/>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eastAsia="宋体" w:cs="Times New Roman"/>
      <w:kern w:val="2"/>
      <w:sz w:val="24"/>
      <w:lang w:val="en-US" w:eastAsia="zh-CN" w:bidi="ar-SA"/>
    </w:rPr>
  </w:style>
  <w:style w:type="paragraph" w:styleId="5">
    <w:name w:val="Normal Indent"/>
    <w:basedOn w:val="1"/>
    <w:link w:val="113"/>
    <w:qFormat/>
    <w:uiPriority w:val="0"/>
    <w:pPr>
      <w:autoSpaceDE w:val="0"/>
      <w:autoSpaceDN w:val="0"/>
      <w:adjustRightInd w:val="0"/>
      <w:ind w:firstLine="420"/>
      <w:jc w:val="left"/>
    </w:pPr>
    <w:rPr>
      <w:rFonts w:ascii="宋体"/>
      <w:sz w:val="24"/>
    </w:rPr>
  </w:style>
  <w:style w:type="paragraph" w:styleId="13">
    <w:name w:val="List 3"/>
    <w:basedOn w:val="1"/>
    <w:qFormat/>
    <w:uiPriority w:val="0"/>
    <w:pPr>
      <w:adjustRightInd w:val="0"/>
      <w:spacing w:line="360" w:lineRule="atLeast"/>
      <w:ind w:left="100" w:leftChars="400" w:hanging="200" w:hangingChars="200"/>
      <w:jc w:val="left"/>
      <w:textAlignment w:val="baseline"/>
    </w:pPr>
    <w:rPr>
      <w:kern w:val="0"/>
      <w:sz w:val="24"/>
      <w:szCs w:val="20"/>
    </w:rPr>
  </w:style>
  <w:style w:type="paragraph" w:styleId="14">
    <w:name w:val="toc 7"/>
    <w:basedOn w:val="1"/>
    <w:next w:val="1"/>
    <w:qFormat/>
    <w:uiPriority w:val="39"/>
    <w:pPr>
      <w:ind w:left="2520" w:leftChars="1200"/>
    </w:pPr>
  </w:style>
  <w:style w:type="paragraph" w:styleId="15">
    <w:name w:val="List Number 2"/>
    <w:basedOn w:val="1"/>
    <w:qFormat/>
    <w:uiPriority w:val="0"/>
    <w:pPr>
      <w:tabs>
        <w:tab w:val="left" w:pos="420"/>
      </w:tabs>
      <w:ind w:left="420" w:hanging="420"/>
    </w:pPr>
  </w:style>
  <w:style w:type="paragraph" w:styleId="16">
    <w:name w:val="table of authorities"/>
    <w:basedOn w:val="1"/>
    <w:next w:val="1"/>
    <w:qFormat/>
    <w:uiPriority w:val="0"/>
    <w:pPr>
      <w:ind w:left="200" w:leftChars="200"/>
    </w:pPr>
    <w:rPr>
      <w:szCs w:val="20"/>
    </w:rPr>
  </w:style>
  <w:style w:type="paragraph" w:styleId="17">
    <w:name w:val="Note Heading"/>
    <w:basedOn w:val="1"/>
    <w:next w:val="1"/>
    <w:link w:val="344"/>
    <w:qFormat/>
    <w:uiPriority w:val="0"/>
    <w:pPr>
      <w:jc w:val="center"/>
    </w:pPr>
  </w:style>
  <w:style w:type="paragraph" w:styleId="18">
    <w:name w:val="List Bullet 4"/>
    <w:basedOn w:val="1"/>
    <w:qFormat/>
    <w:uiPriority w:val="0"/>
    <w:pPr>
      <w:tabs>
        <w:tab w:val="left" w:pos="420"/>
        <w:tab w:val="left" w:pos="900"/>
        <w:tab w:val="left" w:pos="1080"/>
      </w:tabs>
      <w:ind w:left="900" w:hanging="900"/>
    </w:pPr>
  </w:style>
  <w:style w:type="paragraph" w:styleId="19">
    <w:name w:val="index 8"/>
    <w:basedOn w:val="1"/>
    <w:next w:val="1"/>
    <w:qFormat/>
    <w:uiPriority w:val="0"/>
    <w:pPr>
      <w:ind w:left="1400" w:leftChars="1400"/>
    </w:pPr>
    <w:rPr>
      <w:szCs w:val="20"/>
    </w:rPr>
  </w:style>
  <w:style w:type="paragraph" w:styleId="20">
    <w:name w:val="E-mail Signature"/>
    <w:basedOn w:val="1"/>
    <w:link w:val="319"/>
    <w:qFormat/>
    <w:uiPriority w:val="0"/>
    <w:rPr>
      <w:szCs w:val="20"/>
    </w:rPr>
  </w:style>
  <w:style w:type="paragraph" w:styleId="21">
    <w:name w:val="List Number"/>
    <w:basedOn w:val="1"/>
    <w:qFormat/>
    <w:uiPriority w:val="0"/>
    <w:pPr>
      <w:tabs>
        <w:tab w:val="left" w:pos="1140"/>
      </w:tabs>
      <w:ind w:left="1140" w:hanging="570"/>
    </w:pPr>
  </w:style>
  <w:style w:type="paragraph" w:styleId="22">
    <w:name w:val="caption"/>
    <w:basedOn w:val="1"/>
    <w:next w:val="1"/>
    <w:qFormat/>
    <w:uiPriority w:val="0"/>
    <w:pPr>
      <w:spacing w:line="480" w:lineRule="auto"/>
    </w:pPr>
    <w:rPr>
      <w:rFonts w:ascii="华文中宋" w:hAnsi="华文中宋" w:eastAsia="华文中宋"/>
      <w:sz w:val="36"/>
      <w:szCs w:val="20"/>
    </w:rPr>
  </w:style>
  <w:style w:type="paragraph" w:styleId="23">
    <w:name w:val="index 5"/>
    <w:basedOn w:val="1"/>
    <w:next w:val="1"/>
    <w:qFormat/>
    <w:uiPriority w:val="99"/>
    <w:pPr>
      <w:ind w:left="800" w:leftChars="800"/>
    </w:pPr>
    <w:rPr>
      <w:szCs w:val="20"/>
    </w:rPr>
  </w:style>
  <w:style w:type="paragraph" w:styleId="24">
    <w:name w:val="List Bullet"/>
    <w:basedOn w:val="1"/>
    <w:qFormat/>
    <w:uiPriority w:val="0"/>
    <w:pPr>
      <w:tabs>
        <w:tab w:val="left" w:pos="1080"/>
      </w:tabs>
      <w:ind w:left="1080" w:hanging="345"/>
    </w:pPr>
  </w:style>
  <w:style w:type="paragraph" w:styleId="25">
    <w:name w:val="envelope address"/>
    <w:basedOn w:val="1"/>
    <w:qFormat/>
    <w:uiPriority w:val="0"/>
    <w:pPr>
      <w:numPr>
        <w:ilvl w:val="0"/>
        <w:numId w:val="1"/>
      </w:numPr>
      <w:tabs>
        <w:tab w:val="left" w:pos="425"/>
        <w:tab w:val="left" w:pos="1095"/>
      </w:tabs>
      <w:snapToGrid w:val="0"/>
      <w:ind w:left="100" w:leftChars="1400"/>
    </w:pPr>
    <w:rPr>
      <w:rFonts w:ascii="Arial" w:hAnsi="Arial" w:cs="Arial"/>
      <w:sz w:val="24"/>
    </w:rPr>
  </w:style>
  <w:style w:type="paragraph" w:styleId="26">
    <w:name w:val="Document Map"/>
    <w:basedOn w:val="1"/>
    <w:link w:val="285"/>
    <w:qFormat/>
    <w:uiPriority w:val="99"/>
    <w:pPr>
      <w:shd w:val="clear" w:color="auto" w:fill="000080"/>
    </w:pPr>
  </w:style>
  <w:style w:type="paragraph" w:styleId="27">
    <w:name w:val="toa heading"/>
    <w:basedOn w:val="1"/>
    <w:next w:val="1"/>
    <w:qFormat/>
    <w:uiPriority w:val="0"/>
    <w:pPr>
      <w:spacing w:before="120"/>
    </w:pPr>
    <w:rPr>
      <w:rFonts w:ascii="Arial" w:hAnsi="Arial"/>
      <w:sz w:val="24"/>
      <w:szCs w:val="20"/>
    </w:rPr>
  </w:style>
  <w:style w:type="paragraph" w:styleId="28">
    <w:name w:val="annotation text"/>
    <w:basedOn w:val="1"/>
    <w:link w:val="231"/>
    <w:qFormat/>
    <w:uiPriority w:val="99"/>
    <w:pPr>
      <w:jc w:val="left"/>
    </w:pPr>
  </w:style>
  <w:style w:type="paragraph" w:styleId="29">
    <w:name w:val="index 6"/>
    <w:basedOn w:val="1"/>
    <w:next w:val="1"/>
    <w:qFormat/>
    <w:uiPriority w:val="0"/>
    <w:pPr>
      <w:ind w:left="1000" w:leftChars="1000"/>
    </w:pPr>
    <w:rPr>
      <w:szCs w:val="20"/>
    </w:rPr>
  </w:style>
  <w:style w:type="paragraph" w:styleId="30">
    <w:name w:val="Salutation"/>
    <w:basedOn w:val="1"/>
    <w:next w:val="1"/>
    <w:link w:val="346"/>
    <w:qFormat/>
    <w:uiPriority w:val="0"/>
    <w:rPr>
      <w:rFonts w:ascii="宋体" w:eastAsia="仿宋_GB2312"/>
      <w:szCs w:val="20"/>
    </w:rPr>
  </w:style>
  <w:style w:type="paragraph" w:styleId="31">
    <w:name w:val="Body Text 3"/>
    <w:basedOn w:val="1"/>
    <w:link w:val="286"/>
    <w:qFormat/>
    <w:uiPriority w:val="99"/>
    <w:pPr>
      <w:spacing w:after="120"/>
    </w:pPr>
    <w:rPr>
      <w:sz w:val="16"/>
      <w:szCs w:val="16"/>
    </w:rPr>
  </w:style>
  <w:style w:type="paragraph" w:styleId="32">
    <w:name w:val="Closing"/>
    <w:basedOn w:val="1"/>
    <w:link w:val="321"/>
    <w:qFormat/>
    <w:uiPriority w:val="0"/>
    <w:pPr>
      <w:ind w:left="100" w:leftChars="2100"/>
    </w:pPr>
  </w:style>
  <w:style w:type="paragraph" w:styleId="33">
    <w:name w:val="List Bullet 3"/>
    <w:basedOn w:val="1"/>
    <w:qFormat/>
    <w:uiPriority w:val="0"/>
    <w:pPr>
      <w:numPr>
        <w:ilvl w:val="0"/>
        <w:numId w:val="2"/>
      </w:numPr>
      <w:tabs>
        <w:tab w:val="left" w:pos="420"/>
      </w:tabs>
      <w:adjustRightInd w:val="0"/>
      <w:spacing w:line="360" w:lineRule="atLeast"/>
      <w:jc w:val="left"/>
      <w:textAlignment w:val="baseline"/>
    </w:pPr>
    <w:rPr>
      <w:kern w:val="0"/>
      <w:sz w:val="24"/>
      <w:szCs w:val="20"/>
    </w:rPr>
  </w:style>
  <w:style w:type="paragraph" w:styleId="34">
    <w:name w:val="Body Text"/>
    <w:basedOn w:val="1"/>
    <w:link w:val="287"/>
    <w:qFormat/>
    <w:uiPriority w:val="0"/>
    <w:pPr>
      <w:tabs>
        <w:tab w:val="left" w:pos="567"/>
      </w:tabs>
      <w:spacing w:before="120" w:line="22" w:lineRule="atLeast"/>
    </w:pPr>
    <w:rPr>
      <w:rFonts w:ascii="宋体" w:hAnsi="宋体"/>
      <w:sz w:val="24"/>
    </w:rPr>
  </w:style>
  <w:style w:type="paragraph" w:styleId="35">
    <w:name w:val="Body Text Indent"/>
    <w:basedOn w:val="1"/>
    <w:link w:val="118"/>
    <w:qFormat/>
    <w:uiPriority w:val="0"/>
    <w:pPr>
      <w:spacing w:line="360" w:lineRule="auto"/>
      <w:ind w:firstLine="570"/>
    </w:pPr>
    <w:rPr>
      <w:sz w:val="24"/>
    </w:rPr>
  </w:style>
  <w:style w:type="paragraph" w:styleId="36">
    <w:name w:val="List Number 3"/>
    <w:basedOn w:val="1"/>
    <w:qFormat/>
    <w:uiPriority w:val="0"/>
    <w:pPr>
      <w:tabs>
        <w:tab w:val="left" w:pos="210"/>
      </w:tabs>
      <w:ind w:left="210" w:hanging="210"/>
    </w:pPr>
  </w:style>
  <w:style w:type="paragraph" w:styleId="37">
    <w:name w:val="List 2"/>
    <w:basedOn w:val="1"/>
    <w:qFormat/>
    <w:uiPriority w:val="0"/>
    <w:pPr>
      <w:ind w:left="100" w:leftChars="200" w:hanging="200" w:hangingChars="200"/>
    </w:pPr>
  </w:style>
  <w:style w:type="paragraph" w:styleId="38">
    <w:name w:val="List Continue"/>
    <w:basedOn w:val="1"/>
    <w:qFormat/>
    <w:uiPriority w:val="0"/>
    <w:pPr>
      <w:numPr>
        <w:ilvl w:val="0"/>
        <w:numId w:val="3"/>
      </w:numPr>
      <w:adjustRightInd w:val="0"/>
      <w:spacing w:after="120" w:line="360" w:lineRule="atLeast"/>
      <w:ind w:left="420" w:leftChars="200"/>
      <w:jc w:val="left"/>
      <w:textAlignment w:val="baseline"/>
    </w:pPr>
    <w:rPr>
      <w:kern w:val="0"/>
      <w:sz w:val="24"/>
      <w:szCs w:val="20"/>
    </w:rPr>
  </w:style>
  <w:style w:type="paragraph" w:styleId="39">
    <w:name w:val="Block Text"/>
    <w:basedOn w:val="1"/>
    <w:qFormat/>
    <w:uiPriority w:val="99"/>
    <w:pPr>
      <w:widowControl/>
      <w:ind w:left="480" w:right="-341" w:firstLine="513"/>
    </w:pPr>
    <w:rPr>
      <w:kern w:val="0"/>
      <w:sz w:val="24"/>
      <w:szCs w:val="20"/>
    </w:rPr>
  </w:style>
  <w:style w:type="paragraph" w:styleId="40">
    <w:name w:val="List Bullet 2"/>
    <w:basedOn w:val="1"/>
    <w:qFormat/>
    <w:uiPriority w:val="0"/>
    <w:pPr>
      <w:tabs>
        <w:tab w:val="left" w:pos="780"/>
      </w:tabs>
      <w:ind w:left="780" w:leftChars="200" w:hanging="360" w:hangingChars="200"/>
    </w:pPr>
  </w:style>
  <w:style w:type="paragraph" w:styleId="41">
    <w:name w:val="HTML Address"/>
    <w:basedOn w:val="1"/>
    <w:link w:val="322"/>
    <w:qFormat/>
    <w:uiPriority w:val="0"/>
    <w:rPr>
      <w:i/>
      <w:iCs/>
    </w:rPr>
  </w:style>
  <w:style w:type="paragraph" w:styleId="42">
    <w:name w:val="index 4"/>
    <w:basedOn w:val="1"/>
    <w:next w:val="1"/>
    <w:qFormat/>
    <w:uiPriority w:val="0"/>
    <w:pPr>
      <w:ind w:left="600" w:leftChars="600"/>
    </w:pPr>
  </w:style>
  <w:style w:type="paragraph" w:styleId="43">
    <w:name w:val="toc 5"/>
    <w:basedOn w:val="1"/>
    <w:next w:val="1"/>
    <w:qFormat/>
    <w:uiPriority w:val="39"/>
    <w:pPr>
      <w:ind w:left="1680" w:leftChars="800"/>
    </w:pPr>
  </w:style>
  <w:style w:type="paragraph" w:styleId="44">
    <w:name w:val="toc 3"/>
    <w:basedOn w:val="1"/>
    <w:next w:val="1"/>
    <w:qFormat/>
    <w:uiPriority w:val="39"/>
    <w:pPr>
      <w:ind w:left="840" w:leftChars="400"/>
    </w:pPr>
  </w:style>
  <w:style w:type="paragraph" w:styleId="45">
    <w:name w:val="Plain Text"/>
    <w:basedOn w:val="1"/>
    <w:link w:val="251"/>
    <w:qFormat/>
    <w:uiPriority w:val="99"/>
    <w:rPr>
      <w:rFonts w:hint="eastAsia" w:ascii="宋体" w:hAnsi="Courier New"/>
      <w:szCs w:val="20"/>
    </w:rPr>
  </w:style>
  <w:style w:type="paragraph" w:styleId="46">
    <w:name w:val="List Bullet 5"/>
    <w:basedOn w:val="1"/>
    <w:qFormat/>
    <w:uiPriority w:val="0"/>
    <w:pPr>
      <w:tabs>
        <w:tab w:val="left" w:pos="600"/>
      </w:tabs>
      <w:ind w:left="600" w:hanging="420"/>
    </w:pPr>
  </w:style>
  <w:style w:type="paragraph" w:styleId="47">
    <w:name w:val="List Number 4"/>
    <w:basedOn w:val="1"/>
    <w:qFormat/>
    <w:uiPriority w:val="0"/>
    <w:pPr>
      <w:tabs>
        <w:tab w:val="left" w:pos="420"/>
        <w:tab w:val="left" w:pos="1200"/>
      </w:tabs>
      <w:ind w:left="1200" w:hanging="360"/>
    </w:pPr>
  </w:style>
  <w:style w:type="paragraph" w:styleId="48">
    <w:name w:val="toc 8"/>
    <w:basedOn w:val="1"/>
    <w:next w:val="1"/>
    <w:qFormat/>
    <w:uiPriority w:val="39"/>
    <w:pPr>
      <w:ind w:left="2940" w:leftChars="1400"/>
    </w:pPr>
  </w:style>
  <w:style w:type="paragraph" w:styleId="49">
    <w:name w:val="index 3"/>
    <w:basedOn w:val="1"/>
    <w:next w:val="1"/>
    <w:qFormat/>
    <w:uiPriority w:val="0"/>
    <w:pPr>
      <w:ind w:left="400" w:leftChars="400"/>
    </w:pPr>
    <w:rPr>
      <w:szCs w:val="20"/>
    </w:rPr>
  </w:style>
  <w:style w:type="paragraph" w:styleId="50">
    <w:name w:val="Date"/>
    <w:basedOn w:val="1"/>
    <w:next w:val="1"/>
    <w:link w:val="288"/>
    <w:qFormat/>
    <w:uiPriority w:val="0"/>
    <w:pPr>
      <w:ind w:left="100" w:leftChars="2500"/>
    </w:pPr>
    <w:rPr>
      <w:rFonts w:ascii="仿宋_GB2312" w:hAnsi="宋体" w:eastAsia="仿宋_GB2312"/>
      <w:color w:val="000000"/>
      <w:sz w:val="24"/>
    </w:rPr>
  </w:style>
  <w:style w:type="paragraph" w:styleId="51">
    <w:name w:val="Body Text Indent 2"/>
    <w:basedOn w:val="1"/>
    <w:link w:val="289"/>
    <w:qFormat/>
    <w:uiPriority w:val="0"/>
    <w:pPr>
      <w:ind w:firstLine="480" w:firstLineChars="200"/>
    </w:pPr>
    <w:rPr>
      <w:rFonts w:ascii="仿宋_GB2312" w:eastAsia="仿宋_GB2312"/>
      <w:sz w:val="24"/>
    </w:rPr>
  </w:style>
  <w:style w:type="paragraph" w:styleId="52">
    <w:name w:val="endnote text"/>
    <w:basedOn w:val="1"/>
    <w:link w:val="323"/>
    <w:qFormat/>
    <w:uiPriority w:val="0"/>
    <w:pPr>
      <w:snapToGrid w:val="0"/>
      <w:jc w:val="left"/>
    </w:pPr>
    <w:rPr>
      <w:szCs w:val="20"/>
    </w:rPr>
  </w:style>
  <w:style w:type="paragraph" w:styleId="53">
    <w:name w:val="List Continue 5"/>
    <w:basedOn w:val="1"/>
    <w:qFormat/>
    <w:uiPriority w:val="0"/>
    <w:pPr>
      <w:adjustRightInd w:val="0"/>
      <w:spacing w:after="120" w:line="360" w:lineRule="atLeast"/>
      <w:ind w:left="2100" w:leftChars="1000"/>
      <w:jc w:val="left"/>
      <w:textAlignment w:val="baseline"/>
    </w:pPr>
    <w:rPr>
      <w:kern w:val="0"/>
      <w:sz w:val="24"/>
      <w:szCs w:val="20"/>
    </w:rPr>
  </w:style>
  <w:style w:type="paragraph" w:styleId="54">
    <w:name w:val="Balloon Text"/>
    <w:basedOn w:val="1"/>
    <w:link w:val="290"/>
    <w:qFormat/>
    <w:uiPriority w:val="99"/>
    <w:rPr>
      <w:sz w:val="18"/>
      <w:szCs w:val="18"/>
    </w:rPr>
  </w:style>
  <w:style w:type="paragraph" w:styleId="55">
    <w:name w:val="footer"/>
    <w:basedOn w:val="1"/>
    <w:link w:val="219"/>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56">
    <w:name w:val="envelope return"/>
    <w:basedOn w:val="1"/>
    <w:qFormat/>
    <w:uiPriority w:val="0"/>
    <w:pPr>
      <w:snapToGrid w:val="0"/>
    </w:pPr>
    <w:rPr>
      <w:rFonts w:ascii="Arial" w:hAnsi="Arial" w:cs="Arial"/>
    </w:rPr>
  </w:style>
  <w:style w:type="paragraph" w:styleId="57">
    <w:name w:val="header"/>
    <w:basedOn w:val="1"/>
    <w:link w:val="126"/>
    <w:qFormat/>
    <w:uiPriority w:val="99"/>
    <w:pPr>
      <w:pBdr>
        <w:bottom w:val="single" w:color="auto" w:sz="6" w:space="1"/>
      </w:pBdr>
      <w:tabs>
        <w:tab w:val="center" w:pos="4153"/>
        <w:tab w:val="right" w:pos="8306"/>
      </w:tabs>
      <w:snapToGrid w:val="0"/>
      <w:jc w:val="center"/>
    </w:pPr>
    <w:rPr>
      <w:sz w:val="18"/>
      <w:szCs w:val="18"/>
    </w:rPr>
  </w:style>
  <w:style w:type="paragraph" w:styleId="58">
    <w:name w:val="Signature"/>
    <w:basedOn w:val="1"/>
    <w:link w:val="324"/>
    <w:qFormat/>
    <w:uiPriority w:val="0"/>
    <w:pPr>
      <w:ind w:left="100" w:leftChars="2100"/>
    </w:pPr>
  </w:style>
  <w:style w:type="paragraph" w:styleId="59">
    <w:name w:val="toc 1"/>
    <w:basedOn w:val="1"/>
    <w:next w:val="1"/>
    <w:qFormat/>
    <w:uiPriority w:val="39"/>
    <w:pPr>
      <w:tabs>
        <w:tab w:val="left" w:pos="1050"/>
        <w:tab w:val="right" w:leader="dot" w:pos="8937"/>
      </w:tabs>
      <w:spacing w:line="300" w:lineRule="auto"/>
    </w:pPr>
    <w:rPr>
      <w:rFonts w:ascii="宋体" w:hAnsi="宋体"/>
      <w:b/>
      <w:sz w:val="24"/>
    </w:rPr>
  </w:style>
  <w:style w:type="paragraph" w:styleId="60">
    <w:name w:val="List Continue 4"/>
    <w:basedOn w:val="1"/>
    <w:qFormat/>
    <w:uiPriority w:val="0"/>
    <w:pPr>
      <w:spacing w:after="120"/>
      <w:ind w:left="1680" w:leftChars="800"/>
    </w:pPr>
  </w:style>
  <w:style w:type="paragraph" w:styleId="61">
    <w:name w:val="toc 4"/>
    <w:basedOn w:val="1"/>
    <w:next w:val="1"/>
    <w:qFormat/>
    <w:uiPriority w:val="39"/>
    <w:pPr>
      <w:ind w:left="1260" w:leftChars="600"/>
    </w:pPr>
  </w:style>
  <w:style w:type="paragraph" w:styleId="62">
    <w:name w:val="index heading"/>
    <w:basedOn w:val="1"/>
    <w:next w:val="63"/>
    <w:qFormat/>
    <w:uiPriority w:val="0"/>
    <w:rPr>
      <w:rFonts w:ascii="Arial" w:hAnsi="Arial"/>
      <w:b/>
      <w:szCs w:val="20"/>
    </w:rPr>
  </w:style>
  <w:style w:type="paragraph" w:styleId="63">
    <w:name w:val="index 1"/>
    <w:basedOn w:val="1"/>
    <w:next w:val="1"/>
    <w:qFormat/>
    <w:uiPriority w:val="0"/>
    <w:rPr>
      <w:szCs w:val="20"/>
    </w:rPr>
  </w:style>
  <w:style w:type="paragraph" w:styleId="64">
    <w:name w:val="Subtitle"/>
    <w:basedOn w:val="1"/>
    <w:next w:val="1"/>
    <w:link w:val="311"/>
    <w:qFormat/>
    <w:uiPriority w:val="0"/>
    <w:pPr>
      <w:spacing w:before="240" w:after="60" w:line="312" w:lineRule="auto"/>
      <w:jc w:val="center"/>
      <w:outlineLvl w:val="1"/>
    </w:pPr>
    <w:rPr>
      <w:rFonts w:ascii="Cambria" w:hAnsi="Cambria"/>
      <w:b/>
      <w:bCs/>
      <w:kern w:val="28"/>
      <w:sz w:val="32"/>
      <w:szCs w:val="32"/>
    </w:rPr>
  </w:style>
  <w:style w:type="paragraph" w:styleId="65">
    <w:name w:val="List Number 5"/>
    <w:basedOn w:val="1"/>
    <w:qFormat/>
    <w:uiPriority w:val="0"/>
    <w:pPr>
      <w:tabs>
        <w:tab w:val="left" w:pos="420"/>
        <w:tab w:val="left" w:pos="3119"/>
      </w:tabs>
      <w:ind w:left="3119" w:hanging="709"/>
    </w:pPr>
  </w:style>
  <w:style w:type="paragraph" w:styleId="66">
    <w:name w:val="List"/>
    <w:basedOn w:val="1"/>
    <w:qFormat/>
    <w:uiPriority w:val="99"/>
    <w:pPr>
      <w:ind w:left="200" w:hanging="200" w:hangingChars="200"/>
    </w:pPr>
  </w:style>
  <w:style w:type="paragraph" w:styleId="67">
    <w:name w:val="footnote text"/>
    <w:basedOn w:val="1"/>
    <w:link w:val="325"/>
    <w:qFormat/>
    <w:uiPriority w:val="0"/>
    <w:pPr>
      <w:snapToGrid w:val="0"/>
      <w:jc w:val="left"/>
    </w:pPr>
    <w:rPr>
      <w:sz w:val="18"/>
      <w:szCs w:val="18"/>
    </w:rPr>
  </w:style>
  <w:style w:type="paragraph" w:styleId="68">
    <w:name w:val="toc 6"/>
    <w:basedOn w:val="1"/>
    <w:next w:val="1"/>
    <w:qFormat/>
    <w:uiPriority w:val="39"/>
    <w:pPr>
      <w:ind w:left="2100" w:leftChars="1000"/>
    </w:pPr>
  </w:style>
  <w:style w:type="paragraph" w:styleId="69">
    <w:name w:val="List 5"/>
    <w:basedOn w:val="1"/>
    <w:qFormat/>
    <w:uiPriority w:val="0"/>
    <w:pPr>
      <w:adjustRightInd w:val="0"/>
      <w:spacing w:line="360" w:lineRule="atLeast"/>
      <w:ind w:left="100" w:leftChars="800" w:hanging="200" w:hangingChars="200"/>
      <w:jc w:val="left"/>
      <w:textAlignment w:val="baseline"/>
    </w:pPr>
    <w:rPr>
      <w:kern w:val="0"/>
      <w:sz w:val="24"/>
      <w:szCs w:val="20"/>
    </w:rPr>
  </w:style>
  <w:style w:type="paragraph" w:styleId="70">
    <w:name w:val="Body Text Indent 3"/>
    <w:basedOn w:val="1"/>
    <w:link w:val="291"/>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styleId="71">
    <w:name w:val="index 7"/>
    <w:basedOn w:val="1"/>
    <w:next w:val="1"/>
    <w:qFormat/>
    <w:uiPriority w:val="0"/>
    <w:pPr>
      <w:ind w:left="1200" w:leftChars="1200"/>
    </w:pPr>
    <w:rPr>
      <w:szCs w:val="20"/>
    </w:rPr>
  </w:style>
  <w:style w:type="paragraph" w:styleId="72">
    <w:name w:val="index 9"/>
    <w:basedOn w:val="1"/>
    <w:next w:val="1"/>
    <w:qFormat/>
    <w:uiPriority w:val="0"/>
    <w:pPr>
      <w:ind w:left="1600" w:leftChars="1600"/>
    </w:pPr>
    <w:rPr>
      <w:szCs w:val="20"/>
    </w:rPr>
  </w:style>
  <w:style w:type="paragraph" w:styleId="73">
    <w:name w:val="table of figures"/>
    <w:basedOn w:val="1"/>
    <w:next w:val="1"/>
    <w:qFormat/>
    <w:uiPriority w:val="0"/>
    <w:pPr>
      <w:ind w:left="200" w:leftChars="200" w:hanging="420" w:hangingChars="200"/>
    </w:pPr>
    <w:rPr>
      <w:szCs w:val="20"/>
    </w:rPr>
  </w:style>
  <w:style w:type="paragraph" w:styleId="74">
    <w:name w:val="toc 2"/>
    <w:basedOn w:val="1"/>
    <w:next w:val="1"/>
    <w:link w:val="357"/>
    <w:qFormat/>
    <w:uiPriority w:val="39"/>
    <w:pPr>
      <w:tabs>
        <w:tab w:val="right" w:leader="dot" w:pos="8937"/>
      </w:tabs>
      <w:spacing w:line="312" w:lineRule="auto"/>
      <w:ind w:left="420" w:leftChars="200"/>
    </w:pPr>
  </w:style>
  <w:style w:type="paragraph" w:styleId="75">
    <w:name w:val="toc 9"/>
    <w:basedOn w:val="1"/>
    <w:next w:val="1"/>
    <w:qFormat/>
    <w:uiPriority w:val="39"/>
    <w:pPr>
      <w:ind w:left="3360" w:leftChars="1600"/>
    </w:pPr>
  </w:style>
  <w:style w:type="paragraph" w:styleId="76">
    <w:name w:val="Body Text 2"/>
    <w:basedOn w:val="1"/>
    <w:link w:val="358"/>
    <w:qFormat/>
    <w:uiPriority w:val="99"/>
    <w:pPr>
      <w:spacing w:after="120" w:line="480" w:lineRule="auto"/>
    </w:pPr>
  </w:style>
  <w:style w:type="paragraph" w:styleId="77">
    <w:name w:val="List 4"/>
    <w:basedOn w:val="1"/>
    <w:qFormat/>
    <w:uiPriority w:val="0"/>
    <w:pPr>
      <w:adjustRightInd w:val="0"/>
      <w:spacing w:line="360" w:lineRule="atLeast"/>
      <w:ind w:left="100" w:leftChars="600" w:hanging="200" w:hangingChars="200"/>
      <w:jc w:val="left"/>
      <w:textAlignment w:val="baseline"/>
    </w:pPr>
    <w:rPr>
      <w:kern w:val="0"/>
      <w:sz w:val="24"/>
      <w:szCs w:val="20"/>
    </w:rPr>
  </w:style>
  <w:style w:type="paragraph" w:styleId="78">
    <w:name w:val="List Continue 2"/>
    <w:basedOn w:val="1"/>
    <w:qFormat/>
    <w:uiPriority w:val="0"/>
    <w:pPr>
      <w:adjustRightInd w:val="0"/>
      <w:spacing w:after="120" w:line="360" w:lineRule="atLeast"/>
      <w:ind w:left="840" w:leftChars="400"/>
      <w:jc w:val="left"/>
      <w:textAlignment w:val="baseline"/>
    </w:pPr>
    <w:rPr>
      <w:kern w:val="0"/>
      <w:sz w:val="24"/>
      <w:szCs w:val="20"/>
    </w:rPr>
  </w:style>
  <w:style w:type="paragraph" w:styleId="79">
    <w:name w:val="Message Header"/>
    <w:basedOn w:val="1"/>
    <w:link w:val="327"/>
    <w:qFormat/>
    <w:uiPriority w:val="0"/>
    <w:pPr>
      <w:pBdr>
        <w:top w:val="single" w:color="auto" w:sz="6" w:space="1"/>
        <w:left w:val="single" w:color="auto" w:sz="6" w:space="1"/>
        <w:bottom w:val="single" w:color="auto" w:sz="6" w:space="1"/>
        <w:right w:val="single" w:color="auto" w:sz="6" w:space="1"/>
      </w:pBdr>
      <w:shd w:val="pct20" w:color="auto" w:fill="auto"/>
      <w:tabs>
        <w:tab w:val="left" w:pos="1095"/>
      </w:tabs>
      <w:ind w:left="1080" w:leftChars="500" w:hanging="1080" w:hangingChars="500"/>
    </w:pPr>
    <w:rPr>
      <w:rFonts w:ascii="Arial" w:hAnsi="Arial"/>
      <w:sz w:val="24"/>
    </w:rPr>
  </w:style>
  <w:style w:type="paragraph" w:styleId="80">
    <w:name w:val="HTML Preformatted"/>
    <w:basedOn w:val="1"/>
    <w:link w:val="292"/>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81">
    <w:name w:val="Normal (Web)"/>
    <w:basedOn w:val="1"/>
    <w:link w:val="359"/>
    <w:unhideWhenUsed/>
    <w:qFormat/>
    <w:uiPriority w:val="0"/>
    <w:pPr>
      <w:widowControl/>
      <w:spacing w:before="100" w:beforeAutospacing="1" w:after="100" w:afterAutospacing="1"/>
      <w:jc w:val="left"/>
    </w:pPr>
    <w:rPr>
      <w:rFonts w:ascii="宋体" w:hAnsi="宋体" w:cs="宋体"/>
      <w:kern w:val="0"/>
      <w:sz w:val="24"/>
    </w:rPr>
  </w:style>
  <w:style w:type="paragraph" w:styleId="82">
    <w:name w:val="List Continue 3"/>
    <w:basedOn w:val="1"/>
    <w:qFormat/>
    <w:uiPriority w:val="0"/>
    <w:pPr>
      <w:adjustRightInd w:val="0"/>
      <w:spacing w:after="120" w:line="360" w:lineRule="atLeast"/>
      <w:ind w:left="1260" w:leftChars="600"/>
      <w:jc w:val="left"/>
      <w:textAlignment w:val="baseline"/>
    </w:pPr>
    <w:rPr>
      <w:kern w:val="0"/>
      <w:sz w:val="24"/>
      <w:szCs w:val="20"/>
    </w:rPr>
  </w:style>
  <w:style w:type="paragraph" w:styleId="83">
    <w:name w:val="index 2"/>
    <w:basedOn w:val="1"/>
    <w:next w:val="1"/>
    <w:qFormat/>
    <w:uiPriority w:val="0"/>
    <w:pPr>
      <w:ind w:left="200" w:leftChars="200"/>
    </w:pPr>
    <w:rPr>
      <w:szCs w:val="20"/>
    </w:rPr>
  </w:style>
  <w:style w:type="paragraph" w:styleId="84">
    <w:name w:val="Title"/>
    <w:basedOn w:val="1"/>
    <w:next w:val="1"/>
    <w:link w:val="237"/>
    <w:qFormat/>
    <w:uiPriority w:val="0"/>
    <w:pPr>
      <w:jc w:val="center"/>
      <w:outlineLvl w:val="0"/>
    </w:pPr>
    <w:rPr>
      <w:b/>
      <w:sz w:val="32"/>
      <w:szCs w:val="20"/>
    </w:rPr>
  </w:style>
  <w:style w:type="paragraph" w:styleId="85">
    <w:name w:val="annotation subject"/>
    <w:basedOn w:val="28"/>
    <w:next w:val="28"/>
    <w:link w:val="293"/>
    <w:qFormat/>
    <w:uiPriority w:val="99"/>
    <w:rPr>
      <w:b/>
      <w:bCs/>
    </w:rPr>
  </w:style>
  <w:style w:type="paragraph" w:styleId="86">
    <w:name w:val="Body Text First Indent"/>
    <w:basedOn w:val="34"/>
    <w:link w:val="343"/>
    <w:qFormat/>
    <w:uiPriority w:val="0"/>
    <w:pPr>
      <w:spacing w:before="0" w:after="120" w:line="240" w:lineRule="auto"/>
      <w:ind w:firstLine="420" w:firstLineChars="100"/>
    </w:pPr>
    <w:rPr>
      <w:sz w:val="21"/>
    </w:rPr>
  </w:style>
  <w:style w:type="paragraph" w:styleId="87">
    <w:name w:val="Body Text First Indent 2"/>
    <w:basedOn w:val="35"/>
    <w:link w:val="294"/>
    <w:qFormat/>
    <w:uiPriority w:val="0"/>
    <w:pPr>
      <w:spacing w:after="120" w:line="480" w:lineRule="exact"/>
      <w:ind w:left="420" w:leftChars="200" w:firstLine="420" w:firstLineChars="200"/>
    </w:pPr>
    <w:rPr>
      <w:szCs w:val="20"/>
    </w:rPr>
  </w:style>
  <w:style w:type="table" w:styleId="89">
    <w:name w:val="Table Grid"/>
    <w:basedOn w:val="88"/>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90">
    <w:name w:val="Medium Grid 1 Accent 2"/>
    <w:basedOn w:val="88"/>
    <w:qFormat/>
    <w:uiPriority w:val="0"/>
    <w:rPr>
      <w:kern w:val="2"/>
      <w:sz w:val="21"/>
      <w:szCs w:val="24"/>
    </w:rPr>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firstRow">
      <w:rPr>
        <w:b/>
        <w:bCs/>
      </w:rPr>
    </w:tblStylePr>
    <w:tblStylePr w:type="lastRow">
      <w:rPr>
        <w:b/>
        <w:bCs/>
      </w:rPr>
      <w:tblPr/>
      <w:tcPr>
        <w:tcBorders>
          <w:top w:val="single" w:color="CF7B79" w:sz="18" w:space="0"/>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92">
    <w:name w:val="Strong"/>
    <w:qFormat/>
    <w:uiPriority w:val="0"/>
    <w:rPr>
      <w:b/>
      <w:bCs/>
    </w:rPr>
  </w:style>
  <w:style w:type="character" w:styleId="93">
    <w:name w:val="endnote reference"/>
    <w:qFormat/>
    <w:uiPriority w:val="0"/>
    <w:rPr>
      <w:vertAlign w:val="superscript"/>
    </w:rPr>
  </w:style>
  <w:style w:type="character" w:styleId="94">
    <w:name w:val="page number"/>
    <w:basedOn w:val="91"/>
    <w:qFormat/>
    <w:uiPriority w:val="99"/>
  </w:style>
  <w:style w:type="character" w:styleId="95">
    <w:name w:val="FollowedHyperlink"/>
    <w:qFormat/>
    <w:uiPriority w:val="99"/>
    <w:rPr>
      <w:color w:val="800080"/>
      <w:u w:val="single"/>
    </w:rPr>
  </w:style>
  <w:style w:type="character" w:styleId="96">
    <w:name w:val="Emphasis"/>
    <w:qFormat/>
    <w:uiPriority w:val="0"/>
    <w:rPr>
      <w:color w:val="CC0033"/>
    </w:rPr>
  </w:style>
  <w:style w:type="character" w:styleId="97">
    <w:name w:val="line number"/>
    <w:basedOn w:val="91"/>
    <w:qFormat/>
    <w:uiPriority w:val="0"/>
  </w:style>
  <w:style w:type="character" w:styleId="98">
    <w:name w:val="HTML Typewriter"/>
    <w:qFormat/>
    <w:uiPriority w:val="0"/>
    <w:rPr>
      <w:rFonts w:ascii="黑体" w:hAnsi="Courier New" w:eastAsia="黑体" w:cs="Courier New"/>
      <w:sz w:val="20"/>
      <w:szCs w:val="20"/>
    </w:rPr>
  </w:style>
  <w:style w:type="character" w:styleId="99">
    <w:name w:val="Hyperlink"/>
    <w:basedOn w:val="91"/>
    <w:qFormat/>
    <w:uiPriority w:val="99"/>
    <w:rPr>
      <w:color w:val="0000FF"/>
      <w:u w:val="single"/>
    </w:rPr>
  </w:style>
  <w:style w:type="character" w:styleId="100">
    <w:name w:val="annotation reference"/>
    <w:qFormat/>
    <w:uiPriority w:val="99"/>
    <w:rPr>
      <w:sz w:val="21"/>
      <w:szCs w:val="21"/>
    </w:rPr>
  </w:style>
  <w:style w:type="character" w:styleId="101">
    <w:name w:val="HTML Cite"/>
    <w:qFormat/>
    <w:uiPriority w:val="0"/>
    <w:rPr>
      <w:i/>
      <w:iCs/>
    </w:rPr>
  </w:style>
  <w:style w:type="character" w:styleId="102">
    <w:name w:val="footnote reference"/>
    <w:qFormat/>
    <w:uiPriority w:val="0"/>
    <w:rPr>
      <w:vertAlign w:val="superscript"/>
    </w:rPr>
  </w:style>
  <w:style w:type="paragraph" w:customStyle="1" w:styleId="103">
    <w:name w:val="正文缩进1"/>
    <w:basedOn w:val="1"/>
    <w:link w:val="119"/>
    <w:qFormat/>
    <w:uiPriority w:val="0"/>
    <w:pPr>
      <w:widowControl/>
      <w:adjustRightInd w:val="0"/>
      <w:snapToGrid w:val="0"/>
      <w:spacing w:line="480" w:lineRule="exact"/>
      <w:ind w:firstLine="567"/>
    </w:pPr>
    <w:rPr>
      <w:rFonts w:ascii="宋体"/>
      <w:snapToGrid w:val="0"/>
      <w:color w:val="000000"/>
      <w:kern w:val="28"/>
      <w:sz w:val="28"/>
      <w:szCs w:val="20"/>
    </w:rPr>
  </w:style>
  <w:style w:type="paragraph" w:styleId="104">
    <w:name w:val="No Spacing"/>
    <w:basedOn w:val="1"/>
    <w:qFormat/>
    <w:uiPriority w:val="0"/>
  </w:style>
  <w:style w:type="character" w:customStyle="1" w:styleId="105">
    <w:name w:val="标题 2 字符"/>
    <w:link w:val="4"/>
    <w:qFormat/>
    <w:uiPriority w:val="0"/>
    <w:rPr>
      <w:rFonts w:ascii="Arial" w:hAnsi="Arial" w:eastAsia="黑体"/>
      <w:b/>
      <w:sz w:val="30"/>
      <w:lang w:val="en-US" w:eastAsia="zh-CN" w:bidi="ar-SA"/>
    </w:rPr>
  </w:style>
  <w:style w:type="character" w:customStyle="1" w:styleId="106">
    <w:name w:val="标题 3 字符"/>
    <w:link w:val="6"/>
    <w:qFormat/>
    <w:uiPriority w:val="0"/>
    <w:rPr>
      <w:rFonts w:ascii="宋体" w:eastAsia="宋体"/>
      <w:b/>
      <w:sz w:val="24"/>
      <w:u w:val="single"/>
      <w:lang w:val="en-US" w:eastAsia="zh-CN" w:bidi="ar-SA"/>
    </w:rPr>
  </w:style>
  <w:style w:type="character" w:customStyle="1" w:styleId="107">
    <w:name w:val="c21"/>
    <w:qFormat/>
    <w:uiPriority w:val="0"/>
    <w:rPr>
      <w:rFonts w:hint="default" w:ascii="ˎ̥" w:hAnsi="ˎ̥"/>
      <w:color w:val="000000"/>
      <w:sz w:val="20"/>
      <w:szCs w:val="20"/>
      <w:u w:val="none"/>
    </w:rPr>
  </w:style>
  <w:style w:type="character" w:customStyle="1" w:styleId="108">
    <w:name w:val="title4"/>
    <w:qFormat/>
    <w:uiPriority w:val="0"/>
    <w:rPr>
      <w:b/>
      <w:bCs/>
      <w:color w:val="1D87B3"/>
      <w:sz w:val="15"/>
      <w:szCs w:val="15"/>
    </w:rPr>
  </w:style>
  <w:style w:type="character" w:customStyle="1" w:styleId="109">
    <w:name w:val="标题 2 Char Char"/>
    <w:qFormat/>
    <w:uiPriority w:val="0"/>
    <w:rPr>
      <w:rFonts w:ascii="Arial" w:hAnsi="Arial" w:eastAsia="黑体"/>
      <w:b/>
      <w:bCs/>
      <w:kern w:val="2"/>
      <w:sz w:val="32"/>
      <w:szCs w:val="32"/>
      <w:lang w:val="en-US" w:eastAsia="zh-CN" w:bidi="ar-SA"/>
    </w:rPr>
  </w:style>
  <w:style w:type="character" w:customStyle="1" w:styleId="110">
    <w:name w:val="black1"/>
    <w:qFormat/>
    <w:uiPriority w:val="0"/>
    <w:rPr>
      <w:color w:val="000000"/>
    </w:rPr>
  </w:style>
  <w:style w:type="character" w:customStyle="1" w:styleId="111">
    <w:name w:val="street-address"/>
    <w:basedOn w:val="91"/>
    <w:qFormat/>
    <w:uiPriority w:val="0"/>
  </w:style>
  <w:style w:type="character" w:customStyle="1" w:styleId="112">
    <w:name w:val="locality"/>
    <w:basedOn w:val="91"/>
    <w:qFormat/>
    <w:uiPriority w:val="0"/>
  </w:style>
  <w:style w:type="character" w:customStyle="1" w:styleId="113">
    <w:name w:val="正文缩进 字符"/>
    <w:link w:val="5"/>
    <w:qFormat/>
    <w:uiPriority w:val="0"/>
    <w:rPr>
      <w:rFonts w:ascii="宋体" w:eastAsia="宋体"/>
      <w:kern w:val="2"/>
      <w:sz w:val="24"/>
      <w:szCs w:val="24"/>
      <w:lang w:val="en-US" w:eastAsia="zh-CN" w:bidi="ar-SA"/>
    </w:rPr>
  </w:style>
  <w:style w:type="character" w:customStyle="1" w:styleId="114">
    <w:name w:val="正文文本缩进 Char1"/>
    <w:link w:val="115"/>
    <w:qFormat/>
    <w:uiPriority w:val="0"/>
    <w:rPr>
      <w:rFonts w:ascii="宋体" w:hAnsi="宋体" w:eastAsia="宋体"/>
      <w:sz w:val="24"/>
      <w:szCs w:val="24"/>
      <w:lang w:bidi="ar-SA"/>
    </w:rPr>
  </w:style>
  <w:style w:type="paragraph" w:customStyle="1" w:styleId="115">
    <w:name w:val="正文文本缩进1"/>
    <w:basedOn w:val="1"/>
    <w:link w:val="114"/>
    <w:qFormat/>
    <w:uiPriority w:val="0"/>
    <w:pPr>
      <w:spacing w:line="480" w:lineRule="exact"/>
      <w:ind w:firstLine="480" w:firstLineChars="200"/>
    </w:pPr>
    <w:rPr>
      <w:rFonts w:ascii="宋体" w:hAnsi="宋体"/>
      <w:kern w:val="0"/>
      <w:sz w:val="24"/>
    </w:rPr>
  </w:style>
  <w:style w:type="character" w:customStyle="1" w:styleId="116">
    <w:name w:val="Char Char11"/>
    <w:qFormat/>
    <w:uiPriority w:val="0"/>
    <w:rPr>
      <w:rFonts w:ascii="宋体" w:eastAsia="宋体"/>
      <w:b/>
      <w:sz w:val="24"/>
      <w:u w:val="single"/>
      <w:lang w:val="en-US" w:eastAsia="zh-CN" w:bidi="ar-SA"/>
    </w:rPr>
  </w:style>
  <w:style w:type="character" w:customStyle="1" w:styleId="117">
    <w:name w:val="txt"/>
    <w:basedOn w:val="91"/>
    <w:qFormat/>
    <w:uiPriority w:val="0"/>
  </w:style>
  <w:style w:type="character" w:customStyle="1" w:styleId="118">
    <w:name w:val="正文文本缩进 字符"/>
    <w:link w:val="35"/>
    <w:qFormat/>
    <w:uiPriority w:val="99"/>
    <w:rPr>
      <w:rFonts w:eastAsia="宋体"/>
      <w:kern w:val="2"/>
      <w:sz w:val="24"/>
      <w:szCs w:val="24"/>
      <w:lang w:val="en-US" w:eastAsia="zh-CN" w:bidi="ar-SA"/>
    </w:rPr>
  </w:style>
  <w:style w:type="character" w:customStyle="1" w:styleId="119">
    <w:name w:val="正文缩进 Char Char"/>
    <w:link w:val="103"/>
    <w:qFormat/>
    <w:uiPriority w:val="0"/>
    <w:rPr>
      <w:rFonts w:ascii="宋体" w:eastAsia="宋体"/>
      <w:snapToGrid w:val="0"/>
      <w:color w:val="000000"/>
      <w:kern w:val="28"/>
      <w:sz w:val="28"/>
      <w:lang w:bidi="ar-SA"/>
    </w:rPr>
  </w:style>
  <w:style w:type="character" w:customStyle="1" w:styleId="120">
    <w:name w:val="普通文字1 Char1"/>
    <w:qFormat/>
    <w:uiPriority w:val="0"/>
    <w:rPr>
      <w:rFonts w:ascii="宋体" w:hAnsi="Courier New" w:eastAsia="宋体"/>
      <w:kern w:val="2"/>
      <w:sz w:val="21"/>
      <w:lang w:val="en-US" w:eastAsia="zh-CN" w:bidi="ar-SA"/>
    </w:rPr>
  </w:style>
  <w:style w:type="character" w:customStyle="1" w:styleId="121">
    <w:name w:val="chanpin1"/>
    <w:qFormat/>
    <w:uiPriority w:val="0"/>
    <w:rPr>
      <w:rFonts w:hint="default" w:ascii="ˎ̥" w:hAnsi="ˎ̥"/>
      <w:color w:val="000000"/>
      <w:sz w:val="20"/>
      <w:szCs w:val="20"/>
      <w:u w:val="none"/>
    </w:rPr>
  </w:style>
  <w:style w:type="character" w:customStyle="1" w:styleId="122">
    <w:name w:val="列表段落 字符"/>
    <w:link w:val="123"/>
    <w:qFormat/>
    <w:uiPriority w:val="34"/>
    <w:rPr>
      <w:rFonts w:ascii="Calibri" w:hAnsi="Calibri" w:eastAsia="宋体"/>
      <w:kern w:val="2"/>
      <w:sz w:val="21"/>
      <w:szCs w:val="22"/>
      <w:lang w:val="en-US" w:eastAsia="zh-CN" w:bidi="ar-SA"/>
    </w:rPr>
  </w:style>
  <w:style w:type="paragraph" w:styleId="123">
    <w:name w:val="List Paragraph"/>
    <w:basedOn w:val="1"/>
    <w:link w:val="122"/>
    <w:qFormat/>
    <w:uiPriority w:val="34"/>
    <w:pPr>
      <w:ind w:firstLine="420" w:firstLineChars="200"/>
    </w:pPr>
    <w:rPr>
      <w:rFonts w:ascii="Calibri" w:hAnsi="Calibri"/>
      <w:szCs w:val="22"/>
    </w:rPr>
  </w:style>
  <w:style w:type="character" w:customStyle="1" w:styleId="124">
    <w:name w:val="标题 3 Char Char"/>
    <w:qFormat/>
    <w:uiPriority w:val="0"/>
    <w:rPr>
      <w:rFonts w:eastAsia="宋体"/>
      <w:b/>
      <w:bCs/>
      <w:kern w:val="2"/>
      <w:sz w:val="32"/>
      <w:szCs w:val="32"/>
      <w:lang w:val="en-US" w:eastAsia="zh-CN" w:bidi="ar-SA"/>
    </w:rPr>
  </w:style>
  <w:style w:type="character" w:customStyle="1" w:styleId="125">
    <w:name w:val="段1 Char"/>
    <w:qFormat/>
    <w:uiPriority w:val="0"/>
    <w:rPr>
      <w:rFonts w:ascii="宋体" w:eastAsia="宋体"/>
      <w:sz w:val="24"/>
      <w:lang w:val="en-US" w:eastAsia="zh-CN" w:bidi="ar-SA"/>
    </w:rPr>
  </w:style>
  <w:style w:type="character" w:customStyle="1" w:styleId="126">
    <w:name w:val="页眉 字符"/>
    <w:link w:val="57"/>
    <w:qFormat/>
    <w:uiPriority w:val="99"/>
    <w:rPr>
      <w:rFonts w:eastAsia="宋体"/>
      <w:kern w:val="2"/>
      <w:sz w:val="18"/>
      <w:szCs w:val="18"/>
      <w:lang w:val="en-US" w:eastAsia="zh-CN" w:bidi="ar-SA"/>
    </w:rPr>
  </w:style>
  <w:style w:type="character" w:customStyle="1" w:styleId="127">
    <w:name w:val="chanpin拷贝"/>
    <w:basedOn w:val="91"/>
    <w:qFormat/>
    <w:uiPriority w:val="0"/>
  </w:style>
  <w:style w:type="character" w:customStyle="1" w:styleId="128">
    <w:name w:val="纯文本 Char1"/>
    <w:qFormat/>
    <w:uiPriority w:val="0"/>
    <w:rPr>
      <w:rFonts w:ascii="宋体" w:hAnsi="Courier New" w:eastAsia="宋体"/>
      <w:kern w:val="2"/>
      <w:sz w:val="21"/>
      <w:lang w:val="en-US" w:eastAsia="zh-CN" w:bidi="ar-SA"/>
    </w:rPr>
  </w:style>
  <w:style w:type="character" w:customStyle="1" w:styleId="129">
    <w:name w:val="apple-style-span"/>
    <w:qFormat/>
    <w:uiPriority w:val="0"/>
    <w:rPr>
      <w:rFonts w:cs="Times New Roman"/>
    </w:rPr>
  </w:style>
  <w:style w:type="paragraph" w:customStyle="1" w:styleId="130">
    <w:name w:val="二级条标题"/>
    <w:basedOn w:val="131"/>
    <w:next w:val="1"/>
    <w:qFormat/>
    <w:uiPriority w:val="0"/>
    <w:pPr>
      <w:numPr>
        <w:numId w:val="0"/>
      </w:numPr>
      <w:tabs>
        <w:tab w:val="left" w:pos="360"/>
        <w:tab w:val="left" w:pos="840"/>
      </w:tabs>
      <w:ind w:hanging="840"/>
      <w:outlineLvl w:val="2"/>
    </w:pPr>
    <w:rPr>
      <w:rFonts w:ascii="宋体" w:eastAsia="宋体"/>
      <w:b w:val="0"/>
    </w:rPr>
  </w:style>
  <w:style w:type="paragraph" w:customStyle="1" w:styleId="131">
    <w:name w:val="一级条标题"/>
    <w:basedOn w:val="132"/>
    <w:next w:val="1"/>
    <w:qFormat/>
    <w:uiPriority w:val="0"/>
    <w:pPr>
      <w:numPr>
        <w:ilvl w:val="1"/>
      </w:numPr>
      <w:tabs>
        <w:tab w:val="left" w:pos="360"/>
        <w:tab w:val="left" w:pos="840"/>
      </w:tabs>
      <w:ind w:left="0" w:hanging="840"/>
      <w:outlineLvl w:val="1"/>
    </w:pPr>
  </w:style>
  <w:style w:type="paragraph" w:customStyle="1" w:styleId="132">
    <w:name w:val="章标题"/>
    <w:next w:val="1"/>
    <w:qFormat/>
    <w:uiPriority w:val="0"/>
    <w:pPr>
      <w:numPr>
        <w:ilvl w:val="0"/>
        <w:numId w:val="4"/>
      </w:numPr>
      <w:spacing w:before="156" w:beforeLines="50" w:after="156" w:afterLines="50" w:line="460" w:lineRule="exact"/>
      <w:ind w:left="0"/>
      <w:jc w:val="both"/>
      <w:outlineLvl w:val="0"/>
    </w:pPr>
    <w:rPr>
      <w:rFonts w:ascii="黑体" w:hAnsi="Times New Roman" w:eastAsia="黑体" w:cs="Times New Roman"/>
      <w:b/>
      <w:sz w:val="28"/>
      <w:lang w:val="en-US" w:eastAsia="zh-CN" w:bidi="ar-SA"/>
    </w:rPr>
  </w:style>
  <w:style w:type="paragraph" w:customStyle="1" w:styleId="133">
    <w:name w:val="font7"/>
    <w:basedOn w:val="1"/>
    <w:qFormat/>
    <w:uiPriority w:val="0"/>
    <w:pPr>
      <w:widowControl/>
      <w:spacing w:before="100" w:beforeAutospacing="1" w:after="100" w:afterAutospacing="1"/>
      <w:jc w:val="left"/>
    </w:pPr>
    <w:rPr>
      <w:rFonts w:eastAsia="Arial Unicode MS"/>
      <w:b/>
      <w:bCs/>
      <w:color w:val="000000"/>
      <w:kern w:val="0"/>
      <w:sz w:val="20"/>
      <w:szCs w:val="20"/>
    </w:rPr>
  </w:style>
  <w:style w:type="paragraph" w:customStyle="1" w:styleId="134">
    <w:name w:val="字元 字元"/>
    <w:basedOn w:val="1"/>
    <w:qFormat/>
    <w:uiPriority w:val="0"/>
    <w:rPr>
      <w:rFonts w:ascii="Tahoma" w:hAnsi="Tahoma"/>
      <w:sz w:val="24"/>
      <w:szCs w:val="20"/>
    </w:rPr>
  </w:style>
  <w:style w:type="paragraph" w:customStyle="1" w:styleId="135">
    <w:name w:val="Char3 Char Char Char"/>
    <w:basedOn w:val="1"/>
    <w:qFormat/>
    <w:uiPriority w:val="0"/>
    <w:rPr>
      <w:rFonts w:ascii="Tahoma" w:hAnsi="Tahoma"/>
      <w:sz w:val="24"/>
      <w:szCs w:val="20"/>
    </w:rPr>
  </w:style>
  <w:style w:type="paragraph" w:customStyle="1" w:styleId="136">
    <w:name w:val="font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137">
    <w:name w:val="项目编号2"/>
    <w:basedOn w:val="138"/>
    <w:qFormat/>
    <w:uiPriority w:val="0"/>
    <w:pPr>
      <w:numPr>
        <w:numId w:val="5"/>
      </w:numPr>
    </w:pPr>
  </w:style>
  <w:style w:type="paragraph" w:customStyle="1" w:styleId="138">
    <w:name w:val="项目编号1"/>
    <w:basedOn w:val="1"/>
    <w:qFormat/>
    <w:uiPriority w:val="0"/>
    <w:pPr>
      <w:numPr>
        <w:ilvl w:val="0"/>
        <w:numId w:val="6"/>
      </w:numPr>
      <w:spacing w:before="100" w:beforeAutospacing="1" w:after="100" w:afterAutospacing="1" w:line="360" w:lineRule="auto"/>
    </w:pPr>
    <w:rPr>
      <w:sz w:val="24"/>
    </w:rPr>
  </w:style>
  <w:style w:type="paragraph" w:customStyle="1" w:styleId="139">
    <w:name w:val="图中文字"/>
    <w:basedOn w:val="1"/>
    <w:qFormat/>
    <w:uiPriority w:val="0"/>
    <w:pPr>
      <w:adjustRightInd w:val="0"/>
      <w:snapToGrid w:val="0"/>
      <w:spacing w:line="0" w:lineRule="atLeast"/>
      <w:jc w:val="center"/>
    </w:pPr>
    <w:rPr>
      <w:sz w:val="24"/>
      <w:szCs w:val="20"/>
    </w:rPr>
  </w:style>
  <w:style w:type="paragraph" w:customStyle="1" w:styleId="140">
    <w:name w:val="xl46"/>
    <w:basedOn w:val="1"/>
    <w:qFormat/>
    <w:uiPriority w:val="0"/>
    <w:pPr>
      <w:widowControl/>
      <w:pBdr>
        <w:top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41">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Unicode MS" w:hAnsi="Arial Unicode MS" w:eastAsia="Arial Unicode MS" w:cs="Arial Unicode MS"/>
      <w:b/>
      <w:bCs/>
      <w:color w:val="000000"/>
      <w:kern w:val="0"/>
      <w:sz w:val="20"/>
      <w:szCs w:val="20"/>
    </w:rPr>
  </w:style>
  <w:style w:type="paragraph" w:customStyle="1" w:styleId="142">
    <w:name w:val="Char2"/>
    <w:basedOn w:val="1"/>
    <w:qFormat/>
    <w:uiPriority w:val="0"/>
    <w:rPr>
      <w:rFonts w:ascii="Tahoma" w:hAnsi="Tahoma"/>
      <w:sz w:val="24"/>
      <w:szCs w:val="20"/>
    </w:rPr>
  </w:style>
  <w:style w:type="paragraph" w:customStyle="1" w:styleId="143">
    <w:name w:val="xl35"/>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44">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45">
    <w:name w:val="xl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16"/>
      <w:szCs w:val="16"/>
    </w:rPr>
  </w:style>
  <w:style w:type="paragraph" w:customStyle="1" w:styleId="146">
    <w:name w:val="xl43"/>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47">
    <w:name w:val="background1"/>
    <w:basedOn w:val="1"/>
    <w:qFormat/>
    <w:uiPriority w:val="0"/>
    <w:pPr>
      <w:widowControl/>
      <w:spacing w:before="100" w:beforeAutospacing="1" w:after="100" w:afterAutospacing="1"/>
      <w:jc w:val="left"/>
    </w:pPr>
    <w:rPr>
      <w:rFonts w:ascii="宋体" w:hAnsi="宋体" w:cs="宋体"/>
      <w:kern w:val="0"/>
      <w:sz w:val="24"/>
    </w:rPr>
  </w:style>
  <w:style w:type="paragraph" w:customStyle="1" w:styleId="148">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149">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16"/>
      <w:szCs w:val="16"/>
    </w:rPr>
  </w:style>
  <w:style w:type="paragraph" w:customStyle="1" w:styleId="150">
    <w:name w:val="xl36"/>
    <w:basedOn w:val="1"/>
    <w:qFormat/>
    <w:uiPriority w:val="0"/>
    <w:pPr>
      <w:widowControl/>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51">
    <w:name w:val="正文 + 宋体"/>
    <w:basedOn w:val="1"/>
    <w:qFormat/>
    <w:uiPriority w:val="0"/>
    <w:pPr>
      <w:widowControl/>
      <w:ind w:left="360" w:hanging="360"/>
      <w:jc w:val="left"/>
    </w:pPr>
    <w:rPr>
      <w:rFonts w:ascii="宋体" w:hAnsi="宋体" w:cs="宋体"/>
      <w:b/>
      <w:bCs/>
      <w:color w:val="000000"/>
      <w:kern w:val="0"/>
      <w:sz w:val="18"/>
      <w:szCs w:val="18"/>
    </w:rPr>
  </w:style>
  <w:style w:type="paragraph" w:customStyle="1" w:styleId="152">
    <w:name w:val="正文列项_数字"/>
    <w:basedOn w:val="1"/>
    <w:qFormat/>
    <w:uiPriority w:val="0"/>
    <w:pPr>
      <w:numPr>
        <w:ilvl w:val="7"/>
        <w:numId w:val="4"/>
      </w:numPr>
      <w:tabs>
        <w:tab w:val="clear" w:pos="860"/>
      </w:tabs>
      <w:autoSpaceDE w:val="0"/>
      <w:autoSpaceDN w:val="0"/>
      <w:spacing w:line="460" w:lineRule="exact"/>
      <w:ind w:left="680" w:leftChars="530" w:hanging="150" w:hangingChars="150"/>
      <w:outlineLvl w:val="7"/>
    </w:pPr>
    <w:rPr>
      <w:rFonts w:ascii="宋体"/>
      <w:kern w:val="0"/>
      <w:sz w:val="28"/>
      <w:szCs w:val="20"/>
    </w:rPr>
  </w:style>
  <w:style w:type="paragraph" w:customStyle="1" w:styleId="153">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54">
    <w:name w:val="xl37"/>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55">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color w:val="000000"/>
      <w:kern w:val="0"/>
      <w:sz w:val="20"/>
      <w:szCs w:val="20"/>
    </w:rPr>
  </w:style>
  <w:style w:type="paragraph" w:customStyle="1" w:styleId="156">
    <w:name w:val="font8"/>
    <w:basedOn w:val="1"/>
    <w:qFormat/>
    <w:uiPriority w:val="0"/>
    <w:pPr>
      <w:widowControl/>
      <w:spacing w:before="100" w:beforeAutospacing="1" w:after="100" w:afterAutospacing="1"/>
      <w:jc w:val="left"/>
    </w:pPr>
    <w:rPr>
      <w:kern w:val="0"/>
      <w:sz w:val="36"/>
      <w:szCs w:val="36"/>
    </w:rPr>
  </w:style>
  <w:style w:type="paragraph" w:customStyle="1" w:styleId="157">
    <w:name w:val="Char"/>
    <w:basedOn w:val="1"/>
    <w:qFormat/>
    <w:uiPriority w:val="0"/>
    <w:pPr>
      <w:tabs>
        <w:tab w:val="left" w:pos="360"/>
      </w:tabs>
    </w:pPr>
    <w:rPr>
      <w:sz w:val="24"/>
    </w:rPr>
  </w:style>
  <w:style w:type="paragraph" w:customStyle="1" w:styleId="158">
    <w:name w:val="Char Char Char Char Char Char Char Char Char Char Char Char Char Char Char Char"/>
    <w:basedOn w:val="1"/>
    <w:qFormat/>
    <w:uiPriority w:val="0"/>
    <w:pPr>
      <w:widowControl/>
      <w:spacing w:after="160" w:line="240" w:lineRule="exact"/>
      <w:jc w:val="center"/>
    </w:pPr>
    <w:rPr>
      <w:rFonts w:ascii="宋体" w:hAnsi="宋体"/>
      <w:b/>
      <w:kern w:val="0"/>
      <w:sz w:val="30"/>
      <w:szCs w:val="30"/>
      <w:lang w:eastAsia="en-US"/>
    </w:rPr>
  </w:style>
  <w:style w:type="paragraph" w:customStyle="1" w:styleId="159">
    <w:name w:val="xl4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60">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61">
    <w:name w:val="Char Char1"/>
    <w:basedOn w:val="26"/>
    <w:qFormat/>
    <w:uiPriority w:val="0"/>
    <w:rPr>
      <w:rFonts w:ascii="Tahoma" w:hAnsi="Tahoma"/>
      <w:sz w:val="24"/>
    </w:rPr>
  </w:style>
  <w:style w:type="paragraph" w:customStyle="1" w:styleId="162">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2"/>
      <w:szCs w:val="22"/>
    </w:rPr>
  </w:style>
  <w:style w:type="paragraph" w:customStyle="1" w:styleId="163">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64">
    <w:name w:val="xl4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65">
    <w:name w:val="样式 宋体 五号 行距: 单倍行距"/>
    <w:basedOn w:val="1"/>
    <w:qFormat/>
    <w:uiPriority w:val="0"/>
    <w:pPr>
      <w:adjustRightInd w:val="0"/>
      <w:jc w:val="left"/>
      <w:textAlignment w:val="baseline"/>
    </w:pPr>
    <w:rPr>
      <w:rFonts w:ascii="宋体" w:hAnsi="宋体"/>
      <w:kern w:val="0"/>
      <w:szCs w:val="20"/>
    </w:rPr>
  </w:style>
  <w:style w:type="paragraph" w:customStyle="1" w:styleId="166">
    <w:name w:val="Char1 Char Char Char1"/>
    <w:basedOn w:val="1"/>
    <w:qFormat/>
    <w:uiPriority w:val="0"/>
    <w:rPr>
      <w:rFonts w:ascii="Tahoma" w:hAnsi="Tahoma" w:cs="仿宋_GB2312"/>
      <w:sz w:val="24"/>
      <w:szCs w:val="28"/>
    </w:rPr>
  </w:style>
  <w:style w:type="paragraph" w:customStyle="1" w:styleId="167">
    <w:name w:val="四级条标题"/>
    <w:basedOn w:val="168"/>
    <w:next w:val="1"/>
    <w:qFormat/>
    <w:uiPriority w:val="0"/>
    <w:pPr>
      <w:numPr>
        <w:ilvl w:val="4"/>
      </w:numPr>
      <w:tabs>
        <w:tab w:val="left" w:pos="360"/>
        <w:tab w:val="left" w:pos="840"/>
      </w:tabs>
      <w:ind w:left="0" w:hanging="840"/>
      <w:outlineLvl w:val="4"/>
    </w:pPr>
  </w:style>
  <w:style w:type="paragraph" w:customStyle="1" w:styleId="168">
    <w:name w:val="三级条标题"/>
    <w:basedOn w:val="130"/>
    <w:next w:val="1"/>
    <w:qFormat/>
    <w:uiPriority w:val="0"/>
    <w:pPr>
      <w:numPr>
        <w:ilvl w:val="3"/>
        <w:numId w:val="4"/>
      </w:numPr>
      <w:ind w:left="0" w:hanging="840"/>
      <w:outlineLvl w:val="3"/>
    </w:pPr>
  </w:style>
  <w:style w:type="paragraph" w:customStyle="1" w:styleId="169">
    <w:name w:val="??"/>
    <w:qFormat/>
    <w:uiPriority w:val="0"/>
    <w:pPr>
      <w:widowControl w:val="0"/>
      <w:overflowPunct w:val="0"/>
      <w:autoSpaceDE w:val="0"/>
      <w:autoSpaceDN w:val="0"/>
      <w:adjustRightInd w:val="0"/>
      <w:jc w:val="both"/>
    </w:pPr>
    <w:rPr>
      <w:rFonts w:ascii="Times New Roman" w:hAnsi="Times New Roman" w:eastAsia="宋体" w:cs="Times New Roman"/>
      <w:kern w:val="2"/>
      <w:sz w:val="21"/>
      <w:lang w:val="en-US" w:eastAsia="en-US" w:bidi="ar-SA"/>
    </w:rPr>
  </w:style>
  <w:style w:type="paragraph" w:customStyle="1" w:styleId="170">
    <w:name w:val="样式 标题 2 + 宋体 五号 行距: 单倍行距"/>
    <w:basedOn w:val="4"/>
    <w:qFormat/>
    <w:uiPriority w:val="0"/>
    <w:pPr>
      <w:numPr>
        <w:ilvl w:val="1"/>
        <w:numId w:val="7"/>
      </w:numPr>
      <w:autoSpaceDE/>
      <w:autoSpaceDN/>
      <w:spacing w:before="260" w:after="260" w:line="240" w:lineRule="auto"/>
      <w:jc w:val="left"/>
      <w:textAlignment w:val="baseline"/>
    </w:pPr>
    <w:rPr>
      <w:rFonts w:ascii="宋体" w:hAnsi="宋体" w:eastAsia="宋体"/>
      <w:bCs/>
      <w:sz w:val="21"/>
    </w:rPr>
  </w:style>
  <w:style w:type="paragraph" w:customStyle="1" w:styleId="171">
    <w:name w:val="List Paragraph1"/>
    <w:basedOn w:val="1"/>
    <w:qFormat/>
    <w:uiPriority w:val="0"/>
    <w:pPr>
      <w:ind w:firstLine="420" w:firstLineChars="200"/>
    </w:pPr>
    <w:rPr>
      <w:rFonts w:ascii="Calibri" w:hAnsi="Calibri"/>
      <w:szCs w:val="22"/>
    </w:rPr>
  </w:style>
  <w:style w:type="paragraph" w:customStyle="1" w:styleId="172">
    <w:name w:val="项目符号1"/>
    <w:basedOn w:val="173"/>
    <w:qFormat/>
    <w:uiPriority w:val="0"/>
    <w:pPr>
      <w:ind w:left="-25" w:firstLine="0"/>
    </w:pPr>
  </w:style>
  <w:style w:type="paragraph" w:customStyle="1" w:styleId="173">
    <w:name w:val="正文文本样式"/>
    <w:basedOn w:val="1"/>
    <w:qFormat/>
    <w:uiPriority w:val="0"/>
    <w:pPr>
      <w:spacing w:line="360" w:lineRule="auto"/>
      <w:ind w:firstLine="482"/>
    </w:pPr>
    <w:rPr>
      <w:rFonts w:cs="宋体"/>
      <w:sz w:val="24"/>
      <w:szCs w:val="20"/>
    </w:rPr>
  </w:style>
  <w:style w:type="paragraph" w:customStyle="1" w:styleId="174">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0"/>
      <w:szCs w:val="20"/>
    </w:rPr>
  </w:style>
  <w:style w:type="paragraph" w:customStyle="1" w:styleId="175">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76">
    <w:name w:val="五级条标题"/>
    <w:basedOn w:val="167"/>
    <w:next w:val="1"/>
    <w:qFormat/>
    <w:uiPriority w:val="0"/>
    <w:pPr>
      <w:numPr>
        <w:ilvl w:val="5"/>
      </w:numPr>
      <w:ind w:left="0" w:hanging="840"/>
      <w:outlineLvl w:val="5"/>
    </w:pPr>
  </w:style>
  <w:style w:type="paragraph" w:customStyle="1" w:styleId="177">
    <w:name w:val="xl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2"/>
      <w:szCs w:val="22"/>
    </w:rPr>
  </w:style>
  <w:style w:type="paragraph" w:customStyle="1" w:styleId="178">
    <w:name w:val="文档正文"/>
    <w:basedOn w:val="1"/>
    <w:qFormat/>
    <w:uiPriority w:val="0"/>
    <w:pPr>
      <w:snapToGrid w:val="0"/>
      <w:spacing w:before="120" w:after="120" w:line="180" w:lineRule="auto"/>
    </w:pPr>
    <w:rPr>
      <w:rFonts w:ascii="Arial" w:hAnsi="Arial"/>
      <w:szCs w:val="20"/>
    </w:rPr>
  </w:style>
  <w:style w:type="paragraph" w:customStyle="1" w:styleId="179">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Arial Unicode MS"/>
      <w:color w:val="000000"/>
      <w:kern w:val="0"/>
      <w:sz w:val="20"/>
      <w:szCs w:val="20"/>
    </w:rPr>
  </w:style>
  <w:style w:type="paragraph" w:customStyle="1" w:styleId="180">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b/>
      <w:bCs/>
      <w:color w:val="000000"/>
      <w:kern w:val="0"/>
      <w:sz w:val="20"/>
      <w:szCs w:val="20"/>
    </w:rPr>
  </w:style>
  <w:style w:type="paragraph" w:customStyle="1" w:styleId="181">
    <w:name w:val="Char Char Char1 Char"/>
    <w:basedOn w:val="1"/>
    <w:qFormat/>
    <w:uiPriority w:val="0"/>
    <w:rPr>
      <w:rFonts w:ascii="Tahoma" w:hAnsi="Tahoma"/>
      <w:sz w:val="24"/>
      <w:szCs w:val="20"/>
    </w:rPr>
  </w:style>
  <w:style w:type="paragraph" w:customStyle="1" w:styleId="182">
    <w:name w:val="xl44"/>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183">
    <w:name w:val="1名"/>
    <w:basedOn w:val="1"/>
    <w:qFormat/>
    <w:uiPriority w:val="0"/>
    <w:pPr>
      <w:numPr>
        <w:ilvl w:val="0"/>
        <w:numId w:val="8"/>
      </w:numPr>
      <w:spacing w:before="120"/>
    </w:pPr>
    <w:rPr>
      <w:rFonts w:ascii="宋体"/>
      <w:sz w:val="28"/>
      <w:szCs w:val="20"/>
    </w:rPr>
  </w:style>
  <w:style w:type="paragraph" w:customStyle="1" w:styleId="184">
    <w:name w:val="font9"/>
    <w:basedOn w:val="1"/>
    <w:qFormat/>
    <w:uiPriority w:val="0"/>
    <w:pPr>
      <w:widowControl/>
      <w:spacing w:before="100" w:beforeAutospacing="1" w:after="100" w:afterAutospacing="1"/>
      <w:jc w:val="left"/>
    </w:pPr>
    <w:rPr>
      <w:rFonts w:hint="eastAsia" w:ascii="宋体" w:hAnsi="宋体" w:cs="Arial Unicode MS"/>
      <w:color w:val="000000"/>
      <w:kern w:val="0"/>
      <w:sz w:val="20"/>
      <w:szCs w:val="20"/>
    </w:rPr>
  </w:style>
  <w:style w:type="paragraph" w:customStyle="1" w:styleId="185">
    <w:name w:val="Char Char Char1 Char1"/>
    <w:basedOn w:val="1"/>
    <w:qFormat/>
    <w:uiPriority w:val="0"/>
    <w:rPr>
      <w:rFonts w:ascii="Tahoma" w:hAnsi="Tahoma"/>
      <w:sz w:val="24"/>
      <w:szCs w:val="20"/>
    </w:rPr>
  </w:style>
  <w:style w:type="paragraph" w:customStyle="1" w:styleId="186">
    <w:name w:val="Char Char Char Char Char Char Char Char Char Char"/>
    <w:basedOn w:val="1"/>
    <w:qFormat/>
    <w:uiPriority w:val="0"/>
  </w:style>
  <w:style w:type="paragraph" w:customStyle="1" w:styleId="187">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88">
    <w:name w:val="Char1"/>
    <w:basedOn w:val="1"/>
    <w:qFormat/>
    <w:uiPriority w:val="0"/>
    <w:pPr>
      <w:tabs>
        <w:tab w:val="left" w:pos="360"/>
      </w:tabs>
    </w:pPr>
    <w:rPr>
      <w:sz w:val="24"/>
    </w:rPr>
  </w:style>
  <w:style w:type="paragraph" w:customStyle="1" w:styleId="189">
    <w:name w:val="正文列项_字母"/>
    <w:basedOn w:val="1"/>
    <w:qFormat/>
    <w:uiPriority w:val="0"/>
    <w:pPr>
      <w:numPr>
        <w:ilvl w:val="6"/>
        <w:numId w:val="4"/>
      </w:numPr>
      <w:tabs>
        <w:tab w:val="clear" w:pos="635"/>
      </w:tabs>
      <w:autoSpaceDE w:val="0"/>
      <w:autoSpaceDN w:val="0"/>
      <w:spacing w:line="460" w:lineRule="exact"/>
      <w:ind w:left="480" w:leftChars="300" w:hanging="180" w:hangingChars="180"/>
      <w:outlineLvl w:val="6"/>
    </w:pPr>
    <w:rPr>
      <w:rFonts w:ascii="宋体"/>
      <w:kern w:val="0"/>
      <w:sz w:val="28"/>
      <w:szCs w:val="20"/>
    </w:rPr>
  </w:style>
  <w:style w:type="paragraph" w:customStyle="1" w:styleId="190">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91">
    <w:name w:val="xl47"/>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92">
    <w:name w:val="默认段落字体 Para Char Char Char Char"/>
    <w:basedOn w:val="1"/>
    <w:qFormat/>
    <w:uiPriority w:val="0"/>
    <w:rPr>
      <w:rFonts w:ascii="Arial" w:hAnsi="Arial" w:cs="Arial"/>
      <w:szCs w:val="21"/>
    </w:rPr>
  </w:style>
  <w:style w:type="paragraph" w:customStyle="1" w:styleId="193">
    <w:name w:val="xl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22"/>
      <w:szCs w:val="22"/>
    </w:rPr>
  </w:style>
  <w:style w:type="paragraph" w:customStyle="1" w:styleId="194">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eastAsia="Arial Unicode MS"/>
      <w:color w:val="000000"/>
      <w:kern w:val="0"/>
      <w:sz w:val="20"/>
      <w:szCs w:val="20"/>
    </w:rPr>
  </w:style>
  <w:style w:type="paragraph" w:customStyle="1" w:styleId="195">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Unicode MS" w:hAnsi="Arial Unicode MS" w:eastAsia="Arial Unicode MS" w:cs="Arial Unicode MS"/>
      <w:b/>
      <w:bCs/>
      <w:color w:val="000000"/>
      <w:kern w:val="0"/>
      <w:sz w:val="20"/>
      <w:szCs w:val="20"/>
    </w:rPr>
  </w:style>
  <w:style w:type="paragraph" w:customStyle="1" w:styleId="196">
    <w:name w:val="Char Char Char"/>
    <w:basedOn w:val="1"/>
    <w:qFormat/>
    <w:uiPriority w:val="0"/>
    <w:rPr>
      <w:rFonts w:ascii="Tahoma" w:hAnsi="Tahoma"/>
      <w:sz w:val="24"/>
      <w:szCs w:val="20"/>
    </w:rPr>
  </w:style>
  <w:style w:type="paragraph" w:customStyle="1" w:styleId="197">
    <w:name w:val="xl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32"/>
      <w:szCs w:val="32"/>
    </w:rPr>
  </w:style>
  <w:style w:type="paragraph" w:customStyle="1" w:styleId="198">
    <w:name w:val="缺省文本"/>
    <w:basedOn w:val="1"/>
    <w:qFormat/>
    <w:uiPriority w:val="0"/>
    <w:pPr>
      <w:autoSpaceDE w:val="0"/>
      <w:autoSpaceDN w:val="0"/>
      <w:adjustRightInd w:val="0"/>
      <w:jc w:val="left"/>
    </w:pPr>
    <w:rPr>
      <w:kern w:val="0"/>
      <w:sz w:val="24"/>
    </w:rPr>
  </w:style>
  <w:style w:type="paragraph" w:customStyle="1" w:styleId="199">
    <w:name w:val="Char Char Char1"/>
    <w:basedOn w:val="1"/>
    <w:qFormat/>
    <w:uiPriority w:val="0"/>
    <w:rPr>
      <w:rFonts w:ascii="Tahoma" w:hAnsi="Tahoma"/>
      <w:sz w:val="24"/>
      <w:szCs w:val="20"/>
    </w:rPr>
  </w:style>
  <w:style w:type="paragraph" w:customStyle="1" w:styleId="200">
    <w:name w:val="Char Char Char Char Char Char Char1"/>
    <w:basedOn w:val="1"/>
    <w:qFormat/>
    <w:uiPriority w:val="0"/>
    <w:pPr>
      <w:snapToGrid w:val="0"/>
      <w:spacing w:line="360" w:lineRule="auto"/>
      <w:ind w:firstLine="200" w:firstLineChars="200"/>
    </w:pPr>
    <w:rPr>
      <w:rFonts w:eastAsia="仿宋_GB2312"/>
      <w:sz w:val="24"/>
    </w:rPr>
  </w:style>
  <w:style w:type="paragraph" w:customStyle="1" w:styleId="201">
    <w:name w:val="xl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20"/>
      <w:szCs w:val="20"/>
    </w:rPr>
  </w:style>
  <w:style w:type="paragraph" w:customStyle="1" w:styleId="202">
    <w:name w:val="样式2"/>
    <w:basedOn w:val="63"/>
    <w:link w:val="670"/>
    <w:qFormat/>
    <w:uiPriority w:val="0"/>
    <w:pPr>
      <w:spacing w:line="360" w:lineRule="auto"/>
      <w:jc w:val="center"/>
    </w:pPr>
    <w:rPr>
      <w:sz w:val="24"/>
    </w:rPr>
  </w:style>
  <w:style w:type="paragraph" w:customStyle="1" w:styleId="203">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204">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205">
    <w:name w:val="正文 + 楷体_GB2312"/>
    <w:basedOn w:val="1"/>
    <w:qFormat/>
    <w:uiPriority w:val="0"/>
    <w:pPr>
      <w:widowControl/>
      <w:jc w:val="left"/>
    </w:pPr>
    <w:rPr>
      <w:rFonts w:ascii="楷体_GB2312" w:eastAsia="楷体_GB2312" w:cs="Arial"/>
      <w:kern w:val="0"/>
      <w:sz w:val="24"/>
    </w:rPr>
  </w:style>
  <w:style w:type="paragraph" w:customStyle="1" w:styleId="206">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FF6600"/>
      <w:kern w:val="0"/>
      <w:sz w:val="20"/>
      <w:szCs w:val="20"/>
    </w:rPr>
  </w:style>
  <w:style w:type="paragraph" w:customStyle="1" w:styleId="207">
    <w:name w:val="1 Char Char Char Char"/>
    <w:basedOn w:val="1"/>
    <w:qFormat/>
    <w:uiPriority w:val="0"/>
    <w:rPr>
      <w:rFonts w:ascii="Tahoma" w:hAnsi="Tahoma"/>
      <w:sz w:val="24"/>
      <w:szCs w:val="20"/>
    </w:rPr>
  </w:style>
  <w:style w:type="paragraph" w:customStyle="1" w:styleId="208">
    <w:name w:val="Default"/>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paragraph" w:customStyle="1" w:styleId="209">
    <w:name w:val="列出段落1"/>
    <w:basedOn w:val="1"/>
    <w:link w:val="1305"/>
    <w:qFormat/>
    <w:uiPriority w:val="34"/>
    <w:pPr>
      <w:ind w:firstLine="420" w:firstLineChars="200"/>
    </w:pPr>
    <w:rPr>
      <w:rFonts w:ascii="Calibri" w:hAnsi="Calibri"/>
      <w:szCs w:val="22"/>
    </w:rPr>
  </w:style>
  <w:style w:type="paragraph" w:customStyle="1" w:styleId="210">
    <w:name w:val="default"/>
    <w:basedOn w:val="1"/>
    <w:qFormat/>
    <w:uiPriority w:val="0"/>
    <w:pPr>
      <w:widowControl/>
      <w:spacing w:before="100" w:beforeAutospacing="1" w:after="100" w:afterAutospacing="1"/>
      <w:jc w:val="left"/>
    </w:pPr>
    <w:rPr>
      <w:rFonts w:ascii="宋体" w:hAnsi="宋体" w:cs="宋体"/>
      <w:kern w:val="0"/>
      <w:sz w:val="24"/>
    </w:rPr>
  </w:style>
  <w:style w:type="paragraph" w:customStyle="1" w:styleId="211">
    <w:name w:val="字元 字元1"/>
    <w:basedOn w:val="1"/>
    <w:qFormat/>
    <w:uiPriority w:val="0"/>
    <w:rPr>
      <w:rFonts w:ascii="Tahoma" w:hAnsi="Tahoma"/>
      <w:sz w:val="24"/>
      <w:szCs w:val="20"/>
    </w:rPr>
  </w:style>
  <w:style w:type="paragraph" w:customStyle="1" w:styleId="212">
    <w:name w:val="_Style 160"/>
    <w:qFormat/>
    <w:uiPriority w:val="0"/>
    <w:rPr>
      <w:rFonts w:ascii="Times New Roman" w:hAnsi="Times New Roman" w:eastAsia="宋体" w:cs="Times New Roman"/>
      <w:kern w:val="2"/>
      <w:sz w:val="21"/>
      <w:szCs w:val="24"/>
      <w:lang w:val="en-US" w:eastAsia="zh-CN" w:bidi="ar-SA"/>
    </w:rPr>
  </w:style>
  <w:style w:type="paragraph" w:customStyle="1" w:styleId="213">
    <w:name w:val="项目编号3"/>
    <w:basedOn w:val="173"/>
    <w:qFormat/>
    <w:uiPriority w:val="0"/>
    <w:pPr>
      <w:numPr>
        <w:ilvl w:val="0"/>
        <w:numId w:val="9"/>
      </w:numPr>
    </w:pPr>
  </w:style>
  <w:style w:type="paragraph" w:customStyle="1" w:styleId="214">
    <w:name w:val="Char21"/>
    <w:basedOn w:val="1"/>
    <w:qFormat/>
    <w:uiPriority w:val="0"/>
    <w:rPr>
      <w:rFonts w:ascii="Tahoma" w:hAnsi="Tahoma"/>
      <w:sz w:val="24"/>
      <w:szCs w:val="20"/>
    </w:rPr>
  </w:style>
  <w:style w:type="paragraph" w:customStyle="1" w:styleId="215">
    <w:name w:val="表格文字"/>
    <w:basedOn w:val="35"/>
    <w:qFormat/>
    <w:uiPriority w:val="99"/>
    <w:pPr>
      <w:spacing w:before="20" w:after="20" w:line="240" w:lineRule="auto"/>
      <w:ind w:firstLine="0"/>
    </w:pPr>
    <w:rPr>
      <w:rFonts w:ascii="Century Gothic" w:hAnsi="Century Gothic"/>
      <w:sz w:val="20"/>
      <w:szCs w:val="20"/>
    </w:rPr>
  </w:style>
  <w:style w:type="paragraph" w:customStyle="1" w:styleId="216">
    <w:name w:val="Char Char Char Char Char Char Char Char Char Char1"/>
    <w:basedOn w:val="1"/>
    <w:qFormat/>
    <w:uiPriority w:val="0"/>
    <w:rPr>
      <w:rFonts w:ascii="宋体" w:hAnsi="宋体" w:cs="Courier New"/>
      <w:sz w:val="32"/>
      <w:szCs w:val="32"/>
    </w:rPr>
  </w:style>
  <w:style w:type="paragraph" w:customStyle="1" w:styleId="217">
    <w:name w:val="正文文本样式 加粗"/>
    <w:basedOn w:val="173"/>
    <w:qFormat/>
    <w:uiPriority w:val="0"/>
    <w:rPr>
      <w:b/>
    </w:rPr>
  </w:style>
  <w:style w:type="paragraph" w:customStyle="1" w:styleId="218">
    <w:name w:val="Char2 Char Char Char Char Char Char"/>
    <w:basedOn w:val="1"/>
    <w:qFormat/>
    <w:uiPriority w:val="0"/>
    <w:pPr>
      <w:widowControl/>
      <w:spacing w:line="400" w:lineRule="exact"/>
      <w:jc w:val="center"/>
    </w:pPr>
  </w:style>
  <w:style w:type="character" w:customStyle="1" w:styleId="219">
    <w:name w:val="页脚 字符"/>
    <w:link w:val="55"/>
    <w:qFormat/>
    <w:uiPriority w:val="99"/>
    <w:rPr>
      <w:rFonts w:ascii="宋体" w:eastAsia="宋体"/>
      <w:sz w:val="18"/>
      <w:lang w:val="en-US" w:eastAsia="zh-CN" w:bidi="ar-SA"/>
    </w:rPr>
  </w:style>
  <w:style w:type="paragraph" w:customStyle="1" w:styleId="220">
    <w:name w:val="Char Char4"/>
    <w:basedOn w:val="1"/>
    <w:qFormat/>
    <w:uiPriority w:val="0"/>
    <w:pPr>
      <w:widowControl/>
      <w:spacing w:line="400" w:lineRule="exact"/>
      <w:jc w:val="center"/>
    </w:pPr>
  </w:style>
  <w:style w:type="paragraph" w:customStyle="1" w:styleId="221">
    <w:name w:val="Char3 Char Char Char1"/>
    <w:basedOn w:val="1"/>
    <w:qFormat/>
    <w:uiPriority w:val="0"/>
    <w:rPr>
      <w:rFonts w:ascii="Tahoma" w:hAnsi="Tahoma"/>
      <w:sz w:val="24"/>
      <w:szCs w:val="20"/>
    </w:rPr>
  </w:style>
  <w:style w:type="paragraph" w:customStyle="1" w:styleId="222">
    <w:name w:val="22222222222222"/>
    <w:basedOn w:val="1"/>
    <w:qFormat/>
    <w:uiPriority w:val="0"/>
    <w:pPr>
      <w:widowControl/>
      <w:adjustRightInd w:val="0"/>
      <w:spacing w:line="360" w:lineRule="auto"/>
      <w:ind w:firstLine="480" w:firstLineChars="200"/>
      <w:jc w:val="left"/>
    </w:pPr>
    <w:rPr>
      <w:color w:val="FF0000"/>
      <w:kern w:val="0"/>
      <w:sz w:val="24"/>
      <w:szCs w:val="20"/>
    </w:rPr>
  </w:style>
  <w:style w:type="character" w:customStyle="1" w:styleId="223">
    <w:name w:val="中等深浅网格 1 - 强调文字颜色 2 Char"/>
    <w:link w:val="224"/>
    <w:qFormat/>
    <w:uiPriority w:val="0"/>
    <w:rPr>
      <w:kern w:val="2"/>
      <w:sz w:val="21"/>
      <w:szCs w:val="24"/>
      <w:lang w:val="zh-CN" w:eastAsia="zh-CN"/>
    </w:rPr>
  </w:style>
  <w:style w:type="paragraph" w:customStyle="1" w:styleId="224">
    <w:name w:val="1"/>
    <w:next w:val="1"/>
    <w:link w:val="223"/>
    <w:qFormat/>
    <w:uiPriority w:val="0"/>
    <w:rPr>
      <w:rFonts w:ascii="Times New Roman" w:hAnsi="Times New Roman" w:eastAsia="宋体" w:cs="Times New Roman"/>
      <w:kern w:val="2"/>
      <w:sz w:val="21"/>
      <w:szCs w:val="24"/>
      <w:lang w:val="zh-CN" w:eastAsia="zh-CN" w:bidi="ar-SA"/>
    </w:rPr>
  </w:style>
  <w:style w:type="paragraph" w:customStyle="1" w:styleId="225">
    <w:name w:val="图文"/>
    <w:basedOn w:val="1"/>
    <w:qFormat/>
    <w:uiPriority w:val="0"/>
    <w:pPr>
      <w:adjustRightInd w:val="0"/>
      <w:snapToGrid w:val="0"/>
      <w:spacing w:after="50" w:line="360" w:lineRule="auto"/>
    </w:pPr>
    <w:rPr>
      <w:sz w:val="24"/>
    </w:rPr>
  </w:style>
  <w:style w:type="paragraph" w:customStyle="1" w:styleId="226">
    <w:name w:val="xl23"/>
    <w:basedOn w:val="1"/>
    <w:qFormat/>
    <w:uiPriority w:val="0"/>
    <w:pPr>
      <w:widowControl/>
      <w:spacing w:before="100" w:beforeAutospacing="1" w:after="100" w:afterAutospacing="1" w:line="360" w:lineRule="auto"/>
      <w:textAlignment w:val="top"/>
    </w:pPr>
    <w:rPr>
      <w:kern w:val="0"/>
      <w:sz w:val="24"/>
      <w:szCs w:val="20"/>
    </w:rPr>
  </w:style>
  <w:style w:type="paragraph" w:customStyle="1" w:styleId="227">
    <w:name w:val="正文表格"/>
    <w:basedOn w:val="1"/>
    <w:link w:val="228"/>
    <w:qFormat/>
    <w:uiPriority w:val="0"/>
    <w:pPr>
      <w:adjustRightInd w:val="0"/>
      <w:snapToGrid w:val="0"/>
      <w:jc w:val="left"/>
    </w:pPr>
    <w:rPr>
      <w:rFonts w:ascii="宋体" w:hAnsi="宋体"/>
      <w:color w:val="000000"/>
      <w:szCs w:val="21"/>
    </w:rPr>
  </w:style>
  <w:style w:type="character" w:customStyle="1" w:styleId="228">
    <w:name w:val="正文表格 Char"/>
    <w:link w:val="227"/>
    <w:qFormat/>
    <w:uiPriority w:val="0"/>
    <w:rPr>
      <w:rFonts w:ascii="宋体" w:hAnsi="宋体"/>
      <w:color w:val="000000"/>
      <w:kern w:val="2"/>
      <w:sz w:val="21"/>
      <w:szCs w:val="21"/>
    </w:rPr>
  </w:style>
  <w:style w:type="paragraph" w:customStyle="1" w:styleId="229">
    <w:name w:val="正文重点"/>
    <w:basedOn w:val="1"/>
    <w:link w:val="230"/>
    <w:qFormat/>
    <w:uiPriority w:val="0"/>
    <w:pPr>
      <w:adjustRightInd w:val="0"/>
      <w:spacing w:line="360" w:lineRule="auto"/>
      <w:ind w:firstLine="482" w:firstLineChars="200"/>
      <w:jc w:val="left"/>
      <w:textAlignment w:val="baseline"/>
    </w:pPr>
    <w:rPr>
      <w:b/>
      <w:kern w:val="0"/>
      <w:sz w:val="24"/>
      <w:szCs w:val="20"/>
    </w:rPr>
  </w:style>
  <w:style w:type="character" w:customStyle="1" w:styleId="230">
    <w:name w:val="正文重点 Char"/>
    <w:link w:val="229"/>
    <w:qFormat/>
    <w:uiPriority w:val="0"/>
    <w:rPr>
      <w:b/>
      <w:sz w:val="24"/>
    </w:rPr>
  </w:style>
  <w:style w:type="character" w:customStyle="1" w:styleId="231">
    <w:name w:val="批注文字 字符1"/>
    <w:link w:val="28"/>
    <w:qFormat/>
    <w:uiPriority w:val="99"/>
    <w:rPr>
      <w:kern w:val="2"/>
      <w:sz w:val="21"/>
      <w:szCs w:val="24"/>
    </w:rPr>
  </w:style>
  <w:style w:type="paragraph" w:customStyle="1" w:styleId="232">
    <w:name w:val="标题1-附件"/>
    <w:basedOn w:val="3"/>
    <w:qFormat/>
    <w:uiPriority w:val="0"/>
    <w:pPr>
      <w:jc w:val="left"/>
    </w:pPr>
    <w:rPr>
      <w:sz w:val="24"/>
      <w:szCs w:val="24"/>
    </w:rPr>
  </w:style>
  <w:style w:type="paragraph" w:customStyle="1" w:styleId="233">
    <w:name w:val="正文小标题"/>
    <w:basedOn w:val="1"/>
    <w:next w:val="5"/>
    <w:link w:val="234"/>
    <w:qFormat/>
    <w:uiPriority w:val="0"/>
    <w:pPr>
      <w:adjustRightInd w:val="0"/>
      <w:snapToGrid w:val="0"/>
      <w:spacing w:before="312" w:beforeLines="100" w:after="312" w:afterLines="100"/>
      <w:ind w:firstLine="482"/>
      <w:jc w:val="left"/>
    </w:pPr>
    <w:rPr>
      <w:rFonts w:ascii="宋体" w:hAnsi="宋体"/>
      <w:b/>
      <w:i/>
      <w:color w:val="FF0000"/>
      <w:sz w:val="24"/>
      <w:szCs w:val="20"/>
    </w:rPr>
  </w:style>
  <w:style w:type="character" w:customStyle="1" w:styleId="234">
    <w:name w:val="正文小标题 Char"/>
    <w:link w:val="233"/>
    <w:qFormat/>
    <w:uiPriority w:val="0"/>
    <w:rPr>
      <w:rFonts w:ascii="宋体" w:hAnsi="宋体"/>
      <w:b/>
      <w:i/>
      <w:color w:val="FF0000"/>
      <w:kern w:val="2"/>
      <w:sz w:val="24"/>
    </w:rPr>
  </w:style>
  <w:style w:type="paragraph" w:customStyle="1" w:styleId="235">
    <w:name w:val="正文大标题"/>
    <w:basedOn w:val="233"/>
    <w:next w:val="5"/>
    <w:link w:val="236"/>
    <w:qFormat/>
    <w:uiPriority w:val="0"/>
    <w:pPr>
      <w:jc w:val="center"/>
    </w:pPr>
    <w:rPr>
      <w:i w:val="0"/>
      <w:color w:val="000000"/>
      <w:sz w:val="28"/>
      <w:szCs w:val="21"/>
    </w:rPr>
  </w:style>
  <w:style w:type="character" w:customStyle="1" w:styleId="236">
    <w:name w:val="正文大标题 Char"/>
    <w:link w:val="235"/>
    <w:qFormat/>
    <w:uiPriority w:val="0"/>
    <w:rPr>
      <w:rFonts w:ascii="宋体" w:hAnsi="宋体"/>
      <w:b/>
      <w:color w:val="000000"/>
      <w:kern w:val="2"/>
      <w:sz w:val="28"/>
      <w:szCs w:val="21"/>
    </w:rPr>
  </w:style>
  <w:style w:type="character" w:customStyle="1" w:styleId="237">
    <w:name w:val="标题 字符"/>
    <w:link w:val="84"/>
    <w:qFormat/>
    <w:uiPriority w:val="0"/>
    <w:rPr>
      <w:b/>
      <w:kern w:val="2"/>
      <w:sz w:val="32"/>
    </w:rPr>
  </w:style>
  <w:style w:type="paragraph" w:customStyle="1" w:styleId="238">
    <w:name w:val="注释"/>
    <w:basedOn w:val="1"/>
    <w:link w:val="239"/>
    <w:qFormat/>
    <w:uiPriority w:val="0"/>
    <w:pPr>
      <w:adjustRightInd w:val="0"/>
      <w:snapToGrid w:val="0"/>
      <w:ind w:left="420" w:hanging="420" w:hangingChars="200"/>
      <w:jc w:val="left"/>
    </w:pPr>
    <w:rPr>
      <w:rFonts w:ascii="宋体" w:hAnsi="宋体"/>
      <w:szCs w:val="21"/>
    </w:rPr>
  </w:style>
  <w:style w:type="character" w:customStyle="1" w:styleId="239">
    <w:name w:val="注释 Char"/>
    <w:link w:val="238"/>
    <w:qFormat/>
    <w:uiPriority w:val="0"/>
    <w:rPr>
      <w:rFonts w:ascii="宋体" w:hAnsi="宋体"/>
      <w:kern w:val="2"/>
      <w:sz w:val="21"/>
      <w:szCs w:val="21"/>
    </w:rPr>
  </w:style>
  <w:style w:type="paragraph" w:customStyle="1" w:styleId="240">
    <w:name w:val="正文须知-1级"/>
    <w:basedOn w:val="1"/>
    <w:next w:val="1"/>
    <w:qFormat/>
    <w:uiPriority w:val="0"/>
    <w:pPr>
      <w:numPr>
        <w:ilvl w:val="0"/>
        <w:numId w:val="10"/>
      </w:numPr>
      <w:adjustRightInd w:val="0"/>
      <w:snapToGrid w:val="0"/>
      <w:spacing w:line="300" w:lineRule="auto"/>
    </w:pPr>
    <w:rPr>
      <w:rFonts w:ascii="宋体" w:hAnsi="Calibri"/>
      <w:sz w:val="24"/>
      <w:szCs w:val="21"/>
    </w:rPr>
  </w:style>
  <w:style w:type="paragraph" w:customStyle="1" w:styleId="241">
    <w:name w:val="正文须知-2级"/>
    <w:basedOn w:val="1"/>
    <w:qFormat/>
    <w:uiPriority w:val="0"/>
    <w:pPr>
      <w:numPr>
        <w:ilvl w:val="1"/>
        <w:numId w:val="10"/>
      </w:numPr>
      <w:adjustRightInd w:val="0"/>
      <w:snapToGrid w:val="0"/>
      <w:spacing w:line="300" w:lineRule="auto"/>
    </w:pPr>
    <w:rPr>
      <w:rFonts w:ascii="宋体" w:hAnsi="Calibri"/>
      <w:sz w:val="24"/>
      <w:szCs w:val="21"/>
    </w:rPr>
  </w:style>
  <w:style w:type="paragraph" w:customStyle="1" w:styleId="242">
    <w:name w:val="正文须知-3级"/>
    <w:basedOn w:val="1"/>
    <w:qFormat/>
    <w:uiPriority w:val="0"/>
    <w:pPr>
      <w:numPr>
        <w:ilvl w:val="2"/>
        <w:numId w:val="10"/>
      </w:numPr>
      <w:adjustRightInd w:val="0"/>
      <w:snapToGrid w:val="0"/>
      <w:spacing w:line="300" w:lineRule="auto"/>
      <w:ind w:hanging="355" w:hangingChars="355"/>
    </w:pPr>
    <w:rPr>
      <w:rFonts w:ascii="宋体" w:hAnsi="Calibri"/>
      <w:sz w:val="24"/>
      <w:szCs w:val="21"/>
    </w:rPr>
  </w:style>
  <w:style w:type="character" w:customStyle="1" w:styleId="243">
    <w:name w:val="批注文字 字符"/>
    <w:qFormat/>
    <w:uiPriority w:val="99"/>
    <w:rPr>
      <w:rFonts w:ascii="Times New Roman" w:hAnsi="Times New Roman" w:eastAsia="宋体" w:cs="Times New Roman"/>
      <w:sz w:val="24"/>
      <w:lang w:val="en-US" w:eastAsia="zh-CN" w:bidi="ar-SA"/>
    </w:rPr>
  </w:style>
  <w:style w:type="character" w:customStyle="1" w:styleId="244">
    <w:name w:val="纯文本 字符"/>
    <w:qFormat/>
    <w:uiPriority w:val="99"/>
    <w:rPr>
      <w:rFonts w:ascii="宋体" w:hAnsi="Courier New" w:eastAsia="宋体" w:cs="Times New Roman"/>
      <w:kern w:val="2"/>
      <w:sz w:val="21"/>
      <w:szCs w:val="21"/>
      <w:lang w:val="en-US" w:eastAsia="zh-CN" w:bidi="ar-SA"/>
    </w:rPr>
  </w:style>
  <w:style w:type="paragraph" w:customStyle="1" w:styleId="245">
    <w:name w:val="表格1"/>
    <w:basedOn w:val="1"/>
    <w:qFormat/>
    <w:uiPriority w:val="0"/>
    <w:pPr>
      <w:ind w:firstLine="480" w:firstLineChars="200"/>
      <w:jc w:val="center"/>
    </w:pPr>
    <w:rPr>
      <w:sz w:val="24"/>
      <w:szCs w:val="20"/>
    </w:rPr>
  </w:style>
  <w:style w:type="character" w:customStyle="1" w:styleId="246">
    <w:name w:val="纯文本 字符1"/>
    <w:qFormat/>
    <w:uiPriority w:val="99"/>
    <w:rPr>
      <w:rFonts w:ascii="宋体" w:hAnsi="Courier New"/>
    </w:rPr>
  </w:style>
  <w:style w:type="character" w:customStyle="1" w:styleId="247">
    <w:name w:val="bjh-p"/>
    <w:qFormat/>
    <w:uiPriority w:val="0"/>
  </w:style>
  <w:style w:type="paragraph" w:customStyle="1" w:styleId="248">
    <w:name w:val="无标题条"/>
    <w:next w:val="1"/>
    <w:qFormat/>
    <w:uiPriority w:val="0"/>
    <w:pPr>
      <w:jc w:val="both"/>
    </w:pPr>
    <w:rPr>
      <w:rFonts w:ascii="Times New Roman" w:hAnsi="Times New Roman" w:eastAsia="宋体" w:cs="Times New Roman"/>
      <w:sz w:val="21"/>
      <w:lang w:val="en-US" w:eastAsia="zh-CN" w:bidi="ar-SA"/>
    </w:rPr>
  </w:style>
  <w:style w:type="character" w:customStyle="1" w:styleId="249">
    <w:name w:val="正文格式 Char"/>
    <w:link w:val="250"/>
    <w:qFormat/>
    <w:locked/>
    <w:uiPriority w:val="0"/>
    <w:rPr>
      <w:rFonts w:ascii="宋体" w:hAnsi="宋体"/>
      <w:sz w:val="24"/>
      <w:szCs w:val="24"/>
      <w:lang w:val="en-GB"/>
    </w:rPr>
  </w:style>
  <w:style w:type="paragraph" w:customStyle="1" w:styleId="250">
    <w:name w:val="正文格式"/>
    <w:basedOn w:val="1"/>
    <w:link w:val="249"/>
    <w:qFormat/>
    <w:uiPriority w:val="0"/>
    <w:pPr>
      <w:spacing w:beforeLines="50" w:line="360" w:lineRule="auto"/>
      <w:ind w:firstLine="480" w:firstLineChars="200"/>
    </w:pPr>
    <w:rPr>
      <w:rFonts w:ascii="宋体" w:hAnsi="宋体"/>
      <w:kern w:val="0"/>
      <w:sz w:val="24"/>
      <w:lang w:val="en-GB"/>
    </w:rPr>
  </w:style>
  <w:style w:type="character" w:customStyle="1" w:styleId="251">
    <w:name w:val="纯文本 字符2"/>
    <w:basedOn w:val="91"/>
    <w:link w:val="45"/>
    <w:qFormat/>
    <w:uiPriority w:val="0"/>
    <w:rPr>
      <w:rFonts w:hint="eastAsia" w:ascii="宋体" w:hAnsi="Courier New" w:eastAsia="宋体" w:cs="宋体"/>
      <w:kern w:val="2"/>
      <w:sz w:val="21"/>
    </w:rPr>
  </w:style>
  <w:style w:type="character" w:customStyle="1" w:styleId="252">
    <w:name w:val="标题 3 Char"/>
    <w:qFormat/>
    <w:uiPriority w:val="0"/>
    <w:rPr>
      <w:rFonts w:ascii="宋体" w:eastAsia="宋体"/>
      <w:b/>
      <w:sz w:val="24"/>
      <w:u w:val="single"/>
      <w:lang w:val="en-US" w:eastAsia="zh-CN" w:bidi="ar-SA"/>
    </w:rPr>
  </w:style>
  <w:style w:type="character" w:customStyle="1" w:styleId="253">
    <w:name w:val="正文缩进 Char"/>
    <w:qFormat/>
    <w:uiPriority w:val="0"/>
    <w:rPr>
      <w:rFonts w:ascii="宋体" w:eastAsia="宋体"/>
      <w:kern w:val="2"/>
      <w:sz w:val="24"/>
      <w:szCs w:val="24"/>
      <w:lang w:val="en-US" w:eastAsia="zh-CN" w:bidi="ar-SA"/>
    </w:rPr>
  </w:style>
  <w:style w:type="character" w:customStyle="1" w:styleId="254">
    <w:name w:val="Char Char111"/>
    <w:qFormat/>
    <w:uiPriority w:val="0"/>
    <w:rPr>
      <w:rFonts w:ascii="宋体" w:eastAsia="宋体"/>
      <w:b/>
      <w:sz w:val="24"/>
      <w:u w:val="single"/>
      <w:lang w:val="en-US" w:eastAsia="zh-CN" w:bidi="ar-SA"/>
    </w:rPr>
  </w:style>
  <w:style w:type="character" w:customStyle="1" w:styleId="255">
    <w:name w:val="正文文本缩进 Char"/>
    <w:qFormat/>
    <w:uiPriority w:val="0"/>
    <w:rPr>
      <w:rFonts w:eastAsia="宋体"/>
      <w:kern w:val="2"/>
      <w:sz w:val="24"/>
      <w:szCs w:val="24"/>
      <w:lang w:val="en-US" w:eastAsia="zh-CN" w:bidi="ar-SA"/>
    </w:rPr>
  </w:style>
  <w:style w:type="character" w:customStyle="1" w:styleId="256">
    <w:name w:val="列出段落 Char"/>
    <w:qFormat/>
    <w:uiPriority w:val="0"/>
    <w:rPr>
      <w:rFonts w:ascii="Calibri" w:hAnsi="Calibri" w:eastAsia="宋体"/>
      <w:kern w:val="2"/>
      <w:sz w:val="21"/>
      <w:szCs w:val="22"/>
      <w:lang w:val="en-US" w:eastAsia="zh-CN" w:bidi="ar-SA"/>
    </w:rPr>
  </w:style>
  <w:style w:type="character" w:customStyle="1" w:styleId="257">
    <w:name w:val="页眉 Char"/>
    <w:qFormat/>
    <w:uiPriority w:val="99"/>
    <w:rPr>
      <w:rFonts w:eastAsia="宋体"/>
      <w:kern w:val="2"/>
      <w:sz w:val="18"/>
      <w:szCs w:val="18"/>
      <w:lang w:val="en-US" w:eastAsia="zh-CN" w:bidi="ar-SA"/>
    </w:rPr>
  </w:style>
  <w:style w:type="character" w:customStyle="1" w:styleId="258">
    <w:name w:val="标题 2 Char"/>
    <w:qFormat/>
    <w:uiPriority w:val="99"/>
    <w:rPr>
      <w:rFonts w:ascii="Arial" w:hAnsi="Arial" w:eastAsia="黑体"/>
      <w:b/>
      <w:sz w:val="30"/>
      <w:lang w:val="en-US" w:eastAsia="zh-CN" w:bidi="ar-SA"/>
    </w:rPr>
  </w:style>
  <w:style w:type="paragraph" w:customStyle="1" w:styleId="259">
    <w:name w:val="字元 字元2"/>
    <w:basedOn w:val="1"/>
    <w:qFormat/>
    <w:uiPriority w:val="0"/>
    <w:rPr>
      <w:rFonts w:ascii="Tahoma" w:hAnsi="Tahoma"/>
      <w:sz w:val="24"/>
      <w:szCs w:val="20"/>
    </w:rPr>
  </w:style>
  <w:style w:type="paragraph" w:customStyle="1" w:styleId="260">
    <w:name w:val="Char3 Char Char Char2"/>
    <w:basedOn w:val="1"/>
    <w:qFormat/>
    <w:uiPriority w:val="0"/>
    <w:rPr>
      <w:rFonts w:ascii="Tahoma" w:hAnsi="Tahoma"/>
      <w:sz w:val="24"/>
      <w:szCs w:val="20"/>
    </w:rPr>
  </w:style>
  <w:style w:type="paragraph" w:customStyle="1" w:styleId="261">
    <w:name w:val="正文文本缩进2"/>
    <w:basedOn w:val="1"/>
    <w:qFormat/>
    <w:uiPriority w:val="0"/>
    <w:pPr>
      <w:spacing w:line="480" w:lineRule="exact"/>
      <w:ind w:firstLine="480" w:firstLineChars="200"/>
    </w:pPr>
    <w:rPr>
      <w:rFonts w:ascii="宋体" w:hAnsi="宋体"/>
      <w:kern w:val="0"/>
      <w:sz w:val="24"/>
      <w:lang w:val="zh-CN"/>
    </w:rPr>
  </w:style>
  <w:style w:type="paragraph" w:customStyle="1" w:styleId="262">
    <w:name w:val="Char3"/>
    <w:basedOn w:val="1"/>
    <w:qFormat/>
    <w:uiPriority w:val="0"/>
    <w:pPr>
      <w:tabs>
        <w:tab w:val="left" w:pos="360"/>
      </w:tabs>
    </w:pPr>
    <w:rPr>
      <w:sz w:val="24"/>
    </w:rPr>
  </w:style>
  <w:style w:type="paragraph" w:customStyle="1" w:styleId="263">
    <w:name w:val="Char Char Char Char Char Char Char Char Char Char Char Char Char Char Char Char1"/>
    <w:basedOn w:val="1"/>
    <w:qFormat/>
    <w:uiPriority w:val="0"/>
    <w:pPr>
      <w:widowControl/>
      <w:spacing w:after="160" w:line="240" w:lineRule="exact"/>
      <w:jc w:val="center"/>
    </w:pPr>
    <w:rPr>
      <w:rFonts w:ascii="宋体" w:hAnsi="宋体"/>
      <w:b/>
      <w:kern w:val="0"/>
      <w:sz w:val="30"/>
      <w:szCs w:val="30"/>
      <w:lang w:eastAsia="en-US"/>
    </w:rPr>
  </w:style>
  <w:style w:type="paragraph" w:customStyle="1" w:styleId="264">
    <w:name w:val="Char Char1 Char Char 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65">
    <w:name w:val="列出段落2"/>
    <w:basedOn w:val="1"/>
    <w:qFormat/>
    <w:uiPriority w:val="0"/>
    <w:pPr>
      <w:ind w:firstLine="420" w:firstLineChars="200"/>
    </w:pPr>
    <w:rPr>
      <w:rFonts w:ascii="Calibri" w:hAnsi="Calibri"/>
      <w:szCs w:val="22"/>
    </w:rPr>
  </w:style>
  <w:style w:type="paragraph" w:customStyle="1" w:styleId="266">
    <w:name w:val="Char Char Char1 Char2"/>
    <w:basedOn w:val="1"/>
    <w:qFormat/>
    <w:uiPriority w:val="0"/>
    <w:rPr>
      <w:rFonts w:ascii="Tahoma" w:hAnsi="Tahoma"/>
      <w:sz w:val="24"/>
      <w:szCs w:val="20"/>
    </w:rPr>
  </w:style>
  <w:style w:type="paragraph" w:customStyle="1" w:styleId="267">
    <w:name w:val="Char Char Char2"/>
    <w:basedOn w:val="1"/>
    <w:qFormat/>
    <w:uiPriority w:val="0"/>
    <w:rPr>
      <w:rFonts w:ascii="Tahoma" w:hAnsi="Tahoma"/>
      <w:sz w:val="24"/>
      <w:szCs w:val="20"/>
    </w:rPr>
  </w:style>
  <w:style w:type="paragraph" w:customStyle="1" w:styleId="268">
    <w:name w:val="Char Char Char Char Char Char Char2"/>
    <w:basedOn w:val="1"/>
    <w:qFormat/>
    <w:uiPriority w:val="0"/>
    <w:pPr>
      <w:snapToGrid w:val="0"/>
      <w:spacing w:line="360" w:lineRule="auto"/>
      <w:ind w:firstLine="200" w:firstLineChars="200"/>
    </w:pPr>
    <w:rPr>
      <w:rFonts w:eastAsia="仿宋_GB2312"/>
      <w:sz w:val="24"/>
    </w:rPr>
  </w:style>
  <w:style w:type="paragraph" w:customStyle="1" w:styleId="269">
    <w:name w:val="正文缩进2"/>
    <w:basedOn w:val="1"/>
    <w:qFormat/>
    <w:uiPriority w:val="0"/>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270">
    <w:name w:val="修订1"/>
    <w:qFormat/>
    <w:uiPriority w:val="99"/>
    <w:rPr>
      <w:rFonts w:ascii="Times New Roman" w:hAnsi="Times New Roman" w:eastAsia="宋体" w:cs="Times New Roman"/>
      <w:kern w:val="2"/>
      <w:sz w:val="21"/>
      <w:szCs w:val="24"/>
      <w:lang w:val="en-US" w:eastAsia="zh-CN" w:bidi="ar-SA"/>
    </w:rPr>
  </w:style>
  <w:style w:type="paragraph" w:customStyle="1" w:styleId="271">
    <w:name w:val="Char22"/>
    <w:basedOn w:val="1"/>
    <w:qFormat/>
    <w:uiPriority w:val="0"/>
    <w:rPr>
      <w:rFonts w:ascii="Tahoma" w:hAnsi="Tahoma"/>
      <w:sz w:val="24"/>
      <w:szCs w:val="20"/>
    </w:rPr>
  </w:style>
  <w:style w:type="paragraph" w:customStyle="1" w:styleId="272">
    <w:name w:val="Char Char Char Char Char Char Char Char Char Char2"/>
    <w:basedOn w:val="1"/>
    <w:qFormat/>
    <w:uiPriority w:val="0"/>
    <w:rPr>
      <w:rFonts w:ascii="宋体" w:hAnsi="宋体" w:cs="Courier New"/>
      <w:sz w:val="32"/>
      <w:szCs w:val="32"/>
    </w:rPr>
  </w:style>
  <w:style w:type="paragraph" w:customStyle="1" w:styleId="273">
    <w:name w:val="Char2 Char Char Char Char Char Char1"/>
    <w:basedOn w:val="1"/>
    <w:qFormat/>
    <w:uiPriority w:val="0"/>
    <w:pPr>
      <w:widowControl/>
      <w:spacing w:line="400" w:lineRule="exact"/>
      <w:jc w:val="center"/>
    </w:pPr>
  </w:style>
  <w:style w:type="character" w:customStyle="1" w:styleId="274">
    <w:name w:val="页脚 Char"/>
    <w:qFormat/>
    <w:uiPriority w:val="99"/>
    <w:rPr>
      <w:rFonts w:ascii="宋体" w:eastAsia="宋体"/>
      <w:sz w:val="18"/>
      <w:lang w:val="en-US" w:eastAsia="zh-CN" w:bidi="ar-SA"/>
    </w:rPr>
  </w:style>
  <w:style w:type="paragraph" w:customStyle="1" w:styleId="275">
    <w:name w:val="Char Char41"/>
    <w:basedOn w:val="1"/>
    <w:qFormat/>
    <w:uiPriority w:val="0"/>
    <w:pPr>
      <w:widowControl/>
      <w:spacing w:line="400" w:lineRule="exact"/>
      <w:jc w:val="center"/>
    </w:pPr>
  </w:style>
  <w:style w:type="character" w:customStyle="1" w:styleId="276">
    <w:name w:val="批注文字 Char"/>
    <w:qFormat/>
    <w:uiPriority w:val="99"/>
    <w:rPr>
      <w:kern w:val="2"/>
      <w:sz w:val="21"/>
      <w:szCs w:val="24"/>
    </w:rPr>
  </w:style>
  <w:style w:type="character" w:customStyle="1" w:styleId="277">
    <w:name w:val="标题 Char"/>
    <w:qFormat/>
    <w:uiPriority w:val="0"/>
    <w:rPr>
      <w:b/>
      <w:kern w:val="2"/>
      <w:sz w:val="32"/>
    </w:rPr>
  </w:style>
  <w:style w:type="character" w:customStyle="1" w:styleId="278">
    <w:name w:val="标题 1 字符"/>
    <w:basedOn w:val="91"/>
    <w:link w:val="3"/>
    <w:qFormat/>
    <w:uiPriority w:val="0"/>
    <w:rPr>
      <w:rFonts w:ascii="宋体"/>
      <w:b/>
      <w:kern w:val="44"/>
      <w:sz w:val="32"/>
    </w:rPr>
  </w:style>
  <w:style w:type="character" w:customStyle="1" w:styleId="279">
    <w:name w:val="标题 4 字符"/>
    <w:basedOn w:val="91"/>
    <w:link w:val="7"/>
    <w:qFormat/>
    <w:uiPriority w:val="0"/>
    <w:rPr>
      <w:rFonts w:ascii="Arial" w:hAnsi="Arial" w:eastAsia="黑体"/>
      <w:b/>
      <w:sz w:val="28"/>
    </w:rPr>
  </w:style>
  <w:style w:type="character" w:customStyle="1" w:styleId="280">
    <w:name w:val="标题 5 字符"/>
    <w:basedOn w:val="91"/>
    <w:link w:val="8"/>
    <w:qFormat/>
    <w:uiPriority w:val="0"/>
    <w:rPr>
      <w:b/>
      <w:sz w:val="28"/>
    </w:rPr>
  </w:style>
  <w:style w:type="character" w:customStyle="1" w:styleId="281">
    <w:name w:val="标题 6 字符"/>
    <w:basedOn w:val="91"/>
    <w:link w:val="9"/>
    <w:qFormat/>
    <w:uiPriority w:val="0"/>
    <w:rPr>
      <w:rFonts w:ascii="Arial" w:hAnsi="Arial" w:eastAsia="黑体"/>
      <w:b/>
      <w:sz w:val="24"/>
    </w:rPr>
  </w:style>
  <w:style w:type="character" w:customStyle="1" w:styleId="282">
    <w:name w:val="标题 7 字符"/>
    <w:basedOn w:val="91"/>
    <w:link w:val="10"/>
    <w:qFormat/>
    <w:uiPriority w:val="0"/>
    <w:rPr>
      <w:b/>
      <w:sz w:val="24"/>
    </w:rPr>
  </w:style>
  <w:style w:type="character" w:customStyle="1" w:styleId="283">
    <w:name w:val="标题 8 字符"/>
    <w:basedOn w:val="91"/>
    <w:link w:val="11"/>
    <w:qFormat/>
    <w:uiPriority w:val="0"/>
    <w:rPr>
      <w:rFonts w:ascii="Arial" w:hAnsi="Arial" w:eastAsia="黑体"/>
      <w:sz w:val="24"/>
    </w:rPr>
  </w:style>
  <w:style w:type="character" w:customStyle="1" w:styleId="284">
    <w:name w:val="标题 9 字符"/>
    <w:basedOn w:val="91"/>
    <w:link w:val="12"/>
    <w:qFormat/>
    <w:uiPriority w:val="0"/>
    <w:rPr>
      <w:rFonts w:ascii="Arial" w:hAnsi="Arial" w:eastAsia="黑体"/>
      <w:sz w:val="21"/>
    </w:rPr>
  </w:style>
  <w:style w:type="character" w:customStyle="1" w:styleId="285">
    <w:name w:val="文档结构图 字符"/>
    <w:basedOn w:val="91"/>
    <w:link w:val="26"/>
    <w:qFormat/>
    <w:uiPriority w:val="0"/>
    <w:rPr>
      <w:kern w:val="2"/>
      <w:sz w:val="21"/>
      <w:szCs w:val="24"/>
      <w:shd w:val="clear" w:color="auto" w:fill="000080"/>
    </w:rPr>
  </w:style>
  <w:style w:type="character" w:customStyle="1" w:styleId="286">
    <w:name w:val="正文文本 3 字符"/>
    <w:basedOn w:val="91"/>
    <w:link w:val="31"/>
    <w:qFormat/>
    <w:uiPriority w:val="99"/>
    <w:rPr>
      <w:kern w:val="2"/>
      <w:sz w:val="16"/>
      <w:szCs w:val="16"/>
    </w:rPr>
  </w:style>
  <w:style w:type="character" w:customStyle="1" w:styleId="287">
    <w:name w:val="正文文本 字符"/>
    <w:basedOn w:val="91"/>
    <w:link w:val="34"/>
    <w:qFormat/>
    <w:uiPriority w:val="0"/>
    <w:rPr>
      <w:rFonts w:ascii="宋体" w:hAnsi="宋体"/>
      <w:kern w:val="2"/>
      <w:sz w:val="24"/>
      <w:szCs w:val="24"/>
    </w:rPr>
  </w:style>
  <w:style w:type="character" w:customStyle="1" w:styleId="288">
    <w:name w:val="日期 字符"/>
    <w:basedOn w:val="91"/>
    <w:link w:val="50"/>
    <w:qFormat/>
    <w:uiPriority w:val="0"/>
    <w:rPr>
      <w:rFonts w:ascii="仿宋_GB2312" w:hAnsi="宋体" w:eastAsia="仿宋_GB2312"/>
      <w:color w:val="000000"/>
      <w:kern w:val="2"/>
      <w:sz w:val="24"/>
      <w:szCs w:val="24"/>
    </w:rPr>
  </w:style>
  <w:style w:type="character" w:customStyle="1" w:styleId="289">
    <w:name w:val="正文文本缩进 2 字符"/>
    <w:basedOn w:val="91"/>
    <w:link w:val="51"/>
    <w:qFormat/>
    <w:uiPriority w:val="99"/>
    <w:rPr>
      <w:rFonts w:ascii="仿宋_GB2312" w:eastAsia="仿宋_GB2312"/>
      <w:kern w:val="2"/>
      <w:sz w:val="24"/>
      <w:szCs w:val="24"/>
    </w:rPr>
  </w:style>
  <w:style w:type="character" w:customStyle="1" w:styleId="290">
    <w:name w:val="批注框文本 字符"/>
    <w:basedOn w:val="91"/>
    <w:link w:val="54"/>
    <w:qFormat/>
    <w:uiPriority w:val="0"/>
    <w:rPr>
      <w:kern w:val="2"/>
      <w:sz w:val="18"/>
      <w:szCs w:val="18"/>
    </w:rPr>
  </w:style>
  <w:style w:type="character" w:customStyle="1" w:styleId="291">
    <w:name w:val="正文文本缩进 3 字符"/>
    <w:basedOn w:val="91"/>
    <w:link w:val="70"/>
    <w:qFormat/>
    <w:uiPriority w:val="99"/>
    <w:rPr>
      <w:rFonts w:ascii="宋体"/>
      <w:sz w:val="24"/>
    </w:rPr>
  </w:style>
  <w:style w:type="character" w:customStyle="1" w:styleId="292">
    <w:name w:val="HTML 预设格式 字符"/>
    <w:basedOn w:val="91"/>
    <w:link w:val="80"/>
    <w:qFormat/>
    <w:uiPriority w:val="0"/>
    <w:rPr>
      <w:rFonts w:ascii="宋体" w:hAnsi="宋体" w:cs="宋体"/>
      <w:sz w:val="24"/>
      <w:szCs w:val="24"/>
    </w:rPr>
  </w:style>
  <w:style w:type="character" w:customStyle="1" w:styleId="293">
    <w:name w:val="批注主题 字符"/>
    <w:basedOn w:val="243"/>
    <w:link w:val="85"/>
    <w:qFormat/>
    <w:uiPriority w:val="0"/>
    <w:rPr>
      <w:rFonts w:ascii="Times New Roman" w:hAnsi="Times New Roman" w:eastAsia="宋体" w:cs="Times New Roman"/>
      <w:b/>
      <w:bCs/>
      <w:kern w:val="2"/>
      <w:sz w:val="21"/>
      <w:szCs w:val="24"/>
      <w:lang w:val="en-US" w:eastAsia="zh-CN" w:bidi="ar-SA"/>
    </w:rPr>
  </w:style>
  <w:style w:type="character" w:customStyle="1" w:styleId="294">
    <w:name w:val="正文文本首行缩进 2 字符"/>
    <w:basedOn w:val="118"/>
    <w:link w:val="87"/>
    <w:qFormat/>
    <w:uiPriority w:val="0"/>
    <w:rPr>
      <w:rFonts w:eastAsia="宋体"/>
      <w:kern w:val="2"/>
      <w:sz w:val="24"/>
      <w:szCs w:val="24"/>
      <w:lang w:val="en-US" w:eastAsia="zh-CN" w:bidi="ar-SA"/>
    </w:rPr>
  </w:style>
  <w:style w:type="paragraph" w:customStyle="1" w:styleId="295">
    <w:name w:val="图例"/>
    <w:basedOn w:val="1"/>
    <w:qFormat/>
    <w:uiPriority w:val="0"/>
    <w:pPr>
      <w:spacing w:before="120" w:after="120" w:line="360" w:lineRule="auto"/>
      <w:jc w:val="center"/>
    </w:pPr>
    <w:rPr>
      <w:rFonts w:eastAsia="仿宋_GB2312"/>
      <w:b/>
      <w:sz w:val="24"/>
      <w:szCs w:val="20"/>
    </w:rPr>
  </w:style>
  <w:style w:type="paragraph" w:customStyle="1" w:styleId="296">
    <w:name w:val="Table Paragraph"/>
    <w:basedOn w:val="1"/>
    <w:qFormat/>
    <w:uiPriority w:val="1"/>
    <w:pPr>
      <w:autoSpaceDE w:val="0"/>
      <w:autoSpaceDN w:val="0"/>
      <w:jc w:val="left"/>
    </w:pPr>
    <w:rPr>
      <w:rFonts w:ascii="宋体" w:hAnsi="宋体" w:cs="宋体"/>
      <w:kern w:val="0"/>
      <w:sz w:val="22"/>
      <w:szCs w:val="22"/>
      <w:lang w:eastAsia="en-US"/>
    </w:rPr>
  </w:style>
  <w:style w:type="table" w:customStyle="1" w:styleId="297">
    <w:name w:val="Table Normal_0"/>
    <w:semiHidden/>
    <w:qFormat/>
    <w:uiPriority w:val="2"/>
    <w:pPr>
      <w:widowControl w:val="0"/>
      <w:autoSpaceDE w:val="0"/>
      <w:autoSpaceDN w:val="0"/>
    </w:pPr>
    <w:rPr>
      <w:rFonts w:asciiTheme="minorHAnsi" w:hAnsiTheme="minorHAnsi" w:eastAsiaTheme="minorEastAsia" w:cstheme="minorBidi"/>
      <w:sz w:val="22"/>
      <w:szCs w:val="22"/>
      <w:lang w:eastAsia="en-US"/>
    </w:rPr>
    <w:tblPr>
      <w:tblCellMar>
        <w:top w:w="0" w:type="dxa"/>
        <w:left w:w="0" w:type="dxa"/>
        <w:bottom w:w="0" w:type="dxa"/>
        <w:right w:w="0" w:type="dxa"/>
      </w:tblCellMar>
    </w:tblPr>
  </w:style>
  <w:style w:type="paragraph" w:customStyle="1" w:styleId="298">
    <w:name w:val="样式 标题 3 + (中文) 黑体 小四 非加粗 段前: 7.8 磅 段后: 0 磅 行距: 固定值 20 磅"/>
    <w:basedOn w:val="6"/>
    <w:link w:val="1309"/>
    <w:qFormat/>
    <w:uiPriority w:val="0"/>
    <w:pPr>
      <w:widowControl/>
      <w:autoSpaceDE/>
      <w:autoSpaceDN/>
      <w:adjustRightInd/>
      <w:spacing w:before="0" w:after="0" w:line="400" w:lineRule="exact"/>
    </w:pPr>
    <w:rPr>
      <w:rFonts w:ascii="Calibri Light" w:hAnsi="Calibri Light" w:eastAsia="黑体"/>
      <w:bCs/>
      <w:color w:val="44546A"/>
      <w:u w:val="none"/>
    </w:rPr>
  </w:style>
  <w:style w:type="paragraph" w:customStyle="1" w:styleId="299">
    <w:name w:val="正常1"/>
    <w:qFormat/>
    <w:uiPriority w:val="0"/>
    <w:pPr>
      <w:widowControl w:val="0"/>
      <w:jc w:val="both"/>
    </w:pPr>
    <w:rPr>
      <w:rFonts w:ascii="Times New Roman" w:hAnsi="Times New Roman" w:eastAsia="ヒラギノ角ゴ Pro W3" w:cs="Times New Roman"/>
      <w:color w:val="000000"/>
      <w:kern w:val="2"/>
      <w:sz w:val="21"/>
      <w:szCs w:val="22"/>
      <w:lang w:val="en-US" w:eastAsia="zh-CN" w:bidi="ar-SA"/>
    </w:rPr>
  </w:style>
  <w:style w:type="paragraph" w:customStyle="1" w:styleId="300">
    <w:name w:val="修订2"/>
    <w:hidden/>
    <w:qFormat/>
    <w:uiPriority w:val="0"/>
    <w:rPr>
      <w:rFonts w:ascii="Times New Roman" w:hAnsi="Times New Roman" w:eastAsia="宋体" w:cs="Times New Roman"/>
      <w:kern w:val="2"/>
      <w:sz w:val="21"/>
      <w:szCs w:val="24"/>
      <w:lang w:val="en-US" w:eastAsia="zh-CN" w:bidi="ar-SA"/>
    </w:rPr>
  </w:style>
  <w:style w:type="paragraph" w:customStyle="1" w:styleId="301">
    <w:name w:val="Other|1"/>
    <w:basedOn w:val="1"/>
    <w:qFormat/>
    <w:uiPriority w:val="0"/>
    <w:pPr>
      <w:jc w:val="left"/>
    </w:pPr>
    <w:rPr>
      <w:rFonts w:ascii="宋体" w:hAnsi="宋体" w:cs="宋体"/>
      <w:color w:val="000000"/>
      <w:kern w:val="0"/>
      <w:sz w:val="20"/>
      <w:szCs w:val="20"/>
      <w:lang w:val="zh-TW" w:eastAsia="zh-TW" w:bidi="zh-TW"/>
    </w:rPr>
  </w:style>
  <w:style w:type="paragraph" w:customStyle="1" w:styleId="302">
    <w:name w:val="Header or footer|1"/>
    <w:basedOn w:val="1"/>
    <w:qFormat/>
    <w:uiPriority w:val="0"/>
    <w:pPr>
      <w:jc w:val="left"/>
    </w:pPr>
    <w:rPr>
      <w:rFonts w:eastAsia="Times New Roman"/>
      <w:color w:val="000000"/>
      <w:kern w:val="0"/>
      <w:sz w:val="18"/>
      <w:szCs w:val="18"/>
      <w:lang w:val="zh-TW" w:eastAsia="zh-TW" w:bidi="zh-TW"/>
    </w:rPr>
  </w:style>
  <w:style w:type="paragraph" w:customStyle="1" w:styleId="303">
    <w:name w:val="Body text|5"/>
    <w:basedOn w:val="1"/>
    <w:qFormat/>
    <w:uiPriority w:val="0"/>
    <w:pPr>
      <w:spacing w:after="260"/>
      <w:ind w:left="1000"/>
      <w:jc w:val="center"/>
    </w:pPr>
    <w:rPr>
      <w:rFonts w:ascii="宋体" w:hAnsi="宋体" w:cs="宋体"/>
      <w:color w:val="000000"/>
      <w:kern w:val="0"/>
      <w:sz w:val="32"/>
      <w:szCs w:val="32"/>
      <w:lang w:val="zh-TW" w:eastAsia="zh-TW" w:bidi="zh-TW"/>
    </w:rPr>
  </w:style>
  <w:style w:type="paragraph" w:customStyle="1" w:styleId="304">
    <w:name w:val="修订3"/>
    <w:hidden/>
    <w:unhideWhenUsed/>
    <w:qFormat/>
    <w:uiPriority w:val="0"/>
    <w:rPr>
      <w:rFonts w:ascii="Times New Roman" w:hAnsi="Times New Roman" w:eastAsia="Times New Roman" w:cs="Times New Roman"/>
      <w:color w:val="000000"/>
      <w:sz w:val="24"/>
      <w:szCs w:val="24"/>
      <w:lang w:val="en-US" w:eastAsia="en-US" w:bidi="en-US"/>
    </w:rPr>
  </w:style>
  <w:style w:type="paragraph" w:customStyle="1" w:styleId="305">
    <w:name w:val="修订4"/>
    <w:hidden/>
    <w:unhideWhenUsed/>
    <w:qFormat/>
    <w:uiPriority w:val="99"/>
    <w:rPr>
      <w:rFonts w:ascii="Times New Roman" w:hAnsi="Times New Roman" w:eastAsia="宋体" w:cs="Times New Roman"/>
      <w:kern w:val="2"/>
      <w:sz w:val="21"/>
      <w:szCs w:val="24"/>
      <w:lang w:val="en-US" w:eastAsia="zh-CN" w:bidi="ar-SA"/>
    </w:rPr>
  </w:style>
  <w:style w:type="character" w:customStyle="1" w:styleId="306">
    <w:name w:val="cf01"/>
    <w:basedOn w:val="91"/>
    <w:qFormat/>
    <w:uiPriority w:val="0"/>
    <w:rPr>
      <w:rFonts w:hint="eastAsia" w:ascii="Microsoft YaHei UI" w:hAnsi="Microsoft YaHei UI" w:eastAsia="Microsoft YaHei UI"/>
      <w:sz w:val="18"/>
      <w:szCs w:val="18"/>
    </w:rPr>
  </w:style>
  <w:style w:type="paragraph" w:customStyle="1" w:styleId="307">
    <w:name w:val="修订5"/>
    <w:hidden/>
    <w:unhideWhenUsed/>
    <w:qFormat/>
    <w:uiPriority w:val="99"/>
    <w:rPr>
      <w:rFonts w:ascii="Times New Roman" w:hAnsi="Times New Roman" w:eastAsia="宋体" w:cs="Times New Roman"/>
      <w:kern w:val="2"/>
      <w:sz w:val="21"/>
      <w:szCs w:val="24"/>
      <w:lang w:val="en-US" w:eastAsia="zh-CN" w:bidi="ar-SA"/>
    </w:rPr>
  </w:style>
  <w:style w:type="paragraph" w:customStyle="1" w:styleId="308">
    <w:name w:val="修订6"/>
    <w:hidden/>
    <w:unhideWhenUsed/>
    <w:qFormat/>
    <w:uiPriority w:val="99"/>
    <w:rPr>
      <w:rFonts w:ascii="Times New Roman" w:hAnsi="Times New Roman" w:eastAsia="宋体" w:cs="Times New Roman"/>
      <w:kern w:val="2"/>
      <w:sz w:val="21"/>
      <w:szCs w:val="24"/>
      <w:lang w:val="en-US" w:eastAsia="zh-CN" w:bidi="ar-SA"/>
    </w:rPr>
  </w:style>
  <w:style w:type="paragraph" w:customStyle="1" w:styleId="309">
    <w:name w:val="样式 标题 2 + 宋体 五号 非加粗 黑色"/>
    <w:basedOn w:val="4"/>
    <w:qFormat/>
    <w:uiPriority w:val="0"/>
    <w:pPr>
      <w:autoSpaceDE/>
      <w:autoSpaceDN/>
      <w:spacing w:before="260" w:after="260" w:line="416" w:lineRule="atLeast"/>
      <w:jc w:val="left"/>
    </w:pPr>
    <w:rPr>
      <w:rFonts w:ascii="宋体" w:hAnsi="宋体" w:eastAsia="宋体"/>
      <w:b w:val="0"/>
      <w:color w:val="000000"/>
      <w:sz w:val="21"/>
      <w:szCs w:val="32"/>
      <w:lang w:val="zh-CN"/>
    </w:rPr>
  </w:style>
  <w:style w:type="paragraph" w:customStyle="1" w:styleId="310">
    <w:name w:val="样式 宋体 五号 两端对齐 行距: 单倍行距"/>
    <w:basedOn w:val="1"/>
    <w:qFormat/>
    <w:uiPriority w:val="0"/>
    <w:pPr>
      <w:adjustRightInd w:val="0"/>
    </w:pPr>
    <w:rPr>
      <w:rFonts w:ascii="宋体" w:hAnsi="宋体"/>
      <w:kern w:val="0"/>
      <w:szCs w:val="20"/>
    </w:rPr>
  </w:style>
  <w:style w:type="character" w:customStyle="1" w:styleId="311">
    <w:name w:val="副标题 字符"/>
    <w:basedOn w:val="91"/>
    <w:link w:val="64"/>
    <w:qFormat/>
    <w:uiPriority w:val="0"/>
    <w:rPr>
      <w:rFonts w:ascii="Cambria" w:hAnsi="Cambria"/>
      <w:b/>
      <w:bCs/>
      <w:kern w:val="28"/>
      <w:sz w:val="32"/>
      <w:szCs w:val="32"/>
    </w:rPr>
  </w:style>
  <w:style w:type="table" w:customStyle="1" w:styleId="312">
    <w:name w:val="Table Grid_0"/>
    <w:basedOn w:val="88"/>
    <w:qFormat/>
    <w:uiPriority w:val="59"/>
    <w:rPr>
      <w:rFonts w:ascii="等线" w:hAnsi="等线" w:eastAsia="Times New Roman"/>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3">
    <w:name w:val="Table Grid_1"/>
    <w:basedOn w:val="88"/>
    <w:qFormat/>
    <w:uiPriority w:val="59"/>
    <w:rPr>
      <w:rFonts w:ascii="等线" w:hAnsi="等线" w:eastAsia="Times New Roman"/>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4">
    <w:name w:val="Table Grid_2"/>
    <w:basedOn w:val="88"/>
    <w:qFormat/>
    <w:uiPriority w:val="59"/>
    <w:rPr>
      <w:rFonts w:ascii="等线" w:hAnsi="等线" w:eastAsia="Times New Roman"/>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5">
    <w:name w:val="Table Grid_3"/>
    <w:basedOn w:val="88"/>
    <w:qFormat/>
    <w:uiPriority w:val="59"/>
    <w:rPr>
      <w:rFonts w:ascii="等线" w:hAnsi="等线" w:eastAsia="Times New Roman"/>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6">
    <w:name w:val="Table Grid_4"/>
    <w:basedOn w:val="88"/>
    <w:qFormat/>
    <w:uiPriority w:val="59"/>
    <w:rPr>
      <w:rFonts w:ascii="等线" w:hAnsi="等线" w:eastAsia="Times New Roman"/>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317">
    <w:name w:val="宏文本 字符"/>
    <w:basedOn w:val="91"/>
    <w:link w:val="2"/>
    <w:qFormat/>
    <w:uiPriority w:val="0"/>
    <w:rPr>
      <w:rFonts w:ascii="Courier New" w:hAnsi="Courier New"/>
      <w:kern w:val="2"/>
      <w:sz w:val="24"/>
    </w:rPr>
  </w:style>
  <w:style w:type="character" w:customStyle="1" w:styleId="318">
    <w:name w:val="注释标题 字符"/>
    <w:basedOn w:val="91"/>
    <w:qFormat/>
    <w:uiPriority w:val="0"/>
    <w:rPr>
      <w:kern w:val="2"/>
      <w:sz w:val="21"/>
      <w:szCs w:val="24"/>
    </w:rPr>
  </w:style>
  <w:style w:type="character" w:customStyle="1" w:styleId="319">
    <w:name w:val="电子邮件签名 字符"/>
    <w:basedOn w:val="91"/>
    <w:link w:val="20"/>
    <w:qFormat/>
    <w:uiPriority w:val="0"/>
    <w:rPr>
      <w:kern w:val="2"/>
      <w:sz w:val="21"/>
    </w:rPr>
  </w:style>
  <w:style w:type="character" w:customStyle="1" w:styleId="320">
    <w:name w:val="称呼 字符"/>
    <w:basedOn w:val="91"/>
    <w:qFormat/>
    <w:uiPriority w:val="0"/>
    <w:rPr>
      <w:kern w:val="2"/>
      <w:sz w:val="21"/>
      <w:szCs w:val="24"/>
    </w:rPr>
  </w:style>
  <w:style w:type="character" w:customStyle="1" w:styleId="321">
    <w:name w:val="结束语 字符"/>
    <w:basedOn w:val="91"/>
    <w:link w:val="32"/>
    <w:qFormat/>
    <w:uiPriority w:val="0"/>
    <w:rPr>
      <w:kern w:val="2"/>
      <w:sz w:val="21"/>
      <w:szCs w:val="24"/>
    </w:rPr>
  </w:style>
  <w:style w:type="character" w:customStyle="1" w:styleId="322">
    <w:name w:val="HTML 地址 字符"/>
    <w:basedOn w:val="91"/>
    <w:link w:val="41"/>
    <w:qFormat/>
    <w:uiPriority w:val="0"/>
    <w:rPr>
      <w:i/>
      <w:iCs/>
      <w:kern w:val="2"/>
      <w:sz w:val="21"/>
      <w:szCs w:val="24"/>
    </w:rPr>
  </w:style>
  <w:style w:type="character" w:customStyle="1" w:styleId="323">
    <w:name w:val="尾注文本 字符"/>
    <w:basedOn w:val="91"/>
    <w:link w:val="52"/>
    <w:qFormat/>
    <w:uiPriority w:val="0"/>
    <w:rPr>
      <w:kern w:val="2"/>
      <w:sz w:val="21"/>
    </w:rPr>
  </w:style>
  <w:style w:type="character" w:customStyle="1" w:styleId="324">
    <w:name w:val="签名 字符"/>
    <w:basedOn w:val="91"/>
    <w:link w:val="58"/>
    <w:qFormat/>
    <w:uiPriority w:val="0"/>
    <w:rPr>
      <w:kern w:val="2"/>
      <w:sz w:val="21"/>
      <w:szCs w:val="24"/>
    </w:rPr>
  </w:style>
  <w:style w:type="character" w:customStyle="1" w:styleId="325">
    <w:name w:val="脚注文本 字符"/>
    <w:basedOn w:val="91"/>
    <w:link w:val="67"/>
    <w:qFormat/>
    <w:uiPriority w:val="0"/>
    <w:rPr>
      <w:kern w:val="2"/>
      <w:sz w:val="18"/>
      <w:szCs w:val="18"/>
    </w:rPr>
  </w:style>
  <w:style w:type="character" w:customStyle="1" w:styleId="326">
    <w:name w:val="正文文本 2 字符"/>
    <w:basedOn w:val="91"/>
    <w:qFormat/>
    <w:uiPriority w:val="99"/>
    <w:rPr>
      <w:kern w:val="2"/>
      <w:sz w:val="21"/>
      <w:szCs w:val="24"/>
    </w:rPr>
  </w:style>
  <w:style w:type="character" w:customStyle="1" w:styleId="327">
    <w:name w:val="信息标题 字符"/>
    <w:basedOn w:val="91"/>
    <w:link w:val="79"/>
    <w:qFormat/>
    <w:uiPriority w:val="0"/>
    <w:rPr>
      <w:rFonts w:ascii="Arial" w:hAnsi="Arial"/>
      <w:kern w:val="2"/>
      <w:sz w:val="24"/>
      <w:szCs w:val="24"/>
      <w:shd w:val="pct20" w:color="auto" w:fill="auto"/>
    </w:rPr>
  </w:style>
  <w:style w:type="character" w:customStyle="1" w:styleId="328">
    <w:name w:val="正文文本首行缩进 字符"/>
    <w:basedOn w:val="287"/>
    <w:link w:val="329"/>
    <w:qFormat/>
    <w:uiPriority w:val="0"/>
    <w:rPr>
      <w:rFonts w:ascii="宋体" w:hAnsi="宋体"/>
      <w:kern w:val="2"/>
      <w:sz w:val="21"/>
      <w:szCs w:val="24"/>
    </w:rPr>
  </w:style>
  <w:style w:type="paragraph" w:customStyle="1" w:styleId="329">
    <w:name w:val="_Style 448"/>
    <w:basedOn w:val="1"/>
    <w:next w:val="123"/>
    <w:link w:val="328"/>
    <w:qFormat/>
    <w:uiPriority w:val="0"/>
    <w:pPr>
      <w:ind w:firstLine="420" w:firstLineChars="200"/>
    </w:pPr>
    <w:rPr>
      <w:rFonts w:ascii="宋体" w:hAnsi="宋体"/>
    </w:rPr>
  </w:style>
  <w:style w:type="character" w:customStyle="1" w:styleId="330">
    <w:name w:val="标题 1 字符1"/>
    <w:qFormat/>
    <w:uiPriority w:val="0"/>
    <w:rPr>
      <w:rFonts w:ascii="宋体" w:eastAsia="宋体"/>
      <w:b/>
      <w:kern w:val="44"/>
      <w:sz w:val="32"/>
      <w:lang w:val="en-US" w:eastAsia="zh-CN" w:bidi="ar-SA"/>
    </w:rPr>
  </w:style>
  <w:style w:type="character" w:customStyle="1" w:styleId="331">
    <w:name w:val="正文缩进 字符2"/>
    <w:qFormat/>
    <w:uiPriority w:val="0"/>
    <w:rPr>
      <w:rFonts w:ascii="宋体"/>
      <w:sz w:val="24"/>
    </w:rPr>
  </w:style>
  <w:style w:type="character" w:customStyle="1" w:styleId="332">
    <w:name w:val="标题 2 字符2"/>
    <w:qFormat/>
    <w:uiPriority w:val="0"/>
    <w:rPr>
      <w:rFonts w:ascii="Arial" w:hAnsi="Arial" w:eastAsia="黑体"/>
      <w:b/>
      <w:sz w:val="30"/>
    </w:rPr>
  </w:style>
  <w:style w:type="character" w:customStyle="1" w:styleId="333">
    <w:name w:val="标题 3 字符1"/>
    <w:qFormat/>
    <w:uiPriority w:val="0"/>
    <w:rPr>
      <w:rFonts w:ascii="宋体"/>
      <w:b/>
      <w:sz w:val="24"/>
      <w:u w:val="single"/>
    </w:rPr>
  </w:style>
  <w:style w:type="character" w:customStyle="1" w:styleId="334">
    <w:name w:val="标题 4 字符2"/>
    <w:qFormat/>
    <w:uiPriority w:val="0"/>
    <w:rPr>
      <w:rFonts w:ascii="Cambria" w:hAnsi="Cambria" w:eastAsia="宋体" w:cs="Times New Roman"/>
      <w:b/>
      <w:bCs/>
      <w:kern w:val="2"/>
      <w:sz w:val="28"/>
      <w:szCs w:val="28"/>
    </w:rPr>
  </w:style>
  <w:style w:type="character" w:customStyle="1" w:styleId="335">
    <w:name w:val="标题 5 字符1"/>
    <w:qFormat/>
    <w:uiPriority w:val="0"/>
    <w:rPr>
      <w:b/>
      <w:bCs/>
      <w:kern w:val="2"/>
      <w:sz w:val="28"/>
      <w:szCs w:val="28"/>
    </w:rPr>
  </w:style>
  <w:style w:type="character" w:customStyle="1" w:styleId="336">
    <w:name w:val="标题 6 字符1"/>
    <w:qFormat/>
    <w:uiPriority w:val="0"/>
    <w:rPr>
      <w:rFonts w:ascii="Cambria" w:hAnsi="Cambria" w:eastAsia="宋体" w:cs="Times New Roman"/>
      <w:b/>
      <w:bCs/>
      <w:kern w:val="2"/>
      <w:sz w:val="24"/>
      <w:szCs w:val="24"/>
    </w:rPr>
  </w:style>
  <w:style w:type="character" w:customStyle="1" w:styleId="337">
    <w:name w:val="标题 7 字符1"/>
    <w:basedOn w:val="91"/>
    <w:qFormat/>
    <w:uiPriority w:val="0"/>
    <w:rPr>
      <w:rFonts w:ascii="华文宋体" w:hAnsi="华文宋体" w:eastAsia="华文宋体"/>
      <w:sz w:val="24"/>
    </w:rPr>
  </w:style>
  <w:style w:type="character" w:customStyle="1" w:styleId="338">
    <w:name w:val="标题 8 字符1"/>
    <w:basedOn w:val="91"/>
    <w:qFormat/>
    <w:uiPriority w:val="0"/>
    <w:rPr>
      <w:rFonts w:ascii="华文宋体" w:hAnsi="华文宋体" w:eastAsia="华文宋体"/>
      <w:i/>
      <w:sz w:val="24"/>
    </w:rPr>
  </w:style>
  <w:style w:type="character" w:customStyle="1" w:styleId="339">
    <w:name w:val="标题 9 字符1"/>
    <w:basedOn w:val="91"/>
    <w:qFormat/>
    <w:uiPriority w:val="0"/>
    <w:rPr>
      <w:rFonts w:ascii="Arial" w:hAnsi="Arial" w:eastAsia="华文宋体"/>
      <w:sz w:val="22"/>
    </w:rPr>
  </w:style>
  <w:style w:type="character" w:customStyle="1" w:styleId="340">
    <w:name w:val="批注文字 字符2"/>
    <w:qFormat/>
    <w:uiPriority w:val="99"/>
    <w:rPr>
      <w:kern w:val="2"/>
      <w:sz w:val="21"/>
      <w:szCs w:val="24"/>
    </w:rPr>
  </w:style>
  <w:style w:type="character" w:customStyle="1" w:styleId="341">
    <w:name w:val="批注主题 字符2"/>
    <w:qFormat/>
    <w:uiPriority w:val="99"/>
    <w:rPr>
      <w:b/>
      <w:bCs/>
      <w:kern w:val="2"/>
      <w:sz w:val="21"/>
      <w:szCs w:val="24"/>
    </w:rPr>
  </w:style>
  <w:style w:type="character" w:customStyle="1" w:styleId="342">
    <w:name w:val="正文文本 字符2"/>
    <w:basedOn w:val="91"/>
    <w:qFormat/>
    <w:uiPriority w:val="0"/>
    <w:rPr>
      <w:rFonts w:ascii="宋体" w:hAnsi="宋体"/>
      <w:kern w:val="2"/>
      <w:sz w:val="24"/>
      <w:szCs w:val="24"/>
    </w:rPr>
  </w:style>
  <w:style w:type="character" w:customStyle="1" w:styleId="343">
    <w:name w:val="正文文本首行缩进 字符1"/>
    <w:basedOn w:val="342"/>
    <w:link w:val="86"/>
    <w:qFormat/>
    <w:uiPriority w:val="0"/>
    <w:rPr>
      <w:rFonts w:ascii="宋体" w:hAnsi="宋体"/>
      <w:kern w:val="2"/>
      <w:sz w:val="21"/>
      <w:szCs w:val="24"/>
    </w:rPr>
  </w:style>
  <w:style w:type="character" w:customStyle="1" w:styleId="344">
    <w:name w:val="注释标题 字符1"/>
    <w:basedOn w:val="91"/>
    <w:link w:val="17"/>
    <w:qFormat/>
    <w:uiPriority w:val="0"/>
    <w:rPr>
      <w:kern w:val="2"/>
      <w:sz w:val="21"/>
      <w:szCs w:val="24"/>
    </w:rPr>
  </w:style>
  <w:style w:type="character" w:customStyle="1" w:styleId="345">
    <w:name w:val="文档结构图 字符2"/>
    <w:qFormat/>
    <w:uiPriority w:val="99"/>
    <w:rPr>
      <w:kern w:val="2"/>
      <w:sz w:val="21"/>
      <w:szCs w:val="24"/>
      <w:shd w:val="clear" w:color="auto" w:fill="000080"/>
    </w:rPr>
  </w:style>
  <w:style w:type="character" w:customStyle="1" w:styleId="346">
    <w:name w:val="称呼 字符1"/>
    <w:basedOn w:val="91"/>
    <w:link w:val="30"/>
    <w:qFormat/>
    <w:uiPriority w:val="0"/>
    <w:rPr>
      <w:rFonts w:ascii="宋体" w:eastAsia="仿宋_GB2312"/>
      <w:kern w:val="2"/>
      <w:sz w:val="21"/>
    </w:rPr>
  </w:style>
  <w:style w:type="character" w:customStyle="1" w:styleId="347">
    <w:name w:val="正文文本缩进 字符1"/>
    <w:qFormat/>
    <w:uiPriority w:val="0"/>
    <w:rPr>
      <w:kern w:val="2"/>
      <w:sz w:val="24"/>
      <w:szCs w:val="24"/>
    </w:rPr>
  </w:style>
  <w:style w:type="character" w:customStyle="1" w:styleId="348">
    <w:name w:val="纯文本 字符3"/>
    <w:qFormat/>
    <w:uiPriority w:val="99"/>
    <w:rPr>
      <w:rFonts w:ascii="宋体" w:hAnsi="Courier New"/>
      <w:kern w:val="2"/>
      <w:sz w:val="21"/>
    </w:rPr>
  </w:style>
  <w:style w:type="character" w:customStyle="1" w:styleId="349">
    <w:name w:val="日期 字符2"/>
    <w:qFormat/>
    <w:uiPriority w:val="0"/>
    <w:rPr>
      <w:rFonts w:ascii="仿宋_GB2312" w:hAnsi="宋体" w:eastAsia="仿宋_GB2312"/>
      <w:color w:val="000000"/>
      <w:kern w:val="2"/>
      <w:sz w:val="24"/>
      <w:szCs w:val="24"/>
    </w:rPr>
  </w:style>
  <w:style w:type="character" w:customStyle="1" w:styleId="350">
    <w:name w:val="正文文本缩进 2 字符1"/>
    <w:qFormat/>
    <w:uiPriority w:val="0"/>
    <w:rPr>
      <w:rFonts w:ascii="仿宋_GB2312" w:eastAsia="仿宋_GB2312"/>
      <w:kern w:val="2"/>
      <w:sz w:val="24"/>
      <w:szCs w:val="24"/>
    </w:rPr>
  </w:style>
  <w:style w:type="character" w:customStyle="1" w:styleId="351">
    <w:name w:val="批注框文本 字符2"/>
    <w:qFormat/>
    <w:uiPriority w:val="99"/>
    <w:rPr>
      <w:kern w:val="2"/>
      <w:sz w:val="18"/>
      <w:szCs w:val="18"/>
    </w:rPr>
  </w:style>
  <w:style w:type="character" w:customStyle="1" w:styleId="352">
    <w:name w:val="页脚 字符2"/>
    <w:qFormat/>
    <w:uiPriority w:val="99"/>
    <w:rPr>
      <w:rFonts w:ascii="宋体"/>
      <w:sz w:val="18"/>
    </w:rPr>
  </w:style>
  <w:style w:type="character" w:customStyle="1" w:styleId="353">
    <w:name w:val="正文文本首行缩进 2 字符1"/>
    <w:qFormat/>
    <w:uiPriority w:val="0"/>
    <w:rPr>
      <w:kern w:val="2"/>
      <w:sz w:val="21"/>
      <w:szCs w:val="24"/>
    </w:rPr>
  </w:style>
  <w:style w:type="character" w:customStyle="1" w:styleId="354">
    <w:name w:val="页眉 字符2"/>
    <w:qFormat/>
    <w:uiPriority w:val="99"/>
    <w:rPr>
      <w:kern w:val="2"/>
      <w:sz w:val="18"/>
      <w:szCs w:val="18"/>
    </w:rPr>
  </w:style>
  <w:style w:type="character" w:customStyle="1" w:styleId="355">
    <w:name w:val="副标题 字符2"/>
    <w:basedOn w:val="91"/>
    <w:qFormat/>
    <w:uiPriority w:val="0"/>
    <w:rPr>
      <w:rFonts w:ascii="Cambria" w:hAnsi="Cambria"/>
      <w:b/>
      <w:bCs/>
      <w:kern w:val="28"/>
      <w:sz w:val="32"/>
      <w:szCs w:val="32"/>
    </w:rPr>
  </w:style>
  <w:style w:type="character" w:customStyle="1" w:styleId="356">
    <w:name w:val="正文文本缩进 3 字符1"/>
    <w:qFormat/>
    <w:uiPriority w:val="0"/>
    <w:rPr>
      <w:rFonts w:ascii="宋体"/>
      <w:sz w:val="24"/>
    </w:rPr>
  </w:style>
  <w:style w:type="character" w:customStyle="1" w:styleId="357">
    <w:name w:val="TOC 2 字符"/>
    <w:link w:val="74"/>
    <w:qFormat/>
    <w:uiPriority w:val="39"/>
    <w:rPr>
      <w:kern w:val="2"/>
      <w:sz w:val="21"/>
      <w:szCs w:val="24"/>
    </w:rPr>
  </w:style>
  <w:style w:type="character" w:customStyle="1" w:styleId="358">
    <w:name w:val="正文文本 2 字符1"/>
    <w:basedOn w:val="91"/>
    <w:link w:val="76"/>
    <w:qFormat/>
    <w:uiPriority w:val="99"/>
    <w:rPr>
      <w:kern w:val="2"/>
      <w:sz w:val="21"/>
      <w:szCs w:val="24"/>
    </w:rPr>
  </w:style>
  <w:style w:type="character" w:customStyle="1" w:styleId="359">
    <w:name w:val="普通(网站) 字符1"/>
    <w:link w:val="81"/>
    <w:qFormat/>
    <w:uiPriority w:val="99"/>
    <w:rPr>
      <w:rFonts w:ascii="宋体" w:hAnsi="宋体" w:cs="宋体"/>
      <w:sz w:val="24"/>
      <w:szCs w:val="24"/>
    </w:rPr>
  </w:style>
  <w:style w:type="character" w:customStyle="1" w:styleId="360">
    <w:name w:val="标题 字符2"/>
    <w:qFormat/>
    <w:uiPriority w:val="0"/>
    <w:rPr>
      <w:rFonts w:ascii="Arial" w:hAnsi="Arial" w:eastAsia="仿宋_GB2312" w:cs="Arial"/>
      <w:b/>
      <w:bCs/>
      <w:spacing w:val="40"/>
      <w:kern w:val="2"/>
      <w:sz w:val="36"/>
      <w:szCs w:val="32"/>
    </w:rPr>
  </w:style>
  <w:style w:type="paragraph" w:customStyle="1" w:styleId="361">
    <w:name w:val="正文 首行缩进:  2 字符"/>
    <w:basedOn w:val="1"/>
    <w:link w:val="362"/>
    <w:qFormat/>
    <w:uiPriority w:val="0"/>
    <w:pPr>
      <w:spacing w:line="360" w:lineRule="auto"/>
      <w:ind w:firstLine="480"/>
    </w:pPr>
    <w:rPr>
      <w:rFonts w:ascii="宋体" w:hAnsi="宋体"/>
      <w:kern w:val="0"/>
      <w:sz w:val="24"/>
      <w:szCs w:val="20"/>
    </w:rPr>
  </w:style>
  <w:style w:type="character" w:customStyle="1" w:styleId="362">
    <w:name w:val="正文 首行缩进:  2 字符 Char"/>
    <w:link w:val="361"/>
    <w:qFormat/>
    <w:uiPriority w:val="0"/>
    <w:rPr>
      <w:rFonts w:ascii="宋体" w:hAnsi="宋体"/>
      <w:sz w:val="24"/>
    </w:rPr>
  </w:style>
  <w:style w:type="paragraph" w:customStyle="1" w:styleId="363">
    <w:name w:val="_正文段落"/>
    <w:basedOn w:val="1"/>
    <w:link w:val="364"/>
    <w:qFormat/>
    <w:uiPriority w:val="0"/>
    <w:pPr>
      <w:spacing w:beforeLines="15" w:afterLines="30" w:line="360" w:lineRule="auto"/>
      <w:ind w:firstLine="200" w:firstLineChars="200"/>
    </w:pPr>
    <w:rPr>
      <w:kern w:val="0"/>
      <w:sz w:val="24"/>
      <w:szCs w:val="20"/>
    </w:rPr>
  </w:style>
  <w:style w:type="character" w:customStyle="1" w:styleId="364">
    <w:name w:val="_正文段落 Char"/>
    <w:link w:val="363"/>
    <w:qFormat/>
    <w:uiPriority w:val="0"/>
    <w:rPr>
      <w:sz w:val="24"/>
    </w:rPr>
  </w:style>
  <w:style w:type="paragraph" w:customStyle="1" w:styleId="365">
    <w:name w:val="_标题6"/>
    <w:basedOn w:val="9"/>
    <w:next w:val="363"/>
    <w:qFormat/>
    <w:uiPriority w:val="0"/>
    <w:pPr>
      <w:adjustRightInd/>
      <w:snapToGrid w:val="0"/>
      <w:spacing w:after="240" w:line="317" w:lineRule="auto"/>
      <w:textAlignment w:val="auto"/>
    </w:pPr>
    <w:rPr>
      <w:b w:val="0"/>
    </w:rPr>
  </w:style>
  <w:style w:type="paragraph" w:customStyle="1" w:styleId="366">
    <w:name w:val="ÕýÎÄ"/>
    <w:qFormat/>
    <w:uiPriority w:val="0"/>
    <w:pPr>
      <w:widowControl w:val="0"/>
      <w:overflowPunct w:val="0"/>
      <w:autoSpaceDE w:val="0"/>
      <w:autoSpaceDN w:val="0"/>
      <w:adjustRightInd w:val="0"/>
      <w:textAlignment w:val="baseline"/>
    </w:pPr>
    <w:rPr>
      <w:rFonts w:ascii="Times New Roman" w:hAnsi="Times New Roman" w:eastAsia="宋体" w:cs="Times New Roman"/>
      <w:lang w:val="en-US" w:eastAsia="zh-CN" w:bidi="ar-SA"/>
    </w:rPr>
  </w:style>
  <w:style w:type="paragraph" w:customStyle="1" w:styleId="367">
    <w:name w:val="Char Char Char Char Char Char1 Char Char Char1 Char Char Char"/>
    <w:basedOn w:val="1"/>
    <w:qFormat/>
    <w:uiPriority w:val="0"/>
    <w:rPr>
      <w:rFonts w:ascii="Tahoma" w:hAnsi="Tahoma"/>
      <w:sz w:val="24"/>
      <w:szCs w:val="20"/>
    </w:rPr>
  </w:style>
  <w:style w:type="paragraph" w:customStyle="1" w:styleId="368">
    <w:name w:val="样式1"/>
    <w:basedOn w:val="1"/>
    <w:qFormat/>
    <w:uiPriority w:val="0"/>
    <w:pPr>
      <w:jc w:val="center"/>
      <w:outlineLvl w:val="0"/>
    </w:pPr>
    <w:rPr>
      <w:b/>
      <w:sz w:val="32"/>
      <w:szCs w:val="20"/>
    </w:rPr>
  </w:style>
  <w:style w:type="paragraph" w:customStyle="1" w:styleId="369">
    <w:name w:val="样式 仿宋_GB2312 三号 黑色 行距: 1.5 倍行距1"/>
    <w:basedOn w:val="1"/>
    <w:qFormat/>
    <w:uiPriority w:val="0"/>
    <w:pPr>
      <w:spacing w:line="360" w:lineRule="auto"/>
      <w:ind w:firstLine="640" w:firstLineChars="200"/>
    </w:pPr>
    <w:rPr>
      <w:rFonts w:ascii="仿宋_GB2312" w:hAnsi="宋体" w:eastAsia="仿宋_GB2312"/>
      <w:color w:val="000000"/>
      <w:sz w:val="32"/>
      <w:szCs w:val="20"/>
    </w:rPr>
  </w:style>
  <w:style w:type="paragraph" w:customStyle="1" w:styleId="370">
    <w:name w:val="页面正文"/>
    <w:basedOn w:val="1"/>
    <w:qFormat/>
    <w:uiPriority w:val="0"/>
    <w:pPr>
      <w:spacing w:line="360" w:lineRule="auto"/>
      <w:ind w:firstLine="200" w:firstLineChars="200"/>
    </w:pPr>
    <w:rPr>
      <w:rFonts w:eastAsia="仿宋_GB2312"/>
      <w:sz w:val="28"/>
      <w:szCs w:val="22"/>
    </w:rPr>
  </w:style>
  <w:style w:type="paragraph" w:customStyle="1" w:styleId="371">
    <w:name w:val="Char Char Char Char Char Char1 Char Char Char Char"/>
    <w:basedOn w:val="1"/>
    <w:qFormat/>
    <w:uiPriority w:val="0"/>
    <w:rPr>
      <w:rFonts w:ascii="Tahoma" w:hAnsi="Tahoma"/>
      <w:sz w:val="24"/>
      <w:szCs w:val="20"/>
    </w:rPr>
  </w:style>
  <w:style w:type="paragraph" w:customStyle="1" w:styleId="372">
    <w:name w:val="p0"/>
    <w:basedOn w:val="1"/>
    <w:qFormat/>
    <w:uiPriority w:val="0"/>
    <w:pPr>
      <w:widowControl/>
    </w:pPr>
    <w:rPr>
      <w:kern w:val="0"/>
      <w:szCs w:val="21"/>
    </w:rPr>
  </w:style>
  <w:style w:type="paragraph" w:customStyle="1" w:styleId="373">
    <w:name w:val="表格样式"/>
    <w:next w:val="1"/>
    <w:qFormat/>
    <w:uiPriority w:val="0"/>
    <w:pPr>
      <w:adjustRightInd w:val="0"/>
      <w:snapToGrid w:val="0"/>
      <w:jc w:val="center"/>
    </w:pPr>
    <w:rPr>
      <w:rFonts w:ascii="Times New Roman" w:hAnsi="Times New Roman" w:eastAsia="宋体" w:cs="Times New Roman"/>
      <w:snapToGrid w:val="0"/>
      <w:sz w:val="21"/>
      <w:lang w:val="en-US" w:eastAsia="zh-CN" w:bidi="ar-SA"/>
    </w:rPr>
  </w:style>
  <w:style w:type="paragraph" w:customStyle="1" w:styleId="374">
    <w:name w:val="Char Char Char Char Char Char1 Char Char Char Char1"/>
    <w:basedOn w:val="1"/>
    <w:qFormat/>
    <w:uiPriority w:val="0"/>
    <w:rPr>
      <w:rFonts w:ascii="Tahoma" w:hAnsi="Tahoma"/>
      <w:sz w:val="24"/>
      <w:szCs w:val="20"/>
    </w:rPr>
  </w:style>
  <w:style w:type="paragraph" w:customStyle="1" w:styleId="375">
    <w:name w:val="正文（标题三）"/>
    <w:basedOn w:val="1"/>
    <w:qFormat/>
    <w:uiPriority w:val="0"/>
    <w:pPr>
      <w:spacing w:line="360" w:lineRule="auto"/>
      <w:ind w:left="170" w:firstLine="425"/>
    </w:pPr>
    <w:rPr>
      <w:sz w:val="24"/>
      <w:szCs w:val="20"/>
    </w:rPr>
  </w:style>
  <w:style w:type="paragraph" w:customStyle="1" w:styleId="376">
    <w:name w:val="Char1 Char Char Char Char Char Char Char Char"/>
    <w:basedOn w:val="1"/>
    <w:qFormat/>
    <w:uiPriority w:val="0"/>
    <w:rPr>
      <w:rFonts w:ascii="Tahoma" w:hAnsi="Tahoma"/>
      <w:sz w:val="24"/>
      <w:szCs w:val="20"/>
    </w:rPr>
  </w:style>
  <w:style w:type="paragraph" w:customStyle="1" w:styleId="377">
    <w:name w:val="样式3"/>
    <w:basedOn w:val="1"/>
    <w:link w:val="378"/>
    <w:qFormat/>
    <w:uiPriority w:val="0"/>
    <w:pPr>
      <w:spacing w:line="300" w:lineRule="auto"/>
    </w:pPr>
    <w:rPr>
      <w:rFonts w:ascii="宋体"/>
      <w:sz w:val="24"/>
      <w:szCs w:val="20"/>
    </w:rPr>
  </w:style>
  <w:style w:type="character" w:customStyle="1" w:styleId="378">
    <w:name w:val="样式3 Char"/>
    <w:link w:val="377"/>
    <w:qFormat/>
    <w:uiPriority w:val="0"/>
    <w:rPr>
      <w:rFonts w:ascii="宋体"/>
      <w:kern w:val="2"/>
      <w:sz w:val="24"/>
    </w:rPr>
  </w:style>
  <w:style w:type="paragraph" w:customStyle="1" w:styleId="379">
    <w:name w:val="Char Char Char Char Char Char1 Char Char Char Char Char Char Char"/>
    <w:basedOn w:val="1"/>
    <w:qFormat/>
    <w:uiPriority w:val="0"/>
    <w:rPr>
      <w:rFonts w:ascii="Tahoma" w:hAnsi="Tahoma"/>
      <w:sz w:val="24"/>
      <w:szCs w:val="20"/>
    </w:rPr>
  </w:style>
  <w:style w:type="paragraph" w:customStyle="1" w:styleId="380">
    <w:name w:val="Char Char Char Char Char Char1 Char Char Char Char Char Char1 Char Char Char1"/>
    <w:basedOn w:val="1"/>
    <w:qFormat/>
    <w:uiPriority w:val="0"/>
    <w:rPr>
      <w:rFonts w:ascii="Tahoma" w:hAnsi="Tahoma"/>
      <w:sz w:val="24"/>
      <w:szCs w:val="20"/>
    </w:rPr>
  </w:style>
  <w:style w:type="paragraph" w:customStyle="1" w:styleId="381">
    <w:name w:val="样式 样式 样式 样式 标题 2 + 宋体 五号 非加粗 黑色 + 段前: 6 磅 段后: 0 磅 行距: 单倍行距 + 段前:..."/>
    <w:basedOn w:val="1"/>
    <w:qFormat/>
    <w:uiPriority w:val="0"/>
    <w:pPr>
      <w:keepNext/>
      <w:keepLines/>
      <w:adjustRightInd w:val="0"/>
      <w:spacing w:before="240"/>
      <w:jc w:val="left"/>
      <w:textAlignment w:val="baseline"/>
      <w:outlineLvl w:val="1"/>
    </w:pPr>
    <w:rPr>
      <w:rFonts w:ascii="宋体" w:hAnsi="宋体" w:cs="宋体"/>
      <w:b/>
      <w:bCs/>
      <w:color w:val="000000"/>
      <w:kern w:val="0"/>
      <w:szCs w:val="20"/>
    </w:rPr>
  </w:style>
  <w:style w:type="paragraph" w:customStyle="1" w:styleId="382">
    <w:name w:val="样式一"/>
    <w:basedOn w:val="1"/>
    <w:qFormat/>
    <w:uiPriority w:val="0"/>
    <w:pPr>
      <w:autoSpaceDE w:val="0"/>
      <w:autoSpaceDN w:val="0"/>
      <w:adjustRightInd w:val="0"/>
      <w:spacing w:line="360" w:lineRule="auto"/>
      <w:textAlignment w:val="baseline"/>
    </w:pPr>
    <w:rPr>
      <w:rFonts w:ascii="宋体" w:hAnsi="宋体"/>
      <w:kern w:val="0"/>
      <w:sz w:val="24"/>
      <w:szCs w:val="20"/>
    </w:rPr>
  </w:style>
  <w:style w:type="paragraph" w:customStyle="1" w:styleId="383">
    <w:name w:val="倪芳"/>
    <w:basedOn w:val="1"/>
    <w:qFormat/>
    <w:uiPriority w:val="0"/>
    <w:pPr>
      <w:spacing w:beforeLines="25" w:afterLines="15" w:line="400" w:lineRule="exact"/>
    </w:pPr>
    <w:rPr>
      <w:rFonts w:ascii="宋体" w:hAnsi="Courier New" w:cs="Courier New"/>
      <w:sz w:val="24"/>
      <w:szCs w:val="21"/>
    </w:rPr>
  </w:style>
  <w:style w:type="paragraph" w:customStyle="1" w:styleId="384">
    <w:name w:val="TOC 标题1"/>
    <w:basedOn w:val="3"/>
    <w:next w:val="1"/>
    <w:unhideWhenUsed/>
    <w:qFormat/>
    <w:uiPriority w:val="39"/>
    <w:pPr>
      <w:adjustRightInd/>
      <w:spacing w:before="340" w:after="330" w:line="578" w:lineRule="auto"/>
      <w:jc w:val="both"/>
      <w:outlineLvl w:val="9"/>
    </w:pPr>
    <w:rPr>
      <w:rFonts w:ascii="Calibri" w:hAnsi="Calibri"/>
      <w:bCs/>
      <w:sz w:val="44"/>
      <w:szCs w:val="44"/>
    </w:rPr>
  </w:style>
  <w:style w:type="paragraph" w:customStyle="1" w:styleId="385">
    <w:name w:val="标题5"/>
    <w:basedOn w:val="6"/>
    <w:link w:val="386"/>
    <w:qFormat/>
    <w:uiPriority w:val="0"/>
    <w:pPr>
      <w:adjustRightInd/>
      <w:spacing w:before="260" w:after="260" w:line="413" w:lineRule="auto"/>
      <w:jc w:val="both"/>
    </w:pPr>
    <w:rPr>
      <w:rFonts w:ascii="Arial" w:hAnsi="Arial"/>
      <w:bCs/>
      <w:szCs w:val="32"/>
      <w:u w:val="none"/>
    </w:rPr>
  </w:style>
  <w:style w:type="character" w:customStyle="1" w:styleId="386">
    <w:name w:val="标题5 Char Char"/>
    <w:link w:val="385"/>
    <w:qFormat/>
    <w:uiPriority w:val="0"/>
    <w:rPr>
      <w:rFonts w:ascii="Arial" w:hAnsi="Arial"/>
      <w:b/>
      <w:bCs/>
      <w:sz w:val="24"/>
      <w:szCs w:val="32"/>
    </w:rPr>
  </w:style>
  <w:style w:type="paragraph" w:customStyle="1" w:styleId="387">
    <w:name w:val="标题4"/>
    <w:basedOn w:val="4"/>
    <w:next w:val="42"/>
    <w:link w:val="388"/>
    <w:qFormat/>
    <w:uiPriority w:val="0"/>
    <w:pPr>
      <w:adjustRightInd/>
      <w:spacing w:before="260" w:after="260" w:line="413" w:lineRule="auto"/>
      <w:jc w:val="both"/>
    </w:pPr>
    <w:rPr>
      <w:rFonts w:eastAsia="宋体"/>
      <w:bCs/>
      <w:sz w:val="24"/>
      <w:szCs w:val="32"/>
    </w:rPr>
  </w:style>
  <w:style w:type="character" w:customStyle="1" w:styleId="388">
    <w:name w:val="标题4 Char Char"/>
    <w:link w:val="387"/>
    <w:qFormat/>
    <w:uiPriority w:val="0"/>
    <w:rPr>
      <w:rFonts w:ascii="Arial" w:hAnsi="Arial"/>
      <w:b/>
      <w:bCs/>
      <w:sz w:val="24"/>
      <w:szCs w:val="32"/>
    </w:rPr>
  </w:style>
  <w:style w:type="paragraph" w:customStyle="1" w:styleId="389">
    <w:name w:val="明显引用1"/>
    <w:basedOn w:val="1"/>
    <w:next w:val="1"/>
    <w:link w:val="390"/>
    <w:qFormat/>
    <w:uiPriority w:val="0"/>
    <w:pPr>
      <w:pBdr>
        <w:bottom w:val="single" w:color="4F81BD" w:sz="4" w:space="4"/>
      </w:pBdr>
      <w:spacing w:before="200" w:after="280"/>
      <w:ind w:left="936" w:right="936"/>
    </w:pPr>
    <w:rPr>
      <w:b/>
      <w:bCs/>
      <w:i/>
      <w:iCs/>
      <w:color w:val="4F81BD"/>
      <w:szCs w:val="22"/>
    </w:rPr>
  </w:style>
  <w:style w:type="character" w:customStyle="1" w:styleId="390">
    <w:name w:val="明显引用 Char1"/>
    <w:basedOn w:val="91"/>
    <w:link w:val="389"/>
    <w:qFormat/>
    <w:uiPriority w:val="0"/>
    <w:rPr>
      <w:b/>
      <w:bCs/>
      <w:i/>
      <w:iCs/>
      <w:color w:val="4F81BD"/>
      <w:kern w:val="2"/>
      <w:sz w:val="21"/>
      <w:szCs w:val="22"/>
    </w:rPr>
  </w:style>
  <w:style w:type="paragraph" w:customStyle="1" w:styleId="391">
    <w:name w:val="引用1"/>
    <w:basedOn w:val="1"/>
    <w:next w:val="1"/>
    <w:link w:val="392"/>
    <w:qFormat/>
    <w:uiPriority w:val="0"/>
    <w:rPr>
      <w:i/>
      <w:iCs/>
      <w:color w:val="000000"/>
      <w:szCs w:val="22"/>
    </w:rPr>
  </w:style>
  <w:style w:type="character" w:customStyle="1" w:styleId="392">
    <w:name w:val="引用 Char1"/>
    <w:basedOn w:val="91"/>
    <w:link w:val="391"/>
    <w:qFormat/>
    <w:uiPriority w:val="0"/>
    <w:rPr>
      <w:i/>
      <w:iCs/>
      <w:color w:val="000000"/>
      <w:kern w:val="2"/>
      <w:sz w:val="21"/>
      <w:szCs w:val="22"/>
    </w:rPr>
  </w:style>
  <w:style w:type="paragraph" w:customStyle="1" w:styleId="393">
    <w:name w:val="样式 标题 2 + Times New Roman 四号 非加粗 段前: 5 磅 段后: 0 磅 行距: 固定值 20..."/>
    <w:basedOn w:val="4"/>
    <w:qFormat/>
    <w:uiPriority w:val="0"/>
    <w:pPr>
      <w:adjustRightInd/>
      <w:spacing w:before="100" w:line="400" w:lineRule="exact"/>
      <w:jc w:val="both"/>
    </w:pPr>
    <w:rPr>
      <w:rFonts w:ascii="Times New Roman" w:hAnsi="Times New Roman" w:cs="宋体"/>
      <w:b w:val="0"/>
      <w:sz w:val="28"/>
    </w:rPr>
  </w:style>
  <w:style w:type="paragraph" w:customStyle="1" w:styleId="394">
    <w:name w:val="空半行"/>
    <w:basedOn w:val="1"/>
    <w:qFormat/>
    <w:uiPriority w:val="0"/>
    <w:pPr>
      <w:adjustRightInd w:val="0"/>
      <w:spacing w:line="120" w:lineRule="exact"/>
      <w:textAlignment w:val="baseline"/>
    </w:pPr>
    <w:rPr>
      <w:rFonts w:eastAsia="仿宋_GB2312"/>
      <w:color w:val="FFFFFF"/>
      <w:kern w:val="0"/>
      <w:sz w:val="30"/>
      <w:szCs w:val="20"/>
    </w:rPr>
  </w:style>
  <w:style w:type="paragraph" w:customStyle="1" w:styleId="395">
    <w:name w:val="无间隔1"/>
    <w:next w:val="1"/>
    <w:link w:val="396"/>
    <w:qFormat/>
    <w:uiPriority w:val="1"/>
    <w:pPr>
      <w:widowControl w:val="0"/>
      <w:jc w:val="both"/>
    </w:pPr>
    <w:rPr>
      <w:rFonts w:ascii="Calibri" w:hAnsi="Calibri" w:eastAsia="宋体" w:cs="Times New Roman"/>
      <w:kern w:val="2"/>
      <w:sz w:val="21"/>
      <w:szCs w:val="22"/>
      <w:lang w:val="en-US" w:eastAsia="zh-CN" w:bidi="ar-SA"/>
    </w:rPr>
  </w:style>
  <w:style w:type="character" w:customStyle="1" w:styleId="396">
    <w:name w:val="无间隔 Char"/>
    <w:link w:val="395"/>
    <w:qFormat/>
    <w:uiPriority w:val="1"/>
    <w:rPr>
      <w:rFonts w:ascii="Calibri" w:hAnsi="Calibri"/>
      <w:kern w:val="2"/>
      <w:sz w:val="21"/>
      <w:szCs w:val="22"/>
    </w:rPr>
  </w:style>
  <w:style w:type="paragraph" w:customStyle="1" w:styleId="397">
    <w:name w:val="flNote"/>
    <w:basedOn w:val="1"/>
    <w:qFormat/>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398">
    <w:name w:val="Body 1"/>
    <w:qFormat/>
    <w:uiPriority w:val="0"/>
    <w:pPr>
      <w:outlineLvl w:val="0"/>
    </w:pPr>
    <w:rPr>
      <w:rFonts w:ascii="Times New Roman" w:hAnsi="Times New Roman" w:eastAsia="ヒラギノ角ゴ Pro W3" w:cs="Times New Roman"/>
      <w:color w:val="000000"/>
      <w:sz w:val="24"/>
      <w:lang w:val="en-US" w:eastAsia="zh-CN" w:bidi="ar-SA"/>
    </w:rPr>
  </w:style>
  <w:style w:type="paragraph" w:customStyle="1" w:styleId="399">
    <w:name w:val="Char Char Char Char Char Char Char Char Char Char Char Char"/>
    <w:basedOn w:val="1"/>
    <w:qFormat/>
    <w:uiPriority w:val="0"/>
    <w:rPr>
      <w:rFonts w:ascii="宋体" w:hAnsi="宋体" w:cs="Courier New"/>
      <w:sz w:val="32"/>
      <w:szCs w:val="32"/>
    </w:rPr>
  </w:style>
  <w:style w:type="paragraph" w:customStyle="1" w:styleId="400">
    <w:name w:val="Char Char Char Char Char Char Char Char Char"/>
    <w:basedOn w:val="1"/>
    <w:qFormat/>
    <w:uiPriority w:val="0"/>
    <w:rPr>
      <w:rFonts w:ascii="宋体" w:hAnsi="宋体" w:cs="Courier New"/>
      <w:sz w:val="32"/>
      <w:szCs w:val="32"/>
    </w:rPr>
  </w:style>
  <w:style w:type="paragraph" w:customStyle="1" w:styleId="401">
    <w:name w:val="批注主题1"/>
    <w:basedOn w:val="28"/>
    <w:next w:val="28"/>
    <w:qFormat/>
    <w:uiPriority w:val="0"/>
    <w:pPr>
      <w:adjustRightInd w:val="0"/>
      <w:snapToGrid w:val="0"/>
      <w:spacing w:line="360" w:lineRule="auto"/>
      <w:ind w:firstLine="567"/>
    </w:pPr>
    <w:rPr>
      <w:b/>
      <w:bCs/>
      <w:color w:val="000000"/>
      <w:kern w:val="0"/>
      <w:sz w:val="28"/>
      <w:szCs w:val="21"/>
    </w:rPr>
  </w:style>
  <w:style w:type="paragraph" w:customStyle="1" w:styleId="402">
    <w:name w:val="纯文本1"/>
    <w:basedOn w:val="1"/>
    <w:qFormat/>
    <w:uiPriority w:val="0"/>
    <w:rPr>
      <w:rFonts w:ascii="宋体" w:hAnsi="Courier New"/>
      <w:szCs w:val="20"/>
    </w:rPr>
  </w:style>
  <w:style w:type="paragraph" w:customStyle="1" w:styleId="403">
    <w:name w:val="普通(网站)1"/>
    <w:basedOn w:val="1"/>
    <w:qFormat/>
    <w:uiPriority w:val="0"/>
    <w:pPr>
      <w:widowControl/>
      <w:spacing w:before="100" w:beforeAutospacing="1" w:after="100" w:afterAutospacing="1"/>
      <w:jc w:val="left"/>
    </w:pPr>
    <w:rPr>
      <w:rFonts w:ascii="Arial Unicode MS" w:hAnsi="Arial Unicode MS" w:eastAsia="Arial Unicode MS" w:cs="Arial Unicode MS"/>
      <w:kern w:val="0"/>
      <w:sz w:val="24"/>
    </w:rPr>
  </w:style>
  <w:style w:type="paragraph" w:customStyle="1" w:styleId="404">
    <w:name w:val="报告正文"/>
    <w:basedOn w:val="1"/>
    <w:link w:val="405"/>
    <w:qFormat/>
    <w:uiPriority w:val="0"/>
    <w:pPr>
      <w:adjustRightInd w:val="0"/>
      <w:snapToGrid w:val="0"/>
      <w:spacing w:line="312" w:lineRule="auto"/>
      <w:ind w:left="2600"/>
    </w:pPr>
    <w:rPr>
      <w:rFonts w:ascii="华文细黑" w:eastAsia="华文细黑" w:cs="宋体"/>
      <w:sz w:val="20"/>
      <w:szCs w:val="20"/>
    </w:rPr>
  </w:style>
  <w:style w:type="character" w:customStyle="1" w:styleId="405">
    <w:name w:val="报告正文 Char Char"/>
    <w:link w:val="404"/>
    <w:qFormat/>
    <w:uiPriority w:val="0"/>
    <w:rPr>
      <w:rFonts w:ascii="华文细黑" w:eastAsia="华文细黑" w:cs="宋体"/>
      <w:kern w:val="2"/>
    </w:rPr>
  </w:style>
  <w:style w:type="paragraph" w:customStyle="1" w:styleId="406">
    <w:name w:val="_Style 1"/>
    <w:basedOn w:val="1"/>
    <w:qFormat/>
    <w:uiPriority w:val="34"/>
    <w:pPr>
      <w:ind w:firstLine="420" w:firstLineChars="200"/>
    </w:pPr>
    <w:rPr>
      <w:rFonts w:ascii="Calibri" w:hAnsi="Calibri"/>
      <w:szCs w:val="22"/>
    </w:rPr>
  </w:style>
  <w:style w:type="paragraph" w:customStyle="1" w:styleId="407">
    <w:name w:val="正文3"/>
    <w:qFormat/>
    <w:uiPriority w:val="0"/>
    <w:pPr>
      <w:widowControl w:val="0"/>
      <w:adjustRightInd w:val="0"/>
      <w:spacing w:line="312" w:lineRule="atLeast"/>
      <w:jc w:val="both"/>
    </w:pPr>
    <w:rPr>
      <w:rFonts w:ascii="宋体" w:hAnsi="Times New Roman" w:eastAsia="宋体" w:cs="Times New Roman"/>
      <w:sz w:val="24"/>
      <w:lang w:val="en-US" w:eastAsia="zh-CN" w:bidi="ar-SA"/>
    </w:rPr>
  </w:style>
  <w:style w:type="character" w:customStyle="1" w:styleId="408">
    <w:name w:val="标题 1 Char1"/>
    <w:qFormat/>
    <w:uiPriority w:val="0"/>
    <w:rPr>
      <w:rFonts w:ascii="宋体" w:eastAsia="宋体"/>
      <w:b/>
      <w:kern w:val="44"/>
      <w:sz w:val="32"/>
      <w:lang w:val="en-US" w:eastAsia="zh-CN" w:bidi="ar-SA"/>
    </w:rPr>
  </w:style>
  <w:style w:type="character" w:customStyle="1" w:styleId="409">
    <w:name w:val="apple-converted-space"/>
    <w:basedOn w:val="91"/>
    <w:qFormat/>
    <w:uiPriority w:val="0"/>
  </w:style>
  <w:style w:type="character" w:customStyle="1" w:styleId="410">
    <w:name w:val="标题 2 Char1"/>
    <w:qFormat/>
    <w:uiPriority w:val="99"/>
    <w:rPr>
      <w:rFonts w:ascii="Arial" w:hAnsi="Arial" w:eastAsia="华文宋体"/>
      <w:b/>
      <w:i/>
      <w:sz w:val="28"/>
    </w:rPr>
  </w:style>
  <w:style w:type="character" w:customStyle="1" w:styleId="411">
    <w:name w:val="标题 3 Char1"/>
    <w:qFormat/>
    <w:uiPriority w:val="99"/>
    <w:rPr>
      <w:rFonts w:ascii="Arial" w:hAnsi="Arial" w:eastAsia="华文宋体"/>
      <w:b/>
      <w:sz w:val="26"/>
    </w:rPr>
  </w:style>
  <w:style w:type="character" w:customStyle="1" w:styleId="412">
    <w:name w:val="称呼 Char"/>
    <w:qFormat/>
    <w:uiPriority w:val="0"/>
    <w:rPr>
      <w:rFonts w:ascii="宋体" w:eastAsia="仿宋_GB2312"/>
      <w:kern w:val="2"/>
      <w:sz w:val="21"/>
    </w:rPr>
  </w:style>
  <w:style w:type="character" w:customStyle="1" w:styleId="413">
    <w:name w:val="正文文本 Char"/>
    <w:qFormat/>
    <w:uiPriority w:val="0"/>
    <w:rPr>
      <w:rFonts w:ascii="Times New Roman" w:hAnsi="Times New Roman"/>
      <w:kern w:val="2"/>
      <w:sz w:val="21"/>
      <w:szCs w:val="24"/>
    </w:rPr>
  </w:style>
  <w:style w:type="character" w:customStyle="1" w:styleId="414">
    <w:name w:val="正文首行缩进 Char"/>
    <w:basedOn w:val="413"/>
    <w:qFormat/>
    <w:uiPriority w:val="0"/>
    <w:rPr>
      <w:rFonts w:ascii="Times New Roman" w:hAnsi="Times New Roman"/>
      <w:kern w:val="2"/>
      <w:sz w:val="21"/>
      <w:szCs w:val="24"/>
    </w:rPr>
  </w:style>
  <w:style w:type="character" w:customStyle="1" w:styleId="415">
    <w:name w:val="注释标题 Char"/>
    <w:qFormat/>
    <w:uiPriority w:val="0"/>
    <w:rPr>
      <w:kern w:val="2"/>
      <w:sz w:val="21"/>
      <w:szCs w:val="24"/>
    </w:rPr>
  </w:style>
  <w:style w:type="character" w:customStyle="1" w:styleId="416">
    <w:name w:val="标题 1 Char Char Char"/>
    <w:qFormat/>
    <w:uiPriority w:val="0"/>
    <w:rPr>
      <w:rFonts w:ascii="宋体" w:hAnsi="华文宋体"/>
      <w:b/>
      <w:kern w:val="44"/>
      <w:sz w:val="52"/>
    </w:rPr>
  </w:style>
  <w:style w:type="character" w:customStyle="1" w:styleId="417">
    <w:name w:val="明显引用 Char"/>
    <w:qFormat/>
    <w:uiPriority w:val="0"/>
    <w:rPr>
      <w:b/>
      <w:bCs/>
      <w:i/>
      <w:iCs/>
      <w:color w:val="4F81BD"/>
      <w:kern w:val="2"/>
      <w:sz w:val="21"/>
      <w:szCs w:val="22"/>
    </w:rPr>
  </w:style>
  <w:style w:type="character" w:customStyle="1" w:styleId="418">
    <w:name w:val="明显参考1"/>
    <w:qFormat/>
    <w:uiPriority w:val="0"/>
    <w:rPr>
      <w:b/>
      <w:bCs/>
      <w:smallCaps/>
      <w:color w:val="C0504D"/>
      <w:spacing w:val="5"/>
      <w:u w:val="single"/>
    </w:rPr>
  </w:style>
  <w:style w:type="character" w:customStyle="1" w:styleId="419">
    <w:name w:val="日期 Char1"/>
    <w:qFormat/>
    <w:uiPriority w:val="0"/>
    <w:rPr>
      <w:kern w:val="2"/>
      <w:sz w:val="21"/>
      <w:szCs w:val="22"/>
    </w:rPr>
  </w:style>
  <w:style w:type="character" w:customStyle="1" w:styleId="420">
    <w:name w:val="书籍标题1"/>
    <w:qFormat/>
    <w:uiPriority w:val="0"/>
    <w:rPr>
      <w:b/>
      <w:bCs/>
      <w:smallCaps/>
      <w:spacing w:val="5"/>
    </w:rPr>
  </w:style>
  <w:style w:type="character" w:customStyle="1" w:styleId="421">
    <w:name w:val="批注主题 Char1"/>
    <w:qFormat/>
    <w:uiPriority w:val="0"/>
    <w:rPr>
      <w:b/>
      <w:bCs/>
      <w:kern w:val="2"/>
      <w:sz w:val="21"/>
      <w:szCs w:val="22"/>
    </w:rPr>
  </w:style>
  <w:style w:type="character" w:customStyle="1" w:styleId="422">
    <w:name w:val="不明显强调1"/>
    <w:qFormat/>
    <w:uiPriority w:val="0"/>
    <w:rPr>
      <w:i/>
      <w:iCs/>
      <w:color w:val="808080"/>
    </w:rPr>
  </w:style>
  <w:style w:type="character" w:customStyle="1" w:styleId="423">
    <w:name w:val="批注文字 Char Char"/>
    <w:qFormat/>
    <w:uiPriority w:val="0"/>
    <w:rPr>
      <w:rFonts w:ascii="宋体" w:hAnsi="Times New Roman" w:eastAsia="宋体" w:cs="Times New Roman"/>
      <w:sz w:val="28"/>
      <w:szCs w:val="20"/>
    </w:rPr>
  </w:style>
  <w:style w:type="character" w:customStyle="1" w:styleId="424">
    <w:name w:val="批注框文本 Char1"/>
    <w:qFormat/>
    <w:uiPriority w:val="0"/>
    <w:rPr>
      <w:kern w:val="2"/>
      <w:sz w:val="18"/>
      <w:szCs w:val="18"/>
    </w:rPr>
  </w:style>
  <w:style w:type="character" w:customStyle="1" w:styleId="425">
    <w:name w:val="明显强调1"/>
    <w:qFormat/>
    <w:uiPriority w:val="0"/>
    <w:rPr>
      <w:b/>
      <w:bCs/>
      <w:i/>
      <w:iCs/>
      <w:color w:val="4F81BD"/>
    </w:rPr>
  </w:style>
  <w:style w:type="character" w:customStyle="1" w:styleId="426">
    <w:name w:val="textcontents"/>
    <w:qFormat/>
    <w:uiPriority w:val="0"/>
    <w:rPr>
      <w:rFonts w:cs="Times New Roman"/>
    </w:rPr>
  </w:style>
  <w:style w:type="character" w:customStyle="1" w:styleId="427">
    <w:name w:val="文档结构图 Char1"/>
    <w:qFormat/>
    <w:uiPriority w:val="0"/>
    <w:rPr>
      <w:rFonts w:ascii="宋体"/>
      <w:kern w:val="2"/>
      <w:sz w:val="18"/>
      <w:szCs w:val="18"/>
    </w:rPr>
  </w:style>
  <w:style w:type="character" w:customStyle="1" w:styleId="428">
    <w:name w:val="引用 Char"/>
    <w:qFormat/>
    <w:uiPriority w:val="0"/>
    <w:rPr>
      <w:i/>
      <w:iCs/>
      <w:color w:val="000000"/>
      <w:kern w:val="2"/>
      <w:sz w:val="21"/>
      <w:szCs w:val="22"/>
    </w:rPr>
  </w:style>
  <w:style w:type="character" w:customStyle="1" w:styleId="429">
    <w:name w:val="不明显参考1"/>
    <w:qFormat/>
    <w:uiPriority w:val="0"/>
    <w:rPr>
      <w:smallCaps/>
      <w:color w:val="C0504D"/>
      <w:u w:val="single"/>
    </w:rPr>
  </w:style>
  <w:style w:type="character" w:customStyle="1" w:styleId="430">
    <w:name w:val="批注引用1"/>
    <w:qFormat/>
    <w:uiPriority w:val="0"/>
    <w:rPr>
      <w:sz w:val="21"/>
      <w:szCs w:val="21"/>
    </w:rPr>
  </w:style>
  <w:style w:type="character" w:customStyle="1" w:styleId="431">
    <w:name w:val="页码1"/>
    <w:basedOn w:val="91"/>
    <w:qFormat/>
    <w:uiPriority w:val="0"/>
  </w:style>
  <w:style w:type="character" w:customStyle="1" w:styleId="432">
    <w:name w:val="Char Char2"/>
    <w:qFormat/>
    <w:uiPriority w:val="99"/>
    <w:rPr>
      <w:rFonts w:eastAsia="宋体"/>
      <w:color w:val="000000"/>
      <w:sz w:val="18"/>
      <w:szCs w:val="18"/>
      <w:lang w:val="en-US" w:eastAsia="zh-CN"/>
    </w:rPr>
  </w:style>
  <w:style w:type="character" w:customStyle="1" w:styleId="433">
    <w:name w:val="正文文本 Char2"/>
    <w:basedOn w:val="91"/>
    <w:qFormat/>
    <w:uiPriority w:val="0"/>
    <w:rPr>
      <w:kern w:val="2"/>
      <w:sz w:val="21"/>
      <w:szCs w:val="24"/>
    </w:rPr>
  </w:style>
  <w:style w:type="paragraph" w:customStyle="1" w:styleId="434">
    <w:name w:val="列表段落1"/>
    <w:basedOn w:val="1"/>
    <w:qFormat/>
    <w:uiPriority w:val="99"/>
    <w:pPr>
      <w:ind w:firstLine="420" w:firstLineChars="200"/>
    </w:pPr>
  </w:style>
  <w:style w:type="paragraph" w:customStyle="1" w:styleId="435">
    <w:name w:val="表内文字居左"/>
    <w:basedOn w:val="1"/>
    <w:qFormat/>
    <w:uiPriority w:val="0"/>
    <w:pPr>
      <w:widowControl/>
      <w:snapToGrid w:val="0"/>
      <w:spacing w:line="0" w:lineRule="atLeast"/>
      <w:jc w:val="left"/>
    </w:pPr>
    <w:rPr>
      <w:rFonts w:ascii="宋体" w:hAnsi="宋体"/>
      <w:kern w:val="0"/>
      <w:szCs w:val="20"/>
    </w:rPr>
  </w:style>
  <w:style w:type="character" w:customStyle="1" w:styleId="436">
    <w:name w:val="正文缩进 字符1"/>
    <w:qFormat/>
    <w:uiPriority w:val="0"/>
    <w:rPr>
      <w:rFonts w:ascii="宋体" w:eastAsia="宋体"/>
      <w:sz w:val="24"/>
      <w:lang w:val="en-US" w:eastAsia="zh-CN"/>
    </w:rPr>
  </w:style>
  <w:style w:type="character" w:customStyle="1" w:styleId="437">
    <w:name w:val="未处理的提及1"/>
    <w:basedOn w:val="91"/>
    <w:unhideWhenUsed/>
    <w:qFormat/>
    <w:uiPriority w:val="99"/>
    <w:rPr>
      <w:color w:val="605E5C"/>
      <w:shd w:val="clear" w:color="auto" w:fill="E1DFDD"/>
    </w:rPr>
  </w:style>
  <w:style w:type="paragraph" w:customStyle="1" w:styleId="438">
    <w:name w:val="TOC 标题2"/>
    <w:basedOn w:val="3"/>
    <w:next w:val="1"/>
    <w:unhideWhenUsed/>
    <w:qFormat/>
    <w:uiPriority w:val="0"/>
    <w:pPr>
      <w:autoSpaceDE/>
      <w:autoSpaceDN/>
      <w:adjustRightInd/>
      <w:spacing w:before="340" w:after="330" w:line="578" w:lineRule="auto"/>
      <w:jc w:val="both"/>
      <w:outlineLvl w:val="9"/>
    </w:pPr>
    <w:rPr>
      <w:rFonts w:ascii="Times New Roman"/>
      <w:bCs/>
      <w:sz w:val="44"/>
      <w:szCs w:val="44"/>
    </w:rPr>
  </w:style>
  <w:style w:type="character" w:customStyle="1" w:styleId="439">
    <w:name w:val="引用 Char2"/>
    <w:link w:val="440"/>
    <w:qFormat/>
    <w:uiPriority w:val="0"/>
    <w:rPr>
      <w:i/>
      <w:iCs/>
      <w:color w:val="000000"/>
      <w:kern w:val="2"/>
      <w:sz w:val="21"/>
      <w:szCs w:val="22"/>
    </w:rPr>
  </w:style>
  <w:style w:type="paragraph" w:customStyle="1" w:styleId="440">
    <w:name w:val="引用2"/>
    <w:basedOn w:val="1"/>
    <w:next w:val="1"/>
    <w:link w:val="439"/>
    <w:qFormat/>
    <w:uiPriority w:val="0"/>
    <w:rPr>
      <w:i/>
      <w:iCs/>
      <w:color w:val="000000"/>
      <w:szCs w:val="22"/>
    </w:rPr>
  </w:style>
  <w:style w:type="character" w:customStyle="1" w:styleId="441">
    <w:name w:val="明显引用 Char2"/>
    <w:link w:val="442"/>
    <w:qFormat/>
    <w:uiPriority w:val="0"/>
    <w:rPr>
      <w:b/>
      <w:bCs/>
      <w:i/>
      <w:iCs/>
      <w:color w:val="4F81BD"/>
      <w:kern w:val="2"/>
      <w:sz w:val="21"/>
      <w:szCs w:val="22"/>
    </w:rPr>
  </w:style>
  <w:style w:type="paragraph" w:customStyle="1" w:styleId="442">
    <w:name w:val="明显引用2"/>
    <w:basedOn w:val="1"/>
    <w:next w:val="1"/>
    <w:link w:val="441"/>
    <w:qFormat/>
    <w:uiPriority w:val="0"/>
    <w:pPr>
      <w:pBdr>
        <w:bottom w:val="single" w:color="4F81BD" w:sz="4" w:space="4"/>
      </w:pBdr>
      <w:spacing w:before="200" w:after="280"/>
      <w:ind w:left="936" w:right="936"/>
    </w:pPr>
    <w:rPr>
      <w:b/>
      <w:bCs/>
      <w:i/>
      <w:iCs/>
      <w:color w:val="4F81BD"/>
      <w:szCs w:val="22"/>
    </w:rPr>
  </w:style>
  <w:style w:type="character" w:customStyle="1" w:styleId="443">
    <w:name w:val="引用 字符1"/>
    <w:basedOn w:val="91"/>
    <w:qFormat/>
    <w:uiPriority w:val="29"/>
    <w:rPr>
      <w:i/>
      <w:iCs/>
      <w:color w:val="404040" w:themeColor="text1" w:themeTint="BF"/>
      <w:kern w:val="2"/>
      <w:sz w:val="21"/>
      <w:szCs w:val="24"/>
      <w14:textFill>
        <w14:solidFill>
          <w14:schemeClr w14:val="tx1">
            <w14:lumMod w14:val="75000"/>
            <w14:lumOff w14:val="25000"/>
          </w14:schemeClr>
        </w14:solidFill>
      </w14:textFill>
    </w:rPr>
  </w:style>
  <w:style w:type="character" w:customStyle="1" w:styleId="444">
    <w:name w:val="明显引用 字符1"/>
    <w:basedOn w:val="91"/>
    <w:qFormat/>
    <w:uiPriority w:val="30"/>
    <w:rPr>
      <w:i/>
      <w:iCs/>
      <w:color w:val="4F81BD" w:themeColor="accent1"/>
      <w:kern w:val="2"/>
      <w:sz w:val="21"/>
      <w:szCs w:val="24"/>
      <w14:textFill>
        <w14:solidFill>
          <w14:schemeClr w14:val="accent1"/>
        </w14:solidFill>
      </w14:textFill>
    </w:rPr>
  </w:style>
  <w:style w:type="character" w:customStyle="1" w:styleId="445">
    <w:name w:val="纯文本 Char2"/>
    <w:qFormat/>
    <w:uiPriority w:val="99"/>
    <w:rPr>
      <w:rFonts w:ascii="宋体" w:hAnsi="Courier New" w:cs="Helv"/>
      <w:sz w:val="21"/>
      <w:szCs w:val="21"/>
    </w:rPr>
  </w:style>
  <w:style w:type="character" w:customStyle="1" w:styleId="446">
    <w:name w:val="纯文本 Char3"/>
    <w:qFormat/>
    <w:uiPriority w:val="0"/>
    <w:rPr>
      <w:rFonts w:ascii="宋体" w:hAnsi="Courier New" w:eastAsia="宋体"/>
      <w:lang w:bidi="ar-SA"/>
    </w:rPr>
  </w:style>
  <w:style w:type="character" w:customStyle="1" w:styleId="447">
    <w:name w:val="页脚 Char1"/>
    <w:qFormat/>
    <w:uiPriority w:val="99"/>
    <w:rPr>
      <w:rFonts w:ascii="宋体" w:eastAsia="宋体"/>
      <w:sz w:val="18"/>
      <w:lang w:val="en-US" w:eastAsia="zh-CN" w:bidi="ar-SA"/>
    </w:rPr>
  </w:style>
  <w:style w:type="character" w:customStyle="1" w:styleId="448">
    <w:name w:val="页眉 Char1"/>
    <w:qFormat/>
    <w:uiPriority w:val="99"/>
    <w:rPr>
      <w:rFonts w:eastAsia="宋体"/>
      <w:kern w:val="2"/>
      <w:sz w:val="18"/>
      <w:szCs w:val="18"/>
      <w:lang w:val="en-US" w:eastAsia="zh-CN" w:bidi="ar-SA"/>
    </w:rPr>
  </w:style>
  <w:style w:type="paragraph" w:customStyle="1" w:styleId="449">
    <w:name w:val="TOC 标题3"/>
    <w:basedOn w:val="3"/>
    <w:next w:val="1"/>
    <w:unhideWhenUsed/>
    <w:qFormat/>
    <w:uiPriority w:val="0"/>
    <w:pPr>
      <w:widowControl/>
      <w:autoSpaceDE/>
      <w:autoSpaceDN/>
      <w:adjustRightInd/>
      <w:spacing w:after="0" w:line="259" w:lineRule="auto"/>
      <w:jc w:val="left"/>
      <w:outlineLvl w:val="9"/>
    </w:pPr>
    <w:rPr>
      <w:rFonts w:asciiTheme="majorHAnsi" w:hAnsiTheme="majorHAnsi" w:eastAsiaTheme="majorEastAsia" w:cstheme="majorBidi"/>
      <w:b w:val="0"/>
      <w:color w:val="376092" w:themeColor="accent1" w:themeShade="BF"/>
      <w:kern w:val="0"/>
      <w:szCs w:val="32"/>
    </w:rPr>
  </w:style>
  <w:style w:type="character" w:customStyle="1" w:styleId="450">
    <w:name w:val="未处理的提及2"/>
    <w:basedOn w:val="91"/>
    <w:semiHidden/>
    <w:unhideWhenUsed/>
    <w:qFormat/>
    <w:uiPriority w:val="99"/>
    <w:rPr>
      <w:color w:val="605E5C"/>
      <w:shd w:val="clear" w:color="auto" w:fill="E1DFDD"/>
    </w:rPr>
  </w:style>
  <w:style w:type="character" w:customStyle="1" w:styleId="451">
    <w:name w:val="titletext1"/>
    <w:qFormat/>
    <w:uiPriority w:val="0"/>
    <w:rPr>
      <w:color w:val="000000"/>
      <w:sz w:val="21"/>
      <w:szCs w:val="21"/>
    </w:rPr>
  </w:style>
  <w:style w:type="character" w:customStyle="1" w:styleId="452">
    <w:name w:val="Balloon Text Char"/>
    <w:qFormat/>
    <w:uiPriority w:val="0"/>
    <w:rPr>
      <w:rFonts w:ascii="Times New Roman" w:hAnsi="Times New Roman" w:eastAsia="宋体"/>
      <w:sz w:val="18"/>
    </w:rPr>
  </w:style>
  <w:style w:type="character" w:customStyle="1" w:styleId="453">
    <w:name w:val="B正文[858D7CFB-ED40-4347-BF05-701D383B685F]"/>
    <w:link w:val="454"/>
    <w:qFormat/>
    <w:uiPriority w:val="0"/>
    <w:rPr>
      <w:rFonts w:eastAsia="仿宋_GB2312"/>
      <w:kern w:val="2"/>
      <w:sz w:val="24"/>
    </w:rPr>
  </w:style>
  <w:style w:type="paragraph" w:customStyle="1" w:styleId="454">
    <w:name w:val="B正文"/>
    <w:basedOn w:val="1"/>
    <w:link w:val="453"/>
    <w:qFormat/>
    <w:uiPriority w:val="0"/>
    <w:pPr>
      <w:spacing w:line="360" w:lineRule="auto"/>
      <w:ind w:firstLine="200" w:firstLineChars="200"/>
    </w:pPr>
    <w:rPr>
      <w:rFonts w:eastAsia="仿宋_GB2312"/>
      <w:sz w:val="24"/>
      <w:szCs w:val="20"/>
    </w:rPr>
  </w:style>
  <w:style w:type="character" w:customStyle="1" w:styleId="455">
    <w:name w:val="标题 1 Char Char"/>
    <w:qFormat/>
    <w:uiPriority w:val="0"/>
    <w:rPr>
      <w:rFonts w:eastAsia="黑体"/>
      <w:bCs/>
      <w:color w:val="000000"/>
      <w:kern w:val="44"/>
      <w:sz w:val="30"/>
      <w:szCs w:val="44"/>
      <w:lang w:val="en-US" w:eastAsia="zh-CN" w:bidi="ar-SA"/>
    </w:rPr>
  </w:style>
  <w:style w:type="character" w:customStyle="1" w:styleId="456">
    <w:name w:val="表号 Char2"/>
    <w:link w:val="457"/>
    <w:qFormat/>
    <w:uiPriority w:val="0"/>
    <w:rPr>
      <w:rFonts w:ascii="宋体" w:hAnsi="宋体"/>
      <w:sz w:val="24"/>
    </w:rPr>
  </w:style>
  <w:style w:type="paragraph" w:customStyle="1" w:styleId="457">
    <w:name w:val="表号"/>
    <w:link w:val="456"/>
    <w:qFormat/>
    <w:uiPriority w:val="0"/>
    <w:pPr>
      <w:adjustRightInd w:val="0"/>
      <w:snapToGrid w:val="0"/>
      <w:spacing w:line="240" w:lineRule="atLeast"/>
      <w:jc w:val="both"/>
      <w:outlineLvl w:val="4"/>
    </w:pPr>
    <w:rPr>
      <w:rFonts w:ascii="宋体" w:hAnsi="宋体" w:eastAsia="宋体" w:cs="Times New Roman"/>
      <w:sz w:val="24"/>
      <w:lang w:val="en-US" w:eastAsia="zh-CN" w:bidi="ar-SA"/>
    </w:rPr>
  </w:style>
  <w:style w:type="character" w:customStyle="1" w:styleId="458">
    <w:name w:val="汉江正文 Char"/>
    <w:qFormat/>
    <w:uiPriority w:val="0"/>
    <w:rPr>
      <w:rFonts w:eastAsia="宋体"/>
      <w:kern w:val="2"/>
      <w:sz w:val="21"/>
      <w:lang w:val="en-US" w:eastAsia="zh-CN"/>
    </w:rPr>
  </w:style>
  <w:style w:type="character" w:customStyle="1" w:styleId="459">
    <w:name w:val="Char Char9"/>
    <w:qFormat/>
    <w:uiPriority w:val="0"/>
    <w:rPr>
      <w:rFonts w:eastAsia="宋体"/>
      <w:kern w:val="2"/>
      <w:sz w:val="28"/>
      <w:lang w:val="en-US" w:eastAsia="zh-CN"/>
    </w:rPr>
  </w:style>
  <w:style w:type="character" w:customStyle="1" w:styleId="460">
    <w:name w:val="样式10 Char"/>
    <w:link w:val="461"/>
    <w:qFormat/>
    <w:uiPriority w:val="0"/>
    <w:rPr>
      <w:rFonts w:ascii="宋体" w:hAnsi="宋体"/>
      <w:b/>
      <w:sz w:val="24"/>
    </w:rPr>
  </w:style>
  <w:style w:type="paragraph" w:customStyle="1" w:styleId="461">
    <w:name w:val="样式10"/>
    <w:basedOn w:val="3"/>
    <w:next w:val="3"/>
    <w:link w:val="460"/>
    <w:qFormat/>
    <w:uiPriority w:val="0"/>
    <w:pPr>
      <w:keepNext w:val="0"/>
      <w:keepLines w:val="0"/>
      <w:tabs>
        <w:tab w:val="left" w:pos="360"/>
      </w:tabs>
      <w:autoSpaceDE/>
      <w:autoSpaceDN/>
      <w:adjustRightInd/>
      <w:spacing w:before="0" w:after="0" w:line="360" w:lineRule="auto"/>
      <w:ind w:left="432" w:hanging="432"/>
      <w:jc w:val="left"/>
    </w:pPr>
    <w:rPr>
      <w:rFonts w:hAnsi="宋体"/>
      <w:kern w:val="0"/>
      <w:sz w:val="24"/>
    </w:rPr>
  </w:style>
  <w:style w:type="character" w:customStyle="1" w:styleId="462">
    <w:name w:val="节 Char2"/>
    <w:qFormat/>
    <w:uiPriority w:val="0"/>
    <w:rPr>
      <w:rFonts w:ascii="宋体" w:hAnsi="宋体" w:eastAsia="宋体"/>
      <w:b/>
      <w:sz w:val="32"/>
      <w:lang w:val="en-US" w:eastAsia="zh-CN"/>
    </w:rPr>
  </w:style>
  <w:style w:type="character" w:customStyle="1" w:styleId="463">
    <w:name w:val="样式 正文文本 + Char Char"/>
    <w:link w:val="464"/>
    <w:qFormat/>
    <w:uiPriority w:val="0"/>
    <w:rPr>
      <w:rFonts w:ascii="仿宋_GB2312" w:eastAsia="仿宋_GB2312"/>
      <w:kern w:val="2"/>
      <w:sz w:val="24"/>
      <w:szCs w:val="24"/>
    </w:rPr>
  </w:style>
  <w:style w:type="paragraph" w:customStyle="1" w:styleId="464">
    <w:name w:val="样式 正文文本 +"/>
    <w:basedOn w:val="34"/>
    <w:link w:val="463"/>
    <w:qFormat/>
    <w:uiPriority w:val="0"/>
    <w:pPr>
      <w:tabs>
        <w:tab w:val="left" w:pos="2340"/>
        <w:tab w:val="clear" w:pos="567"/>
      </w:tabs>
      <w:spacing w:before="0" w:line="420" w:lineRule="exact"/>
      <w:ind w:firstLine="200" w:firstLineChars="200"/>
      <w:jc w:val="left"/>
    </w:pPr>
    <w:rPr>
      <w:rFonts w:ascii="仿宋_GB2312" w:hAnsi="Times New Roman" w:eastAsia="仿宋_GB2312"/>
    </w:rPr>
  </w:style>
  <w:style w:type="character" w:customStyle="1" w:styleId="465">
    <w:name w:val="不明显参考2"/>
    <w:qFormat/>
    <w:uiPriority w:val="0"/>
    <w:rPr>
      <w:rFonts w:ascii="Tahoma" w:hAnsi="Tahoma" w:eastAsia="宋体"/>
      <w:b/>
      <w:smallCaps/>
      <w:color w:val="C0504D"/>
      <w:kern w:val="2"/>
      <w:sz w:val="28"/>
      <w:szCs w:val="28"/>
      <w:u w:val="single"/>
      <w:lang w:val="en-US" w:eastAsia="zh-CN" w:bidi="ar-SA"/>
    </w:rPr>
  </w:style>
  <w:style w:type="character" w:customStyle="1" w:styleId="466">
    <w:name w:val="文本 Char"/>
    <w:link w:val="467"/>
    <w:qFormat/>
    <w:uiPriority w:val="0"/>
    <w:rPr>
      <w:rFonts w:ascii="宋体" w:hAnsi="宋体"/>
      <w:b/>
      <w:kern w:val="2"/>
      <w:sz w:val="21"/>
      <w:szCs w:val="21"/>
    </w:rPr>
  </w:style>
  <w:style w:type="paragraph" w:customStyle="1" w:styleId="467">
    <w:name w:val="文本"/>
    <w:basedOn w:val="1"/>
    <w:link w:val="466"/>
    <w:qFormat/>
    <w:uiPriority w:val="0"/>
    <w:pPr>
      <w:spacing w:line="360" w:lineRule="auto"/>
      <w:jc w:val="center"/>
    </w:pPr>
    <w:rPr>
      <w:rFonts w:ascii="宋体" w:hAnsi="宋体"/>
      <w:b/>
      <w:szCs w:val="21"/>
    </w:rPr>
  </w:style>
  <w:style w:type="character" w:customStyle="1" w:styleId="468">
    <w:name w:val="W1 Char Char"/>
    <w:qFormat/>
    <w:uiPriority w:val="0"/>
    <w:rPr>
      <w:rFonts w:ascii="Times New Roman" w:hAnsi="Times New Roman"/>
      <w:b/>
      <w:kern w:val="44"/>
      <w:sz w:val="44"/>
    </w:rPr>
  </w:style>
  <w:style w:type="character" w:customStyle="1" w:styleId="469">
    <w:name w:val="Heading 1 Char"/>
    <w:qFormat/>
    <w:uiPriority w:val="0"/>
    <w:rPr>
      <w:rFonts w:ascii="Times New Roman" w:hAnsi="Times New Roman" w:eastAsia="宋体"/>
      <w:b/>
      <w:kern w:val="44"/>
      <w:sz w:val="44"/>
    </w:rPr>
  </w:style>
  <w:style w:type="character" w:customStyle="1" w:styleId="470">
    <w:name w:val="para1"/>
    <w:qFormat/>
    <w:uiPriority w:val="0"/>
    <w:rPr>
      <w:rFonts w:hint="default" w:ascii="Arial" w:hAnsi="Arial" w:cs="Arial"/>
      <w:sz w:val="18"/>
      <w:szCs w:val="18"/>
    </w:rPr>
  </w:style>
  <w:style w:type="character" w:customStyle="1" w:styleId="471">
    <w:name w:val="style8"/>
    <w:qFormat/>
    <w:uiPriority w:val="0"/>
    <w:rPr>
      <w:rFonts w:ascii="Tahoma" w:hAnsi="Tahoma" w:eastAsia="宋体"/>
      <w:b/>
      <w:kern w:val="2"/>
      <w:sz w:val="24"/>
      <w:szCs w:val="28"/>
      <w:lang w:val="en-US" w:eastAsia="zh-CN" w:bidi="ar-SA"/>
    </w:rPr>
  </w:style>
  <w:style w:type="character" w:customStyle="1" w:styleId="472">
    <w:name w:val="照片表头 Char"/>
    <w:link w:val="473"/>
    <w:qFormat/>
    <w:uiPriority w:val="0"/>
    <w:rPr>
      <w:rFonts w:ascii="宋体" w:hAnsi="宋体"/>
      <w:b/>
      <w:kern w:val="2"/>
      <w:sz w:val="21"/>
    </w:rPr>
  </w:style>
  <w:style w:type="paragraph" w:customStyle="1" w:styleId="473">
    <w:name w:val="照片表头"/>
    <w:basedOn w:val="1"/>
    <w:link w:val="472"/>
    <w:qFormat/>
    <w:uiPriority w:val="0"/>
    <w:pPr>
      <w:spacing w:afterLines="50" w:line="360" w:lineRule="auto"/>
      <w:ind w:firstLine="422" w:firstLineChars="200"/>
      <w:jc w:val="center"/>
    </w:pPr>
    <w:rPr>
      <w:rFonts w:ascii="宋体" w:hAnsi="宋体"/>
      <w:b/>
      <w:szCs w:val="20"/>
    </w:rPr>
  </w:style>
  <w:style w:type="character" w:customStyle="1" w:styleId="474">
    <w:name w:val="Char Char13"/>
    <w:qFormat/>
    <w:uiPriority w:val="0"/>
    <w:rPr>
      <w:rFonts w:ascii="Cambria" w:hAnsi="Cambria"/>
      <w:b/>
      <w:kern w:val="44"/>
      <w:sz w:val="28"/>
    </w:rPr>
  </w:style>
  <w:style w:type="character" w:customStyle="1" w:styleId="475">
    <w:name w:val="font161"/>
    <w:qFormat/>
    <w:uiPriority w:val="99"/>
    <w:rPr>
      <w:b/>
      <w:sz w:val="32"/>
    </w:rPr>
  </w:style>
  <w:style w:type="character" w:customStyle="1" w:styleId="476">
    <w:name w:val="chinaname1"/>
    <w:qFormat/>
    <w:uiPriority w:val="0"/>
    <w:rPr>
      <w:rFonts w:hint="eastAsia" w:ascii="宋体" w:hAnsi="宋体" w:eastAsia="宋体"/>
      <w:b/>
      <w:i/>
      <w:color w:val="000000"/>
      <w:sz w:val="25"/>
    </w:rPr>
  </w:style>
  <w:style w:type="character" w:customStyle="1" w:styleId="477">
    <w:name w:val="style21"/>
    <w:qFormat/>
    <w:uiPriority w:val="0"/>
    <w:rPr>
      <w:color w:val="FF3300"/>
    </w:rPr>
  </w:style>
  <w:style w:type="character" w:customStyle="1" w:styleId="478">
    <w:name w:val="5正文 Char Char"/>
    <w:qFormat/>
    <w:uiPriority w:val="0"/>
    <w:rPr>
      <w:rFonts w:eastAsia="仿宋_GB2312"/>
      <w:kern w:val="2"/>
      <w:sz w:val="28"/>
    </w:rPr>
  </w:style>
  <w:style w:type="character" w:customStyle="1" w:styleId="479">
    <w:name w:val="表格 Char Char"/>
    <w:qFormat/>
    <w:uiPriority w:val="0"/>
    <w:rPr>
      <w:rFonts w:eastAsia="宋体"/>
      <w:bCs/>
      <w:color w:val="000000"/>
      <w:sz w:val="24"/>
      <w:szCs w:val="24"/>
      <w:lang w:val="en-US" w:eastAsia="zh-CN" w:bidi="ar-SA"/>
    </w:rPr>
  </w:style>
  <w:style w:type="character" w:customStyle="1" w:styleId="480">
    <w:name w:val="Char Char33"/>
    <w:qFormat/>
    <w:uiPriority w:val="0"/>
    <w:rPr>
      <w:rFonts w:eastAsia="黑体"/>
      <w:b/>
      <w:kern w:val="2"/>
      <w:sz w:val="32"/>
    </w:rPr>
  </w:style>
  <w:style w:type="character" w:customStyle="1" w:styleId="481">
    <w:name w:val="5正文顶格 Char Char Char Char Char"/>
    <w:link w:val="482"/>
    <w:qFormat/>
    <w:uiPriority w:val="0"/>
    <w:rPr>
      <w:rFonts w:ascii="仿宋_GB2312" w:eastAsia="仿宋_GB2312"/>
      <w:kern w:val="2"/>
      <w:sz w:val="28"/>
    </w:rPr>
  </w:style>
  <w:style w:type="paragraph" w:customStyle="1" w:styleId="482">
    <w:name w:val="5正文顶格 Char Char Char"/>
    <w:basedOn w:val="1"/>
    <w:next w:val="1"/>
    <w:link w:val="481"/>
    <w:qFormat/>
    <w:uiPriority w:val="0"/>
    <w:pPr>
      <w:adjustRightInd w:val="0"/>
      <w:snapToGrid w:val="0"/>
      <w:jc w:val="left"/>
    </w:pPr>
    <w:rPr>
      <w:rFonts w:ascii="仿宋_GB2312" w:eastAsia="仿宋_GB2312"/>
      <w:sz w:val="28"/>
      <w:szCs w:val="20"/>
    </w:rPr>
  </w:style>
  <w:style w:type="character" w:customStyle="1" w:styleId="483">
    <w:name w:val="8表名 Char"/>
    <w:link w:val="484"/>
    <w:qFormat/>
    <w:uiPriority w:val="0"/>
    <w:rPr>
      <w:rFonts w:eastAsia="仿宋_GB2312"/>
      <w:sz w:val="24"/>
    </w:rPr>
  </w:style>
  <w:style w:type="paragraph" w:customStyle="1" w:styleId="484">
    <w:name w:val="8表名"/>
    <w:basedOn w:val="1"/>
    <w:next w:val="1"/>
    <w:link w:val="483"/>
    <w:qFormat/>
    <w:uiPriority w:val="0"/>
    <w:pPr>
      <w:keepNext/>
      <w:widowControl/>
      <w:spacing w:beforeLines="100" w:afterLines="100"/>
      <w:jc w:val="center"/>
      <w:outlineLvl w:val="5"/>
    </w:pPr>
    <w:rPr>
      <w:rFonts w:eastAsia="仿宋_GB2312"/>
      <w:kern w:val="0"/>
      <w:sz w:val="24"/>
      <w:szCs w:val="20"/>
    </w:rPr>
  </w:style>
  <w:style w:type="character" w:customStyle="1" w:styleId="485">
    <w:name w:val="6表头 Char Char"/>
    <w:qFormat/>
    <w:uiPriority w:val="0"/>
    <w:rPr>
      <w:rFonts w:eastAsia="仿宋_GB2312"/>
      <w:b/>
      <w:color w:val="000000"/>
      <w:kern w:val="2"/>
      <w:sz w:val="24"/>
    </w:rPr>
  </w:style>
  <w:style w:type="character" w:customStyle="1" w:styleId="486">
    <w:name w:val="样式25 Char"/>
    <w:link w:val="487"/>
    <w:qFormat/>
    <w:uiPriority w:val="0"/>
    <w:rPr>
      <w:kern w:val="2"/>
      <w:sz w:val="18"/>
    </w:rPr>
  </w:style>
  <w:style w:type="paragraph" w:customStyle="1" w:styleId="487">
    <w:name w:val="样式25"/>
    <w:basedOn w:val="57"/>
    <w:link w:val="486"/>
    <w:qFormat/>
    <w:uiPriority w:val="0"/>
    <w:pPr>
      <w:pBdr>
        <w:bottom w:val="none" w:color="auto" w:sz="0" w:space="0"/>
      </w:pBdr>
      <w:spacing w:line="360" w:lineRule="auto"/>
      <w:ind w:firstLine="360" w:firstLineChars="200"/>
      <w:jc w:val="both"/>
    </w:pPr>
    <w:rPr>
      <w:szCs w:val="20"/>
    </w:rPr>
  </w:style>
  <w:style w:type="character" w:customStyle="1" w:styleId="488">
    <w:name w:val="样式15 Char"/>
    <w:link w:val="489"/>
    <w:qFormat/>
    <w:uiPriority w:val="0"/>
    <w:rPr>
      <w:rFonts w:ascii="楷体" w:hAnsi="楷体" w:eastAsia="楷体"/>
      <w:kern w:val="2"/>
      <w:sz w:val="18"/>
    </w:rPr>
  </w:style>
  <w:style w:type="paragraph" w:customStyle="1" w:styleId="489">
    <w:name w:val="样式15"/>
    <w:basedOn w:val="55"/>
    <w:link w:val="488"/>
    <w:qFormat/>
    <w:uiPriority w:val="0"/>
    <w:pPr>
      <w:pBdr>
        <w:top w:val="single" w:color="auto" w:sz="4" w:space="1"/>
      </w:pBdr>
      <w:wordWrap w:val="0"/>
      <w:autoSpaceDE/>
      <w:autoSpaceDN/>
      <w:adjustRightInd/>
      <w:spacing w:line="360" w:lineRule="auto"/>
      <w:ind w:firstLine="360" w:firstLineChars="200"/>
      <w:jc w:val="right"/>
    </w:pPr>
    <w:rPr>
      <w:rFonts w:ascii="楷体" w:hAnsi="楷体" w:eastAsia="楷体"/>
      <w:kern w:val="2"/>
    </w:rPr>
  </w:style>
  <w:style w:type="character" w:customStyle="1" w:styleId="490">
    <w:name w:val="text_img"/>
    <w:qFormat/>
    <w:uiPriority w:val="0"/>
  </w:style>
  <w:style w:type="character" w:customStyle="1" w:styleId="491">
    <w:name w:val="批注主题 字符1"/>
    <w:semiHidden/>
    <w:qFormat/>
    <w:uiPriority w:val="99"/>
    <w:rPr>
      <w:b/>
      <w:bCs/>
      <w:kern w:val="2"/>
      <w:sz w:val="21"/>
      <w:szCs w:val="22"/>
    </w:rPr>
  </w:style>
  <w:style w:type="character" w:customStyle="1" w:styleId="492">
    <w:name w:val="6表头 Char Char1"/>
    <w:qFormat/>
    <w:uiPriority w:val="0"/>
    <w:rPr>
      <w:rFonts w:ascii="宋体" w:hAnsi="Courier New" w:eastAsia="宋体"/>
      <w:kern w:val="2"/>
      <w:sz w:val="21"/>
      <w:lang w:val="en-US" w:eastAsia="zh-CN"/>
    </w:rPr>
  </w:style>
  <w:style w:type="character" w:customStyle="1" w:styleId="493">
    <w:name w:val="AOX正文 Char"/>
    <w:link w:val="494"/>
    <w:qFormat/>
    <w:uiPriority w:val="0"/>
    <w:rPr>
      <w:rFonts w:ascii="宋体" w:hAnsi="宋体"/>
      <w:kern w:val="2"/>
      <w:sz w:val="24"/>
    </w:rPr>
  </w:style>
  <w:style w:type="paragraph" w:customStyle="1" w:styleId="494">
    <w:name w:val="AOX正文"/>
    <w:basedOn w:val="1"/>
    <w:link w:val="493"/>
    <w:qFormat/>
    <w:uiPriority w:val="0"/>
    <w:pPr>
      <w:spacing w:line="360" w:lineRule="auto"/>
      <w:ind w:firstLine="200" w:firstLineChars="200"/>
    </w:pPr>
    <w:rPr>
      <w:rFonts w:ascii="宋体" w:hAnsi="宋体"/>
      <w:sz w:val="24"/>
      <w:szCs w:val="20"/>
    </w:rPr>
  </w:style>
  <w:style w:type="character" w:customStyle="1" w:styleId="495">
    <w:name w:val="标题 2 Char2"/>
    <w:qFormat/>
    <w:uiPriority w:val="0"/>
    <w:rPr>
      <w:rFonts w:ascii="宋体" w:hAnsi="宋体" w:eastAsia="宋体"/>
      <w:b/>
      <w:sz w:val="32"/>
      <w:lang w:val="en-US" w:eastAsia="zh-CN"/>
    </w:rPr>
  </w:style>
  <w:style w:type="character" w:customStyle="1" w:styleId="496">
    <w:name w:val="样式 段前: 0.5 行 段后: 0.5 行 Char Char"/>
    <w:link w:val="497"/>
    <w:qFormat/>
    <w:uiPriority w:val="0"/>
    <w:rPr>
      <w:rFonts w:cs="宋体"/>
      <w:sz w:val="28"/>
    </w:rPr>
  </w:style>
  <w:style w:type="paragraph" w:customStyle="1" w:styleId="497">
    <w:name w:val="样式 段前: 0.5 行 段后: 0.5 行"/>
    <w:basedOn w:val="1"/>
    <w:link w:val="496"/>
    <w:qFormat/>
    <w:uiPriority w:val="0"/>
    <w:pPr>
      <w:adjustRightInd w:val="0"/>
      <w:spacing w:line="500" w:lineRule="atLeast"/>
      <w:ind w:firstLine="200" w:firstLineChars="200"/>
      <w:jc w:val="left"/>
      <w:textAlignment w:val="baseline"/>
    </w:pPr>
    <w:rPr>
      <w:rFonts w:cs="宋体"/>
      <w:kern w:val="0"/>
      <w:sz w:val="28"/>
      <w:szCs w:val="20"/>
    </w:rPr>
  </w:style>
  <w:style w:type="character" w:customStyle="1" w:styleId="498">
    <w:name w:val="个人设置正文 Char"/>
    <w:link w:val="499"/>
    <w:qFormat/>
    <w:uiPriority w:val="0"/>
    <w:rPr>
      <w:rFonts w:ascii="仿宋_GB2312" w:hAnsi="宋体" w:eastAsia="仿宋_GB2312"/>
      <w:kern w:val="2"/>
      <w:sz w:val="24"/>
    </w:rPr>
  </w:style>
  <w:style w:type="paragraph" w:customStyle="1" w:styleId="499">
    <w:name w:val="个人设置正文"/>
    <w:basedOn w:val="1"/>
    <w:link w:val="498"/>
    <w:qFormat/>
    <w:uiPriority w:val="0"/>
    <w:pPr>
      <w:spacing w:line="500" w:lineRule="exact"/>
      <w:ind w:firstLine="480" w:firstLineChars="200"/>
    </w:pPr>
    <w:rPr>
      <w:rFonts w:ascii="仿宋_GB2312" w:hAnsi="宋体" w:eastAsia="仿宋_GB2312"/>
      <w:sz w:val="24"/>
      <w:szCs w:val="20"/>
    </w:rPr>
  </w:style>
  <w:style w:type="character" w:customStyle="1" w:styleId="500">
    <w:name w:val="84 Char"/>
    <w:link w:val="501"/>
    <w:qFormat/>
    <w:uiPriority w:val="0"/>
    <w:rPr>
      <w:rFonts w:eastAsia="仿宋_GB2312"/>
      <w:kern w:val="2"/>
      <w:sz w:val="24"/>
    </w:rPr>
  </w:style>
  <w:style w:type="paragraph" w:customStyle="1" w:styleId="501">
    <w:name w:val="84"/>
    <w:basedOn w:val="34"/>
    <w:link w:val="500"/>
    <w:qFormat/>
    <w:uiPriority w:val="0"/>
    <w:pPr>
      <w:numPr>
        <w:ilvl w:val="0"/>
        <w:numId w:val="11"/>
      </w:numPr>
      <w:tabs>
        <w:tab w:val="clear" w:pos="567"/>
      </w:tabs>
      <w:spacing w:before="0" w:line="360" w:lineRule="auto"/>
      <w:ind w:left="0" w:firstLine="480" w:firstLineChars="200"/>
    </w:pPr>
    <w:rPr>
      <w:rFonts w:ascii="Times New Roman" w:hAnsi="Times New Roman" w:eastAsia="仿宋_GB2312"/>
      <w:szCs w:val="20"/>
    </w:rPr>
  </w:style>
  <w:style w:type="character" w:customStyle="1" w:styleId="502">
    <w:name w:val="样式11 Char"/>
    <w:link w:val="503"/>
    <w:qFormat/>
    <w:uiPriority w:val="0"/>
    <w:rPr>
      <w:rFonts w:ascii="宋体" w:hAnsi="宋体"/>
      <w:sz w:val="32"/>
    </w:rPr>
  </w:style>
  <w:style w:type="paragraph" w:customStyle="1" w:styleId="503">
    <w:name w:val="样式11"/>
    <w:basedOn w:val="11"/>
    <w:next w:val="1"/>
    <w:link w:val="502"/>
    <w:qFormat/>
    <w:uiPriority w:val="0"/>
    <w:pPr>
      <w:keepNext w:val="0"/>
      <w:keepLines w:val="0"/>
      <w:tabs>
        <w:tab w:val="left" w:pos="360"/>
        <w:tab w:val="left" w:pos="1260"/>
      </w:tabs>
      <w:adjustRightInd/>
      <w:spacing w:before="0" w:after="0" w:line="360" w:lineRule="auto"/>
      <w:ind w:left="432" w:hanging="432"/>
      <w:jc w:val="left"/>
      <w:textAlignment w:val="auto"/>
    </w:pPr>
    <w:rPr>
      <w:rFonts w:ascii="宋体" w:hAnsi="宋体" w:eastAsia="宋体"/>
      <w:sz w:val="32"/>
    </w:rPr>
  </w:style>
  <w:style w:type="character" w:customStyle="1" w:styleId="504">
    <w:name w:val="样式 小四 首行缩进:  0.99 厘米 行距: 最小值 25 磅 Char Char"/>
    <w:link w:val="505"/>
    <w:qFormat/>
    <w:uiPriority w:val="0"/>
    <w:rPr>
      <w:rFonts w:cs="宋体"/>
      <w:kern w:val="2"/>
      <w:sz w:val="24"/>
    </w:rPr>
  </w:style>
  <w:style w:type="paragraph" w:customStyle="1" w:styleId="505">
    <w:name w:val="样式 小四 首行缩进:  0.99 厘米 行距: 最小值 25 磅"/>
    <w:basedOn w:val="1"/>
    <w:link w:val="504"/>
    <w:qFormat/>
    <w:uiPriority w:val="0"/>
    <w:pPr>
      <w:spacing w:line="480" w:lineRule="atLeast"/>
      <w:ind w:firstLine="482"/>
    </w:pPr>
    <w:rPr>
      <w:rFonts w:cs="宋体"/>
      <w:sz w:val="24"/>
      <w:szCs w:val="20"/>
    </w:rPr>
  </w:style>
  <w:style w:type="character" w:customStyle="1" w:styleId="506">
    <w:name w:val="Body Text First Indent Char"/>
    <w:link w:val="507"/>
    <w:qFormat/>
    <w:uiPriority w:val="0"/>
  </w:style>
  <w:style w:type="paragraph" w:customStyle="1" w:styleId="507">
    <w:name w:val="正文首行缩进1"/>
    <w:basedOn w:val="34"/>
    <w:next w:val="1"/>
    <w:link w:val="506"/>
    <w:qFormat/>
    <w:uiPriority w:val="0"/>
    <w:pPr>
      <w:tabs>
        <w:tab w:val="clear" w:pos="567"/>
      </w:tabs>
      <w:spacing w:after="120" w:line="400" w:lineRule="exact"/>
      <w:ind w:firstLine="200" w:firstLineChars="200"/>
    </w:pPr>
    <w:rPr>
      <w:rFonts w:ascii="Times New Roman" w:hAnsi="Times New Roman"/>
      <w:kern w:val="0"/>
      <w:sz w:val="20"/>
      <w:szCs w:val="20"/>
    </w:rPr>
  </w:style>
  <w:style w:type="character" w:customStyle="1" w:styleId="508">
    <w:name w:val="正文文本 字符1"/>
    <w:semiHidden/>
    <w:qFormat/>
    <w:uiPriority w:val="99"/>
    <w:rPr>
      <w:kern w:val="2"/>
      <w:sz w:val="21"/>
      <w:szCs w:val="22"/>
    </w:rPr>
  </w:style>
  <w:style w:type="character" w:customStyle="1" w:styleId="509">
    <w:name w:val="标题3 Char"/>
    <w:link w:val="510"/>
    <w:qFormat/>
    <w:uiPriority w:val="0"/>
    <w:rPr>
      <w:rFonts w:ascii="宋体" w:hAnsi="宋体"/>
      <w:kern w:val="2"/>
      <w:sz w:val="24"/>
    </w:rPr>
  </w:style>
  <w:style w:type="paragraph" w:customStyle="1" w:styleId="510">
    <w:name w:val="标题3"/>
    <w:basedOn w:val="1"/>
    <w:next w:val="1"/>
    <w:link w:val="509"/>
    <w:qFormat/>
    <w:uiPriority w:val="0"/>
    <w:pPr>
      <w:tabs>
        <w:tab w:val="right" w:leader="dot" w:pos="8296"/>
      </w:tabs>
      <w:ind w:firstLine="562" w:firstLineChars="200"/>
    </w:pPr>
    <w:rPr>
      <w:rFonts w:ascii="宋体" w:hAnsi="宋体"/>
      <w:sz w:val="24"/>
      <w:szCs w:val="20"/>
    </w:rPr>
  </w:style>
  <w:style w:type="character" w:customStyle="1" w:styleId="511">
    <w:name w:val="样式18 Char"/>
    <w:link w:val="512"/>
    <w:qFormat/>
    <w:uiPriority w:val="0"/>
    <w:rPr>
      <w:rFonts w:ascii="宋体" w:hAnsi="宋体"/>
      <w:spacing w:val="10"/>
      <w:kern w:val="2"/>
      <w:sz w:val="18"/>
    </w:rPr>
  </w:style>
  <w:style w:type="paragraph" w:customStyle="1" w:styleId="512">
    <w:name w:val="样式18"/>
    <w:basedOn w:val="1"/>
    <w:link w:val="511"/>
    <w:qFormat/>
    <w:uiPriority w:val="0"/>
    <w:pPr>
      <w:pBdr>
        <w:bottom w:val="single" w:color="auto" w:sz="6" w:space="1"/>
      </w:pBdr>
      <w:spacing w:line="300" w:lineRule="exact"/>
      <w:ind w:firstLine="400" w:firstLineChars="200"/>
      <w:jc w:val="center"/>
    </w:pPr>
    <w:rPr>
      <w:rFonts w:ascii="宋体" w:hAnsi="宋体"/>
      <w:spacing w:val="10"/>
      <w:sz w:val="18"/>
      <w:szCs w:val="20"/>
    </w:rPr>
  </w:style>
  <w:style w:type="character" w:customStyle="1" w:styleId="513">
    <w:name w:val="样式 样式 四号 首行缩进:  1.01 厘米 行距: 最小值 25 磅 + 黑色 Char Char"/>
    <w:qFormat/>
    <w:uiPriority w:val="0"/>
    <w:rPr>
      <w:rFonts w:hint="eastAsia" w:ascii="宋体" w:hAnsi="宋体" w:eastAsia="宋体"/>
      <w:color w:val="000000"/>
      <w:kern w:val="2"/>
      <w:sz w:val="28"/>
      <w:lang w:val="en-US" w:eastAsia="zh-CN"/>
    </w:rPr>
  </w:style>
  <w:style w:type="character" w:customStyle="1" w:styleId="514">
    <w:name w:val="标题 4 Char Char"/>
    <w:qFormat/>
    <w:uiPriority w:val="0"/>
    <w:rPr>
      <w:rFonts w:eastAsia="宋体"/>
      <w:sz w:val="28"/>
      <w:lang w:val="en-US" w:eastAsia="zh-CN" w:bidi="ar-SA"/>
    </w:rPr>
  </w:style>
  <w:style w:type="character" w:customStyle="1" w:styleId="515">
    <w:name w:val="明显强调2"/>
    <w:qFormat/>
    <w:uiPriority w:val="0"/>
    <w:rPr>
      <w:b/>
      <w:bCs/>
      <w:i/>
      <w:iCs/>
      <w:color w:val="4F81BD"/>
    </w:rPr>
  </w:style>
  <w:style w:type="character" w:customStyle="1" w:styleId="516">
    <w:name w:val="content_text1"/>
    <w:qFormat/>
    <w:uiPriority w:val="0"/>
    <w:rPr>
      <w:rFonts w:ascii="??" w:hAnsi="??"/>
      <w:color w:val="000000"/>
      <w:sz w:val="21"/>
      <w:u w:val="none"/>
    </w:rPr>
  </w:style>
  <w:style w:type="character" w:customStyle="1" w:styleId="517">
    <w:name w:val="Char Char12"/>
    <w:qFormat/>
    <w:uiPriority w:val="99"/>
    <w:rPr>
      <w:b/>
      <w:sz w:val="24"/>
    </w:rPr>
  </w:style>
  <w:style w:type="character" w:customStyle="1" w:styleId="518">
    <w:name w:val="样式 四号 黑色 行距: 最小值 24 磅 Char Char"/>
    <w:link w:val="519"/>
    <w:qFormat/>
    <w:uiPriority w:val="0"/>
    <w:rPr>
      <w:rFonts w:ascii="宋体" w:hAnsi="宋体" w:cs="宋体"/>
      <w:b/>
      <w:color w:val="000000"/>
      <w:kern w:val="2"/>
      <w:sz w:val="28"/>
      <w:szCs w:val="28"/>
    </w:rPr>
  </w:style>
  <w:style w:type="paragraph" w:customStyle="1" w:styleId="519">
    <w:name w:val="样式 四号 黑色 行距: 最小值 24 磅"/>
    <w:basedOn w:val="1"/>
    <w:link w:val="518"/>
    <w:qFormat/>
    <w:uiPriority w:val="0"/>
    <w:pPr>
      <w:spacing w:line="500" w:lineRule="atLeast"/>
      <w:ind w:firstLine="200" w:firstLineChars="200"/>
    </w:pPr>
    <w:rPr>
      <w:rFonts w:ascii="宋体" w:hAnsi="宋体" w:cs="宋体"/>
      <w:b/>
      <w:color w:val="000000"/>
      <w:sz w:val="28"/>
      <w:szCs w:val="28"/>
    </w:rPr>
  </w:style>
  <w:style w:type="character" w:customStyle="1" w:styleId="520">
    <w:name w:val="js1"/>
    <w:qFormat/>
    <w:uiPriority w:val="0"/>
    <w:rPr>
      <w:sz w:val="22"/>
    </w:rPr>
  </w:style>
  <w:style w:type="character" w:customStyle="1" w:styleId="521">
    <w:name w:val="样式1 Char"/>
    <w:qFormat/>
    <w:uiPriority w:val="0"/>
    <w:rPr>
      <w:rFonts w:ascii="宋体" w:hAnsi="宋体" w:eastAsia="宋体"/>
      <w:sz w:val="21"/>
      <w:szCs w:val="21"/>
      <w:lang w:val="en-US" w:eastAsia="zh-CN" w:bidi="ar-SA"/>
    </w:rPr>
  </w:style>
  <w:style w:type="character" w:customStyle="1" w:styleId="522">
    <w:name w:val="neirong1"/>
    <w:qFormat/>
    <w:uiPriority w:val="0"/>
    <w:rPr>
      <w:rFonts w:hint="default" w:ascii="eʩ" w:hAnsi="eʩ"/>
      <w:color w:val="000000"/>
      <w:sz w:val="24"/>
      <w:u w:val="none"/>
    </w:rPr>
  </w:style>
  <w:style w:type="character" w:customStyle="1" w:styleId="523">
    <w:name w:val="样式7 Char"/>
    <w:link w:val="524"/>
    <w:qFormat/>
    <w:uiPriority w:val="0"/>
    <w:rPr>
      <w:rFonts w:ascii="宋体" w:hAnsi="宋体"/>
      <w:b/>
      <w:sz w:val="24"/>
    </w:rPr>
  </w:style>
  <w:style w:type="paragraph" w:customStyle="1" w:styleId="524">
    <w:name w:val="样式7"/>
    <w:basedOn w:val="3"/>
    <w:next w:val="3"/>
    <w:link w:val="523"/>
    <w:qFormat/>
    <w:uiPriority w:val="0"/>
    <w:pPr>
      <w:keepNext w:val="0"/>
      <w:keepLines w:val="0"/>
      <w:tabs>
        <w:tab w:val="left" w:pos="360"/>
      </w:tabs>
      <w:autoSpaceDE/>
      <w:autoSpaceDN/>
      <w:adjustRightInd/>
      <w:spacing w:before="0" w:after="0" w:line="360" w:lineRule="auto"/>
      <w:ind w:left="360" w:hanging="360"/>
      <w:jc w:val="left"/>
    </w:pPr>
    <w:rPr>
      <w:rFonts w:hAnsi="宋体"/>
      <w:kern w:val="0"/>
      <w:sz w:val="24"/>
    </w:rPr>
  </w:style>
  <w:style w:type="character" w:customStyle="1" w:styleId="525">
    <w:name w:val="main_tdbg_760"/>
    <w:basedOn w:val="91"/>
    <w:qFormat/>
    <w:uiPriority w:val="0"/>
  </w:style>
  <w:style w:type="character" w:customStyle="1" w:styleId="526">
    <w:name w:val="小标题 Char"/>
    <w:qFormat/>
    <w:uiPriority w:val="0"/>
    <w:rPr>
      <w:rFonts w:hint="default" w:ascii="Tahoma" w:hAnsi="Tahoma" w:eastAsia="仿宋_GB2312" w:cs="Century"/>
      <w:b/>
      <w:bCs/>
      <w:kern w:val="2"/>
      <w:sz w:val="24"/>
      <w:szCs w:val="24"/>
      <w:lang w:val="en-US" w:eastAsia="zh-CN" w:bidi="ar-SA"/>
    </w:rPr>
  </w:style>
  <w:style w:type="character" w:customStyle="1" w:styleId="527">
    <w:name w:val="0909-标宋简 Char"/>
    <w:link w:val="528"/>
    <w:qFormat/>
    <w:uiPriority w:val="0"/>
    <w:rPr>
      <w:rFonts w:ascii="方正小标宋简体" w:eastAsia="方正小标宋简体"/>
      <w:kern w:val="2"/>
      <w:sz w:val="24"/>
    </w:rPr>
  </w:style>
  <w:style w:type="paragraph" w:customStyle="1" w:styleId="528">
    <w:name w:val="0909-标宋简"/>
    <w:basedOn w:val="1"/>
    <w:link w:val="527"/>
    <w:qFormat/>
    <w:uiPriority w:val="0"/>
    <w:pPr>
      <w:tabs>
        <w:tab w:val="left" w:pos="2340"/>
      </w:tabs>
      <w:spacing w:line="540" w:lineRule="exact"/>
      <w:ind w:firstLine="200" w:firstLineChars="200"/>
    </w:pPr>
    <w:rPr>
      <w:rFonts w:ascii="方正小标宋简体" w:eastAsia="方正小标宋简体"/>
      <w:sz w:val="24"/>
      <w:szCs w:val="20"/>
    </w:rPr>
  </w:style>
  <w:style w:type="character" w:customStyle="1" w:styleId="529">
    <w:name w:val="h4 Char"/>
    <w:qFormat/>
    <w:uiPriority w:val="0"/>
    <w:rPr>
      <w:rFonts w:ascii="Arial" w:hAnsi="Arial" w:eastAsia="黑体"/>
      <w:b/>
      <w:bCs/>
      <w:sz w:val="28"/>
      <w:szCs w:val="28"/>
      <w:lang w:val="en-US" w:eastAsia="zh-CN" w:bidi="ar-SA"/>
    </w:rPr>
  </w:style>
  <w:style w:type="character" w:customStyle="1" w:styleId="530">
    <w:name w:val="样式21 Char"/>
    <w:link w:val="531"/>
    <w:qFormat/>
    <w:uiPriority w:val="0"/>
    <w:rPr>
      <w:kern w:val="2"/>
      <w:sz w:val="18"/>
    </w:rPr>
  </w:style>
  <w:style w:type="paragraph" w:customStyle="1" w:styleId="531">
    <w:name w:val="样式21"/>
    <w:basedOn w:val="57"/>
    <w:link w:val="530"/>
    <w:qFormat/>
    <w:uiPriority w:val="0"/>
    <w:pPr>
      <w:pBdr>
        <w:bottom w:val="none" w:color="auto" w:sz="0" w:space="0"/>
      </w:pBdr>
      <w:spacing w:line="360" w:lineRule="auto"/>
      <w:ind w:firstLine="360" w:firstLineChars="200"/>
      <w:jc w:val="both"/>
    </w:pPr>
    <w:rPr>
      <w:szCs w:val="20"/>
    </w:rPr>
  </w:style>
  <w:style w:type="character" w:customStyle="1" w:styleId="532">
    <w:name w:val="批注文字 Char1"/>
    <w:qFormat/>
    <w:uiPriority w:val="99"/>
    <w:rPr>
      <w:kern w:val="2"/>
      <w:sz w:val="21"/>
    </w:rPr>
  </w:style>
  <w:style w:type="character" w:customStyle="1" w:styleId="533">
    <w:name w:val="样式8 Char"/>
    <w:link w:val="534"/>
    <w:qFormat/>
    <w:uiPriority w:val="0"/>
    <w:rPr>
      <w:rFonts w:ascii="宋体" w:hAnsi="宋体"/>
      <w:b/>
      <w:sz w:val="28"/>
    </w:rPr>
  </w:style>
  <w:style w:type="paragraph" w:customStyle="1" w:styleId="534">
    <w:name w:val="样式8"/>
    <w:basedOn w:val="3"/>
    <w:next w:val="368"/>
    <w:link w:val="533"/>
    <w:qFormat/>
    <w:uiPriority w:val="0"/>
    <w:pPr>
      <w:keepNext w:val="0"/>
      <w:keepLines w:val="0"/>
      <w:tabs>
        <w:tab w:val="left" w:pos="360"/>
      </w:tabs>
      <w:autoSpaceDE/>
      <w:autoSpaceDN/>
      <w:adjustRightInd/>
      <w:spacing w:before="0" w:after="0" w:line="360" w:lineRule="auto"/>
      <w:ind w:left="432" w:hanging="432"/>
      <w:jc w:val="left"/>
    </w:pPr>
    <w:rPr>
      <w:rFonts w:hAnsi="宋体"/>
      <w:kern w:val="0"/>
      <w:sz w:val="28"/>
    </w:rPr>
  </w:style>
  <w:style w:type="character" w:customStyle="1" w:styleId="535">
    <w:name w:val="4+正文 Char"/>
    <w:link w:val="536"/>
    <w:qFormat/>
    <w:uiPriority w:val="0"/>
    <w:rPr>
      <w:rFonts w:ascii="宋体" w:hAnsi="宋体"/>
      <w:sz w:val="24"/>
    </w:rPr>
  </w:style>
  <w:style w:type="paragraph" w:customStyle="1" w:styleId="536">
    <w:name w:val="4+正文"/>
    <w:basedOn w:val="1"/>
    <w:link w:val="535"/>
    <w:qFormat/>
    <w:uiPriority w:val="0"/>
    <w:pPr>
      <w:spacing w:line="500" w:lineRule="exact"/>
      <w:ind w:firstLine="480" w:firstLineChars="200"/>
    </w:pPr>
    <w:rPr>
      <w:rFonts w:ascii="宋体" w:hAnsi="宋体"/>
      <w:kern w:val="0"/>
      <w:sz w:val="24"/>
      <w:szCs w:val="20"/>
    </w:rPr>
  </w:style>
  <w:style w:type="character" w:customStyle="1" w:styleId="537">
    <w:name w:val="标题1"/>
    <w:basedOn w:val="91"/>
    <w:qFormat/>
    <w:uiPriority w:val="0"/>
  </w:style>
  <w:style w:type="character" w:customStyle="1" w:styleId="538">
    <w:name w:val="样式 四号 首行缩进:  0.94 厘米 行距: 1.5 倍行距 Char Char"/>
    <w:link w:val="539"/>
    <w:qFormat/>
    <w:uiPriority w:val="0"/>
    <w:rPr>
      <w:rFonts w:cs="宋体"/>
      <w:kern w:val="2"/>
      <w:sz w:val="28"/>
    </w:rPr>
  </w:style>
  <w:style w:type="paragraph" w:customStyle="1" w:styleId="539">
    <w:name w:val="样式 四号 首行缩进:  0.94 厘米 行距: 1.5 倍行距"/>
    <w:basedOn w:val="1"/>
    <w:link w:val="538"/>
    <w:qFormat/>
    <w:uiPriority w:val="0"/>
    <w:pPr>
      <w:spacing w:line="500" w:lineRule="atLeast"/>
      <w:ind w:firstLine="561"/>
    </w:pPr>
    <w:rPr>
      <w:rFonts w:cs="宋体"/>
      <w:sz w:val="28"/>
      <w:szCs w:val="20"/>
    </w:rPr>
  </w:style>
  <w:style w:type="character" w:customStyle="1" w:styleId="540">
    <w:name w:val="表格内容 Char Char"/>
    <w:link w:val="541"/>
    <w:qFormat/>
    <w:uiPriority w:val="0"/>
    <w:rPr>
      <w:rFonts w:ascii="宋体" w:hAnsi="宋体"/>
      <w:kern w:val="2"/>
      <w:sz w:val="21"/>
    </w:rPr>
  </w:style>
  <w:style w:type="paragraph" w:customStyle="1" w:styleId="541">
    <w:name w:val="表格内容"/>
    <w:basedOn w:val="5"/>
    <w:link w:val="540"/>
    <w:qFormat/>
    <w:uiPriority w:val="0"/>
    <w:pPr>
      <w:autoSpaceDE/>
      <w:autoSpaceDN/>
      <w:adjustRightInd/>
      <w:ind w:right="9" w:rightChars="9" w:firstLine="0"/>
    </w:pPr>
    <w:rPr>
      <w:rFonts w:hAnsi="宋体"/>
      <w:sz w:val="21"/>
      <w:szCs w:val="20"/>
    </w:rPr>
  </w:style>
  <w:style w:type="character" w:customStyle="1" w:styleId="542">
    <w:name w:val="Char Char5"/>
    <w:qFormat/>
    <w:uiPriority w:val="0"/>
    <w:rPr>
      <w:rFonts w:eastAsia="宋体"/>
      <w:kern w:val="2"/>
      <w:sz w:val="24"/>
      <w:lang w:val="en-US" w:eastAsia="zh-CN"/>
    </w:rPr>
  </w:style>
  <w:style w:type="character" w:customStyle="1" w:styleId="543">
    <w:name w:val="页眉 字符1"/>
    <w:semiHidden/>
    <w:qFormat/>
    <w:uiPriority w:val="99"/>
    <w:rPr>
      <w:kern w:val="2"/>
      <w:sz w:val="18"/>
      <w:szCs w:val="18"/>
    </w:rPr>
  </w:style>
  <w:style w:type="character" w:customStyle="1" w:styleId="544">
    <w:name w:val="HTML 预设格式 Char1"/>
    <w:qFormat/>
    <w:uiPriority w:val="0"/>
    <w:rPr>
      <w:rFonts w:ascii="Consolas" w:hAnsi="Consolas"/>
      <w:kern w:val="2"/>
    </w:rPr>
  </w:style>
  <w:style w:type="character" w:customStyle="1" w:styleId="545">
    <w:name w:val="样式22 Char"/>
    <w:link w:val="546"/>
    <w:qFormat/>
    <w:uiPriority w:val="0"/>
    <w:rPr>
      <w:kern w:val="2"/>
      <w:sz w:val="21"/>
    </w:rPr>
  </w:style>
  <w:style w:type="paragraph" w:customStyle="1" w:styleId="546">
    <w:name w:val="样式22"/>
    <w:basedOn w:val="531"/>
    <w:link w:val="545"/>
    <w:qFormat/>
    <w:uiPriority w:val="0"/>
    <w:pPr>
      <w:pBdr>
        <w:bottom w:val="single" w:color="auto" w:sz="6" w:space="1"/>
      </w:pBdr>
      <w:ind w:firstLine="420"/>
    </w:pPr>
    <w:rPr>
      <w:sz w:val="21"/>
    </w:rPr>
  </w:style>
  <w:style w:type="character" w:customStyle="1" w:styleId="547">
    <w:name w:val="正文文字缩进 Char Char1"/>
    <w:qFormat/>
    <w:uiPriority w:val="0"/>
    <w:rPr>
      <w:rFonts w:ascii="宋体" w:hAnsi="MS Sans Serif" w:eastAsia="宋体"/>
      <w:spacing w:val="12"/>
      <w:sz w:val="24"/>
      <w:lang w:val="en-US" w:eastAsia="zh-CN"/>
    </w:rPr>
  </w:style>
  <w:style w:type="character" w:customStyle="1" w:styleId="548">
    <w:name w:val="htd01"/>
    <w:qFormat/>
    <w:uiPriority w:val="0"/>
  </w:style>
  <w:style w:type="character" w:customStyle="1" w:styleId="549">
    <w:name w:val="h1 Char"/>
    <w:qFormat/>
    <w:uiPriority w:val="0"/>
    <w:rPr>
      <w:rFonts w:eastAsia="宋体"/>
      <w:b/>
      <w:bCs/>
      <w:kern w:val="44"/>
      <w:sz w:val="44"/>
      <w:szCs w:val="44"/>
      <w:lang w:val="en-US" w:eastAsia="zh-CN" w:bidi="ar-SA"/>
    </w:rPr>
  </w:style>
  <w:style w:type="character" w:customStyle="1" w:styleId="550">
    <w:name w:val="!仿宋+四号，首缩 Char"/>
    <w:link w:val="551"/>
    <w:qFormat/>
    <w:uiPriority w:val="0"/>
    <w:rPr>
      <w:rFonts w:eastAsia="仿宋_GB2312"/>
      <w:kern w:val="2"/>
      <w:sz w:val="28"/>
    </w:rPr>
  </w:style>
  <w:style w:type="paragraph" w:customStyle="1" w:styleId="551">
    <w:name w:val="!仿宋+四号，首缩"/>
    <w:link w:val="550"/>
    <w:qFormat/>
    <w:uiPriority w:val="0"/>
    <w:pPr>
      <w:widowControl w:val="0"/>
      <w:spacing w:line="600" w:lineRule="exact"/>
      <w:ind w:firstLine="200" w:firstLineChars="200"/>
      <w:jc w:val="both"/>
    </w:pPr>
    <w:rPr>
      <w:rFonts w:ascii="Times New Roman" w:hAnsi="Times New Roman" w:eastAsia="仿宋_GB2312" w:cs="Times New Roman"/>
      <w:kern w:val="2"/>
      <w:sz w:val="28"/>
      <w:lang w:val="en-US" w:eastAsia="zh-CN" w:bidi="ar-SA"/>
    </w:rPr>
  </w:style>
  <w:style w:type="character" w:customStyle="1" w:styleId="552">
    <w:name w:val="表格 Char"/>
    <w:link w:val="553"/>
    <w:qFormat/>
    <w:uiPriority w:val="0"/>
    <w:rPr>
      <w:bCs/>
      <w:kern w:val="2"/>
      <w:sz w:val="21"/>
      <w:szCs w:val="21"/>
    </w:rPr>
  </w:style>
  <w:style w:type="paragraph" w:customStyle="1" w:styleId="553">
    <w:name w:val="表格"/>
    <w:basedOn w:val="1"/>
    <w:link w:val="552"/>
    <w:qFormat/>
    <w:uiPriority w:val="0"/>
    <w:pPr>
      <w:spacing w:line="320" w:lineRule="exact"/>
      <w:jc w:val="center"/>
    </w:pPr>
    <w:rPr>
      <w:bCs/>
      <w:szCs w:val="21"/>
    </w:rPr>
  </w:style>
  <w:style w:type="character" w:customStyle="1" w:styleId="554">
    <w:name w:val="样式20 Char"/>
    <w:link w:val="555"/>
    <w:qFormat/>
    <w:uiPriority w:val="0"/>
    <w:rPr>
      <w:kern w:val="2"/>
      <w:sz w:val="18"/>
    </w:rPr>
  </w:style>
  <w:style w:type="paragraph" w:customStyle="1" w:styleId="555">
    <w:name w:val="样式20"/>
    <w:basedOn w:val="57"/>
    <w:link w:val="554"/>
    <w:qFormat/>
    <w:uiPriority w:val="0"/>
    <w:pPr>
      <w:pBdr>
        <w:bottom w:val="none" w:color="auto" w:sz="0" w:space="0"/>
      </w:pBdr>
      <w:spacing w:line="360" w:lineRule="auto"/>
      <w:ind w:firstLine="360" w:firstLineChars="200"/>
      <w:jc w:val="both"/>
    </w:pPr>
    <w:rPr>
      <w:szCs w:val="20"/>
    </w:rPr>
  </w:style>
  <w:style w:type="character" w:customStyle="1" w:styleId="556">
    <w:name w:val="h3 Char"/>
    <w:qFormat/>
    <w:uiPriority w:val="0"/>
    <w:rPr>
      <w:rFonts w:eastAsia="宋体"/>
      <w:b/>
      <w:bCs/>
      <w:sz w:val="32"/>
      <w:szCs w:val="32"/>
      <w:lang w:val="en-US" w:eastAsia="zh-CN" w:bidi="ar-SA"/>
    </w:rPr>
  </w:style>
  <w:style w:type="character" w:customStyle="1" w:styleId="557">
    <w:name w:val="Heading 2 Char"/>
    <w:qFormat/>
    <w:uiPriority w:val="0"/>
    <w:rPr>
      <w:rFonts w:ascii="Arial" w:hAnsi="Arial" w:eastAsia="宋体"/>
      <w:b/>
      <w:sz w:val="32"/>
    </w:rPr>
  </w:style>
  <w:style w:type="character" w:customStyle="1" w:styleId="558">
    <w:name w:val="样式24 Char"/>
    <w:link w:val="559"/>
    <w:qFormat/>
    <w:uiPriority w:val="0"/>
    <w:rPr>
      <w:kern w:val="2"/>
      <w:sz w:val="18"/>
    </w:rPr>
  </w:style>
  <w:style w:type="paragraph" w:customStyle="1" w:styleId="559">
    <w:name w:val="样式24"/>
    <w:basedOn w:val="57"/>
    <w:link w:val="558"/>
    <w:qFormat/>
    <w:uiPriority w:val="0"/>
    <w:pPr>
      <w:pBdr>
        <w:bottom w:val="none" w:color="auto" w:sz="0" w:space="0"/>
      </w:pBdr>
      <w:spacing w:line="360" w:lineRule="auto"/>
      <w:ind w:firstLine="360" w:firstLineChars="200"/>
      <w:jc w:val="both"/>
    </w:pPr>
    <w:rPr>
      <w:szCs w:val="20"/>
    </w:rPr>
  </w:style>
  <w:style w:type="character" w:customStyle="1" w:styleId="560">
    <w:name w:val="引用 字符2"/>
    <w:qFormat/>
    <w:uiPriority w:val="99"/>
    <w:rPr>
      <w:i/>
      <w:iCs/>
      <w:color w:val="404040"/>
      <w:kern w:val="2"/>
      <w:sz w:val="21"/>
      <w:szCs w:val="24"/>
    </w:rPr>
  </w:style>
  <w:style w:type="character" w:customStyle="1" w:styleId="561">
    <w:name w:val="正文页眉 Char Char1"/>
    <w:qFormat/>
    <w:uiPriority w:val="0"/>
    <w:rPr>
      <w:rFonts w:eastAsia="宋体"/>
      <w:sz w:val="18"/>
      <w:lang w:val="en-US" w:eastAsia="zh-CN"/>
    </w:rPr>
  </w:style>
  <w:style w:type="character" w:customStyle="1" w:styleId="562">
    <w:name w:val="样式 小四"/>
    <w:qFormat/>
    <w:uiPriority w:val="0"/>
    <w:rPr>
      <w:sz w:val="24"/>
    </w:rPr>
  </w:style>
  <w:style w:type="character" w:customStyle="1" w:styleId="563">
    <w:name w:val="sell_title2"/>
    <w:qFormat/>
    <w:uiPriority w:val="0"/>
  </w:style>
  <w:style w:type="character" w:customStyle="1" w:styleId="564">
    <w:name w:val="样式 小四 首行缩进:  0.85 厘米 行距: 最小值 24 磅 Char Char"/>
    <w:link w:val="565"/>
    <w:qFormat/>
    <w:uiPriority w:val="0"/>
    <w:rPr>
      <w:rFonts w:cs="宋体"/>
      <w:kern w:val="2"/>
      <w:sz w:val="24"/>
    </w:rPr>
  </w:style>
  <w:style w:type="paragraph" w:customStyle="1" w:styleId="565">
    <w:name w:val="样式 小四 首行缩进:  0.85 厘米 行距: 最小值 24 磅"/>
    <w:basedOn w:val="1"/>
    <w:link w:val="564"/>
    <w:qFormat/>
    <w:uiPriority w:val="0"/>
    <w:pPr>
      <w:spacing w:line="480" w:lineRule="atLeast"/>
      <w:ind w:firstLine="482"/>
    </w:pPr>
    <w:rPr>
      <w:rFonts w:cs="宋体"/>
      <w:sz w:val="24"/>
      <w:szCs w:val="20"/>
    </w:rPr>
  </w:style>
  <w:style w:type="character" w:customStyle="1" w:styleId="566">
    <w:name w:val="样式 样式 正文文本缩进 3 + 小四 + Char Char"/>
    <w:qFormat/>
    <w:uiPriority w:val="0"/>
    <w:rPr>
      <w:rFonts w:eastAsia="宋体"/>
      <w:kern w:val="2"/>
      <w:sz w:val="28"/>
      <w:szCs w:val="28"/>
      <w:lang w:val="en-US" w:eastAsia="zh-CN" w:bidi="ar-SA"/>
    </w:rPr>
  </w:style>
  <w:style w:type="character" w:customStyle="1" w:styleId="567">
    <w:name w:val="Body Text Char"/>
    <w:qFormat/>
    <w:uiPriority w:val="0"/>
    <w:rPr>
      <w:rFonts w:ascii="Times New Roman" w:hAnsi="Times New Roman" w:eastAsia="宋体"/>
      <w:sz w:val="24"/>
    </w:rPr>
  </w:style>
  <w:style w:type="character" w:customStyle="1" w:styleId="568">
    <w:name w:val="Body Text Indent 3 Char"/>
    <w:link w:val="569"/>
    <w:qFormat/>
    <w:uiPriority w:val="0"/>
    <w:rPr>
      <w:rFonts w:ascii="宋体" w:hAnsi="宋体"/>
      <w:color w:val="FF0000"/>
      <w:sz w:val="24"/>
      <w:bdr w:val="single" w:color="auto" w:sz="4" w:space="0"/>
    </w:rPr>
  </w:style>
  <w:style w:type="paragraph" w:customStyle="1" w:styleId="569">
    <w:name w:val="正文文本缩进 31"/>
    <w:basedOn w:val="1"/>
    <w:link w:val="568"/>
    <w:qFormat/>
    <w:uiPriority w:val="0"/>
    <w:pPr>
      <w:spacing w:after="120"/>
      <w:ind w:left="420" w:leftChars="200"/>
    </w:pPr>
    <w:rPr>
      <w:rFonts w:ascii="宋体" w:hAnsi="宋体"/>
      <w:color w:val="FF0000"/>
      <w:kern w:val="0"/>
      <w:sz w:val="24"/>
      <w:szCs w:val="20"/>
      <w:bdr w:val="single" w:color="auto" w:sz="4" w:space="0"/>
    </w:rPr>
  </w:style>
  <w:style w:type="character" w:customStyle="1" w:styleId="570">
    <w:name w:val="批注框文本 字符1"/>
    <w:semiHidden/>
    <w:qFormat/>
    <w:uiPriority w:val="99"/>
    <w:rPr>
      <w:kern w:val="2"/>
      <w:sz w:val="18"/>
      <w:szCs w:val="18"/>
    </w:rPr>
  </w:style>
  <w:style w:type="character" w:customStyle="1" w:styleId="571">
    <w:name w:val="样式 标题 1 + 四号 加粗 自动设置 Char Char"/>
    <w:link w:val="572"/>
    <w:qFormat/>
    <w:uiPriority w:val="0"/>
    <w:rPr>
      <w:rFonts w:eastAsia="黑体"/>
      <w:b/>
      <w:bCs/>
      <w:color w:val="000000"/>
      <w:kern w:val="2"/>
      <w:sz w:val="28"/>
      <w:szCs w:val="44"/>
    </w:rPr>
  </w:style>
  <w:style w:type="paragraph" w:customStyle="1" w:styleId="572">
    <w:name w:val="样式 标题 1 + 四号 加粗 自动设置"/>
    <w:basedOn w:val="3"/>
    <w:link w:val="571"/>
    <w:qFormat/>
    <w:uiPriority w:val="0"/>
    <w:pPr>
      <w:autoSpaceDE/>
      <w:autoSpaceDN/>
      <w:adjustRightInd/>
      <w:spacing w:before="0" w:line="240" w:lineRule="auto"/>
      <w:jc w:val="both"/>
    </w:pPr>
    <w:rPr>
      <w:rFonts w:ascii="Times New Roman" w:eastAsia="黑体"/>
      <w:bCs/>
      <w:color w:val="000000"/>
      <w:kern w:val="2"/>
      <w:sz w:val="28"/>
      <w:szCs w:val="44"/>
    </w:rPr>
  </w:style>
  <w:style w:type="character" w:customStyle="1" w:styleId="573">
    <w:name w:val="样式14 Char"/>
    <w:link w:val="574"/>
    <w:qFormat/>
    <w:uiPriority w:val="0"/>
    <w:rPr>
      <w:sz w:val="18"/>
    </w:rPr>
  </w:style>
  <w:style w:type="paragraph" w:customStyle="1" w:styleId="574">
    <w:name w:val="样式14"/>
    <w:basedOn w:val="55"/>
    <w:link w:val="573"/>
    <w:qFormat/>
    <w:uiPriority w:val="0"/>
    <w:pPr>
      <w:pBdr>
        <w:top w:val="single" w:color="auto" w:sz="4" w:space="1"/>
      </w:pBdr>
      <w:autoSpaceDE/>
      <w:autoSpaceDN/>
      <w:adjustRightInd/>
      <w:snapToGrid/>
      <w:jc w:val="center"/>
    </w:pPr>
    <w:rPr>
      <w:rFonts w:ascii="Times New Roman"/>
    </w:rPr>
  </w:style>
  <w:style w:type="character" w:customStyle="1" w:styleId="575">
    <w:name w:val="1正文 Char Char"/>
    <w:link w:val="576"/>
    <w:qFormat/>
    <w:uiPriority w:val="0"/>
    <w:rPr>
      <w:rFonts w:ascii="黑体" w:hAnsi="宋体" w:eastAsia="仿宋_GB2312"/>
      <w:kern w:val="2"/>
      <w:sz w:val="24"/>
    </w:rPr>
  </w:style>
  <w:style w:type="paragraph" w:customStyle="1" w:styleId="576">
    <w:name w:val="1正文"/>
    <w:basedOn w:val="1"/>
    <w:link w:val="575"/>
    <w:qFormat/>
    <w:uiPriority w:val="0"/>
    <w:pPr>
      <w:spacing w:before="40" w:after="40" w:line="360" w:lineRule="auto"/>
      <w:ind w:firstLine="200" w:firstLineChars="200"/>
    </w:pPr>
    <w:rPr>
      <w:rFonts w:ascii="黑体" w:hAnsi="宋体" w:eastAsia="仿宋_GB2312"/>
      <w:sz w:val="24"/>
      <w:szCs w:val="20"/>
    </w:rPr>
  </w:style>
  <w:style w:type="character" w:customStyle="1" w:styleId="577">
    <w:name w:val="样式 标题 4 + Times New Roman Char Char"/>
    <w:link w:val="578"/>
    <w:qFormat/>
    <w:uiPriority w:val="0"/>
    <w:rPr>
      <w:b/>
      <w:bCs/>
      <w:kern w:val="2"/>
      <w:sz w:val="28"/>
      <w:szCs w:val="28"/>
    </w:rPr>
  </w:style>
  <w:style w:type="paragraph" w:customStyle="1" w:styleId="578">
    <w:name w:val="样式 标题 4 + Times New Roman"/>
    <w:basedOn w:val="7"/>
    <w:link w:val="577"/>
    <w:qFormat/>
    <w:uiPriority w:val="0"/>
    <w:pPr>
      <w:adjustRightInd/>
      <w:spacing w:before="120" w:after="120" w:line="360" w:lineRule="auto"/>
      <w:textAlignment w:val="auto"/>
    </w:pPr>
    <w:rPr>
      <w:rFonts w:ascii="Times New Roman" w:hAnsi="Times New Roman" w:eastAsia="宋体"/>
      <w:bCs/>
      <w:kern w:val="2"/>
      <w:szCs w:val="28"/>
    </w:rPr>
  </w:style>
  <w:style w:type="character" w:customStyle="1" w:styleId="579">
    <w:name w:val="可研正文 Char"/>
    <w:link w:val="580"/>
    <w:qFormat/>
    <w:uiPriority w:val="0"/>
    <w:rPr>
      <w:rFonts w:eastAsia="仿宋_GB2312"/>
      <w:sz w:val="24"/>
    </w:rPr>
  </w:style>
  <w:style w:type="paragraph" w:customStyle="1" w:styleId="580">
    <w:name w:val="可研正文"/>
    <w:basedOn w:val="1"/>
    <w:link w:val="579"/>
    <w:qFormat/>
    <w:uiPriority w:val="0"/>
    <w:pPr>
      <w:spacing w:line="360" w:lineRule="auto"/>
      <w:ind w:firstLine="200" w:firstLineChars="200"/>
    </w:pPr>
    <w:rPr>
      <w:rFonts w:eastAsia="仿宋_GB2312"/>
      <w:kern w:val="0"/>
      <w:sz w:val="24"/>
      <w:szCs w:val="20"/>
    </w:rPr>
  </w:style>
  <w:style w:type="character" w:customStyle="1" w:styleId="581">
    <w:name w:val="正文页眉 Char Char"/>
    <w:qFormat/>
    <w:uiPriority w:val="0"/>
    <w:rPr>
      <w:rFonts w:eastAsia="华文行楷"/>
      <w:sz w:val="18"/>
      <w:lang w:val="en-US" w:eastAsia="zh-CN"/>
    </w:rPr>
  </w:style>
  <w:style w:type="character" w:customStyle="1" w:styleId="582">
    <w:name w:val="font31"/>
    <w:qFormat/>
    <w:uiPriority w:val="0"/>
    <w:rPr>
      <w:rFonts w:hint="default" w:ascii="Times New Roman" w:hAnsi="Times New Roman"/>
      <w:color w:val="000000"/>
      <w:sz w:val="24"/>
      <w:u w:val="none"/>
    </w:rPr>
  </w:style>
  <w:style w:type="character" w:customStyle="1" w:styleId="583">
    <w:name w:val="样式26 Char"/>
    <w:link w:val="584"/>
    <w:qFormat/>
    <w:uiPriority w:val="0"/>
    <w:rPr>
      <w:kern w:val="2"/>
      <w:sz w:val="18"/>
    </w:rPr>
  </w:style>
  <w:style w:type="paragraph" w:customStyle="1" w:styleId="584">
    <w:name w:val="样式26"/>
    <w:basedOn w:val="57"/>
    <w:link w:val="583"/>
    <w:qFormat/>
    <w:uiPriority w:val="0"/>
    <w:pPr>
      <w:pBdr>
        <w:bottom w:val="none" w:color="auto" w:sz="0" w:space="0"/>
      </w:pBdr>
      <w:spacing w:line="360" w:lineRule="auto"/>
      <w:ind w:firstLine="360" w:firstLineChars="200"/>
      <w:jc w:val="both"/>
    </w:pPr>
    <w:rPr>
      <w:szCs w:val="20"/>
    </w:rPr>
  </w:style>
  <w:style w:type="character" w:customStyle="1" w:styleId="585">
    <w:name w:val="样式23 Char"/>
    <w:link w:val="586"/>
    <w:qFormat/>
    <w:uiPriority w:val="0"/>
    <w:rPr>
      <w:rFonts w:ascii="宋体" w:hAnsi="宋体"/>
      <w:kern w:val="2"/>
      <w:sz w:val="21"/>
    </w:rPr>
  </w:style>
  <w:style w:type="paragraph" w:customStyle="1" w:styleId="586">
    <w:name w:val="样式23"/>
    <w:basedOn w:val="55"/>
    <w:link w:val="585"/>
    <w:qFormat/>
    <w:uiPriority w:val="0"/>
    <w:pPr>
      <w:pBdr>
        <w:top w:val="single" w:color="auto" w:sz="6" w:space="1"/>
      </w:pBdr>
      <w:wordWrap w:val="0"/>
      <w:autoSpaceDE/>
      <w:autoSpaceDN/>
      <w:adjustRightInd/>
      <w:spacing w:line="360" w:lineRule="auto"/>
      <w:ind w:firstLine="420" w:firstLineChars="200"/>
      <w:jc w:val="right"/>
    </w:pPr>
    <w:rPr>
      <w:rFonts w:hAnsi="宋体"/>
      <w:kern w:val="2"/>
      <w:sz w:val="21"/>
    </w:rPr>
  </w:style>
  <w:style w:type="character" w:customStyle="1" w:styleId="587">
    <w:name w:val="正文（首行缩进两字） Char Char Char1"/>
    <w:qFormat/>
    <w:uiPriority w:val="0"/>
    <w:rPr>
      <w:rFonts w:eastAsia="宋体"/>
      <w:lang w:val="en-US" w:eastAsia="zh-CN"/>
    </w:rPr>
  </w:style>
  <w:style w:type="character" w:customStyle="1" w:styleId="588">
    <w:name w:val="出版正文 Char"/>
    <w:link w:val="589"/>
    <w:qFormat/>
    <w:uiPriority w:val="0"/>
    <w:rPr>
      <w:kern w:val="2"/>
      <w:sz w:val="24"/>
    </w:rPr>
  </w:style>
  <w:style w:type="paragraph" w:customStyle="1" w:styleId="589">
    <w:name w:val="出版正文"/>
    <w:basedOn w:val="1"/>
    <w:link w:val="588"/>
    <w:qFormat/>
    <w:uiPriority w:val="0"/>
    <w:pPr>
      <w:spacing w:line="360" w:lineRule="auto"/>
      <w:ind w:firstLine="200" w:firstLineChars="200"/>
    </w:pPr>
    <w:rPr>
      <w:sz w:val="24"/>
      <w:szCs w:val="20"/>
    </w:rPr>
  </w:style>
  <w:style w:type="character" w:customStyle="1" w:styleId="590">
    <w:name w:val="日期 字符1"/>
    <w:qFormat/>
    <w:uiPriority w:val="99"/>
    <w:rPr>
      <w:kern w:val="2"/>
      <w:sz w:val="21"/>
      <w:szCs w:val="22"/>
    </w:rPr>
  </w:style>
  <w:style w:type="character" w:customStyle="1" w:styleId="591">
    <w:name w:val="正文文字 Char"/>
    <w:qFormat/>
    <w:uiPriority w:val="0"/>
    <w:rPr>
      <w:rFonts w:eastAsia="宋体"/>
      <w:kern w:val="2"/>
      <w:sz w:val="30"/>
      <w:lang w:val="en-US" w:eastAsia="zh-CN"/>
    </w:rPr>
  </w:style>
  <w:style w:type="character" w:customStyle="1" w:styleId="592">
    <w:name w:val="不明显强调2"/>
    <w:qFormat/>
    <w:uiPriority w:val="0"/>
    <w:rPr>
      <w:i/>
      <w:iCs/>
      <w:color w:val="808080"/>
    </w:rPr>
  </w:style>
  <w:style w:type="character" w:customStyle="1" w:styleId="593">
    <w:name w:val="样式 样式 段前: 0.5 行 段后: 0.5 行 + 首行缩进:  2 字符 Char Char"/>
    <w:link w:val="594"/>
    <w:qFormat/>
    <w:uiPriority w:val="0"/>
    <w:rPr>
      <w:rFonts w:cs="宋体"/>
      <w:sz w:val="28"/>
    </w:rPr>
  </w:style>
  <w:style w:type="paragraph" w:customStyle="1" w:styleId="594">
    <w:name w:val="样式 样式 段前: 0.5 行 段后: 0.5 行 + 首行缩进:  2 字符"/>
    <w:basedOn w:val="1"/>
    <w:link w:val="593"/>
    <w:qFormat/>
    <w:uiPriority w:val="0"/>
    <w:pPr>
      <w:adjustRightInd w:val="0"/>
      <w:spacing w:line="500" w:lineRule="atLeast"/>
      <w:ind w:firstLine="200" w:firstLineChars="200"/>
      <w:jc w:val="left"/>
      <w:textAlignment w:val="baseline"/>
    </w:pPr>
    <w:rPr>
      <w:rFonts w:cs="宋体"/>
      <w:kern w:val="0"/>
      <w:sz w:val="28"/>
      <w:szCs w:val="20"/>
    </w:rPr>
  </w:style>
  <w:style w:type="character" w:customStyle="1" w:styleId="595">
    <w:name w:val="H2 Char"/>
    <w:qFormat/>
    <w:uiPriority w:val="0"/>
    <w:rPr>
      <w:rFonts w:ascii="Arial" w:hAnsi="Arial" w:eastAsia="黑体"/>
      <w:b/>
      <w:bCs/>
      <w:sz w:val="32"/>
      <w:szCs w:val="32"/>
      <w:lang w:val="en-US" w:eastAsia="zh-CN" w:bidi="ar-SA"/>
    </w:rPr>
  </w:style>
  <w:style w:type="character" w:customStyle="1" w:styleId="596">
    <w:name w:val="Body Text Indent Char"/>
    <w:qFormat/>
    <w:uiPriority w:val="0"/>
    <w:rPr>
      <w:rFonts w:ascii="Times New Roman" w:hAnsi="Times New Roman" w:eastAsia="宋体"/>
      <w:sz w:val="20"/>
    </w:rPr>
  </w:style>
  <w:style w:type="character" w:customStyle="1" w:styleId="597">
    <w:name w:val="工艺框图 Char Char Char"/>
    <w:link w:val="598"/>
    <w:qFormat/>
    <w:uiPriority w:val="0"/>
    <w:rPr>
      <w:rFonts w:hAnsi="宋体" w:cs="宋体"/>
      <w:kern w:val="2"/>
      <w:sz w:val="24"/>
      <w:szCs w:val="24"/>
    </w:rPr>
  </w:style>
  <w:style w:type="paragraph" w:customStyle="1" w:styleId="598">
    <w:name w:val="工艺框图 Char"/>
    <w:basedOn w:val="1"/>
    <w:next w:val="1"/>
    <w:link w:val="597"/>
    <w:qFormat/>
    <w:uiPriority w:val="0"/>
    <w:pPr>
      <w:keepNext/>
      <w:spacing w:line="300" w:lineRule="auto"/>
    </w:pPr>
    <w:rPr>
      <w:rFonts w:hAnsi="宋体" w:cs="宋体"/>
      <w:sz w:val="24"/>
    </w:rPr>
  </w:style>
  <w:style w:type="character" w:customStyle="1" w:styleId="599">
    <w:name w:val="Plain Text Char"/>
    <w:qFormat/>
    <w:uiPriority w:val="0"/>
    <w:rPr>
      <w:rFonts w:ascii="宋体" w:eastAsia="宋体"/>
      <w:sz w:val="24"/>
    </w:rPr>
  </w:style>
  <w:style w:type="character" w:customStyle="1" w:styleId="600">
    <w:name w:val="文文 Char"/>
    <w:link w:val="601"/>
    <w:qFormat/>
    <w:uiPriority w:val="0"/>
    <w:rPr>
      <w:spacing w:val="20"/>
      <w:kern w:val="2"/>
      <w:sz w:val="24"/>
    </w:rPr>
  </w:style>
  <w:style w:type="paragraph" w:customStyle="1" w:styleId="601">
    <w:name w:val="文文"/>
    <w:basedOn w:val="1"/>
    <w:link w:val="600"/>
    <w:qFormat/>
    <w:uiPriority w:val="0"/>
    <w:pPr>
      <w:spacing w:line="440" w:lineRule="exact"/>
      <w:ind w:firstLine="200" w:firstLineChars="200"/>
    </w:pPr>
    <w:rPr>
      <w:spacing w:val="20"/>
      <w:sz w:val="24"/>
      <w:szCs w:val="20"/>
    </w:rPr>
  </w:style>
  <w:style w:type="character" w:customStyle="1" w:styleId="602">
    <w:name w:val="样式16 Char"/>
    <w:link w:val="603"/>
    <w:qFormat/>
    <w:uiPriority w:val="0"/>
    <w:rPr>
      <w:kern w:val="2"/>
      <w:sz w:val="18"/>
    </w:rPr>
  </w:style>
  <w:style w:type="paragraph" w:customStyle="1" w:styleId="603">
    <w:name w:val="样式16"/>
    <w:basedOn w:val="57"/>
    <w:link w:val="602"/>
    <w:qFormat/>
    <w:uiPriority w:val="0"/>
    <w:pPr>
      <w:pBdr>
        <w:bottom w:val="none" w:color="auto" w:sz="0" w:space="0"/>
      </w:pBdr>
      <w:spacing w:line="360" w:lineRule="auto"/>
      <w:ind w:firstLine="360" w:firstLineChars="200"/>
      <w:jc w:val="both"/>
    </w:pPr>
    <w:rPr>
      <w:szCs w:val="20"/>
    </w:rPr>
  </w:style>
  <w:style w:type="character" w:customStyle="1" w:styleId="604">
    <w:name w:val="样式 默认段落字体 Para Char Char Char Char Char + Char Char"/>
    <w:qFormat/>
    <w:uiPriority w:val="0"/>
    <w:rPr>
      <w:rFonts w:eastAsia="宋体"/>
      <w:sz w:val="28"/>
      <w:szCs w:val="28"/>
      <w:lang w:val="en-US" w:eastAsia="zh-CN" w:bidi="ar-SA"/>
    </w:rPr>
  </w:style>
  <w:style w:type="character" w:customStyle="1" w:styleId="605">
    <w:name w:val="bt1"/>
    <w:qFormat/>
    <w:uiPriority w:val="0"/>
    <w:rPr>
      <w:rFonts w:hint="default" w:ascii="??" w:hAnsi="??"/>
      <w:b/>
      <w:bCs/>
      <w:color w:val="000000"/>
      <w:sz w:val="32"/>
      <w:szCs w:val="32"/>
      <w:u w:val="none"/>
    </w:rPr>
  </w:style>
  <w:style w:type="character" w:customStyle="1" w:styleId="606">
    <w:name w:val="t_tag"/>
    <w:qFormat/>
    <w:uiPriority w:val="0"/>
  </w:style>
  <w:style w:type="character" w:customStyle="1" w:styleId="607">
    <w:name w:val="正文文本缩进 3 Char1"/>
    <w:qFormat/>
    <w:uiPriority w:val="0"/>
    <w:rPr>
      <w:kern w:val="2"/>
      <w:sz w:val="16"/>
    </w:rPr>
  </w:style>
  <w:style w:type="character" w:customStyle="1" w:styleId="608">
    <w:name w:val="样式 样式 段前: 0.5 行 段后: 0.5 行 + 首行缩进:  2 字符1 Char Char"/>
    <w:link w:val="609"/>
    <w:qFormat/>
    <w:uiPriority w:val="0"/>
    <w:rPr>
      <w:rFonts w:cs="宋体"/>
      <w:sz w:val="28"/>
    </w:rPr>
  </w:style>
  <w:style w:type="paragraph" w:customStyle="1" w:styleId="609">
    <w:name w:val="样式 样式 段前: 0.5 行 段后: 0.5 行 + 首行缩进:  2 字符1"/>
    <w:basedOn w:val="1"/>
    <w:link w:val="608"/>
    <w:qFormat/>
    <w:uiPriority w:val="0"/>
    <w:pPr>
      <w:adjustRightInd w:val="0"/>
      <w:spacing w:line="500" w:lineRule="atLeast"/>
      <w:ind w:firstLine="200" w:firstLineChars="200"/>
      <w:jc w:val="left"/>
      <w:textAlignment w:val="baseline"/>
    </w:pPr>
    <w:rPr>
      <w:rFonts w:cs="宋体"/>
      <w:kern w:val="0"/>
      <w:sz w:val="28"/>
      <w:szCs w:val="20"/>
    </w:rPr>
  </w:style>
  <w:style w:type="character" w:customStyle="1" w:styleId="610">
    <w:name w:val="文档结构图 字符1"/>
    <w:semiHidden/>
    <w:qFormat/>
    <w:uiPriority w:val="99"/>
    <w:rPr>
      <w:rFonts w:ascii="Microsoft YaHei UI" w:eastAsia="Microsoft YaHei UI"/>
      <w:kern w:val="2"/>
      <w:sz w:val="18"/>
      <w:szCs w:val="18"/>
    </w:rPr>
  </w:style>
  <w:style w:type="character" w:customStyle="1" w:styleId="611">
    <w:name w:val="书籍标题2"/>
    <w:qFormat/>
    <w:uiPriority w:val="0"/>
    <w:rPr>
      <w:b/>
      <w:bCs/>
      <w:smallCaps/>
      <w:spacing w:val="5"/>
    </w:rPr>
  </w:style>
  <w:style w:type="character" w:customStyle="1" w:styleId="612">
    <w:name w:val="black0001"/>
    <w:qFormat/>
    <w:uiPriority w:val="0"/>
    <w:rPr>
      <w:b/>
      <w:color w:val="000000"/>
      <w:sz w:val="24"/>
    </w:rPr>
  </w:style>
  <w:style w:type="character" w:customStyle="1" w:styleId="613">
    <w:name w:val="访问过的超链接11"/>
    <w:qFormat/>
    <w:uiPriority w:val="0"/>
    <w:rPr>
      <w:color w:val="800080"/>
      <w:u w:val="single"/>
    </w:rPr>
  </w:style>
  <w:style w:type="character" w:customStyle="1" w:styleId="614">
    <w:name w:val="font21"/>
    <w:qFormat/>
    <w:uiPriority w:val="0"/>
    <w:rPr>
      <w:rFonts w:hint="eastAsia" w:ascii="宋体" w:hAnsi="宋体" w:eastAsia="宋体"/>
      <w:color w:val="000000"/>
      <w:sz w:val="21"/>
      <w:u w:val="none"/>
    </w:rPr>
  </w:style>
  <w:style w:type="character" w:customStyle="1" w:styleId="615">
    <w:name w:val="表文字 Char"/>
    <w:link w:val="616"/>
    <w:qFormat/>
    <w:uiPriority w:val="0"/>
  </w:style>
  <w:style w:type="paragraph" w:customStyle="1" w:styleId="616">
    <w:name w:val="表文字"/>
    <w:link w:val="615"/>
    <w:qFormat/>
    <w:uiPriority w:val="0"/>
    <w:pPr>
      <w:widowControl w:val="0"/>
      <w:adjustRightInd w:val="0"/>
      <w:spacing w:line="240" w:lineRule="exact"/>
      <w:jc w:val="center"/>
      <w:textAlignment w:val="baseline"/>
    </w:pPr>
    <w:rPr>
      <w:rFonts w:ascii="Times New Roman" w:hAnsi="Times New Roman" w:eastAsia="宋体" w:cs="Times New Roman"/>
      <w:lang w:val="en-US" w:eastAsia="zh-CN" w:bidi="ar-SA"/>
    </w:rPr>
  </w:style>
  <w:style w:type="character" w:customStyle="1" w:styleId="617">
    <w:name w:val="A格式2 Char Char"/>
    <w:link w:val="618"/>
    <w:qFormat/>
    <w:uiPriority w:val="0"/>
    <w:rPr>
      <w:rFonts w:eastAsia="华文中宋"/>
      <w:kern w:val="2"/>
      <w:sz w:val="21"/>
    </w:rPr>
  </w:style>
  <w:style w:type="paragraph" w:customStyle="1" w:styleId="618">
    <w:name w:val="A格式2"/>
    <w:basedOn w:val="1"/>
    <w:next w:val="1"/>
    <w:link w:val="617"/>
    <w:qFormat/>
    <w:uiPriority w:val="0"/>
    <w:pPr>
      <w:spacing w:line="360" w:lineRule="auto"/>
      <w:jc w:val="left"/>
    </w:pPr>
    <w:rPr>
      <w:rFonts w:eastAsia="华文中宋"/>
      <w:szCs w:val="20"/>
    </w:rPr>
  </w:style>
  <w:style w:type="character" w:customStyle="1" w:styleId="619">
    <w:name w:val="Char Char14"/>
    <w:qFormat/>
    <w:uiPriority w:val="0"/>
    <w:rPr>
      <w:rFonts w:ascii="Cambria" w:hAnsi="Cambria"/>
      <w:b/>
      <w:kern w:val="44"/>
      <w:sz w:val="30"/>
    </w:rPr>
  </w:style>
  <w:style w:type="character" w:customStyle="1" w:styleId="620">
    <w:name w:val="Normal Char"/>
    <w:link w:val="621"/>
    <w:qFormat/>
    <w:uiPriority w:val="0"/>
    <w:rPr>
      <w:rFonts w:ascii="宋体"/>
      <w:sz w:val="24"/>
    </w:rPr>
  </w:style>
  <w:style w:type="paragraph" w:customStyle="1" w:styleId="621">
    <w:name w:val="正文1"/>
    <w:link w:val="620"/>
    <w:qFormat/>
    <w:uiPriority w:val="0"/>
    <w:pPr>
      <w:widowControl w:val="0"/>
      <w:adjustRightInd w:val="0"/>
      <w:spacing w:line="312" w:lineRule="atLeast"/>
      <w:jc w:val="both"/>
      <w:textAlignment w:val="baseline"/>
    </w:pPr>
    <w:rPr>
      <w:rFonts w:ascii="宋体" w:hAnsi="Times New Roman" w:eastAsia="宋体" w:cs="Times New Roman"/>
      <w:sz w:val="24"/>
      <w:lang w:val="en-US" w:eastAsia="zh-CN" w:bidi="ar-SA"/>
    </w:rPr>
  </w:style>
  <w:style w:type="character" w:customStyle="1" w:styleId="622">
    <w:name w:val="样式 宋体 四号"/>
    <w:qFormat/>
    <w:uiPriority w:val="0"/>
    <w:rPr>
      <w:rFonts w:ascii="宋体" w:hAnsi="宋体"/>
      <w:sz w:val="24"/>
    </w:rPr>
  </w:style>
  <w:style w:type="character" w:customStyle="1" w:styleId="623">
    <w:name w:val="样式13 Char"/>
    <w:link w:val="624"/>
    <w:qFormat/>
    <w:uiPriority w:val="0"/>
    <w:rPr>
      <w:rFonts w:ascii="楷体" w:hAnsi="楷体" w:eastAsia="楷体"/>
      <w:sz w:val="18"/>
    </w:rPr>
  </w:style>
  <w:style w:type="paragraph" w:customStyle="1" w:styleId="624">
    <w:name w:val="样式13"/>
    <w:basedOn w:val="55"/>
    <w:link w:val="623"/>
    <w:qFormat/>
    <w:uiPriority w:val="0"/>
    <w:pPr>
      <w:pBdr>
        <w:top w:val="single" w:color="auto" w:sz="4" w:space="1"/>
      </w:pBdr>
      <w:autoSpaceDE/>
      <w:autoSpaceDN/>
      <w:adjustRightInd/>
      <w:snapToGrid/>
      <w:jc w:val="center"/>
    </w:pPr>
    <w:rPr>
      <w:rFonts w:ascii="楷体" w:hAnsi="楷体" w:eastAsia="楷体"/>
    </w:rPr>
  </w:style>
  <w:style w:type="character" w:customStyle="1" w:styleId="625">
    <w:name w:val="样式9 Char"/>
    <w:link w:val="626"/>
    <w:qFormat/>
    <w:uiPriority w:val="0"/>
    <w:rPr>
      <w:rFonts w:ascii="宋体" w:hAnsi="宋体"/>
      <w:b/>
      <w:sz w:val="28"/>
    </w:rPr>
  </w:style>
  <w:style w:type="paragraph" w:customStyle="1" w:styleId="626">
    <w:name w:val="样式9"/>
    <w:basedOn w:val="3"/>
    <w:link w:val="625"/>
    <w:qFormat/>
    <w:uiPriority w:val="0"/>
    <w:pPr>
      <w:keepNext w:val="0"/>
      <w:keepLines w:val="0"/>
      <w:tabs>
        <w:tab w:val="left" w:pos="360"/>
      </w:tabs>
      <w:overflowPunct w:val="0"/>
      <w:autoSpaceDE/>
      <w:autoSpaceDN/>
      <w:adjustRightInd/>
      <w:spacing w:before="0" w:after="0" w:line="360" w:lineRule="auto"/>
      <w:ind w:left="432" w:hanging="432"/>
      <w:jc w:val="left"/>
    </w:pPr>
    <w:rPr>
      <w:rFonts w:hAnsi="宋体"/>
      <w:kern w:val="0"/>
      <w:sz w:val="28"/>
    </w:rPr>
  </w:style>
  <w:style w:type="character" w:customStyle="1" w:styleId="627">
    <w:name w:val="Para head"/>
    <w:qFormat/>
    <w:uiPriority w:val="0"/>
    <w:rPr>
      <w:rFonts w:ascii="Arial" w:hAnsi="Arial" w:eastAsia="Times New Roman"/>
      <w:sz w:val="20"/>
    </w:rPr>
  </w:style>
  <w:style w:type="character" w:customStyle="1" w:styleId="628">
    <w:name w:val="HTML Preformatted Char"/>
    <w:qFormat/>
    <w:uiPriority w:val="0"/>
    <w:rPr>
      <w:rFonts w:ascii="Arial" w:hAnsi="Arial" w:eastAsia="宋体"/>
      <w:kern w:val="0"/>
      <w:sz w:val="24"/>
    </w:rPr>
  </w:style>
  <w:style w:type="character" w:customStyle="1" w:styleId="629">
    <w:name w:val="Char Char8"/>
    <w:qFormat/>
    <w:uiPriority w:val="0"/>
    <w:rPr>
      <w:kern w:val="2"/>
      <w:sz w:val="18"/>
    </w:rPr>
  </w:style>
  <w:style w:type="character" w:customStyle="1" w:styleId="630">
    <w:name w:val="页码2"/>
    <w:basedOn w:val="91"/>
    <w:qFormat/>
    <w:uiPriority w:val="0"/>
  </w:style>
  <w:style w:type="character" w:customStyle="1" w:styleId="631">
    <w:name w:val="个人答复风格"/>
    <w:qFormat/>
    <w:uiPriority w:val="0"/>
    <w:rPr>
      <w:rFonts w:ascii="Arial" w:hAnsi="Arial" w:eastAsia="宋体"/>
      <w:color w:val="auto"/>
      <w:sz w:val="20"/>
    </w:rPr>
  </w:style>
  <w:style w:type="character" w:customStyle="1" w:styleId="632">
    <w:name w:val="Char Char21"/>
    <w:qFormat/>
    <w:uiPriority w:val="0"/>
    <w:rPr>
      <w:rFonts w:eastAsia="宋体"/>
      <w:kern w:val="2"/>
      <w:sz w:val="32"/>
      <w:lang w:val="en-US" w:eastAsia="zh-CN" w:bidi="ar-SA"/>
    </w:rPr>
  </w:style>
  <w:style w:type="character" w:customStyle="1" w:styleId="633">
    <w:name w:val="Char Char7"/>
    <w:qFormat/>
    <w:uiPriority w:val="0"/>
    <w:rPr>
      <w:color w:val="FF0000"/>
      <w:kern w:val="2"/>
      <w:sz w:val="24"/>
    </w:rPr>
  </w:style>
  <w:style w:type="character" w:customStyle="1" w:styleId="634">
    <w:name w:val="表头 Char"/>
    <w:link w:val="635"/>
    <w:qFormat/>
    <w:uiPriority w:val="0"/>
    <w:rPr>
      <w:rFonts w:ascii="宋体" w:hAnsi="Courier New" w:cs="Courier New"/>
      <w:kern w:val="2"/>
      <w:sz w:val="28"/>
      <w:szCs w:val="21"/>
    </w:rPr>
  </w:style>
  <w:style w:type="paragraph" w:customStyle="1" w:styleId="635">
    <w:name w:val="表头"/>
    <w:basedOn w:val="1"/>
    <w:next w:val="1"/>
    <w:link w:val="634"/>
    <w:qFormat/>
    <w:uiPriority w:val="0"/>
    <w:rPr>
      <w:rFonts w:ascii="宋体" w:hAnsi="Courier New" w:cs="Courier New"/>
      <w:sz w:val="28"/>
      <w:szCs w:val="21"/>
    </w:rPr>
  </w:style>
  <w:style w:type="character" w:customStyle="1" w:styleId="636">
    <w:name w:val="样式 粉红"/>
    <w:qFormat/>
    <w:uiPriority w:val="99"/>
    <w:rPr>
      <w:color w:val="auto"/>
      <w:u w:val="none"/>
    </w:rPr>
  </w:style>
  <w:style w:type="character" w:customStyle="1" w:styleId="637">
    <w:name w:val="样式 正文文本缩进 3 + 小四 Char Char"/>
    <w:qFormat/>
    <w:uiPriority w:val="0"/>
    <w:rPr>
      <w:rFonts w:eastAsia="宋体"/>
      <w:sz w:val="28"/>
      <w:szCs w:val="28"/>
      <w:lang w:val="en-US" w:eastAsia="zh-CN" w:bidi="ar-SA"/>
    </w:rPr>
  </w:style>
  <w:style w:type="character" w:customStyle="1" w:styleId="638">
    <w:name w:val="Heading 4 Char"/>
    <w:qFormat/>
    <w:uiPriority w:val="0"/>
    <w:rPr>
      <w:rFonts w:ascii="Cambria" w:hAnsi="Cambria" w:eastAsia="宋体"/>
      <w:b/>
      <w:sz w:val="28"/>
    </w:rPr>
  </w:style>
  <w:style w:type="character" w:customStyle="1" w:styleId="639">
    <w:name w:val="副标题 字符1"/>
    <w:qFormat/>
    <w:uiPriority w:val="11"/>
    <w:rPr>
      <w:rFonts w:ascii="等线" w:hAnsi="等线" w:eastAsia="等线" w:cs="Times New Roman"/>
      <w:b/>
      <w:bCs/>
      <w:kern w:val="28"/>
      <w:sz w:val="32"/>
      <w:szCs w:val="32"/>
    </w:rPr>
  </w:style>
  <w:style w:type="character" w:customStyle="1" w:styleId="640">
    <w:name w:val="c 式样3 Char"/>
    <w:link w:val="641"/>
    <w:qFormat/>
    <w:uiPriority w:val="0"/>
    <w:rPr>
      <w:rFonts w:ascii="黑体"/>
      <w:b/>
      <w:kern w:val="44"/>
      <w:sz w:val="44"/>
    </w:rPr>
  </w:style>
  <w:style w:type="paragraph" w:customStyle="1" w:styleId="641">
    <w:name w:val="c 式样3"/>
    <w:basedOn w:val="1"/>
    <w:link w:val="640"/>
    <w:qFormat/>
    <w:uiPriority w:val="0"/>
    <w:pPr>
      <w:widowControl/>
      <w:spacing w:line="480" w:lineRule="exact"/>
      <w:jc w:val="left"/>
    </w:pPr>
    <w:rPr>
      <w:rFonts w:ascii="黑体"/>
      <w:b/>
      <w:kern w:val="44"/>
      <w:sz w:val="44"/>
      <w:szCs w:val="20"/>
    </w:rPr>
  </w:style>
  <w:style w:type="character" w:customStyle="1" w:styleId="642">
    <w:name w:val="样式 宋体 加粗 黑色"/>
    <w:qFormat/>
    <w:uiPriority w:val="0"/>
    <w:rPr>
      <w:rFonts w:ascii="宋体" w:hAnsi="宋体" w:eastAsia="宋体"/>
      <w:b/>
      <w:color w:val="000000"/>
      <w:sz w:val="28"/>
    </w:rPr>
  </w:style>
  <w:style w:type="character" w:customStyle="1" w:styleId="643">
    <w:name w:val="样式 标题 2 + 非加粗 黑色 Char Char"/>
    <w:link w:val="644"/>
    <w:qFormat/>
    <w:uiPriority w:val="0"/>
    <w:rPr>
      <w:rFonts w:ascii="Arial" w:hAnsi="Arial" w:eastAsia="黑体"/>
      <w:bCs/>
      <w:color w:val="000000"/>
      <w:sz w:val="30"/>
      <w:szCs w:val="32"/>
    </w:rPr>
  </w:style>
  <w:style w:type="paragraph" w:customStyle="1" w:styleId="644">
    <w:name w:val="样式 标题 2 + 非加粗 黑色"/>
    <w:basedOn w:val="4"/>
    <w:link w:val="643"/>
    <w:qFormat/>
    <w:uiPriority w:val="0"/>
    <w:pPr>
      <w:autoSpaceDE/>
      <w:autoSpaceDN/>
      <w:adjustRightInd/>
      <w:spacing w:after="120" w:line="500" w:lineRule="atLeast"/>
      <w:jc w:val="both"/>
    </w:pPr>
    <w:rPr>
      <w:b w:val="0"/>
      <w:bCs/>
      <w:color w:val="000000"/>
      <w:szCs w:val="32"/>
    </w:rPr>
  </w:style>
  <w:style w:type="character" w:customStyle="1" w:styleId="645">
    <w:name w:val="访问过的超链接1"/>
    <w:qFormat/>
    <w:uiPriority w:val="0"/>
    <w:rPr>
      <w:color w:val="800080"/>
      <w:u w:val="single"/>
    </w:rPr>
  </w:style>
  <w:style w:type="character" w:customStyle="1" w:styleId="646">
    <w:name w:val="标题 4 Char Char Char Char Char Char Char Char Char Char Char Char Char Char"/>
    <w:qFormat/>
    <w:uiPriority w:val="0"/>
    <w:rPr>
      <w:rFonts w:hint="default" w:ascii="Arial" w:hAnsi="Arial" w:eastAsia="黑体" w:cs="Arial"/>
      <w:bCs/>
      <w:kern w:val="2"/>
      <w:sz w:val="24"/>
      <w:szCs w:val="28"/>
      <w:lang w:val="en-US" w:eastAsia="zh-CN" w:bidi="ar-SA"/>
    </w:rPr>
  </w:style>
  <w:style w:type="character" w:customStyle="1" w:styleId="647">
    <w:name w:val="Header Char"/>
    <w:qFormat/>
    <w:uiPriority w:val="0"/>
    <w:rPr>
      <w:rFonts w:ascii="Cambria" w:hAnsi="Cambria" w:eastAsia="宋体"/>
      <w:kern w:val="0"/>
      <w:sz w:val="18"/>
      <w:lang w:eastAsia="en-US"/>
    </w:rPr>
  </w:style>
  <w:style w:type="character" w:customStyle="1" w:styleId="648">
    <w:name w:val="Footer Char"/>
    <w:qFormat/>
    <w:uiPriority w:val="0"/>
    <w:rPr>
      <w:rFonts w:ascii="Times New Roman" w:hAnsi="Times New Roman" w:eastAsia="宋体"/>
      <w:sz w:val="18"/>
    </w:rPr>
  </w:style>
  <w:style w:type="character" w:customStyle="1" w:styleId="649">
    <w:name w:val="纯文本 Char Char"/>
    <w:qFormat/>
    <w:uiPriority w:val="0"/>
    <w:rPr>
      <w:rFonts w:ascii="宋体" w:hAnsi="Courier New" w:eastAsia="宋体"/>
      <w:kern w:val="2"/>
      <w:sz w:val="21"/>
      <w:lang w:val="en-US" w:eastAsia="zh-CN" w:bidi="ar-SA"/>
    </w:rPr>
  </w:style>
  <w:style w:type="character" w:customStyle="1" w:styleId="650">
    <w:name w:val="样式 样式 样式 样式 样式 段前: 0.5 行 段后: 0.5 行 + 首行缩进:  2 字符1 + 首行缩进:  2 字符 ... Char Char"/>
    <w:link w:val="651"/>
    <w:qFormat/>
    <w:uiPriority w:val="0"/>
    <w:rPr>
      <w:rFonts w:cs="宋体"/>
      <w:sz w:val="28"/>
      <w:szCs w:val="28"/>
    </w:rPr>
  </w:style>
  <w:style w:type="paragraph" w:customStyle="1" w:styleId="651">
    <w:name w:val="样式 样式 样式 样式 样式 段前: 0.5 行 段后: 0.5 行 + 首行缩进:  2 字符1 + 首行缩进:  2 字符 ..."/>
    <w:basedOn w:val="1"/>
    <w:link w:val="650"/>
    <w:qFormat/>
    <w:uiPriority w:val="0"/>
    <w:pPr>
      <w:adjustRightInd w:val="0"/>
      <w:spacing w:line="500" w:lineRule="atLeast"/>
      <w:ind w:firstLine="200" w:firstLineChars="200"/>
      <w:textAlignment w:val="baseline"/>
    </w:pPr>
    <w:rPr>
      <w:rFonts w:cs="宋体"/>
      <w:kern w:val="0"/>
      <w:sz w:val="28"/>
      <w:szCs w:val="28"/>
    </w:rPr>
  </w:style>
  <w:style w:type="character" w:customStyle="1" w:styleId="652">
    <w:name w:val="unnamed31"/>
    <w:qFormat/>
    <w:uiPriority w:val="0"/>
    <w:rPr>
      <w:sz w:val="18"/>
    </w:rPr>
  </w:style>
  <w:style w:type="character" w:customStyle="1" w:styleId="653">
    <w:name w:val="页脚 字符1"/>
    <w:semiHidden/>
    <w:qFormat/>
    <w:uiPriority w:val="99"/>
    <w:rPr>
      <w:kern w:val="2"/>
      <w:sz w:val="18"/>
      <w:szCs w:val="18"/>
    </w:rPr>
  </w:style>
  <w:style w:type="character" w:customStyle="1" w:styleId="654">
    <w:name w:val="6表名 Char Char"/>
    <w:link w:val="655"/>
    <w:qFormat/>
    <w:uiPriority w:val="0"/>
    <w:rPr>
      <w:rFonts w:eastAsia="仿宋_GB2312"/>
      <w:b/>
      <w:kern w:val="2"/>
      <w:sz w:val="24"/>
    </w:rPr>
  </w:style>
  <w:style w:type="paragraph" w:customStyle="1" w:styleId="655">
    <w:name w:val="6表名"/>
    <w:basedOn w:val="1"/>
    <w:link w:val="654"/>
    <w:qFormat/>
    <w:uiPriority w:val="0"/>
    <w:pPr>
      <w:keepNext/>
      <w:spacing w:before="120" w:after="120"/>
      <w:jc w:val="center"/>
      <w:outlineLvl w:val="3"/>
    </w:pPr>
    <w:rPr>
      <w:rFonts w:eastAsia="仿宋_GB2312"/>
      <w:b/>
      <w:sz w:val="24"/>
      <w:szCs w:val="20"/>
    </w:rPr>
  </w:style>
  <w:style w:type="character" w:customStyle="1" w:styleId="656">
    <w:name w:val="text"/>
    <w:basedOn w:val="91"/>
    <w:qFormat/>
    <w:uiPriority w:val="0"/>
  </w:style>
  <w:style w:type="character" w:customStyle="1" w:styleId="657">
    <w:name w:val="正文标准 Char"/>
    <w:link w:val="658"/>
    <w:qFormat/>
    <w:uiPriority w:val="0"/>
    <w:rPr>
      <w:rFonts w:ascii="宋体" w:hAnsi="宋体"/>
      <w:sz w:val="24"/>
    </w:rPr>
  </w:style>
  <w:style w:type="paragraph" w:customStyle="1" w:styleId="658">
    <w:name w:val="正文标准"/>
    <w:basedOn w:val="1"/>
    <w:link w:val="657"/>
    <w:qFormat/>
    <w:uiPriority w:val="0"/>
    <w:pPr>
      <w:spacing w:line="500" w:lineRule="exact"/>
      <w:ind w:firstLine="570"/>
    </w:pPr>
    <w:rPr>
      <w:rFonts w:ascii="宋体" w:hAnsi="宋体"/>
      <w:kern w:val="0"/>
      <w:sz w:val="24"/>
      <w:szCs w:val="20"/>
    </w:rPr>
  </w:style>
  <w:style w:type="character" w:customStyle="1" w:styleId="659">
    <w:name w:val="标题 字符1"/>
    <w:qFormat/>
    <w:uiPriority w:val="10"/>
    <w:rPr>
      <w:rFonts w:ascii="等线 Light" w:hAnsi="等线 Light" w:eastAsia="等线 Light" w:cs="Times New Roman"/>
      <w:b/>
      <w:bCs/>
      <w:kern w:val="2"/>
      <w:sz w:val="32"/>
      <w:szCs w:val="32"/>
    </w:rPr>
  </w:style>
  <w:style w:type="character" w:customStyle="1" w:styleId="660">
    <w:name w:val="x210"/>
    <w:qFormat/>
    <w:uiPriority w:val="0"/>
    <w:rPr>
      <w:b/>
      <w:color w:val="000000"/>
      <w:sz w:val="20"/>
    </w:rPr>
  </w:style>
  <w:style w:type="character" w:customStyle="1" w:styleId="661">
    <w:name w:val="Char Char51"/>
    <w:qFormat/>
    <w:uiPriority w:val="0"/>
    <w:rPr>
      <w:rFonts w:eastAsia="宋体"/>
      <w:kern w:val="2"/>
      <w:sz w:val="18"/>
      <w:lang w:val="en-US" w:eastAsia="zh-CN"/>
    </w:rPr>
  </w:style>
  <w:style w:type="character" w:customStyle="1" w:styleId="662">
    <w:name w:val="No Spacing Char"/>
    <w:link w:val="663"/>
    <w:qFormat/>
    <w:uiPriority w:val="0"/>
    <w:rPr>
      <w:rFonts w:ascii="Calibri" w:hAnsi="Calibri"/>
      <w:sz w:val="22"/>
    </w:rPr>
  </w:style>
  <w:style w:type="paragraph" w:customStyle="1" w:styleId="663">
    <w:name w:val="无间隔11"/>
    <w:link w:val="662"/>
    <w:qFormat/>
    <w:uiPriority w:val="0"/>
    <w:rPr>
      <w:rFonts w:ascii="Calibri" w:hAnsi="Calibri" w:eastAsia="宋体" w:cs="Times New Roman"/>
      <w:sz w:val="22"/>
      <w:lang w:val="en-US" w:eastAsia="zh-CN" w:bidi="ar-SA"/>
    </w:rPr>
  </w:style>
  <w:style w:type="character" w:customStyle="1" w:styleId="664">
    <w:name w:val="样式19 Char"/>
    <w:link w:val="665"/>
    <w:qFormat/>
    <w:uiPriority w:val="0"/>
    <w:rPr>
      <w:kern w:val="2"/>
      <w:sz w:val="18"/>
    </w:rPr>
  </w:style>
  <w:style w:type="paragraph" w:customStyle="1" w:styleId="665">
    <w:name w:val="样式19"/>
    <w:basedOn w:val="57"/>
    <w:link w:val="664"/>
    <w:qFormat/>
    <w:uiPriority w:val="0"/>
    <w:pPr>
      <w:pBdr>
        <w:bottom w:val="none" w:color="auto" w:sz="0" w:space="0"/>
      </w:pBdr>
      <w:spacing w:line="360" w:lineRule="auto"/>
      <w:ind w:firstLine="360" w:firstLineChars="200"/>
      <w:jc w:val="both"/>
    </w:pPr>
    <w:rPr>
      <w:szCs w:val="20"/>
    </w:rPr>
  </w:style>
  <w:style w:type="character" w:customStyle="1" w:styleId="666">
    <w:name w:val="Document Map Char"/>
    <w:link w:val="667"/>
    <w:qFormat/>
    <w:uiPriority w:val="0"/>
    <w:rPr>
      <w:rFonts w:ascii="宋体"/>
      <w:sz w:val="18"/>
    </w:rPr>
  </w:style>
  <w:style w:type="paragraph" w:customStyle="1" w:styleId="667">
    <w:name w:val="文档结构图1"/>
    <w:basedOn w:val="1"/>
    <w:link w:val="666"/>
    <w:qFormat/>
    <w:uiPriority w:val="0"/>
    <w:rPr>
      <w:rFonts w:ascii="宋体"/>
      <w:kern w:val="0"/>
      <w:sz w:val="18"/>
      <w:szCs w:val="20"/>
    </w:rPr>
  </w:style>
  <w:style w:type="character" w:customStyle="1" w:styleId="668">
    <w:name w:val="日期 Char2"/>
    <w:qFormat/>
    <w:uiPriority w:val="0"/>
    <w:rPr>
      <w:kern w:val="2"/>
      <w:sz w:val="21"/>
    </w:rPr>
  </w:style>
  <w:style w:type="character" w:customStyle="1" w:styleId="669">
    <w:name w:val="样式 样式 标题 1 + (中文) 黑体 三号 非加粗 居中 段前: 12 磅 段后: 12 磅 行距: 最小值 25 磅 + ... Char"/>
    <w:qFormat/>
    <w:uiPriority w:val="0"/>
    <w:rPr>
      <w:rFonts w:hint="eastAsia" w:ascii="黑体" w:eastAsia="黑体"/>
      <w:b/>
      <w:color w:val="000000"/>
      <w:kern w:val="44"/>
      <w:sz w:val="32"/>
      <w:lang w:val="en-US" w:eastAsia="zh-CN"/>
    </w:rPr>
  </w:style>
  <w:style w:type="character" w:customStyle="1" w:styleId="670">
    <w:name w:val="样式2 Char"/>
    <w:link w:val="202"/>
    <w:qFormat/>
    <w:uiPriority w:val="0"/>
    <w:rPr>
      <w:kern w:val="2"/>
      <w:sz w:val="24"/>
    </w:rPr>
  </w:style>
  <w:style w:type="character" w:customStyle="1" w:styleId="671">
    <w:name w:val="明显引用 字符3"/>
    <w:link w:val="672"/>
    <w:qFormat/>
    <w:uiPriority w:val="0"/>
    <w:rPr>
      <w:b/>
      <w:bCs/>
      <w:i/>
      <w:iCs/>
      <w:color w:val="4F81BD"/>
      <w:kern w:val="2"/>
      <w:sz w:val="21"/>
      <w:szCs w:val="22"/>
    </w:rPr>
  </w:style>
  <w:style w:type="paragraph" w:styleId="672">
    <w:name w:val="Intense Quote"/>
    <w:basedOn w:val="1"/>
    <w:next w:val="1"/>
    <w:link w:val="671"/>
    <w:qFormat/>
    <w:uiPriority w:val="0"/>
    <w:pPr>
      <w:pBdr>
        <w:bottom w:val="single" w:color="4F81BD" w:sz="4" w:space="4"/>
      </w:pBdr>
      <w:spacing w:before="200" w:after="280"/>
      <w:ind w:left="936" w:right="936"/>
    </w:pPr>
    <w:rPr>
      <w:b/>
      <w:bCs/>
      <w:i/>
      <w:iCs/>
      <w:color w:val="4F81BD"/>
      <w:szCs w:val="22"/>
    </w:rPr>
  </w:style>
  <w:style w:type="character" w:customStyle="1" w:styleId="673">
    <w:name w:val="明显引用 字符"/>
    <w:basedOn w:val="91"/>
    <w:qFormat/>
    <w:uiPriority w:val="0"/>
    <w:rPr>
      <w:i/>
      <w:iCs/>
      <w:color w:val="4F81BD" w:themeColor="accent1"/>
      <w:kern w:val="2"/>
      <w:sz w:val="21"/>
      <w:szCs w:val="24"/>
      <w14:textFill>
        <w14:solidFill>
          <w14:schemeClr w14:val="accent1"/>
        </w14:solidFill>
      </w14:textFill>
    </w:rPr>
  </w:style>
  <w:style w:type="character" w:customStyle="1" w:styleId="674">
    <w:name w:val="Body Text Indent 2 Char"/>
    <w:link w:val="675"/>
    <w:qFormat/>
    <w:uiPriority w:val="0"/>
    <w:rPr>
      <w:sz w:val="24"/>
    </w:rPr>
  </w:style>
  <w:style w:type="paragraph" w:customStyle="1" w:styleId="675">
    <w:name w:val="正文文本缩进 21"/>
    <w:basedOn w:val="1"/>
    <w:link w:val="674"/>
    <w:qFormat/>
    <w:uiPriority w:val="0"/>
    <w:pPr>
      <w:spacing w:after="120" w:line="480" w:lineRule="auto"/>
      <w:ind w:left="420" w:leftChars="200"/>
    </w:pPr>
    <w:rPr>
      <w:kern w:val="0"/>
      <w:sz w:val="24"/>
      <w:szCs w:val="20"/>
    </w:rPr>
  </w:style>
  <w:style w:type="character" w:customStyle="1" w:styleId="676">
    <w:name w:val="正文文本缩进 2 Char1"/>
    <w:qFormat/>
    <w:uiPriority w:val="0"/>
    <w:rPr>
      <w:kern w:val="2"/>
      <w:sz w:val="21"/>
    </w:rPr>
  </w:style>
  <w:style w:type="character" w:customStyle="1" w:styleId="677">
    <w:name w:val="样式 样式 纯文本普通文字表格内容 + 小四 非加粗 行距: 1.5 倍行距 + Times New Roman 两端对齐 Char Char"/>
    <w:qFormat/>
    <w:uiPriority w:val="0"/>
    <w:rPr>
      <w:rFonts w:eastAsia="宋体" w:cs="宋体"/>
      <w:sz w:val="28"/>
      <w:lang w:val="en-US" w:eastAsia="zh-CN" w:bidi="ar-SA"/>
    </w:rPr>
  </w:style>
  <w:style w:type="character" w:customStyle="1" w:styleId="678">
    <w:name w:val="样式4 Char"/>
    <w:link w:val="679"/>
    <w:qFormat/>
    <w:uiPriority w:val="0"/>
    <w:rPr>
      <w:b/>
      <w:sz w:val="28"/>
    </w:rPr>
  </w:style>
  <w:style w:type="paragraph" w:customStyle="1" w:styleId="679">
    <w:name w:val="样式4"/>
    <w:basedOn w:val="1"/>
    <w:link w:val="678"/>
    <w:qFormat/>
    <w:uiPriority w:val="0"/>
    <w:pPr>
      <w:widowControl/>
      <w:spacing w:before="120" w:after="120" w:line="360" w:lineRule="auto"/>
      <w:jc w:val="left"/>
    </w:pPr>
    <w:rPr>
      <w:b/>
      <w:kern w:val="0"/>
      <w:sz w:val="28"/>
      <w:szCs w:val="20"/>
    </w:rPr>
  </w:style>
  <w:style w:type="character" w:customStyle="1" w:styleId="680">
    <w:name w:val="引用 字符"/>
    <w:qFormat/>
    <w:uiPriority w:val="0"/>
    <w:rPr>
      <w:i/>
      <w:iCs/>
      <w:color w:val="000000"/>
      <w:kern w:val="2"/>
      <w:sz w:val="21"/>
      <w:szCs w:val="22"/>
    </w:rPr>
  </w:style>
  <w:style w:type="character" w:customStyle="1" w:styleId="681">
    <w:name w:val="不明显参考21"/>
    <w:qFormat/>
    <w:uiPriority w:val="0"/>
    <w:rPr>
      <w:smallCaps/>
      <w:color w:val="C0504D"/>
      <w:u w:val="single"/>
    </w:rPr>
  </w:style>
  <w:style w:type="character" w:customStyle="1" w:styleId="682">
    <w:name w:val="样式 样式 首行缩进:  2 字符 + 首行缩进:  2 字符 Char"/>
    <w:link w:val="683"/>
    <w:qFormat/>
    <w:uiPriority w:val="0"/>
    <w:rPr>
      <w:kern w:val="2"/>
      <w:sz w:val="28"/>
    </w:rPr>
  </w:style>
  <w:style w:type="paragraph" w:customStyle="1" w:styleId="683">
    <w:name w:val="样式 样式 首行缩进:  2 字符 + 首行缩进:  2 字符"/>
    <w:basedOn w:val="1"/>
    <w:link w:val="682"/>
    <w:qFormat/>
    <w:uiPriority w:val="0"/>
    <w:pPr>
      <w:spacing w:line="360" w:lineRule="auto"/>
      <w:ind w:firstLine="560" w:firstLineChars="200"/>
    </w:pPr>
    <w:rPr>
      <w:sz w:val="28"/>
      <w:szCs w:val="20"/>
    </w:rPr>
  </w:style>
  <w:style w:type="character" w:customStyle="1" w:styleId="684">
    <w:name w:val="表格正文 Char Char"/>
    <w:link w:val="685"/>
    <w:qFormat/>
    <w:uiPriority w:val="0"/>
    <w:rPr>
      <w:rFonts w:ascii="宋体" w:hAnsi="宋体"/>
      <w:b/>
      <w:kern w:val="2"/>
      <w:sz w:val="21"/>
      <w:szCs w:val="21"/>
    </w:rPr>
  </w:style>
  <w:style w:type="paragraph" w:customStyle="1" w:styleId="685">
    <w:name w:val="表格正文"/>
    <w:basedOn w:val="1"/>
    <w:link w:val="684"/>
    <w:qFormat/>
    <w:uiPriority w:val="0"/>
    <w:rPr>
      <w:rFonts w:ascii="宋体" w:hAnsi="宋体"/>
      <w:b/>
      <w:szCs w:val="21"/>
    </w:rPr>
  </w:style>
  <w:style w:type="character" w:customStyle="1" w:styleId="686">
    <w:name w:val="样式 5正文 + 首行缩进:  2 字符 Char Char"/>
    <w:qFormat/>
    <w:uiPriority w:val="0"/>
    <w:rPr>
      <w:rFonts w:eastAsia="仿宋_GB2312"/>
      <w:kern w:val="2"/>
      <w:sz w:val="28"/>
      <w:lang w:val="en-US" w:eastAsia="zh-CN"/>
    </w:rPr>
  </w:style>
  <w:style w:type="character" w:customStyle="1" w:styleId="687">
    <w:name w:val="样式6 Char"/>
    <w:link w:val="688"/>
    <w:qFormat/>
    <w:uiPriority w:val="0"/>
    <w:rPr>
      <w:rFonts w:ascii="宋体" w:hAnsi="宋体"/>
      <w:b/>
      <w:sz w:val="28"/>
    </w:rPr>
  </w:style>
  <w:style w:type="paragraph" w:customStyle="1" w:styleId="688">
    <w:name w:val="样式6"/>
    <w:basedOn w:val="3"/>
    <w:link w:val="687"/>
    <w:qFormat/>
    <w:uiPriority w:val="0"/>
    <w:pPr>
      <w:keepNext w:val="0"/>
      <w:keepLines w:val="0"/>
      <w:tabs>
        <w:tab w:val="left" w:pos="851"/>
      </w:tabs>
      <w:autoSpaceDE/>
      <w:autoSpaceDN/>
      <w:adjustRightInd/>
      <w:spacing w:before="0" w:after="0" w:line="360" w:lineRule="auto"/>
      <w:ind w:left="851" w:hanging="851"/>
      <w:jc w:val="left"/>
    </w:pPr>
    <w:rPr>
      <w:rFonts w:hAnsi="宋体"/>
      <w:kern w:val="0"/>
      <w:sz w:val="28"/>
    </w:rPr>
  </w:style>
  <w:style w:type="character" w:customStyle="1" w:styleId="689">
    <w:name w:val="5正文 Char1"/>
    <w:link w:val="690"/>
    <w:qFormat/>
    <w:uiPriority w:val="0"/>
    <w:rPr>
      <w:rFonts w:eastAsia="仿宋_GB2312"/>
      <w:kern w:val="2"/>
      <w:sz w:val="28"/>
    </w:rPr>
  </w:style>
  <w:style w:type="paragraph" w:customStyle="1" w:styleId="690">
    <w:name w:val="5正文"/>
    <w:basedOn w:val="1"/>
    <w:link w:val="689"/>
    <w:qFormat/>
    <w:uiPriority w:val="0"/>
    <w:pPr>
      <w:widowControl/>
      <w:spacing w:line="500" w:lineRule="exact"/>
      <w:ind w:firstLine="560" w:firstLineChars="200"/>
    </w:pPr>
    <w:rPr>
      <w:rFonts w:eastAsia="仿宋_GB2312"/>
      <w:sz w:val="28"/>
      <w:szCs w:val="20"/>
    </w:rPr>
  </w:style>
  <w:style w:type="character" w:customStyle="1" w:styleId="691">
    <w:name w:val="样式 宋体 五号 加粗 黑色"/>
    <w:qFormat/>
    <w:uiPriority w:val="0"/>
    <w:rPr>
      <w:rFonts w:ascii="宋体" w:hAnsi="宋体"/>
      <w:b/>
      <w:color w:val="000000"/>
      <w:sz w:val="24"/>
    </w:rPr>
  </w:style>
  <w:style w:type="character" w:customStyle="1" w:styleId="692">
    <w:name w:val="文档结构图 Char2"/>
    <w:qFormat/>
    <w:uiPriority w:val="0"/>
    <w:rPr>
      <w:rFonts w:ascii="宋体"/>
      <w:kern w:val="2"/>
      <w:sz w:val="18"/>
    </w:rPr>
  </w:style>
  <w:style w:type="character" w:customStyle="1" w:styleId="693">
    <w:name w:val="标题1 Char Char"/>
    <w:link w:val="694"/>
    <w:qFormat/>
    <w:uiPriority w:val="0"/>
    <w:rPr>
      <w:rFonts w:eastAsia="黑体"/>
      <w:bCs/>
      <w:kern w:val="44"/>
      <w:sz w:val="32"/>
      <w:szCs w:val="32"/>
    </w:rPr>
  </w:style>
  <w:style w:type="paragraph" w:customStyle="1" w:styleId="694">
    <w:name w:val="标题11"/>
    <w:basedOn w:val="3"/>
    <w:link w:val="693"/>
    <w:qFormat/>
    <w:uiPriority w:val="0"/>
    <w:pPr>
      <w:autoSpaceDE/>
      <w:autoSpaceDN/>
      <w:adjustRightInd/>
      <w:spacing w:before="340" w:after="330" w:line="500" w:lineRule="atLeast"/>
      <w:ind w:firstLine="561"/>
      <w:jc w:val="both"/>
    </w:pPr>
    <w:rPr>
      <w:rFonts w:ascii="Times New Roman" w:eastAsia="黑体"/>
      <w:b w:val="0"/>
      <w:bCs/>
      <w:szCs w:val="32"/>
    </w:rPr>
  </w:style>
  <w:style w:type="character" w:customStyle="1" w:styleId="695">
    <w:name w:val="样式17 Char"/>
    <w:link w:val="696"/>
    <w:qFormat/>
    <w:uiPriority w:val="0"/>
    <w:rPr>
      <w:kern w:val="2"/>
      <w:sz w:val="18"/>
    </w:rPr>
  </w:style>
  <w:style w:type="paragraph" w:customStyle="1" w:styleId="696">
    <w:name w:val="样式17"/>
    <w:basedOn w:val="57"/>
    <w:link w:val="695"/>
    <w:qFormat/>
    <w:uiPriority w:val="0"/>
    <w:pPr>
      <w:pBdr>
        <w:bottom w:val="none" w:color="auto" w:sz="0" w:space="0"/>
      </w:pBdr>
      <w:spacing w:line="360" w:lineRule="auto"/>
      <w:ind w:firstLine="360" w:firstLineChars="200"/>
      <w:jc w:val="both"/>
    </w:pPr>
    <w:rPr>
      <w:szCs w:val="20"/>
    </w:rPr>
  </w:style>
  <w:style w:type="character" w:customStyle="1" w:styleId="697">
    <w:name w:val="highlight1"/>
    <w:qFormat/>
    <w:uiPriority w:val="0"/>
    <w:rPr>
      <w:rFonts w:ascii="Tahoma" w:hAnsi="Tahoma" w:eastAsia="宋体"/>
      <w:b/>
      <w:kern w:val="2"/>
      <w:sz w:val="21"/>
      <w:szCs w:val="21"/>
      <w:lang w:val="en-US" w:eastAsia="zh-CN" w:bidi="ar-SA"/>
    </w:rPr>
  </w:style>
  <w:style w:type="character" w:customStyle="1" w:styleId="698">
    <w:name w:val="明显参考2"/>
    <w:qFormat/>
    <w:uiPriority w:val="0"/>
    <w:rPr>
      <w:b/>
      <w:bCs/>
      <w:smallCaps/>
      <w:color w:val="C0504D"/>
      <w:spacing w:val="5"/>
      <w:u w:val="single"/>
    </w:rPr>
  </w:style>
  <w:style w:type="character" w:customStyle="1" w:styleId="699">
    <w:name w:val="样式12 Char"/>
    <w:link w:val="700"/>
    <w:qFormat/>
    <w:uiPriority w:val="0"/>
    <w:rPr>
      <w:rFonts w:ascii="宋体" w:hAnsi="宋体" w:eastAsia="黑体"/>
      <w:sz w:val="44"/>
    </w:rPr>
  </w:style>
  <w:style w:type="paragraph" w:customStyle="1" w:styleId="700">
    <w:name w:val="样式12"/>
    <w:basedOn w:val="377"/>
    <w:link w:val="699"/>
    <w:qFormat/>
    <w:uiPriority w:val="0"/>
    <w:pPr>
      <w:tabs>
        <w:tab w:val="left" w:pos="1920"/>
      </w:tabs>
      <w:adjustRightInd w:val="0"/>
      <w:spacing w:line="312" w:lineRule="atLeast"/>
      <w:ind w:left="1920" w:hanging="840"/>
      <w:jc w:val="center"/>
      <w:textAlignment w:val="baseline"/>
    </w:pPr>
    <w:rPr>
      <w:rFonts w:hAnsi="宋体" w:eastAsia="黑体"/>
      <w:kern w:val="0"/>
      <w:sz w:val="44"/>
    </w:rPr>
  </w:style>
  <w:style w:type="character" w:customStyle="1" w:styleId="701">
    <w:name w:val="图片 Char"/>
    <w:link w:val="702"/>
    <w:qFormat/>
    <w:uiPriority w:val="0"/>
    <w:rPr>
      <w:rFonts w:ascii="宋体" w:hAnsi="宋体"/>
      <w:b/>
      <w:kern w:val="2"/>
      <w:sz w:val="21"/>
    </w:rPr>
  </w:style>
  <w:style w:type="paragraph" w:customStyle="1" w:styleId="702">
    <w:name w:val="图片"/>
    <w:basedOn w:val="87"/>
    <w:link w:val="701"/>
    <w:qFormat/>
    <w:uiPriority w:val="0"/>
    <w:pPr>
      <w:tabs>
        <w:tab w:val="left" w:pos="6390"/>
      </w:tabs>
      <w:adjustRightInd w:val="0"/>
      <w:snapToGrid w:val="0"/>
      <w:spacing w:after="0" w:line="400" w:lineRule="atLeast"/>
      <w:ind w:left="0" w:leftChars="0" w:firstLine="0" w:firstLineChars="0"/>
      <w:jc w:val="center"/>
    </w:pPr>
    <w:rPr>
      <w:rFonts w:ascii="宋体" w:hAnsi="宋体"/>
      <w:b/>
      <w:sz w:val="21"/>
    </w:rPr>
  </w:style>
  <w:style w:type="character" w:customStyle="1" w:styleId="703">
    <w:name w:val="表头 Char Char"/>
    <w:qFormat/>
    <w:uiPriority w:val="0"/>
    <w:rPr>
      <w:rFonts w:hint="eastAsia" w:ascii="宋体" w:hAnsi="宋体" w:eastAsia="宋体"/>
      <w:b/>
      <w:kern w:val="2"/>
      <w:sz w:val="21"/>
    </w:rPr>
  </w:style>
  <w:style w:type="character" w:customStyle="1" w:styleId="704">
    <w:name w:val="样式5 Char"/>
    <w:link w:val="705"/>
    <w:qFormat/>
    <w:uiPriority w:val="0"/>
    <w:rPr>
      <w:rFonts w:ascii="宋体" w:hAnsi="宋体"/>
      <w:b/>
      <w:sz w:val="24"/>
    </w:rPr>
  </w:style>
  <w:style w:type="paragraph" w:customStyle="1" w:styleId="705">
    <w:name w:val="样式5"/>
    <w:basedOn w:val="679"/>
    <w:link w:val="704"/>
    <w:qFormat/>
    <w:uiPriority w:val="0"/>
    <w:pPr>
      <w:widowControl w:val="0"/>
      <w:tabs>
        <w:tab w:val="left" w:pos="360"/>
        <w:tab w:val="left" w:pos="870"/>
      </w:tabs>
      <w:overflowPunct w:val="0"/>
      <w:spacing w:before="0" w:after="0"/>
      <w:ind w:left="1845" w:hanging="1275"/>
      <w:outlineLvl w:val="0"/>
    </w:pPr>
    <w:rPr>
      <w:rFonts w:ascii="宋体" w:hAnsi="宋体"/>
      <w:sz w:val="24"/>
    </w:rPr>
  </w:style>
  <w:style w:type="character" w:customStyle="1" w:styleId="706">
    <w:name w:val="报告正文 Char"/>
    <w:qFormat/>
    <w:uiPriority w:val="0"/>
    <w:rPr>
      <w:rFonts w:ascii="Courier New" w:hAnsi="Courier New"/>
      <w:kern w:val="2"/>
      <w:sz w:val="24"/>
    </w:rPr>
  </w:style>
  <w:style w:type="character" w:customStyle="1" w:styleId="707">
    <w:name w:val="Date Char"/>
    <w:link w:val="708"/>
    <w:qFormat/>
    <w:uiPriority w:val="0"/>
  </w:style>
  <w:style w:type="paragraph" w:customStyle="1" w:styleId="708">
    <w:name w:val="日期1"/>
    <w:basedOn w:val="1"/>
    <w:next w:val="1"/>
    <w:link w:val="707"/>
    <w:qFormat/>
    <w:uiPriority w:val="0"/>
    <w:pPr>
      <w:ind w:left="100" w:leftChars="2500"/>
    </w:pPr>
    <w:rPr>
      <w:kern w:val="0"/>
      <w:sz w:val="20"/>
      <w:szCs w:val="20"/>
    </w:rPr>
  </w:style>
  <w:style w:type="character" w:customStyle="1" w:styleId="709">
    <w:name w:val="Char Char"/>
    <w:qFormat/>
    <w:uiPriority w:val="0"/>
    <w:rPr>
      <w:rFonts w:hint="eastAsia" w:ascii="宋体" w:hAnsi="宋体" w:eastAsia="宋体"/>
      <w:kern w:val="2"/>
      <w:sz w:val="21"/>
      <w:szCs w:val="24"/>
      <w:lang w:val="en-US" w:eastAsia="zh-CN" w:bidi="ar-SA"/>
    </w:rPr>
  </w:style>
  <w:style w:type="character" w:customStyle="1" w:styleId="710">
    <w:name w:val="正文不缩进 Char"/>
    <w:qFormat/>
    <w:uiPriority w:val="0"/>
    <w:rPr>
      <w:rFonts w:eastAsia="宋体"/>
      <w:lang w:val="en-US" w:eastAsia="zh-CN"/>
    </w:rPr>
  </w:style>
  <w:style w:type="character" w:customStyle="1" w:styleId="711">
    <w:name w:val="明显引用 字符2"/>
    <w:qFormat/>
    <w:uiPriority w:val="99"/>
    <w:rPr>
      <w:i/>
      <w:iCs/>
      <w:color w:val="4472C4"/>
      <w:kern w:val="2"/>
      <w:sz w:val="21"/>
      <w:szCs w:val="24"/>
    </w:rPr>
  </w:style>
  <w:style w:type="character" w:customStyle="1" w:styleId="712">
    <w:name w:val="样式 标题 4 + Times New Roman2 Char Char"/>
    <w:link w:val="713"/>
    <w:qFormat/>
    <w:uiPriority w:val="0"/>
    <w:rPr>
      <w:b/>
      <w:bCs/>
      <w:kern w:val="2"/>
      <w:sz w:val="32"/>
      <w:szCs w:val="32"/>
    </w:rPr>
  </w:style>
  <w:style w:type="paragraph" w:customStyle="1" w:styleId="713">
    <w:name w:val="样式 标题 4 + Times New Roman2"/>
    <w:basedOn w:val="7"/>
    <w:link w:val="712"/>
    <w:qFormat/>
    <w:uiPriority w:val="0"/>
    <w:pPr>
      <w:adjustRightInd/>
      <w:spacing w:before="120" w:after="120" w:line="360" w:lineRule="auto"/>
      <w:textAlignment w:val="auto"/>
    </w:pPr>
    <w:rPr>
      <w:rFonts w:ascii="Times New Roman" w:hAnsi="Times New Roman" w:eastAsia="宋体"/>
      <w:bCs/>
      <w:kern w:val="2"/>
      <w:sz w:val="32"/>
      <w:szCs w:val="32"/>
    </w:rPr>
  </w:style>
  <w:style w:type="character" w:customStyle="1" w:styleId="714">
    <w:name w:val="font01"/>
    <w:qFormat/>
    <w:uiPriority w:val="0"/>
    <w:rPr>
      <w:rFonts w:hint="eastAsia" w:ascii="宋体" w:hAnsi="宋体" w:eastAsia="宋体"/>
      <w:color w:val="000000"/>
      <w:sz w:val="24"/>
      <w:u w:val="none"/>
    </w:rPr>
  </w:style>
  <w:style w:type="paragraph" w:customStyle="1" w:styleId="715">
    <w:name w:val="Char11"/>
    <w:basedOn w:val="1"/>
    <w:qFormat/>
    <w:uiPriority w:val="99"/>
    <w:rPr>
      <w:szCs w:val="20"/>
    </w:rPr>
  </w:style>
  <w:style w:type="character" w:customStyle="1" w:styleId="716">
    <w:name w:val="电子邮件签名 Char"/>
    <w:basedOn w:val="91"/>
    <w:semiHidden/>
    <w:qFormat/>
    <w:uiPriority w:val="0"/>
    <w:rPr>
      <w:kern w:val="2"/>
      <w:sz w:val="21"/>
      <w:szCs w:val="24"/>
    </w:rPr>
  </w:style>
  <w:style w:type="paragraph" w:customStyle="1" w:styleId="717">
    <w:name w:val="正文_宜巴"/>
    <w:basedOn w:val="1"/>
    <w:qFormat/>
    <w:uiPriority w:val="0"/>
    <w:pPr>
      <w:spacing w:line="360" w:lineRule="auto"/>
      <w:ind w:firstLine="200" w:firstLineChars="200"/>
    </w:pPr>
    <w:rPr>
      <w:rFonts w:cs="宋体"/>
      <w:sz w:val="24"/>
      <w:szCs w:val="20"/>
    </w:rPr>
  </w:style>
  <w:style w:type="character" w:customStyle="1" w:styleId="718">
    <w:name w:val="正文文本 3 Char"/>
    <w:basedOn w:val="91"/>
    <w:qFormat/>
    <w:uiPriority w:val="0"/>
    <w:rPr>
      <w:kern w:val="2"/>
      <w:sz w:val="16"/>
      <w:szCs w:val="16"/>
    </w:rPr>
  </w:style>
  <w:style w:type="character" w:customStyle="1" w:styleId="719">
    <w:name w:val="尾注文本 Char"/>
    <w:basedOn w:val="91"/>
    <w:semiHidden/>
    <w:qFormat/>
    <w:uiPriority w:val="0"/>
    <w:rPr>
      <w:kern w:val="2"/>
      <w:sz w:val="21"/>
      <w:szCs w:val="24"/>
    </w:rPr>
  </w:style>
  <w:style w:type="character" w:customStyle="1" w:styleId="720">
    <w:name w:val="HTML 地址 Char"/>
    <w:basedOn w:val="91"/>
    <w:semiHidden/>
    <w:qFormat/>
    <w:uiPriority w:val="0"/>
    <w:rPr>
      <w:i/>
      <w:iCs/>
      <w:kern w:val="2"/>
      <w:sz w:val="21"/>
      <w:szCs w:val="24"/>
    </w:rPr>
  </w:style>
  <w:style w:type="paragraph" w:customStyle="1" w:styleId="721">
    <w:name w:val="cnt"/>
    <w:basedOn w:val="1"/>
    <w:qFormat/>
    <w:uiPriority w:val="0"/>
    <w:pPr>
      <w:widowControl/>
      <w:spacing w:before="100" w:beforeAutospacing="1" w:after="100" w:afterAutospacing="1"/>
      <w:jc w:val="left"/>
    </w:pPr>
    <w:rPr>
      <w:rFonts w:ascii="Arial Unicode MS" w:hAnsi="Arial Unicode MS" w:eastAsia="Arial Unicode MS" w:cs="Arial Unicode MS"/>
      <w:kern w:val="0"/>
      <w:sz w:val="24"/>
    </w:rPr>
  </w:style>
  <w:style w:type="paragraph" w:customStyle="1" w:styleId="722">
    <w:name w:val="CM8"/>
    <w:basedOn w:val="208"/>
    <w:next w:val="208"/>
    <w:qFormat/>
    <w:uiPriority w:val="0"/>
    <w:pPr>
      <w:spacing w:line="468" w:lineRule="atLeast"/>
    </w:pPr>
    <w:rPr>
      <w:rFonts w:ascii="华文新魏" w:hAnsi="Times New Roman" w:eastAsia="华文新魏" w:cs="Times New Roman"/>
      <w:color w:val="auto"/>
      <w:szCs w:val="20"/>
    </w:rPr>
  </w:style>
  <w:style w:type="paragraph" w:customStyle="1" w:styleId="723">
    <w:name w:val="样式 正文 +1"/>
    <w:basedOn w:val="1"/>
    <w:qFormat/>
    <w:uiPriority w:val="0"/>
    <w:pPr>
      <w:autoSpaceDE w:val="0"/>
      <w:autoSpaceDN w:val="0"/>
      <w:adjustRightInd w:val="0"/>
      <w:spacing w:before="156" w:beforeLines="50" w:line="500" w:lineRule="exact"/>
      <w:jc w:val="center"/>
    </w:pPr>
    <w:rPr>
      <w:rFonts w:eastAsia="黑体"/>
      <w:color w:val="000000"/>
      <w:sz w:val="32"/>
      <w:szCs w:val="44"/>
    </w:rPr>
  </w:style>
  <w:style w:type="character" w:customStyle="1" w:styleId="724">
    <w:name w:val="信息标题 Char"/>
    <w:basedOn w:val="91"/>
    <w:semiHidden/>
    <w:qFormat/>
    <w:uiPriority w:val="0"/>
    <w:rPr>
      <w:rFonts w:asciiTheme="majorHAnsi" w:hAnsiTheme="majorHAnsi" w:eastAsiaTheme="majorEastAsia" w:cstheme="majorBidi"/>
      <w:kern w:val="2"/>
      <w:sz w:val="24"/>
      <w:szCs w:val="24"/>
      <w:shd w:val="pct20" w:color="auto" w:fill="auto"/>
    </w:rPr>
  </w:style>
  <w:style w:type="character" w:customStyle="1" w:styleId="725">
    <w:name w:val="签名 Char"/>
    <w:basedOn w:val="91"/>
    <w:semiHidden/>
    <w:qFormat/>
    <w:uiPriority w:val="0"/>
    <w:rPr>
      <w:kern w:val="2"/>
      <w:sz w:val="21"/>
      <w:szCs w:val="24"/>
    </w:rPr>
  </w:style>
  <w:style w:type="paragraph" w:customStyle="1" w:styleId="726">
    <w:name w:val="Char Char Char Char Char Char Char Char Char Char Char Char Char"/>
    <w:basedOn w:val="1"/>
    <w:qFormat/>
    <w:uiPriority w:val="0"/>
    <w:rPr>
      <w:rFonts w:ascii="仿宋_GB2312" w:eastAsia="仿宋_GB2312"/>
      <w:b/>
      <w:sz w:val="32"/>
      <w:szCs w:val="32"/>
    </w:rPr>
  </w:style>
  <w:style w:type="paragraph" w:customStyle="1" w:styleId="727">
    <w:name w:val="样式 样式 黑色 两端对齐2 + 小四"/>
    <w:basedOn w:val="1"/>
    <w:qFormat/>
    <w:uiPriority w:val="0"/>
    <w:pPr>
      <w:widowControl/>
      <w:tabs>
        <w:tab w:val="left" w:pos="284"/>
        <w:tab w:val="left" w:pos="482"/>
      </w:tabs>
      <w:spacing w:line="480" w:lineRule="atLeast"/>
      <w:ind w:left="902" w:hanging="420"/>
    </w:pPr>
    <w:rPr>
      <w:rFonts w:cs="宋体"/>
      <w:color w:val="000000"/>
      <w:kern w:val="0"/>
      <w:sz w:val="24"/>
      <w:szCs w:val="20"/>
    </w:rPr>
  </w:style>
  <w:style w:type="character" w:customStyle="1" w:styleId="728">
    <w:name w:val="结束语 Char"/>
    <w:basedOn w:val="91"/>
    <w:semiHidden/>
    <w:qFormat/>
    <w:uiPriority w:val="0"/>
    <w:rPr>
      <w:kern w:val="2"/>
      <w:sz w:val="21"/>
      <w:szCs w:val="24"/>
    </w:rPr>
  </w:style>
  <w:style w:type="paragraph" w:customStyle="1" w:styleId="729">
    <w:name w:val="xl498"/>
    <w:basedOn w:val="1"/>
    <w:qFormat/>
    <w:uiPriority w:val="0"/>
    <w:pPr>
      <w:widowControl/>
      <w:pBdr>
        <w:left w:val="single" w:color="auto" w:sz="8" w:space="0"/>
        <w:bottom w:val="single" w:color="000000" w:sz="4" w:space="0"/>
        <w:right w:val="single" w:color="000000" w:sz="4" w:space="0"/>
      </w:pBdr>
      <w:spacing w:before="100" w:beforeAutospacing="1" w:after="100" w:afterAutospacing="1"/>
      <w:jc w:val="center"/>
    </w:pPr>
    <w:rPr>
      <w:rFonts w:ascii="宋体" w:hAnsi="宋体"/>
      <w:kern w:val="0"/>
      <w:sz w:val="20"/>
      <w:szCs w:val="20"/>
    </w:rPr>
  </w:style>
  <w:style w:type="paragraph" w:customStyle="1" w:styleId="730">
    <w:name w:val="xl475"/>
    <w:basedOn w:val="1"/>
    <w:qFormat/>
    <w:uiPriority w:val="0"/>
    <w:pPr>
      <w:widowControl/>
      <w:pBdr>
        <w:top w:val="single" w:color="auto" w:sz="4" w:space="0"/>
        <w:left w:val="single" w:color="auto" w:sz="8" w:space="0"/>
        <w:bottom w:val="single" w:color="000000" w:sz="4" w:space="0"/>
        <w:right w:val="single" w:color="000000" w:sz="4" w:space="0"/>
      </w:pBdr>
      <w:shd w:val="clear" w:color="FFFFFF" w:fill="FFFFFF"/>
      <w:spacing w:before="100" w:beforeAutospacing="1" w:after="100" w:afterAutospacing="1"/>
      <w:jc w:val="center"/>
    </w:pPr>
    <w:rPr>
      <w:rFonts w:ascii="宋体" w:hAnsi="宋体"/>
      <w:kern w:val="0"/>
      <w:sz w:val="20"/>
      <w:szCs w:val="20"/>
    </w:rPr>
  </w:style>
  <w:style w:type="paragraph" w:customStyle="1" w:styleId="731">
    <w:name w:val="字母编号列项（一级）"/>
    <w:qFormat/>
    <w:uiPriority w:val="0"/>
    <w:pPr>
      <w:spacing w:line="560" w:lineRule="exact"/>
      <w:ind w:left="840" w:leftChars="200" w:hanging="420" w:hangingChars="200"/>
      <w:jc w:val="both"/>
    </w:pPr>
    <w:rPr>
      <w:rFonts w:ascii="Times New Roman" w:hAnsi="Times New Roman" w:eastAsia="宋体" w:cs="Times New Roman"/>
      <w:sz w:val="21"/>
      <w:lang w:val="en-US" w:eastAsia="zh-CN" w:bidi="ar-SA"/>
    </w:rPr>
  </w:style>
  <w:style w:type="paragraph" w:customStyle="1" w:styleId="732">
    <w:name w:val="样式 标题 4 + 首行缩进:  2 字符"/>
    <w:basedOn w:val="7"/>
    <w:qFormat/>
    <w:uiPriority w:val="0"/>
    <w:pPr>
      <w:adjustRightInd/>
      <w:spacing w:before="0" w:after="0" w:line="480" w:lineRule="auto"/>
      <w:textAlignment w:val="auto"/>
    </w:pPr>
    <w:rPr>
      <w:kern w:val="2"/>
      <w:lang w:val="zh-CN"/>
    </w:rPr>
  </w:style>
  <w:style w:type="paragraph" w:customStyle="1" w:styleId="733">
    <w:name w:val="带.的段落"/>
    <w:basedOn w:val="1"/>
    <w:qFormat/>
    <w:uiPriority w:val="0"/>
    <w:pPr>
      <w:widowControl/>
      <w:numPr>
        <w:ilvl w:val="0"/>
        <w:numId w:val="12"/>
      </w:numPr>
      <w:tabs>
        <w:tab w:val="left" w:pos="0"/>
        <w:tab w:val="left" w:pos="425"/>
      </w:tabs>
      <w:overflowPunct w:val="0"/>
      <w:autoSpaceDE w:val="0"/>
      <w:autoSpaceDN w:val="0"/>
      <w:adjustRightInd w:val="0"/>
      <w:spacing w:after="100" w:afterAutospacing="1"/>
      <w:ind w:right="-57"/>
      <w:textAlignment w:val="baseline"/>
    </w:pPr>
    <w:rPr>
      <w:rFonts w:ascii="宋体"/>
      <w:kern w:val="0"/>
      <w:sz w:val="24"/>
      <w:szCs w:val="20"/>
    </w:rPr>
  </w:style>
  <w:style w:type="paragraph" w:customStyle="1" w:styleId="734">
    <w:name w:val="xl155"/>
    <w:basedOn w:val="1"/>
    <w:qFormat/>
    <w:uiPriority w:val="0"/>
    <w:pPr>
      <w:widowControl/>
      <w:pBdr>
        <w:top w:val="single" w:color="auto" w:sz="4" w:space="0"/>
        <w:bottom w:val="single" w:color="auto" w:sz="4" w:space="0"/>
      </w:pBdr>
      <w:spacing w:before="100" w:beforeAutospacing="1" w:after="100" w:afterAutospacing="1"/>
      <w:jc w:val="center"/>
      <w:textAlignment w:val="center"/>
    </w:pPr>
    <w:rPr>
      <w:kern w:val="0"/>
      <w:sz w:val="24"/>
    </w:rPr>
  </w:style>
  <w:style w:type="paragraph" w:customStyle="1" w:styleId="735">
    <w:name w:val="3"/>
    <w:basedOn w:val="1"/>
    <w:next w:val="31"/>
    <w:qFormat/>
    <w:uiPriority w:val="99"/>
    <w:rPr>
      <w:rFonts w:ascii="宋体"/>
      <w:sz w:val="24"/>
      <w:szCs w:val="20"/>
    </w:rPr>
  </w:style>
  <w:style w:type="paragraph" w:customStyle="1" w:styleId="736">
    <w:name w:val="数字编号列项（二级）"/>
    <w:qFormat/>
    <w:uiPriority w:val="0"/>
    <w:pPr>
      <w:spacing w:line="560" w:lineRule="exact"/>
      <w:ind w:left="1260" w:leftChars="400" w:hanging="420" w:hangingChars="200"/>
      <w:jc w:val="both"/>
    </w:pPr>
    <w:rPr>
      <w:rFonts w:ascii="宋体" w:hAnsi="Times New Roman" w:eastAsia="宋体" w:cs="Times New Roman"/>
      <w:sz w:val="21"/>
      <w:lang w:val="en-US" w:eastAsia="zh-CN" w:bidi="ar-SA"/>
    </w:rPr>
  </w:style>
  <w:style w:type="paragraph" w:customStyle="1" w:styleId="737">
    <w:name w:val="xl146"/>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738">
    <w:name w:val="1."/>
    <w:basedOn w:val="1"/>
    <w:qFormat/>
    <w:uiPriority w:val="0"/>
    <w:pPr>
      <w:widowControl/>
      <w:spacing w:before="240" w:line="240" w:lineRule="atLeast"/>
    </w:pPr>
    <w:rPr>
      <w:sz w:val="24"/>
    </w:rPr>
  </w:style>
  <w:style w:type="paragraph" w:customStyle="1" w:styleId="739">
    <w:name w:val="样式 (中文) 仿宋_GB2312 首行缩进:  2 字符"/>
    <w:basedOn w:val="1"/>
    <w:qFormat/>
    <w:uiPriority w:val="0"/>
    <w:pPr>
      <w:spacing w:line="360" w:lineRule="auto"/>
      <w:ind w:firstLine="560" w:firstLineChars="200"/>
    </w:pPr>
    <w:rPr>
      <w:rFonts w:eastAsia="仿宋_GB2312"/>
      <w:kern w:val="0"/>
      <w:sz w:val="24"/>
      <w:szCs w:val="20"/>
    </w:rPr>
  </w:style>
  <w:style w:type="character" w:customStyle="1" w:styleId="740">
    <w:name w:val="宏文本 Char"/>
    <w:basedOn w:val="91"/>
    <w:semiHidden/>
    <w:qFormat/>
    <w:uiPriority w:val="0"/>
    <w:rPr>
      <w:rFonts w:ascii="Courier New" w:hAnsi="Courier New" w:cs="Courier New"/>
      <w:kern w:val="2"/>
      <w:sz w:val="24"/>
      <w:szCs w:val="24"/>
    </w:rPr>
  </w:style>
  <w:style w:type="paragraph" w:customStyle="1" w:styleId="741">
    <w:name w:val="CM55"/>
    <w:basedOn w:val="208"/>
    <w:next w:val="208"/>
    <w:qFormat/>
    <w:uiPriority w:val="0"/>
    <w:rPr>
      <w:rFonts w:ascii="黑体" w:hAnsi="Times New Roman" w:eastAsia="黑体" w:cs="Times New Roman"/>
      <w:color w:val="auto"/>
      <w:szCs w:val="20"/>
    </w:rPr>
  </w:style>
  <w:style w:type="paragraph" w:customStyle="1" w:styleId="742">
    <w:name w:val="table"/>
    <w:basedOn w:val="1"/>
    <w:qFormat/>
    <w:uiPriority w:val="0"/>
    <w:pPr>
      <w:widowControl/>
      <w:overflowPunct w:val="0"/>
      <w:autoSpaceDE w:val="0"/>
      <w:autoSpaceDN w:val="0"/>
      <w:adjustRightInd w:val="0"/>
      <w:spacing w:before="60" w:after="60"/>
      <w:jc w:val="center"/>
      <w:textAlignment w:val="baseline"/>
    </w:pPr>
    <w:rPr>
      <w:rFonts w:ascii="宋体"/>
      <w:kern w:val="0"/>
      <w:sz w:val="24"/>
      <w:szCs w:val="20"/>
    </w:rPr>
  </w:style>
  <w:style w:type="paragraph" w:customStyle="1" w:styleId="743">
    <w:name w:val="Table Body"/>
    <w:basedOn w:val="744"/>
    <w:qFormat/>
    <w:uiPriority w:val="0"/>
    <w:pPr>
      <w:jc w:val="left"/>
    </w:pPr>
    <w:rPr>
      <w:b w:val="0"/>
      <w:bCs w:val="0"/>
    </w:rPr>
  </w:style>
  <w:style w:type="paragraph" w:customStyle="1" w:styleId="744">
    <w:name w:val="Table Head"/>
    <w:basedOn w:val="1"/>
    <w:next w:val="1"/>
    <w:qFormat/>
    <w:uiPriority w:val="0"/>
    <w:pPr>
      <w:widowControl/>
      <w:spacing w:before="80" w:after="80"/>
      <w:jc w:val="center"/>
    </w:pPr>
    <w:rPr>
      <w:rFonts w:ascii="Arial" w:hAnsi="Arial" w:cs="Arial"/>
      <w:b/>
      <w:bCs/>
      <w:kern w:val="0"/>
      <w:sz w:val="18"/>
      <w:szCs w:val="18"/>
    </w:rPr>
  </w:style>
  <w:style w:type="character" w:customStyle="1" w:styleId="745">
    <w:name w:val="HTML 预设格式 Char"/>
    <w:basedOn w:val="91"/>
    <w:qFormat/>
    <w:uiPriority w:val="0"/>
    <w:rPr>
      <w:rFonts w:ascii="Courier New" w:hAnsi="Courier New" w:cs="Courier New"/>
      <w:kern w:val="2"/>
    </w:rPr>
  </w:style>
  <w:style w:type="paragraph" w:customStyle="1" w:styleId="746">
    <w:name w:val="TOC 标题11"/>
    <w:basedOn w:val="3"/>
    <w:next w:val="1"/>
    <w:qFormat/>
    <w:uiPriority w:val="0"/>
    <w:pPr>
      <w:widowControl/>
      <w:autoSpaceDE/>
      <w:autoSpaceDN/>
      <w:snapToGrid w:val="0"/>
      <w:spacing w:before="480" w:after="0" w:line="276" w:lineRule="auto"/>
      <w:jc w:val="left"/>
      <w:outlineLvl w:val="9"/>
    </w:pPr>
    <w:rPr>
      <w:rFonts w:ascii="Cambria" w:hAnsi="Cambria"/>
      <w:color w:val="365F91"/>
      <w:kern w:val="0"/>
      <w:sz w:val="28"/>
      <w:lang w:val="zh-CN"/>
    </w:rPr>
  </w:style>
  <w:style w:type="character" w:customStyle="1" w:styleId="747">
    <w:name w:val="脚注文本 Char"/>
    <w:basedOn w:val="91"/>
    <w:semiHidden/>
    <w:qFormat/>
    <w:uiPriority w:val="0"/>
    <w:rPr>
      <w:kern w:val="2"/>
      <w:sz w:val="18"/>
      <w:szCs w:val="18"/>
    </w:rPr>
  </w:style>
  <w:style w:type="paragraph" w:customStyle="1" w:styleId="748">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749">
    <w:name w:val="附录五级条标题"/>
    <w:basedOn w:val="750"/>
    <w:next w:val="1"/>
    <w:qFormat/>
    <w:uiPriority w:val="0"/>
    <w:pPr>
      <w:tabs>
        <w:tab w:val="left" w:pos="780"/>
        <w:tab w:val="left" w:pos="1624"/>
        <w:tab w:val="left" w:pos="1836"/>
        <w:tab w:val="left" w:pos="2048"/>
        <w:tab w:val="left" w:pos="2260"/>
        <w:tab w:val="left" w:pos="2472"/>
      </w:tabs>
      <w:ind w:left="2472"/>
      <w:outlineLvl w:val="6"/>
    </w:pPr>
  </w:style>
  <w:style w:type="paragraph" w:customStyle="1" w:styleId="750">
    <w:name w:val="附录四级条标题"/>
    <w:basedOn w:val="751"/>
    <w:next w:val="1"/>
    <w:qFormat/>
    <w:uiPriority w:val="0"/>
    <w:pPr>
      <w:tabs>
        <w:tab w:val="left" w:pos="780"/>
        <w:tab w:val="left" w:pos="1624"/>
        <w:tab w:val="left" w:pos="1836"/>
        <w:tab w:val="left" w:pos="2048"/>
        <w:tab w:val="left" w:pos="2260"/>
      </w:tabs>
      <w:ind w:left="2260"/>
      <w:outlineLvl w:val="5"/>
    </w:pPr>
  </w:style>
  <w:style w:type="paragraph" w:customStyle="1" w:styleId="751">
    <w:name w:val="附录三级条标题"/>
    <w:basedOn w:val="752"/>
    <w:next w:val="1"/>
    <w:qFormat/>
    <w:uiPriority w:val="0"/>
    <w:pPr>
      <w:tabs>
        <w:tab w:val="left" w:pos="780"/>
        <w:tab w:val="left" w:pos="1624"/>
        <w:tab w:val="left" w:pos="1836"/>
        <w:tab w:val="left" w:pos="2048"/>
      </w:tabs>
      <w:ind w:left="2048"/>
      <w:outlineLvl w:val="4"/>
    </w:pPr>
  </w:style>
  <w:style w:type="paragraph" w:customStyle="1" w:styleId="752">
    <w:name w:val="附录二级条标题"/>
    <w:basedOn w:val="753"/>
    <w:next w:val="1"/>
    <w:qFormat/>
    <w:uiPriority w:val="0"/>
    <w:pPr>
      <w:tabs>
        <w:tab w:val="left" w:pos="780"/>
        <w:tab w:val="left" w:pos="1624"/>
        <w:tab w:val="left" w:pos="1836"/>
      </w:tabs>
      <w:ind w:left="1836" w:hanging="360"/>
      <w:outlineLvl w:val="3"/>
    </w:pPr>
  </w:style>
  <w:style w:type="paragraph" w:customStyle="1" w:styleId="753">
    <w:name w:val="附录一级条标题"/>
    <w:basedOn w:val="754"/>
    <w:next w:val="1"/>
    <w:qFormat/>
    <w:uiPriority w:val="0"/>
    <w:pPr>
      <w:tabs>
        <w:tab w:val="left" w:pos="780"/>
        <w:tab w:val="left" w:pos="1624"/>
      </w:tabs>
      <w:autoSpaceDN w:val="0"/>
      <w:ind w:left="1624" w:hanging="1200"/>
      <w:outlineLvl w:val="2"/>
    </w:pPr>
  </w:style>
  <w:style w:type="paragraph" w:customStyle="1" w:styleId="754">
    <w:name w:val="附录章标题"/>
    <w:next w:val="1"/>
    <w:qFormat/>
    <w:uiPriority w:val="0"/>
    <w:pPr>
      <w:tabs>
        <w:tab w:val="left" w:pos="780"/>
      </w:tabs>
      <w:wordWrap w:val="0"/>
      <w:overflowPunct w:val="0"/>
      <w:autoSpaceDE w:val="0"/>
      <w:spacing w:beforeLines="50" w:afterLines="50"/>
      <w:ind w:left="720" w:hanging="360"/>
      <w:jc w:val="both"/>
      <w:textAlignment w:val="baseline"/>
      <w:outlineLvl w:val="1"/>
    </w:pPr>
    <w:rPr>
      <w:rFonts w:ascii="黑体" w:hAnsi="Times New Roman" w:eastAsia="黑体" w:cs="Times New Roman"/>
      <w:kern w:val="21"/>
      <w:sz w:val="21"/>
      <w:lang w:val="en-US" w:eastAsia="zh-CN" w:bidi="ar-SA"/>
    </w:rPr>
  </w:style>
  <w:style w:type="paragraph" w:customStyle="1" w:styleId="755">
    <w:name w:val="xl499"/>
    <w:basedOn w:val="1"/>
    <w:qFormat/>
    <w:uiPriority w:val="0"/>
    <w:pPr>
      <w:widowControl/>
      <w:pBdr>
        <w:left w:val="single" w:color="000000" w:sz="4" w:space="0"/>
        <w:bottom w:val="single" w:color="000000" w:sz="4" w:space="0"/>
        <w:right w:val="single" w:color="000000" w:sz="4" w:space="0"/>
      </w:pBdr>
      <w:spacing w:before="100" w:beforeAutospacing="1" w:after="100" w:afterAutospacing="1"/>
      <w:jc w:val="left"/>
    </w:pPr>
    <w:rPr>
      <w:rFonts w:ascii="宋体" w:hAnsi="宋体"/>
      <w:kern w:val="0"/>
      <w:sz w:val="20"/>
      <w:szCs w:val="20"/>
    </w:rPr>
  </w:style>
  <w:style w:type="paragraph" w:customStyle="1" w:styleId="756">
    <w:name w:val="7.30正文"/>
    <w:qFormat/>
    <w:uiPriority w:val="0"/>
    <w:pPr>
      <w:widowControl w:val="0"/>
      <w:spacing w:line="332" w:lineRule="exact"/>
      <w:jc w:val="both"/>
    </w:pPr>
    <w:rPr>
      <w:rFonts w:ascii="Times New Roman" w:hAnsi="Times New Roman" w:eastAsia="宋体" w:cs="Times New Roman"/>
      <w:kern w:val="2"/>
      <w:sz w:val="21"/>
      <w:lang w:val="en-US" w:eastAsia="zh-CN" w:bidi="ar-SA"/>
    </w:rPr>
  </w:style>
  <w:style w:type="paragraph" w:customStyle="1" w:styleId="757">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758">
    <w:name w:val="普通文字"/>
    <w:basedOn w:val="1"/>
    <w:qFormat/>
    <w:uiPriority w:val="0"/>
    <w:pPr>
      <w:widowControl/>
      <w:spacing w:line="351" w:lineRule="atLeast"/>
      <w:ind w:firstLine="419"/>
      <w:textAlignment w:val="baseline"/>
    </w:pPr>
    <w:rPr>
      <w:rFonts w:ascii="宋体"/>
      <w:color w:val="000000"/>
      <w:kern w:val="0"/>
      <w:szCs w:val="20"/>
      <w:u w:color="000000"/>
    </w:rPr>
  </w:style>
  <w:style w:type="paragraph" w:customStyle="1" w:styleId="759">
    <w:name w:val="封面正文"/>
    <w:qFormat/>
    <w:uiPriority w:val="0"/>
    <w:pPr>
      <w:spacing w:line="560" w:lineRule="exact"/>
      <w:jc w:val="both"/>
    </w:pPr>
    <w:rPr>
      <w:rFonts w:ascii="Times New Roman" w:hAnsi="Times New Roman" w:eastAsia="宋体" w:cs="Times New Roman"/>
      <w:lang w:val="en-US" w:eastAsia="zh-CN" w:bidi="ar-SA"/>
    </w:rPr>
  </w:style>
  <w:style w:type="paragraph" w:customStyle="1" w:styleId="760">
    <w:name w:val="Char Char Char Char Char Char Char Char1 Char Char Char Char"/>
    <w:basedOn w:val="1"/>
    <w:qFormat/>
    <w:uiPriority w:val="0"/>
    <w:pPr>
      <w:snapToGrid w:val="0"/>
      <w:spacing w:line="360" w:lineRule="auto"/>
      <w:ind w:firstLine="200" w:firstLineChars="200"/>
    </w:pPr>
    <w:rPr>
      <w:rFonts w:eastAsia="仿宋_GB2312"/>
      <w:sz w:val="24"/>
      <w:szCs w:val="20"/>
    </w:rPr>
  </w:style>
  <w:style w:type="paragraph" w:customStyle="1" w:styleId="761">
    <w:name w:val="样式 首行缩进:  2 字符"/>
    <w:basedOn w:val="1"/>
    <w:qFormat/>
    <w:uiPriority w:val="0"/>
    <w:pPr>
      <w:ind w:firstLine="560" w:firstLineChars="200"/>
    </w:pPr>
    <w:rPr>
      <w:sz w:val="24"/>
      <w:szCs w:val="20"/>
    </w:rPr>
  </w:style>
  <w:style w:type="paragraph" w:customStyle="1" w:styleId="762">
    <w:name w:val="xl478"/>
    <w:basedOn w:val="1"/>
    <w:qFormat/>
    <w:uiPriority w:val="0"/>
    <w:pPr>
      <w:widowControl/>
      <w:pBdr>
        <w:top w:val="single" w:color="auto" w:sz="4" w:space="0"/>
        <w:left w:val="single" w:color="000000" w:sz="4" w:space="0"/>
        <w:bottom w:val="single" w:color="000000" w:sz="4" w:space="0"/>
        <w:right w:val="single" w:color="000000" w:sz="4" w:space="0"/>
      </w:pBdr>
      <w:shd w:val="clear" w:color="FFFFFF" w:fill="FFFFFF"/>
      <w:spacing w:before="100" w:beforeAutospacing="1" w:after="100" w:afterAutospacing="1"/>
      <w:jc w:val="center"/>
    </w:pPr>
    <w:rPr>
      <w:rFonts w:ascii="宋体" w:hAnsi="宋体"/>
      <w:kern w:val="0"/>
      <w:sz w:val="20"/>
      <w:szCs w:val="20"/>
    </w:rPr>
  </w:style>
  <w:style w:type="paragraph" w:customStyle="1" w:styleId="763">
    <w:name w:val="首标题"/>
    <w:basedOn w:val="1"/>
    <w:qFormat/>
    <w:uiPriority w:val="0"/>
    <w:pPr>
      <w:spacing w:line="360" w:lineRule="auto"/>
      <w:jc w:val="center"/>
    </w:pPr>
    <w:rPr>
      <w:rFonts w:ascii="黑体" w:hAnsi="华文楷体" w:eastAsia="黑体"/>
      <w:b/>
      <w:sz w:val="36"/>
      <w:szCs w:val="20"/>
    </w:rPr>
  </w:style>
  <w:style w:type="paragraph" w:customStyle="1" w:styleId="764">
    <w:name w:val="CM22"/>
    <w:basedOn w:val="208"/>
    <w:next w:val="208"/>
    <w:qFormat/>
    <w:uiPriority w:val="0"/>
    <w:rPr>
      <w:rFonts w:ascii="黑体" w:hAnsi="Times New Roman" w:eastAsia="黑体" w:cs="Times New Roman"/>
      <w:color w:val="auto"/>
      <w:szCs w:val="20"/>
    </w:rPr>
  </w:style>
  <w:style w:type="paragraph" w:customStyle="1" w:styleId="765">
    <w:name w:val="样式 样式 标题 1 + 小三 段前: 6 磅 段后: 6 磅 行距: 最小值 25 磅 + 仿宋_GB2312"/>
    <w:basedOn w:val="1"/>
    <w:qFormat/>
    <w:uiPriority w:val="0"/>
    <w:pPr>
      <w:keepNext/>
      <w:keepLines/>
      <w:spacing w:before="240" w:after="240"/>
      <w:outlineLvl w:val="0"/>
    </w:pPr>
    <w:rPr>
      <w:rFonts w:ascii="仿宋_GB2312" w:hAnsi="仿宋_GB2312" w:eastAsia="仿宋_GB2312" w:cs="宋体"/>
      <w:b/>
      <w:color w:val="000000"/>
      <w:kern w:val="0"/>
      <w:sz w:val="32"/>
      <w:szCs w:val="20"/>
    </w:rPr>
  </w:style>
  <w:style w:type="paragraph" w:customStyle="1" w:styleId="766">
    <w:name w:val="xl483"/>
    <w:basedOn w:val="1"/>
    <w:qFormat/>
    <w:uiPriority w:val="0"/>
    <w:pPr>
      <w:widowControl/>
      <w:pBdr>
        <w:top w:val="single" w:color="000000" w:sz="4" w:space="0"/>
        <w:left w:val="single" w:color="auto" w:sz="8" w:space="0"/>
        <w:bottom w:val="single" w:color="000000" w:sz="4" w:space="0"/>
        <w:right w:val="single" w:color="000000" w:sz="4" w:space="0"/>
      </w:pBdr>
      <w:spacing w:before="100" w:beforeAutospacing="1" w:after="100" w:afterAutospacing="1"/>
      <w:jc w:val="center"/>
    </w:pPr>
    <w:rPr>
      <w:rFonts w:ascii="宋体" w:hAnsi="宋体"/>
      <w:kern w:val="0"/>
      <w:sz w:val="20"/>
      <w:szCs w:val="20"/>
    </w:rPr>
  </w:style>
  <w:style w:type="paragraph" w:customStyle="1" w:styleId="767">
    <w:name w:val="5正文顶格"/>
    <w:basedOn w:val="1"/>
    <w:next w:val="1"/>
    <w:qFormat/>
    <w:uiPriority w:val="0"/>
    <w:pPr>
      <w:adjustRightInd w:val="0"/>
      <w:snapToGrid w:val="0"/>
      <w:jc w:val="left"/>
    </w:pPr>
    <w:rPr>
      <w:rFonts w:eastAsia="仿宋_GB2312"/>
      <w:sz w:val="28"/>
      <w:szCs w:val="20"/>
    </w:rPr>
  </w:style>
  <w:style w:type="paragraph" w:customStyle="1" w:styleId="768">
    <w:name w:val="CM4"/>
    <w:basedOn w:val="208"/>
    <w:next w:val="208"/>
    <w:qFormat/>
    <w:uiPriority w:val="0"/>
    <w:pPr>
      <w:spacing w:line="468" w:lineRule="atLeast"/>
    </w:pPr>
    <w:rPr>
      <w:rFonts w:ascii="黑体" w:hAnsi="Times New Roman" w:eastAsia="黑体" w:cs="Times New Roman"/>
      <w:color w:val="auto"/>
      <w:szCs w:val="20"/>
    </w:rPr>
  </w:style>
  <w:style w:type="paragraph" w:customStyle="1" w:styleId="769">
    <w:name w:val="xl44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0"/>
      <w:szCs w:val="20"/>
    </w:rPr>
  </w:style>
  <w:style w:type="paragraph" w:customStyle="1" w:styleId="770">
    <w:name w:val="图表脚注"/>
    <w:next w:val="757"/>
    <w:qFormat/>
    <w:uiPriority w:val="0"/>
    <w:pPr>
      <w:tabs>
        <w:tab w:val="left" w:pos="2700"/>
      </w:tabs>
      <w:spacing w:line="560" w:lineRule="exact"/>
      <w:ind w:left="300" w:leftChars="200" w:hanging="100" w:hangingChars="100"/>
      <w:jc w:val="both"/>
    </w:pPr>
    <w:rPr>
      <w:rFonts w:ascii="宋体" w:hAnsi="Times New Roman" w:eastAsia="宋体" w:cs="Times New Roman"/>
      <w:sz w:val="18"/>
      <w:lang w:val="en-US" w:eastAsia="zh-CN" w:bidi="ar-SA"/>
    </w:rPr>
  </w:style>
  <w:style w:type="paragraph" w:customStyle="1" w:styleId="771">
    <w:name w:val="Char Char Char Char Char Char Char Char Char Char Char Char Char Char"/>
    <w:qFormat/>
    <w:uiPriority w:val="0"/>
    <w:pPr>
      <w:widowControl w:val="0"/>
      <w:spacing w:line="300" w:lineRule="auto"/>
      <w:ind w:firstLine="480" w:firstLineChars="200"/>
      <w:jc w:val="both"/>
    </w:pPr>
    <w:rPr>
      <w:rFonts w:ascii="Times New Roman" w:hAnsi="Times New Roman" w:eastAsia="仿宋_GB2312" w:cs="Times New Roman"/>
      <w:kern w:val="2"/>
      <w:sz w:val="24"/>
      <w:lang w:val="en-US" w:eastAsia="zh-CN" w:bidi="ar-SA"/>
    </w:rPr>
  </w:style>
  <w:style w:type="paragraph" w:customStyle="1" w:styleId="772">
    <w:name w:val="正文11"/>
    <w:basedOn w:val="1"/>
    <w:qFormat/>
    <w:uiPriority w:val="0"/>
    <w:pPr>
      <w:spacing w:beforeLines="50" w:line="360" w:lineRule="auto"/>
      <w:ind w:firstLine="200" w:firstLineChars="200"/>
    </w:pPr>
    <w:rPr>
      <w:rFonts w:hAnsi="宋体"/>
      <w:sz w:val="24"/>
      <w:szCs w:val="20"/>
    </w:rPr>
  </w:style>
  <w:style w:type="paragraph" w:customStyle="1" w:styleId="773">
    <w:name w:val="图表居中1.5"/>
    <w:next w:val="1"/>
    <w:qFormat/>
    <w:uiPriority w:val="0"/>
    <w:pPr>
      <w:widowControl w:val="0"/>
      <w:spacing w:line="360" w:lineRule="auto"/>
      <w:jc w:val="both"/>
    </w:pPr>
    <w:rPr>
      <w:rFonts w:ascii="Times New Roman" w:hAnsi="Times New Roman" w:eastAsia="宋体" w:cs="Times New Roman"/>
      <w:kern w:val="2"/>
      <w:sz w:val="24"/>
      <w:szCs w:val="24"/>
      <w:lang w:val="en-US" w:eastAsia="zh-CN" w:bidi="ar-SA"/>
    </w:rPr>
  </w:style>
  <w:style w:type="paragraph" w:customStyle="1" w:styleId="774">
    <w:name w:val="xl465"/>
    <w:basedOn w:val="1"/>
    <w:qFormat/>
    <w:uiPriority w:val="0"/>
    <w:pPr>
      <w:widowControl/>
      <w:pBdr>
        <w:top w:val="single" w:color="000000" w:sz="4" w:space="0"/>
        <w:left w:val="single" w:color="000000" w:sz="4" w:space="0"/>
        <w:bottom w:val="single" w:color="000000" w:sz="4" w:space="0"/>
        <w:right w:val="single" w:color="auto" w:sz="8" w:space="0"/>
      </w:pBdr>
      <w:shd w:val="clear" w:color="FFFFFF" w:fill="FFFF00"/>
      <w:spacing w:before="100" w:beforeAutospacing="1" w:after="100" w:afterAutospacing="1"/>
      <w:jc w:val="center"/>
    </w:pPr>
    <w:rPr>
      <w:rFonts w:ascii="宋体" w:hAnsi="宋体"/>
      <w:b/>
      <w:kern w:val="0"/>
      <w:sz w:val="20"/>
      <w:szCs w:val="20"/>
    </w:rPr>
  </w:style>
  <w:style w:type="paragraph" w:customStyle="1" w:styleId="775">
    <w:name w:val="表头1"/>
    <w:basedOn w:val="1"/>
    <w:qFormat/>
    <w:uiPriority w:val="0"/>
    <w:pPr>
      <w:spacing w:line="360" w:lineRule="auto"/>
      <w:ind w:firstLine="241" w:firstLineChars="100"/>
    </w:pPr>
    <w:rPr>
      <w:rFonts w:ascii="仿宋_GB2312" w:hAnsi="仿宋_GB2312" w:eastAsia="仿宋_GB2312"/>
      <w:b/>
      <w:kern w:val="0"/>
      <w:sz w:val="24"/>
      <w:szCs w:val="20"/>
      <w:lang w:val="zh-CN"/>
    </w:rPr>
  </w:style>
  <w:style w:type="paragraph" w:customStyle="1" w:styleId="776">
    <w:name w:val="xl153"/>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kern w:val="0"/>
      <w:sz w:val="24"/>
    </w:rPr>
  </w:style>
  <w:style w:type="paragraph" w:customStyle="1" w:styleId="777">
    <w:name w:val="示例"/>
    <w:next w:val="757"/>
    <w:qFormat/>
    <w:uiPriority w:val="0"/>
    <w:pPr>
      <w:tabs>
        <w:tab w:val="left" w:pos="816"/>
      </w:tabs>
      <w:spacing w:line="560" w:lineRule="exact"/>
      <w:ind w:left="840" w:firstLine="419" w:firstLineChars="233"/>
      <w:jc w:val="both"/>
    </w:pPr>
    <w:rPr>
      <w:rFonts w:ascii="宋体" w:hAnsi="Times New Roman" w:eastAsia="宋体" w:cs="Times New Roman"/>
      <w:sz w:val="18"/>
      <w:lang w:val="en-US" w:eastAsia="zh-CN" w:bidi="ar-SA"/>
    </w:rPr>
  </w:style>
  <w:style w:type="paragraph" w:customStyle="1" w:styleId="778">
    <w:name w:val="CM6"/>
    <w:basedOn w:val="208"/>
    <w:next w:val="208"/>
    <w:qFormat/>
    <w:uiPriority w:val="0"/>
    <w:rPr>
      <w:rFonts w:ascii="黑体" w:hAnsi="Times New Roman" w:eastAsia="黑体" w:cs="Times New Roman"/>
      <w:color w:val="auto"/>
      <w:szCs w:val="20"/>
    </w:rPr>
  </w:style>
  <w:style w:type="paragraph" w:customStyle="1" w:styleId="779">
    <w:name w:val="xl77"/>
    <w:basedOn w:val="1"/>
    <w:qFormat/>
    <w:uiPriority w:val="0"/>
    <w:pPr>
      <w:widowControl/>
      <w:spacing w:before="100" w:beforeAutospacing="1" w:after="100" w:afterAutospacing="1"/>
      <w:jc w:val="center"/>
      <w:textAlignment w:val="center"/>
    </w:pPr>
    <w:rPr>
      <w:rFonts w:hint="eastAsia" w:ascii="华文新魏" w:hAnsi="宋体" w:eastAsia="华文新魏"/>
      <w:b/>
      <w:bCs/>
      <w:color w:val="000000"/>
      <w:kern w:val="0"/>
      <w:sz w:val="40"/>
      <w:szCs w:val="40"/>
    </w:rPr>
  </w:style>
  <w:style w:type="paragraph" w:customStyle="1" w:styleId="780">
    <w:name w:val="样式 四号 首行缩进:  1.01 厘米 行距: 最小值 25 磅"/>
    <w:basedOn w:val="1"/>
    <w:qFormat/>
    <w:uiPriority w:val="0"/>
    <w:pPr>
      <w:spacing w:line="500" w:lineRule="atLeast"/>
      <w:ind w:firstLine="561"/>
    </w:pPr>
    <w:rPr>
      <w:sz w:val="28"/>
      <w:szCs w:val="20"/>
    </w:rPr>
  </w:style>
  <w:style w:type="paragraph" w:customStyle="1" w:styleId="781">
    <w:name w:val="封面标准号1"/>
    <w:qFormat/>
    <w:uiPriority w:val="0"/>
    <w:pPr>
      <w:widowControl w:val="0"/>
      <w:kinsoku w:val="0"/>
      <w:overflowPunct w:val="0"/>
      <w:autoSpaceDE w:val="0"/>
      <w:autoSpaceDN w:val="0"/>
      <w:spacing w:before="308"/>
      <w:jc w:val="right"/>
      <w:textAlignment w:val="center"/>
    </w:pPr>
    <w:rPr>
      <w:rFonts w:ascii="Times New Roman" w:hAnsi="Times New Roman" w:eastAsia="宋体" w:cs="Times New Roman"/>
      <w:sz w:val="28"/>
      <w:lang w:val="en-US" w:eastAsia="zh-CN" w:bidi="ar-SA"/>
    </w:rPr>
  </w:style>
  <w:style w:type="paragraph" w:customStyle="1" w:styleId="782">
    <w:name w:val="xl80"/>
    <w:basedOn w:val="1"/>
    <w:qFormat/>
    <w:uiPriority w:val="0"/>
    <w:pPr>
      <w:widowControl/>
      <w:pBdr>
        <w:top w:val="single" w:color="auto" w:sz="4" w:space="0"/>
        <w:left w:val="single" w:color="auto" w:sz="4" w:space="0"/>
        <w:bottom w:val="single" w:color="auto" w:sz="4" w:space="0"/>
        <w:right w:val="single" w:color="auto" w:sz="4" w:space="0"/>
      </w:pBdr>
      <w:tabs>
        <w:tab w:val="left" w:pos="360"/>
        <w:tab w:val="left" w:pos="900"/>
      </w:tabs>
      <w:spacing w:before="100" w:beforeAutospacing="1" w:after="100" w:afterAutospacing="1"/>
      <w:jc w:val="left"/>
    </w:pPr>
    <w:rPr>
      <w:rFonts w:ascii="宋体" w:hAnsi="宋体" w:cs="宋体"/>
      <w:kern w:val="0"/>
      <w:sz w:val="20"/>
      <w:szCs w:val="20"/>
    </w:rPr>
  </w:style>
  <w:style w:type="paragraph" w:customStyle="1" w:styleId="783">
    <w:name w:val="正文121"/>
    <w:basedOn w:val="1"/>
    <w:qFormat/>
    <w:uiPriority w:val="0"/>
    <w:pPr>
      <w:adjustRightInd w:val="0"/>
      <w:spacing w:before="60" w:after="60" w:line="320" w:lineRule="atLeast"/>
      <w:textAlignment w:val="baseline"/>
    </w:pPr>
    <w:rPr>
      <w:kern w:val="0"/>
      <w:sz w:val="24"/>
      <w:szCs w:val="20"/>
    </w:rPr>
  </w:style>
  <w:style w:type="paragraph" w:customStyle="1" w:styleId="784">
    <w:name w:val="样式 标题 3Sectionh33rd levelSection SubHeadingRésumé DIAnnota..."/>
    <w:basedOn w:val="6"/>
    <w:qFormat/>
    <w:uiPriority w:val="0"/>
    <w:pPr>
      <w:tabs>
        <w:tab w:val="left" w:pos="1260"/>
      </w:tabs>
      <w:autoSpaceDE/>
      <w:autoSpaceDN/>
      <w:adjustRightInd/>
      <w:snapToGrid w:val="0"/>
      <w:spacing w:before="156" w:beforeLines="50" w:after="156" w:afterLines="50" w:line="360" w:lineRule="auto"/>
      <w:ind w:left="1260" w:hanging="420"/>
    </w:pPr>
    <w:rPr>
      <w:rFonts w:ascii="Times New Roman" w:eastAsia="黑体" w:cs="宋体"/>
      <w:b w:val="0"/>
      <w:kern w:val="2"/>
      <w:sz w:val="30"/>
      <w:szCs w:val="30"/>
      <w:u w:val="none"/>
    </w:rPr>
  </w:style>
  <w:style w:type="paragraph" w:customStyle="1" w:styleId="785">
    <w:name w:val="xl1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cs="宋体"/>
      <w:kern w:val="0"/>
      <w:sz w:val="22"/>
      <w:szCs w:val="22"/>
    </w:rPr>
  </w:style>
  <w:style w:type="paragraph" w:customStyle="1" w:styleId="786">
    <w:name w:val="PMstyle"/>
    <w:qFormat/>
    <w:uiPriority w:val="0"/>
    <w:rPr>
      <w:rFonts w:ascii="Tahoma" w:hAnsi="Tahoma" w:eastAsia="宋体" w:cs="Times New Roman"/>
      <w:sz w:val="22"/>
      <w:lang w:val="en-US" w:eastAsia="zh-CN" w:bidi="ar-SA"/>
    </w:rPr>
  </w:style>
  <w:style w:type="paragraph" w:customStyle="1" w:styleId="787">
    <w:name w:val="xl472"/>
    <w:basedOn w:val="1"/>
    <w:qFormat/>
    <w:uiPriority w:val="0"/>
    <w:pPr>
      <w:widowControl/>
      <w:pBdr>
        <w:left w:val="single" w:color="auto" w:sz="8" w:space="0"/>
        <w:bottom w:val="single" w:color="000000" w:sz="4" w:space="0"/>
        <w:right w:val="single" w:color="000000" w:sz="4" w:space="0"/>
      </w:pBdr>
      <w:shd w:val="clear" w:color="FFFFFF" w:fill="FFFFFF"/>
      <w:spacing w:before="100" w:beforeAutospacing="1" w:after="100" w:afterAutospacing="1"/>
      <w:jc w:val="center"/>
    </w:pPr>
    <w:rPr>
      <w:rFonts w:ascii="宋体" w:hAnsi="宋体"/>
      <w:kern w:val="0"/>
      <w:sz w:val="20"/>
      <w:szCs w:val="20"/>
    </w:rPr>
  </w:style>
  <w:style w:type="paragraph" w:customStyle="1" w:styleId="788">
    <w:name w:val="xl10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789">
    <w:name w:val="Char12"/>
    <w:basedOn w:val="1"/>
    <w:qFormat/>
    <w:uiPriority w:val="99"/>
    <w:rPr>
      <w:rFonts w:ascii="Tahoma" w:hAnsi="Tahoma"/>
      <w:sz w:val="24"/>
      <w:szCs w:val="20"/>
    </w:rPr>
  </w:style>
  <w:style w:type="paragraph" w:customStyle="1" w:styleId="790">
    <w:name w:val="扉页2"/>
    <w:basedOn w:val="1"/>
    <w:qFormat/>
    <w:uiPriority w:val="0"/>
    <w:pPr>
      <w:keepNext/>
      <w:spacing w:line="480" w:lineRule="exact"/>
      <w:jc w:val="center"/>
    </w:pPr>
    <w:rPr>
      <w:rFonts w:eastAsia="黑体"/>
      <w:bCs/>
      <w:kern w:val="0"/>
      <w:sz w:val="36"/>
      <w:szCs w:val="28"/>
    </w:rPr>
  </w:style>
  <w:style w:type="paragraph" w:customStyle="1" w:styleId="791">
    <w:name w:val="表眉"/>
    <w:basedOn w:val="1"/>
    <w:qFormat/>
    <w:uiPriority w:val="0"/>
    <w:pPr>
      <w:snapToGrid w:val="0"/>
      <w:spacing w:line="360" w:lineRule="auto"/>
      <w:jc w:val="center"/>
    </w:pPr>
    <w:rPr>
      <w:b/>
      <w:position w:val="-6"/>
      <w:szCs w:val="20"/>
    </w:rPr>
  </w:style>
  <w:style w:type="paragraph" w:customStyle="1" w:styleId="792">
    <w:name w:val="xl1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cs="宋体"/>
      <w:kern w:val="0"/>
      <w:sz w:val="22"/>
      <w:szCs w:val="22"/>
    </w:rPr>
  </w:style>
  <w:style w:type="paragraph" w:customStyle="1" w:styleId="793">
    <w:name w:val="xl5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olor w:val="000000"/>
      <w:kern w:val="0"/>
      <w:sz w:val="18"/>
      <w:szCs w:val="18"/>
    </w:rPr>
  </w:style>
  <w:style w:type="paragraph" w:customStyle="1" w:styleId="794">
    <w:name w:val="样式 左侧:  2 字符"/>
    <w:basedOn w:val="1"/>
    <w:qFormat/>
    <w:uiPriority w:val="0"/>
    <w:pPr>
      <w:adjustRightInd w:val="0"/>
      <w:snapToGrid w:val="0"/>
      <w:spacing w:line="360" w:lineRule="auto"/>
      <w:ind w:firstLine="200" w:firstLineChars="200"/>
      <w:jc w:val="left"/>
    </w:pPr>
    <w:rPr>
      <w:sz w:val="28"/>
      <w:szCs w:val="20"/>
    </w:rPr>
  </w:style>
  <w:style w:type="paragraph" w:customStyle="1" w:styleId="795">
    <w:name w:val="Char13"/>
    <w:basedOn w:val="1"/>
    <w:qFormat/>
    <w:uiPriority w:val="0"/>
    <w:pPr>
      <w:snapToGrid w:val="0"/>
      <w:spacing w:line="360" w:lineRule="auto"/>
      <w:ind w:firstLine="200" w:firstLineChars="200"/>
    </w:pPr>
    <w:rPr>
      <w:rFonts w:eastAsia="仿宋_GB2312"/>
      <w:sz w:val="24"/>
    </w:rPr>
  </w:style>
  <w:style w:type="paragraph" w:customStyle="1" w:styleId="796">
    <w:name w:val="正文内容"/>
    <w:basedOn w:val="1"/>
    <w:qFormat/>
    <w:uiPriority w:val="0"/>
    <w:pPr>
      <w:spacing w:line="360" w:lineRule="auto"/>
      <w:ind w:firstLine="480" w:firstLineChars="200"/>
    </w:pPr>
    <w:rPr>
      <w:rFonts w:ascii="Arial" w:hAnsi="Arial"/>
      <w:sz w:val="24"/>
    </w:rPr>
  </w:style>
  <w:style w:type="paragraph" w:customStyle="1" w:styleId="797">
    <w:name w:val="xl500"/>
    <w:basedOn w:val="1"/>
    <w:qFormat/>
    <w:uiPriority w:val="0"/>
    <w:pPr>
      <w:widowControl/>
      <w:pBdr>
        <w:top w:val="single" w:color="auto" w:sz="4" w:space="0"/>
        <w:left w:val="single" w:color="auto" w:sz="8" w:space="0"/>
        <w:bottom w:val="single" w:color="auto" w:sz="4" w:space="0"/>
        <w:right w:val="single" w:color="auto" w:sz="4" w:space="0"/>
      </w:pBdr>
      <w:shd w:val="clear" w:color="FFFFFF" w:fill="FFFFFF"/>
      <w:spacing w:before="100" w:beforeAutospacing="1" w:after="100" w:afterAutospacing="1"/>
      <w:jc w:val="center"/>
    </w:pPr>
    <w:rPr>
      <w:rFonts w:ascii="宋体" w:hAnsi="宋体"/>
      <w:kern w:val="0"/>
      <w:sz w:val="20"/>
      <w:szCs w:val="20"/>
    </w:rPr>
  </w:style>
  <w:style w:type="paragraph" w:customStyle="1" w:styleId="798">
    <w:name w:val="封面标准名称"/>
    <w:qFormat/>
    <w:uiPriority w:val="0"/>
    <w:pPr>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799">
    <w:name w:val="封面标准英文名称"/>
    <w:qFormat/>
    <w:uiPriority w:val="0"/>
    <w:pPr>
      <w:widowControl w:val="0"/>
      <w:spacing w:before="370" w:line="400" w:lineRule="exact"/>
      <w:jc w:val="center"/>
    </w:pPr>
    <w:rPr>
      <w:rFonts w:ascii="Times New Roman" w:hAnsi="Times New Roman" w:eastAsia="宋体" w:cs="Times New Roman"/>
      <w:sz w:val="28"/>
      <w:lang w:val="en-US" w:eastAsia="zh-CN" w:bidi="ar-SA"/>
    </w:rPr>
  </w:style>
  <w:style w:type="paragraph" w:customStyle="1" w:styleId="800">
    <w:name w:val="样式 标题 3 + 首行缩进:  2 字符"/>
    <w:basedOn w:val="6"/>
    <w:qFormat/>
    <w:uiPriority w:val="0"/>
    <w:pPr>
      <w:autoSpaceDE/>
      <w:autoSpaceDN/>
      <w:adjustRightInd/>
      <w:spacing w:before="0" w:after="0"/>
      <w:jc w:val="both"/>
    </w:pPr>
    <w:rPr>
      <w:rFonts w:ascii="Times New Roman" w:eastAsia="仿宋_GB2312"/>
      <w:bCs/>
      <w:kern w:val="2"/>
      <w:sz w:val="28"/>
      <w:u w:val="none"/>
    </w:rPr>
  </w:style>
  <w:style w:type="paragraph" w:customStyle="1" w:styleId="801">
    <w:name w:val="刘天翔"/>
    <w:basedOn w:val="45"/>
    <w:qFormat/>
    <w:uiPriority w:val="0"/>
    <w:pPr>
      <w:spacing w:line="360" w:lineRule="auto"/>
      <w:ind w:firstLine="578" w:firstLineChars="200"/>
    </w:pPr>
    <w:rPr>
      <w:rFonts w:hint="default" w:hAnsi="宋体"/>
      <w:kern w:val="0"/>
      <w:sz w:val="28"/>
      <w:lang w:val="zh-CN"/>
    </w:rPr>
  </w:style>
  <w:style w:type="paragraph" w:customStyle="1" w:styleId="802">
    <w:name w:val="标题 31"/>
    <w:basedOn w:val="621"/>
    <w:next w:val="5"/>
    <w:qFormat/>
    <w:uiPriority w:val="0"/>
    <w:pPr>
      <w:spacing w:line="360" w:lineRule="auto"/>
      <w:outlineLvl w:val="2"/>
    </w:pPr>
    <w:rPr>
      <w:kern w:val="2"/>
    </w:rPr>
  </w:style>
  <w:style w:type="paragraph" w:customStyle="1" w:styleId="803">
    <w:name w:val="纯文本2"/>
    <w:basedOn w:val="1"/>
    <w:qFormat/>
    <w:uiPriority w:val="0"/>
    <w:pPr>
      <w:adjustRightInd w:val="0"/>
      <w:textAlignment w:val="baseline"/>
    </w:pPr>
    <w:rPr>
      <w:rFonts w:ascii="宋体" w:hAnsi="Courier New"/>
      <w:szCs w:val="20"/>
    </w:rPr>
  </w:style>
  <w:style w:type="paragraph" w:customStyle="1" w:styleId="804">
    <w:name w:val="xl121"/>
    <w:basedOn w:val="1"/>
    <w:qFormat/>
    <w:uiPriority w:val="0"/>
    <w:pPr>
      <w:widowControl/>
      <w:pBdr>
        <w:bottom w:val="single" w:color="auto" w:sz="4" w:space="0"/>
        <w:right w:val="single" w:color="auto" w:sz="4" w:space="0"/>
      </w:pBdr>
      <w:spacing w:before="100" w:beforeAutospacing="1" w:after="100" w:afterAutospacing="1"/>
      <w:jc w:val="center"/>
      <w:textAlignment w:val="center"/>
    </w:pPr>
    <w:rPr>
      <w:rFonts w:ascii="宋体" w:hAnsi="宋体" w:cs="宋体"/>
      <w:kern w:val="0"/>
      <w:sz w:val="22"/>
      <w:szCs w:val="22"/>
    </w:rPr>
  </w:style>
  <w:style w:type="paragraph" w:customStyle="1" w:styleId="805">
    <w:name w:val="扉页3"/>
    <w:basedOn w:val="1"/>
    <w:qFormat/>
    <w:uiPriority w:val="0"/>
    <w:pPr>
      <w:keepNext/>
      <w:autoSpaceDE w:val="0"/>
      <w:autoSpaceDN w:val="0"/>
      <w:adjustRightInd w:val="0"/>
      <w:spacing w:before="124" w:beforeLines="40" w:after="124" w:afterLines="40" w:line="600" w:lineRule="auto"/>
      <w:ind w:firstLine="600" w:firstLineChars="200"/>
    </w:pPr>
    <w:rPr>
      <w:rFonts w:ascii="宋体" w:hAnsi="宋体" w:eastAsia="黑体"/>
      <w:bCs/>
      <w:kern w:val="0"/>
      <w:sz w:val="30"/>
      <w:szCs w:val="30"/>
      <w:lang w:val="zh-CN"/>
    </w:rPr>
  </w:style>
  <w:style w:type="paragraph" w:customStyle="1" w:styleId="806">
    <w:name w:val="Char Char Char Char"/>
    <w:basedOn w:val="37"/>
    <w:next w:val="758"/>
    <w:qFormat/>
    <w:uiPriority w:val="0"/>
    <w:pPr>
      <w:shd w:val="clear" w:color="auto" w:fill="000080"/>
      <w:adjustRightInd w:val="0"/>
      <w:spacing w:line="436" w:lineRule="exact"/>
      <w:ind w:left="357" w:leftChars="0" w:firstLine="0" w:firstLineChars="0"/>
      <w:jc w:val="left"/>
      <w:outlineLvl w:val="3"/>
    </w:pPr>
    <w:rPr>
      <w:rFonts w:ascii="Tahoma" w:hAnsi="Tahoma"/>
      <w:b/>
      <w:sz w:val="24"/>
    </w:rPr>
  </w:style>
  <w:style w:type="paragraph" w:customStyle="1" w:styleId="807">
    <w:name w:val="CM72"/>
    <w:basedOn w:val="1"/>
    <w:next w:val="1"/>
    <w:qFormat/>
    <w:uiPriority w:val="0"/>
    <w:pPr>
      <w:autoSpaceDE w:val="0"/>
      <w:autoSpaceDN w:val="0"/>
      <w:adjustRightInd w:val="0"/>
      <w:spacing w:after="118"/>
      <w:jc w:val="left"/>
    </w:pPr>
    <w:rPr>
      <w:rFonts w:ascii=".." w:eastAsia=".."/>
      <w:kern w:val="0"/>
      <w:sz w:val="24"/>
    </w:rPr>
  </w:style>
  <w:style w:type="paragraph" w:customStyle="1" w:styleId="808">
    <w:name w:val="样式 (西文) 宋体 五号 居中"/>
    <w:basedOn w:val="1"/>
    <w:qFormat/>
    <w:uiPriority w:val="0"/>
    <w:pPr>
      <w:spacing w:line="360" w:lineRule="auto"/>
      <w:jc w:val="center"/>
    </w:pPr>
    <w:rPr>
      <w:rFonts w:ascii="宋体" w:hAnsi="宋体" w:eastAsia="仿宋_GB2312"/>
      <w:szCs w:val="20"/>
    </w:rPr>
  </w:style>
  <w:style w:type="paragraph" w:customStyle="1" w:styleId="809">
    <w:name w:val="样式 正文文字 + 首行缩进:  2 字符2"/>
    <w:basedOn w:val="34"/>
    <w:qFormat/>
    <w:uiPriority w:val="0"/>
    <w:pPr>
      <w:tabs>
        <w:tab w:val="clear" w:pos="567"/>
      </w:tabs>
      <w:spacing w:before="0" w:line="360" w:lineRule="auto"/>
      <w:ind w:firstLine="420" w:firstLineChars="200"/>
    </w:pPr>
    <w:rPr>
      <w:rFonts w:ascii="Times New Roman" w:hAnsi="Times New Roman" w:eastAsia="仿宋_GB2312"/>
      <w:sz w:val="21"/>
      <w:szCs w:val="20"/>
      <w:lang w:val="zh-CN"/>
    </w:rPr>
  </w:style>
  <w:style w:type="paragraph" w:customStyle="1" w:styleId="810">
    <w:name w:val="Char Char Char Char Char Char1"/>
    <w:basedOn w:val="1"/>
    <w:qFormat/>
    <w:uiPriority w:val="0"/>
    <w:pPr>
      <w:snapToGrid w:val="0"/>
      <w:spacing w:line="360" w:lineRule="auto"/>
      <w:ind w:firstLine="200" w:firstLineChars="200"/>
    </w:pPr>
    <w:rPr>
      <w:rFonts w:eastAsia="仿宋_GB2312"/>
      <w:sz w:val="24"/>
      <w:szCs w:val="20"/>
    </w:rPr>
  </w:style>
  <w:style w:type="paragraph" w:customStyle="1" w:styleId="811">
    <w:name w:val="zhengwen"/>
    <w:basedOn w:val="1"/>
    <w:qFormat/>
    <w:uiPriority w:val="0"/>
    <w:pPr>
      <w:widowControl/>
      <w:numPr>
        <w:ilvl w:val="0"/>
        <w:numId w:val="13"/>
      </w:numPr>
      <w:tabs>
        <w:tab w:val="left" w:pos="1140"/>
      </w:tabs>
      <w:overflowPunct w:val="0"/>
      <w:autoSpaceDE w:val="0"/>
      <w:autoSpaceDN w:val="0"/>
      <w:adjustRightInd w:val="0"/>
      <w:spacing w:before="120" w:after="120" w:line="264" w:lineRule="auto"/>
      <w:ind w:left="2552" w:hanging="1701"/>
      <w:textAlignment w:val="baseline"/>
    </w:pPr>
    <w:rPr>
      <w:rFonts w:ascii="宋体"/>
      <w:kern w:val="0"/>
      <w:sz w:val="24"/>
    </w:rPr>
  </w:style>
  <w:style w:type="paragraph" w:customStyle="1" w:styleId="812">
    <w:name w:val="WW-日期"/>
    <w:basedOn w:val="1"/>
    <w:next w:val="1"/>
    <w:qFormat/>
    <w:uiPriority w:val="0"/>
    <w:pPr>
      <w:suppressAutoHyphens/>
      <w:ind w:left="100"/>
    </w:pPr>
    <w:rPr>
      <w:rFonts w:ascii="仿宋_GB2312" w:hAnsi="仿宋_GB2312" w:eastAsia="仿宋_GB2312"/>
      <w:color w:val="000000"/>
      <w:kern w:val="1"/>
      <w:sz w:val="24"/>
      <w:lang w:eastAsia="ar-SA"/>
    </w:rPr>
  </w:style>
  <w:style w:type="paragraph" w:customStyle="1" w:styleId="813">
    <w:name w:val="文章正文"/>
    <w:basedOn w:val="1"/>
    <w:qFormat/>
    <w:uiPriority w:val="0"/>
    <w:pPr>
      <w:topLinePunct/>
      <w:spacing w:line="360" w:lineRule="auto"/>
      <w:ind w:firstLine="200" w:firstLineChars="200"/>
      <w:jc w:val="left"/>
    </w:pPr>
    <w:rPr>
      <w:rFonts w:ascii="宋体"/>
      <w:sz w:val="28"/>
      <w:szCs w:val="28"/>
    </w:rPr>
  </w:style>
  <w:style w:type="paragraph" w:customStyle="1" w:styleId="814">
    <w:name w:val="样式 正文 + 首行缩进:  2 字符 行距: 单倍行距"/>
    <w:basedOn w:val="1"/>
    <w:qFormat/>
    <w:uiPriority w:val="0"/>
    <w:pPr>
      <w:ind w:firstLine="622" w:firstLineChars="200"/>
    </w:pPr>
    <w:rPr>
      <w:rFonts w:eastAsia="仿宋_GB2312"/>
      <w:sz w:val="32"/>
      <w:szCs w:val="20"/>
    </w:rPr>
  </w:style>
  <w:style w:type="paragraph" w:customStyle="1" w:styleId="815">
    <w:name w:val="xl84"/>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18"/>
      <w:szCs w:val="18"/>
    </w:rPr>
  </w:style>
  <w:style w:type="paragraph" w:customStyle="1" w:styleId="816">
    <w:name w:val="xl162"/>
    <w:basedOn w:val="1"/>
    <w:qFormat/>
    <w:uiPriority w:val="0"/>
    <w:pPr>
      <w:widowControl/>
      <w:pBdr>
        <w:top w:val="single" w:color="auto" w:sz="4" w:space="0"/>
        <w:bottom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817">
    <w:name w:val="4"/>
    <w:basedOn w:val="1"/>
    <w:qFormat/>
    <w:uiPriority w:val="0"/>
    <w:pPr>
      <w:tabs>
        <w:tab w:val="left" w:pos="432"/>
      </w:tabs>
      <w:spacing w:line="360" w:lineRule="auto"/>
      <w:ind w:left="432" w:hanging="432"/>
      <w:jc w:val="left"/>
    </w:pPr>
    <w:rPr>
      <w:b/>
      <w:sz w:val="28"/>
      <w:szCs w:val="20"/>
    </w:rPr>
  </w:style>
  <w:style w:type="paragraph" w:customStyle="1" w:styleId="818">
    <w:name w:val="xl464"/>
    <w:basedOn w:val="1"/>
    <w:qFormat/>
    <w:uiPriority w:val="0"/>
    <w:pPr>
      <w:widowControl/>
      <w:pBdr>
        <w:top w:val="single" w:color="000000" w:sz="4" w:space="0"/>
        <w:left w:val="single" w:color="auto" w:sz="8" w:space="0"/>
        <w:bottom w:val="single" w:color="000000" w:sz="4" w:space="0"/>
        <w:right w:val="single" w:color="000000" w:sz="4" w:space="0"/>
      </w:pBdr>
      <w:shd w:val="clear" w:color="FFFFFF" w:fill="FFFFFF"/>
      <w:spacing w:before="100" w:beforeAutospacing="1" w:after="100" w:afterAutospacing="1"/>
      <w:jc w:val="center"/>
    </w:pPr>
    <w:rPr>
      <w:rFonts w:ascii="宋体" w:hAnsi="宋体"/>
      <w:kern w:val="0"/>
      <w:sz w:val="20"/>
      <w:szCs w:val="20"/>
    </w:rPr>
  </w:style>
  <w:style w:type="paragraph" w:customStyle="1" w:styleId="819">
    <w:name w:val="xl11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2"/>
      <w:szCs w:val="22"/>
    </w:rPr>
  </w:style>
  <w:style w:type="paragraph" w:customStyle="1" w:styleId="820">
    <w:name w:val="样式 ˎ̥ 小五 灰色-80% 居中 段前: 5 磅 段后: 5 磅"/>
    <w:basedOn w:val="1"/>
    <w:qFormat/>
    <w:uiPriority w:val="0"/>
    <w:pPr>
      <w:suppressAutoHyphens/>
      <w:jc w:val="center"/>
    </w:pPr>
    <w:rPr>
      <w:rFonts w:ascii="ˎ̥" w:hAnsi="ˎ̥"/>
      <w:color w:val="333333"/>
      <w:kern w:val="0"/>
      <w:sz w:val="18"/>
      <w:szCs w:val="20"/>
      <w:lang w:eastAsia="ar-SA"/>
    </w:rPr>
  </w:style>
  <w:style w:type="paragraph" w:customStyle="1" w:styleId="821">
    <w:name w:val="xl14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cs="宋体"/>
      <w:kern w:val="0"/>
      <w:sz w:val="22"/>
      <w:szCs w:val="22"/>
    </w:rPr>
  </w:style>
  <w:style w:type="paragraph" w:customStyle="1" w:styleId="822">
    <w:name w:val="样式 样式1 + 黑色"/>
    <w:basedOn w:val="1"/>
    <w:qFormat/>
    <w:uiPriority w:val="0"/>
    <w:pPr>
      <w:keepNext/>
      <w:spacing w:before="60" w:after="60" w:line="500" w:lineRule="atLeast"/>
      <w:jc w:val="left"/>
      <w:outlineLvl w:val="2"/>
    </w:pPr>
    <w:rPr>
      <w:rFonts w:eastAsia="黑体"/>
      <w:color w:val="000000"/>
      <w:sz w:val="28"/>
      <w:szCs w:val="20"/>
    </w:rPr>
  </w:style>
  <w:style w:type="paragraph" w:customStyle="1" w:styleId="823">
    <w:name w:val="xl11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2"/>
      <w:szCs w:val="22"/>
    </w:rPr>
  </w:style>
  <w:style w:type="paragraph" w:customStyle="1" w:styleId="824">
    <w:name w:val="标准段"/>
    <w:basedOn w:val="1"/>
    <w:qFormat/>
    <w:uiPriority w:val="0"/>
    <w:pPr>
      <w:widowControl/>
      <w:overflowPunct w:val="0"/>
      <w:autoSpaceDE w:val="0"/>
      <w:adjustRightInd w:val="0"/>
      <w:snapToGrid w:val="0"/>
      <w:spacing w:before="100" w:beforeAutospacing="1" w:after="100" w:afterAutospacing="1"/>
      <w:ind w:left="718" w:leftChars="342" w:right="26"/>
      <w:textAlignment w:val="baseline"/>
    </w:pPr>
    <w:rPr>
      <w:bCs/>
      <w:color w:val="000000"/>
      <w:kern w:val="0"/>
      <w:sz w:val="24"/>
      <w:szCs w:val="20"/>
    </w:rPr>
  </w:style>
  <w:style w:type="paragraph" w:customStyle="1" w:styleId="825">
    <w:name w:val="正文 New New"/>
    <w:qFormat/>
    <w:uiPriority w:val="0"/>
    <w:pPr>
      <w:widowControl w:val="0"/>
      <w:spacing w:line="560" w:lineRule="exact"/>
      <w:jc w:val="both"/>
    </w:pPr>
    <w:rPr>
      <w:rFonts w:ascii="Times New Roman" w:hAnsi="Times New Roman" w:eastAsia="宋体" w:cs="Times New Roman"/>
      <w:kern w:val="2"/>
      <w:sz w:val="21"/>
      <w:lang w:val="en-US" w:eastAsia="zh-CN" w:bidi="ar-SA"/>
    </w:rPr>
  </w:style>
  <w:style w:type="paragraph" w:customStyle="1" w:styleId="826">
    <w:name w:val="xl89"/>
    <w:basedOn w:val="1"/>
    <w:qFormat/>
    <w:uiPriority w:val="0"/>
    <w:pPr>
      <w:widowControl/>
      <w:spacing w:before="100" w:beforeAutospacing="1" w:after="100" w:afterAutospacing="1"/>
      <w:jc w:val="center"/>
      <w:textAlignment w:val="center"/>
    </w:pPr>
    <w:rPr>
      <w:rFonts w:ascii="宋体" w:hAnsi="宋体" w:cs="宋体"/>
      <w:kern w:val="0"/>
      <w:sz w:val="24"/>
    </w:rPr>
  </w:style>
  <w:style w:type="paragraph" w:customStyle="1" w:styleId="827">
    <w:name w:val="表格内文字"/>
    <w:basedOn w:val="1"/>
    <w:qFormat/>
    <w:uiPriority w:val="0"/>
    <w:pPr>
      <w:spacing w:line="480" w:lineRule="exact"/>
      <w:jc w:val="center"/>
    </w:pPr>
    <w:rPr>
      <w:szCs w:val="20"/>
    </w:rPr>
  </w:style>
  <w:style w:type="paragraph" w:customStyle="1" w:styleId="828">
    <w:name w:val="Body Text Indent 21"/>
    <w:basedOn w:val="1"/>
    <w:qFormat/>
    <w:uiPriority w:val="0"/>
    <w:pPr>
      <w:adjustRightInd w:val="0"/>
      <w:ind w:left="720" w:hanging="720"/>
      <w:textAlignment w:val="baseline"/>
    </w:pPr>
    <w:rPr>
      <w:b/>
      <w:sz w:val="28"/>
      <w:szCs w:val="20"/>
    </w:rPr>
  </w:style>
  <w:style w:type="paragraph" w:customStyle="1" w:styleId="829">
    <w:name w:val="样式 标题 2 + 段前: 0.5 行 段后: 0.5 行"/>
    <w:basedOn w:val="4"/>
    <w:next w:val="1"/>
    <w:qFormat/>
    <w:uiPriority w:val="0"/>
    <w:pPr>
      <w:autoSpaceDE/>
      <w:autoSpaceDN/>
      <w:spacing w:before="156" w:beforeLines="50" w:after="156" w:afterLines="50" w:line="416" w:lineRule="auto"/>
      <w:jc w:val="left"/>
      <w:textAlignment w:val="baseline"/>
    </w:pPr>
    <w:rPr>
      <w:rFonts w:cs="宋体"/>
      <w:b w:val="0"/>
      <w:szCs w:val="30"/>
      <w:lang w:val="zh-CN"/>
    </w:rPr>
  </w:style>
  <w:style w:type="paragraph" w:customStyle="1" w:styleId="830">
    <w:name w:val="条"/>
    <w:basedOn w:val="1"/>
    <w:qFormat/>
    <w:uiPriority w:val="0"/>
    <w:pPr>
      <w:tabs>
        <w:tab w:val="left" w:pos="1440"/>
      </w:tabs>
      <w:spacing w:before="156" w:beforeLines="50" w:after="156" w:afterLines="50" w:line="400" w:lineRule="exact"/>
      <w:ind w:left="1531" w:hanging="1077"/>
    </w:pPr>
    <w:rPr>
      <w:rFonts w:ascii="宋体" w:hAnsi="宋体"/>
      <w:bCs/>
      <w:sz w:val="24"/>
      <w:szCs w:val="30"/>
    </w:rPr>
  </w:style>
  <w:style w:type="paragraph" w:customStyle="1" w:styleId="831">
    <w:name w:val="样式 标题 1 + 首行缩进:  1.06 厘米"/>
    <w:basedOn w:val="3"/>
    <w:qFormat/>
    <w:uiPriority w:val="0"/>
    <w:pPr>
      <w:autoSpaceDE/>
      <w:autoSpaceDN/>
      <w:snapToGrid w:val="0"/>
      <w:spacing w:after="240" w:line="360" w:lineRule="auto"/>
      <w:jc w:val="left"/>
    </w:pPr>
    <w:rPr>
      <w:rFonts w:hAnsi="宋体"/>
      <w:sz w:val="30"/>
      <w:lang w:val="zh-CN"/>
    </w:rPr>
  </w:style>
  <w:style w:type="paragraph" w:customStyle="1" w:styleId="832">
    <w:name w:val="xl67"/>
    <w:basedOn w:val="1"/>
    <w:qFormat/>
    <w:uiPriority w:val="0"/>
    <w:pPr>
      <w:widowControl/>
      <w:pBdr>
        <w:top w:val="single" w:color="auto" w:sz="4" w:space="0"/>
        <w:bottom w:val="single" w:color="auto" w:sz="4" w:space="0"/>
      </w:pBdr>
      <w:spacing w:before="100" w:beforeAutospacing="1" w:after="100" w:afterAutospacing="1"/>
      <w:jc w:val="left"/>
      <w:textAlignment w:val="center"/>
    </w:pPr>
    <w:rPr>
      <w:rFonts w:ascii="Arial Unicode MS" w:hAnsi="Arial Unicode MS" w:eastAsia="Arial Unicode MS" w:cs="Arial Unicode MS"/>
      <w:kern w:val="0"/>
      <w:sz w:val="24"/>
    </w:rPr>
  </w:style>
  <w:style w:type="paragraph" w:customStyle="1" w:styleId="833">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834">
    <w:name w:val="B标题三"/>
    <w:basedOn w:val="6"/>
    <w:qFormat/>
    <w:uiPriority w:val="0"/>
    <w:pPr>
      <w:autoSpaceDE/>
      <w:autoSpaceDN/>
      <w:adjustRightInd/>
      <w:spacing w:before="60" w:after="60" w:line="360" w:lineRule="auto"/>
    </w:pPr>
    <w:rPr>
      <w:rFonts w:ascii="黑体" w:hAnsi="黑体" w:eastAsia="黑体"/>
      <w:b w:val="0"/>
      <w:kern w:val="2"/>
      <w:sz w:val="28"/>
      <w:u w:val="none"/>
      <w:lang w:val="zh-CN"/>
    </w:rPr>
  </w:style>
  <w:style w:type="paragraph" w:customStyle="1" w:styleId="835">
    <w:name w:val="目录"/>
    <w:basedOn w:val="1"/>
    <w:qFormat/>
    <w:uiPriority w:val="0"/>
    <w:pPr>
      <w:widowControl/>
      <w:jc w:val="center"/>
    </w:pPr>
    <w:rPr>
      <w:rFonts w:ascii="宋体"/>
      <w:b/>
      <w:kern w:val="0"/>
      <w:sz w:val="36"/>
      <w:szCs w:val="20"/>
    </w:rPr>
  </w:style>
  <w:style w:type="paragraph" w:customStyle="1" w:styleId="836">
    <w:name w:val="样式 标题 3h3H3sect1.2.3 + 五号 段前: 6 磅 段后: 6 磅 行距: 单倍行距"/>
    <w:basedOn w:val="6"/>
    <w:qFormat/>
    <w:uiPriority w:val="0"/>
    <w:pPr>
      <w:numPr>
        <w:ilvl w:val="0"/>
        <w:numId w:val="14"/>
      </w:numPr>
      <w:autoSpaceDE/>
      <w:autoSpaceDN/>
      <w:spacing w:before="120"/>
    </w:pPr>
    <w:rPr>
      <w:rFonts w:ascii="Times New Roman"/>
      <w:bCs/>
      <w:sz w:val="21"/>
      <w:u w:val="none"/>
      <w:lang w:val="zh-CN"/>
    </w:rPr>
  </w:style>
  <w:style w:type="paragraph" w:customStyle="1" w:styleId="837">
    <w:name w:val="样式 标题 4 + 段前: 0.8 厘米 首行缩进:  0 厘米"/>
    <w:basedOn w:val="7"/>
    <w:qFormat/>
    <w:uiPriority w:val="0"/>
    <w:pPr>
      <w:widowControl/>
      <w:tabs>
        <w:tab w:val="left" w:pos="2356"/>
      </w:tabs>
      <w:adjustRightInd/>
      <w:spacing w:before="120" w:after="156" w:afterLines="50" w:line="420" w:lineRule="exact"/>
      <w:ind w:left="1984" w:hanging="708"/>
      <w:jc w:val="left"/>
      <w:textAlignment w:val="auto"/>
    </w:pPr>
    <w:rPr>
      <w:rFonts w:eastAsia="宋体"/>
      <w:bCs/>
      <w:spacing w:val="10"/>
      <w:kern w:val="2"/>
      <w:sz w:val="24"/>
      <w:szCs w:val="24"/>
      <w:lang w:val="zh-CN"/>
    </w:rPr>
  </w:style>
  <w:style w:type="paragraph" w:customStyle="1" w:styleId="838">
    <w:name w:val="xl482"/>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pPr>
    <w:rPr>
      <w:rFonts w:ascii="宋体" w:hAnsi="宋体"/>
      <w:kern w:val="0"/>
      <w:sz w:val="20"/>
      <w:szCs w:val="20"/>
    </w:rPr>
  </w:style>
  <w:style w:type="paragraph" w:customStyle="1" w:styleId="839">
    <w:name w:val="xl6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24"/>
    </w:rPr>
  </w:style>
  <w:style w:type="paragraph" w:customStyle="1" w:styleId="840">
    <w:name w:val="xl11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2"/>
      <w:szCs w:val="22"/>
    </w:rPr>
  </w:style>
  <w:style w:type="paragraph" w:customStyle="1" w:styleId="841">
    <w:name w:val="样式 标题 4 + 首行缩进:  2 字符1"/>
    <w:basedOn w:val="7"/>
    <w:qFormat/>
    <w:uiPriority w:val="0"/>
    <w:pPr>
      <w:adjustRightInd/>
      <w:spacing w:before="0" w:after="0" w:line="480" w:lineRule="auto"/>
      <w:textAlignment w:val="auto"/>
    </w:pPr>
    <w:rPr>
      <w:b w:val="0"/>
      <w:kern w:val="2"/>
      <w:sz w:val="30"/>
      <w:lang w:val="zh-CN"/>
    </w:rPr>
  </w:style>
  <w:style w:type="paragraph" w:customStyle="1" w:styleId="842">
    <w:name w:val="标题单位"/>
    <w:basedOn w:val="1"/>
    <w:next w:val="1"/>
    <w:qFormat/>
    <w:uiPriority w:val="0"/>
    <w:pPr>
      <w:spacing w:line="360" w:lineRule="auto"/>
      <w:jc w:val="center"/>
    </w:pPr>
    <w:rPr>
      <w:rFonts w:ascii="Tahoma" w:hAnsi="Tahoma" w:eastAsia="黑体"/>
      <w:sz w:val="32"/>
      <w:szCs w:val="32"/>
    </w:rPr>
  </w:style>
  <w:style w:type="character" w:customStyle="1" w:styleId="843">
    <w:name w:val="明显引用 Char3"/>
    <w:basedOn w:val="91"/>
    <w:qFormat/>
    <w:uiPriority w:val="99"/>
    <w:rPr>
      <w:i/>
      <w:iCs/>
      <w:color w:val="4F81BD" w:themeColor="accent1"/>
      <w:kern w:val="2"/>
      <w:sz w:val="21"/>
      <w:szCs w:val="24"/>
      <w14:textFill>
        <w14:solidFill>
          <w14:schemeClr w14:val="accent1"/>
        </w14:solidFill>
      </w14:textFill>
    </w:rPr>
  </w:style>
  <w:style w:type="paragraph" w:customStyle="1" w:styleId="844">
    <w:name w:val="xl60"/>
    <w:basedOn w:val="1"/>
    <w:qFormat/>
    <w:uiPriority w:val="0"/>
    <w:pPr>
      <w:widowControl/>
      <w:pBdr>
        <w:top w:val="single" w:color="auto" w:sz="4" w:space="0"/>
        <w:left w:val="single" w:color="auto" w:sz="4" w:space="0"/>
        <w:right w:val="single" w:color="auto" w:sz="4" w:space="0"/>
      </w:pBdr>
      <w:spacing w:before="100" w:beforeAutospacing="1" w:after="100" w:afterAutospacing="1"/>
      <w:textAlignment w:val="center"/>
    </w:pPr>
    <w:rPr>
      <w:rFonts w:ascii="Arial Unicode MS" w:hAnsi="Arial Unicode MS" w:eastAsia="Arial Unicode MS" w:cs="Arial Unicode MS"/>
      <w:kern w:val="0"/>
      <w:sz w:val="24"/>
    </w:rPr>
  </w:style>
  <w:style w:type="paragraph" w:customStyle="1" w:styleId="845">
    <w:name w:val="大标题"/>
    <w:basedOn w:val="3"/>
    <w:qFormat/>
    <w:uiPriority w:val="0"/>
    <w:pPr>
      <w:autoSpaceDE/>
      <w:autoSpaceDN/>
      <w:adjustRightInd/>
      <w:spacing w:after="240" w:line="500" w:lineRule="exact"/>
    </w:pPr>
    <w:rPr>
      <w:rFonts w:hAnsi="宋体"/>
      <w:bCs/>
      <w:kern w:val="0"/>
      <w:sz w:val="52"/>
      <w:szCs w:val="52"/>
      <w:lang w:val="zh-CN"/>
    </w:rPr>
  </w:style>
  <w:style w:type="paragraph" w:customStyle="1" w:styleId="846">
    <w:name w:val="xl11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cs="宋体"/>
      <w:kern w:val="0"/>
      <w:sz w:val="22"/>
      <w:szCs w:val="22"/>
    </w:rPr>
  </w:style>
  <w:style w:type="paragraph" w:customStyle="1" w:styleId="847">
    <w:name w:val="样式 标题 2 + 行距: 1.5 倍行距"/>
    <w:basedOn w:val="4"/>
    <w:qFormat/>
    <w:uiPriority w:val="0"/>
    <w:pPr>
      <w:tabs>
        <w:tab w:val="left" w:pos="720"/>
      </w:tabs>
      <w:autoSpaceDE/>
      <w:autoSpaceDN/>
      <w:adjustRightInd/>
      <w:spacing w:before="260" w:after="260" w:line="360" w:lineRule="auto"/>
      <w:jc w:val="both"/>
    </w:pPr>
    <w:rPr>
      <w:kern w:val="2"/>
      <w:sz w:val="32"/>
      <w:lang w:val="zh-CN"/>
    </w:rPr>
  </w:style>
  <w:style w:type="paragraph" w:customStyle="1" w:styleId="848">
    <w:name w:val="xl457"/>
    <w:basedOn w:val="1"/>
    <w:qFormat/>
    <w:uiPriority w:val="0"/>
    <w:pPr>
      <w:widowControl/>
      <w:pBdr>
        <w:top w:val="single" w:color="000000" w:sz="4" w:space="0"/>
        <w:left w:val="single" w:color="000000" w:sz="4" w:space="0"/>
        <w:bottom w:val="single" w:color="000000" w:sz="4" w:space="0"/>
        <w:right w:val="single" w:color="auto" w:sz="8" w:space="0"/>
      </w:pBdr>
      <w:shd w:val="clear" w:color="FFFFFF" w:fill="FFFFFF"/>
      <w:spacing w:before="100" w:beforeAutospacing="1" w:after="100" w:afterAutospacing="1"/>
      <w:jc w:val="center"/>
    </w:pPr>
    <w:rPr>
      <w:rFonts w:ascii="宋体" w:hAnsi="宋体"/>
      <w:kern w:val="0"/>
      <w:sz w:val="20"/>
      <w:szCs w:val="20"/>
    </w:rPr>
  </w:style>
  <w:style w:type="paragraph" w:customStyle="1" w:styleId="849">
    <w:name w:val="大大标题"/>
    <w:basedOn w:val="845"/>
    <w:qFormat/>
    <w:uiPriority w:val="0"/>
  </w:style>
  <w:style w:type="paragraph" w:customStyle="1" w:styleId="850">
    <w:name w:val="4子目"/>
    <w:basedOn w:val="1"/>
    <w:next w:val="1"/>
    <w:qFormat/>
    <w:uiPriority w:val="0"/>
    <w:pPr>
      <w:keepNext/>
      <w:spacing w:before="50" w:after="50" w:line="300" w:lineRule="auto"/>
      <w:jc w:val="left"/>
      <w:outlineLvl w:val="3"/>
    </w:pPr>
    <w:rPr>
      <w:rFonts w:ascii="宋体" w:hAnsi="宋体" w:eastAsia="黑体"/>
      <w:b/>
      <w:sz w:val="28"/>
      <w:szCs w:val="20"/>
    </w:rPr>
  </w:style>
  <w:style w:type="paragraph" w:customStyle="1" w:styleId="851">
    <w:name w:val="font12"/>
    <w:basedOn w:val="1"/>
    <w:qFormat/>
    <w:uiPriority w:val="0"/>
    <w:pPr>
      <w:widowControl/>
      <w:spacing w:before="100" w:beforeAutospacing="1" w:after="100" w:afterAutospacing="1"/>
      <w:jc w:val="left"/>
    </w:pPr>
    <w:rPr>
      <w:rFonts w:eastAsia="Arial Unicode MS"/>
      <w:kern w:val="0"/>
      <w:sz w:val="20"/>
      <w:szCs w:val="20"/>
    </w:rPr>
  </w:style>
  <w:style w:type="paragraph" w:customStyle="1" w:styleId="852">
    <w:name w:val="项目符号"/>
    <w:basedOn w:val="853"/>
    <w:qFormat/>
    <w:uiPriority w:val="0"/>
    <w:pPr>
      <w:ind w:firstLine="0" w:firstLineChars="0"/>
    </w:pPr>
  </w:style>
  <w:style w:type="paragraph" w:customStyle="1" w:styleId="853">
    <w:name w:val="文本正文"/>
    <w:basedOn w:val="1"/>
    <w:qFormat/>
    <w:uiPriority w:val="0"/>
    <w:pPr>
      <w:spacing w:line="360" w:lineRule="auto"/>
      <w:ind w:firstLine="200" w:firstLineChars="200"/>
    </w:pPr>
    <w:rPr>
      <w:rFonts w:ascii="Tahoma" w:hAnsi="Tahoma" w:cs="Arial"/>
      <w:sz w:val="24"/>
      <w:szCs w:val="20"/>
    </w:rPr>
  </w:style>
  <w:style w:type="paragraph" w:customStyle="1" w:styleId="854">
    <w:name w:val="2"/>
    <w:basedOn w:val="1"/>
    <w:next w:val="51"/>
    <w:qFormat/>
    <w:uiPriority w:val="99"/>
    <w:pPr>
      <w:spacing w:line="360" w:lineRule="auto"/>
      <w:ind w:firstLine="480" w:firstLineChars="200"/>
    </w:pPr>
    <w:rPr>
      <w:rFonts w:ascii="宋体" w:hAnsi="宋体"/>
      <w:sz w:val="24"/>
      <w:szCs w:val="20"/>
    </w:rPr>
  </w:style>
  <w:style w:type="paragraph" w:customStyle="1" w:styleId="855">
    <w:name w:val="前言、引言标题"/>
    <w:next w:val="1"/>
    <w:qFormat/>
    <w:uiPriority w:val="0"/>
    <w:pPr>
      <w:shd w:val="clear" w:color="FFFFFF" w:fill="FFFFFF"/>
      <w:tabs>
        <w:tab w:val="left" w:pos="425"/>
        <w:tab w:val="left" w:pos="825"/>
        <w:tab w:val="left" w:pos="900"/>
      </w:tabs>
      <w:spacing w:before="640" w:after="560"/>
      <w:ind w:left="900" w:hanging="900"/>
      <w:jc w:val="center"/>
      <w:outlineLvl w:val="0"/>
    </w:pPr>
    <w:rPr>
      <w:rFonts w:ascii="黑体" w:hAnsi="Times New Roman" w:eastAsia="黑体" w:cs="Times New Roman"/>
      <w:sz w:val="32"/>
      <w:lang w:val="en-US" w:eastAsia="zh-CN" w:bidi="ar-SA"/>
    </w:rPr>
  </w:style>
  <w:style w:type="paragraph" w:customStyle="1" w:styleId="856">
    <w:name w:val="标题一"/>
    <w:basedOn w:val="3"/>
    <w:qFormat/>
    <w:uiPriority w:val="0"/>
    <w:pPr>
      <w:autoSpaceDE/>
      <w:autoSpaceDN/>
      <w:spacing w:before="120" w:line="500" w:lineRule="exact"/>
      <w:ind w:left="2412" w:firstLine="288"/>
      <w:jc w:val="left"/>
    </w:pPr>
    <w:rPr>
      <w:rFonts w:hAnsi="宋体"/>
      <w:sz w:val="36"/>
      <w:lang w:val="zh-CN"/>
    </w:rPr>
  </w:style>
  <w:style w:type="paragraph" w:customStyle="1" w:styleId="857">
    <w:name w:val="xl493"/>
    <w:basedOn w:val="1"/>
    <w:qFormat/>
    <w:uiPriority w:val="0"/>
    <w:pPr>
      <w:widowControl/>
      <w:pBdr>
        <w:left w:val="single" w:color="auto" w:sz="8" w:space="0"/>
      </w:pBdr>
      <w:shd w:val="clear" w:color="FFFFFF" w:fill="FFFFFF"/>
      <w:spacing w:before="100" w:beforeAutospacing="1" w:after="100" w:afterAutospacing="1"/>
      <w:jc w:val="center"/>
    </w:pPr>
    <w:rPr>
      <w:rFonts w:ascii="宋体" w:hAnsi="宋体"/>
      <w:kern w:val="0"/>
      <w:sz w:val="20"/>
      <w:szCs w:val="20"/>
    </w:rPr>
  </w:style>
  <w:style w:type="paragraph" w:customStyle="1" w:styleId="858">
    <w:name w:val="b封面文字"/>
    <w:qFormat/>
    <w:uiPriority w:val="0"/>
    <w:pPr>
      <w:spacing w:line="560" w:lineRule="exact"/>
      <w:jc w:val="center"/>
    </w:pPr>
    <w:rPr>
      <w:rFonts w:ascii="Times New Roman" w:hAnsi="Times New Roman" w:eastAsia="宋体" w:cs="Times New Roman"/>
      <w:b/>
      <w:sz w:val="32"/>
      <w:lang w:val="en-US" w:eastAsia="zh-CN" w:bidi="ar-SA"/>
    </w:rPr>
  </w:style>
  <w:style w:type="paragraph" w:customStyle="1" w:styleId="859">
    <w:name w:val="Char1 Char Char Char Char Char Char"/>
    <w:basedOn w:val="1"/>
    <w:qFormat/>
    <w:uiPriority w:val="0"/>
    <w:rPr>
      <w:rFonts w:ascii="Tahoma" w:hAnsi="Tahoma"/>
      <w:sz w:val="24"/>
      <w:szCs w:val="20"/>
    </w:rPr>
  </w:style>
  <w:style w:type="paragraph" w:customStyle="1" w:styleId="860">
    <w:name w:val="xl467"/>
    <w:basedOn w:val="1"/>
    <w:qFormat/>
    <w:uiPriority w:val="0"/>
    <w:pPr>
      <w:widowControl/>
      <w:pBdr>
        <w:top w:val="single" w:color="auto" w:sz="4" w:space="0"/>
        <w:left w:val="single" w:color="auto" w:sz="4" w:space="0"/>
        <w:bottom w:val="single" w:color="auto" w:sz="4" w:space="0"/>
        <w:right w:val="single" w:color="auto" w:sz="4" w:space="0"/>
      </w:pBdr>
      <w:shd w:val="clear" w:color="FFFFFF" w:fill="FFFFFF"/>
      <w:spacing w:before="100" w:beforeAutospacing="1" w:after="100" w:afterAutospacing="1"/>
      <w:jc w:val="center"/>
    </w:pPr>
    <w:rPr>
      <w:rFonts w:ascii="宋体" w:hAnsi="宋体"/>
      <w:kern w:val="0"/>
      <w:sz w:val="20"/>
      <w:szCs w:val="20"/>
    </w:rPr>
  </w:style>
  <w:style w:type="paragraph" w:customStyle="1" w:styleId="861">
    <w:name w:val="xl455"/>
    <w:basedOn w:val="1"/>
    <w:qFormat/>
    <w:uiPriority w:val="0"/>
    <w:pPr>
      <w:widowControl/>
      <w:pBdr>
        <w:left w:val="single" w:color="000000" w:sz="4" w:space="0"/>
        <w:bottom w:val="single" w:color="000000" w:sz="4" w:space="0"/>
        <w:right w:val="single" w:color="000000" w:sz="4" w:space="0"/>
      </w:pBdr>
      <w:shd w:val="clear" w:color="FFFFFF" w:fill="FFFFFF"/>
      <w:spacing w:before="100" w:beforeAutospacing="1" w:after="100" w:afterAutospacing="1"/>
      <w:jc w:val="center"/>
    </w:pPr>
    <w:rPr>
      <w:rFonts w:ascii="宋体" w:hAnsi="宋体"/>
      <w:kern w:val="0"/>
      <w:sz w:val="20"/>
      <w:szCs w:val="20"/>
    </w:rPr>
  </w:style>
  <w:style w:type="paragraph" w:customStyle="1" w:styleId="862">
    <w:name w:val="zsj正文"/>
    <w:basedOn w:val="1"/>
    <w:qFormat/>
    <w:uiPriority w:val="0"/>
    <w:pPr>
      <w:spacing w:before="120" w:after="120" w:line="400" w:lineRule="atLeast"/>
      <w:ind w:firstLine="420"/>
    </w:pPr>
    <w:rPr>
      <w:szCs w:val="20"/>
    </w:rPr>
  </w:style>
  <w:style w:type="paragraph" w:customStyle="1" w:styleId="863">
    <w:name w:val="xl12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2"/>
      <w:szCs w:val="22"/>
    </w:rPr>
  </w:style>
  <w:style w:type="paragraph" w:customStyle="1" w:styleId="864">
    <w:name w:val="封面标准号2"/>
    <w:basedOn w:val="781"/>
    <w:qFormat/>
    <w:uiPriority w:val="0"/>
    <w:pPr>
      <w:adjustRightInd w:val="0"/>
      <w:spacing w:before="357" w:line="280" w:lineRule="exact"/>
    </w:pPr>
  </w:style>
  <w:style w:type="paragraph" w:customStyle="1" w:styleId="865">
    <w:name w:val="表格标题"/>
    <w:basedOn w:val="551"/>
    <w:next w:val="551"/>
    <w:qFormat/>
    <w:uiPriority w:val="0"/>
  </w:style>
  <w:style w:type="paragraph" w:customStyle="1" w:styleId="866">
    <w:name w:val="xl68"/>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eastAsia="Arial Unicode MS" w:cs="Arial Unicode MS"/>
      <w:kern w:val="0"/>
      <w:sz w:val="24"/>
    </w:rPr>
  </w:style>
  <w:style w:type="paragraph" w:customStyle="1" w:styleId="867">
    <w:name w:val="xl474"/>
    <w:basedOn w:val="1"/>
    <w:qFormat/>
    <w:uiPriority w:val="0"/>
    <w:pPr>
      <w:widowControl/>
      <w:pBdr>
        <w:top w:val="single" w:color="000000" w:sz="4" w:space="0"/>
        <w:left w:val="single" w:color="000000" w:sz="4" w:space="0"/>
        <w:bottom w:val="single" w:color="000000" w:sz="4" w:space="0"/>
        <w:right w:val="single" w:color="auto" w:sz="8" w:space="0"/>
      </w:pBdr>
      <w:spacing w:before="100" w:beforeAutospacing="1" w:after="100" w:afterAutospacing="1"/>
      <w:jc w:val="center"/>
    </w:pPr>
    <w:rPr>
      <w:rFonts w:ascii="宋体" w:hAnsi="宋体"/>
      <w:kern w:val="0"/>
      <w:sz w:val="20"/>
      <w:szCs w:val="20"/>
    </w:rPr>
  </w:style>
  <w:style w:type="paragraph" w:customStyle="1" w:styleId="868">
    <w:name w:val="样式 5正文 + 首行缩进:  2 字符"/>
    <w:basedOn w:val="1"/>
    <w:qFormat/>
    <w:uiPriority w:val="0"/>
    <w:pPr>
      <w:spacing w:line="360" w:lineRule="auto"/>
      <w:ind w:firstLine="200" w:firstLineChars="200"/>
    </w:pPr>
    <w:rPr>
      <w:rFonts w:eastAsia="仿宋_GB2312"/>
      <w:sz w:val="28"/>
      <w:szCs w:val="20"/>
    </w:rPr>
  </w:style>
  <w:style w:type="paragraph" w:customStyle="1" w:styleId="869">
    <w:name w:val="正文行"/>
    <w:basedOn w:val="1"/>
    <w:qFormat/>
    <w:uiPriority w:val="0"/>
    <w:pPr>
      <w:spacing w:line="360" w:lineRule="auto"/>
    </w:pPr>
    <w:rPr>
      <w:rFonts w:ascii="Tahoma" w:hAnsi="Tahoma"/>
      <w:sz w:val="24"/>
    </w:rPr>
  </w:style>
  <w:style w:type="paragraph" w:customStyle="1" w:styleId="870">
    <w:name w:val="font13"/>
    <w:basedOn w:val="1"/>
    <w:qFormat/>
    <w:uiPriority w:val="0"/>
    <w:pPr>
      <w:widowControl/>
      <w:numPr>
        <w:ilvl w:val="0"/>
        <w:numId w:val="15"/>
      </w:numPr>
      <w:tabs>
        <w:tab w:val="left" w:pos="420"/>
        <w:tab w:val="clear" w:pos="425"/>
      </w:tabs>
      <w:spacing w:before="100" w:beforeAutospacing="1" w:after="100" w:afterAutospacing="1"/>
      <w:jc w:val="left"/>
    </w:pPr>
    <w:rPr>
      <w:kern w:val="0"/>
      <w:sz w:val="18"/>
      <w:szCs w:val="18"/>
    </w:rPr>
  </w:style>
  <w:style w:type="paragraph" w:customStyle="1" w:styleId="871">
    <w:name w:val="font0"/>
    <w:basedOn w:val="1"/>
    <w:qFormat/>
    <w:uiPriority w:val="0"/>
    <w:pPr>
      <w:widowControl/>
      <w:spacing w:before="100" w:beforeAutospacing="1" w:after="100" w:afterAutospacing="1"/>
      <w:jc w:val="left"/>
    </w:pPr>
    <w:rPr>
      <w:rFonts w:hint="eastAsia" w:ascii="宋体" w:hAnsi="宋体" w:cs="Arial Unicode MS"/>
      <w:kern w:val="0"/>
      <w:sz w:val="24"/>
    </w:rPr>
  </w:style>
  <w:style w:type="paragraph" w:customStyle="1" w:styleId="872">
    <w:name w:val="Normal_0"/>
    <w:qFormat/>
    <w:uiPriority w:val="99"/>
    <w:pPr>
      <w:spacing w:before="120" w:after="240"/>
      <w:jc w:val="both"/>
    </w:pPr>
    <w:rPr>
      <w:rFonts w:ascii="Calibri" w:hAnsi="Calibri" w:eastAsia="宋体" w:cs="Times New Roman"/>
      <w:sz w:val="22"/>
      <w:szCs w:val="22"/>
      <w:lang w:val="ru-RU" w:eastAsia="en-US" w:bidi="ar-SA"/>
    </w:rPr>
  </w:style>
  <w:style w:type="paragraph" w:customStyle="1" w:styleId="873">
    <w:name w:val="xl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18"/>
      <w:szCs w:val="18"/>
    </w:rPr>
  </w:style>
  <w:style w:type="paragraph" w:customStyle="1" w:styleId="874">
    <w:name w:val="默认段落字体 Para Char Char Char Char Char Char Char"/>
    <w:basedOn w:val="1"/>
    <w:qFormat/>
    <w:uiPriority w:val="0"/>
    <w:pPr>
      <w:snapToGrid w:val="0"/>
      <w:spacing w:line="360" w:lineRule="auto"/>
      <w:ind w:firstLine="200" w:firstLineChars="200"/>
    </w:pPr>
    <w:rPr>
      <w:rFonts w:eastAsia="仿宋_GB2312"/>
      <w:sz w:val="24"/>
      <w:szCs w:val="20"/>
    </w:rPr>
  </w:style>
  <w:style w:type="paragraph" w:customStyle="1" w:styleId="875">
    <w:name w:val="样式 标题 3标题 3 Char条标题1.1.1标题 333h33rd levelH3l3CTHeading..."/>
    <w:basedOn w:val="6"/>
    <w:qFormat/>
    <w:uiPriority w:val="0"/>
    <w:pPr>
      <w:autoSpaceDE/>
      <w:autoSpaceDN/>
      <w:adjustRightInd/>
      <w:spacing w:before="120"/>
      <w:jc w:val="both"/>
    </w:pPr>
    <w:rPr>
      <w:rFonts w:hAnsi="宋体"/>
      <w:bCs/>
      <w:kern w:val="2"/>
      <w:sz w:val="28"/>
      <w:szCs w:val="28"/>
      <w:u w:val="none"/>
    </w:rPr>
  </w:style>
  <w:style w:type="paragraph" w:customStyle="1" w:styleId="876">
    <w:name w:val="样式 标题 2 + 宋体"/>
    <w:basedOn w:val="4"/>
    <w:qFormat/>
    <w:uiPriority w:val="0"/>
    <w:pPr>
      <w:widowControl/>
      <w:autoSpaceDE/>
      <w:autoSpaceDN/>
      <w:adjustRightInd/>
      <w:spacing w:before="240" w:after="240" w:line="240" w:lineRule="auto"/>
      <w:jc w:val="left"/>
    </w:pPr>
    <w:rPr>
      <w:rFonts w:ascii="黑体" w:hAnsi="宋体"/>
      <w:lang w:val="zh-CN"/>
    </w:rPr>
  </w:style>
  <w:style w:type="paragraph" w:customStyle="1" w:styleId="877">
    <w:name w:val="文献分类号"/>
    <w:qFormat/>
    <w:uiPriority w:val="0"/>
    <w:pPr>
      <w:widowControl w:val="0"/>
      <w:spacing w:line="560" w:lineRule="exact"/>
      <w:textAlignment w:val="center"/>
    </w:pPr>
    <w:rPr>
      <w:rFonts w:ascii="Times New Roman" w:hAnsi="Times New Roman" w:eastAsia="黑体" w:cs="Times New Roman"/>
      <w:sz w:val="21"/>
      <w:lang w:val="en-US" w:eastAsia="zh-CN" w:bidi="ar-SA"/>
    </w:rPr>
  </w:style>
  <w:style w:type="paragraph" w:customStyle="1" w:styleId="878">
    <w:name w:val="图名"/>
    <w:basedOn w:val="1"/>
    <w:qFormat/>
    <w:uiPriority w:val="0"/>
    <w:pPr>
      <w:spacing w:line="264" w:lineRule="auto"/>
      <w:jc w:val="center"/>
    </w:pPr>
    <w:rPr>
      <w:rFonts w:eastAsia="黑体"/>
      <w:szCs w:val="20"/>
    </w:rPr>
  </w:style>
  <w:style w:type="paragraph" w:customStyle="1" w:styleId="879">
    <w:name w:val="样式 6表中文字 + (中文) 宋体 五号 行距: 单倍行距"/>
    <w:basedOn w:val="880"/>
    <w:qFormat/>
    <w:uiPriority w:val="0"/>
    <w:pPr>
      <w:spacing w:line="240" w:lineRule="auto"/>
      <w:ind w:firstLine="480" w:firstLineChars="0"/>
    </w:pPr>
  </w:style>
  <w:style w:type="paragraph" w:customStyle="1" w:styleId="880">
    <w:name w:val="6表中文字"/>
    <w:basedOn w:val="1"/>
    <w:qFormat/>
    <w:uiPriority w:val="0"/>
    <w:pPr>
      <w:widowControl/>
      <w:topLinePunct/>
      <w:autoSpaceDE w:val="0"/>
      <w:autoSpaceDN w:val="0"/>
      <w:adjustRightInd w:val="0"/>
      <w:snapToGrid w:val="0"/>
      <w:spacing w:line="360" w:lineRule="auto"/>
      <w:ind w:firstLine="200" w:firstLineChars="200"/>
      <w:jc w:val="center"/>
    </w:pPr>
    <w:rPr>
      <w:rFonts w:eastAsia="仿宋_GB2312"/>
      <w:kern w:val="0"/>
      <w:sz w:val="24"/>
      <w:szCs w:val="20"/>
    </w:rPr>
  </w:style>
  <w:style w:type="paragraph" w:customStyle="1" w:styleId="881">
    <w:name w:val="xl470"/>
    <w:basedOn w:val="1"/>
    <w:qFormat/>
    <w:uiPriority w:val="0"/>
    <w:pPr>
      <w:widowControl/>
      <w:pBdr>
        <w:top w:val="single" w:color="auto" w:sz="4" w:space="0"/>
        <w:left w:val="single" w:color="auto" w:sz="4" w:space="0"/>
        <w:bottom w:val="single" w:color="auto" w:sz="4" w:space="0"/>
        <w:right w:val="single" w:color="auto" w:sz="4" w:space="0"/>
      </w:pBdr>
      <w:shd w:val="clear" w:color="FFFFFF" w:fill="FFFFFF"/>
      <w:spacing w:before="100" w:beforeAutospacing="1" w:after="100" w:afterAutospacing="1"/>
      <w:jc w:val="center"/>
    </w:pPr>
    <w:rPr>
      <w:rFonts w:ascii="宋体" w:hAnsi="宋体"/>
      <w:kern w:val="0"/>
      <w:sz w:val="20"/>
      <w:szCs w:val="20"/>
    </w:rPr>
  </w:style>
  <w:style w:type="paragraph" w:customStyle="1" w:styleId="882">
    <w:name w:val="!编号+仿宋四号"/>
    <w:basedOn w:val="551"/>
    <w:next w:val="551"/>
    <w:qFormat/>
    <w:uiPriority w:val="0"/>
  </w:style>
  <w:style w:type="paragraph" w:customStyle="1" w:styleId="883">
    <w:name w:val="样式 样式 标题 3 + 首行缩进:  2 字符 + 首行缩进:  2 字符"/>
    <w:basedOn w:val="1"/>
    <w:qFormat/>
    <w:uiPriority w:val="0"/>
    <w:pPr>
      <w:keepNext/>
      <w:keepLines/>
      <w:spacing w:before="260" w:after="260"/>
      <w:ind w:firstLine="562" w:firstLineChars="200"/>
      <w:outlineLvl w:val="2"/>
    </w:pPr>
    <w:rPr>
      <w:b/>
      <w:sz w:val="28"/>
      <w:szCs w:val="20"/>
    </w:rPr>
  </w:style>
  <w:style w:type="paragraph" w:customStyle="1" w:styleId="884">
    <w:name w:val="xl69"/>
    <w:basedOn w:val="1"/>
    <w:qFormat/>
    <w:uiPriority w:val="0"/>
    <w:pPr>
      <w:widowControl/>
      <w:numPr>
        <w:ilvl w:val="0"/>
        <w:numId w:val="16"/>
      </w:numPr>
      <w:pBdr>
        <w:top w:val="single" w:color="auto" w:sz="4" w:space="0"/>
        <w:left w:val="single" w:color="auto" w:sz="4" w:space="0"/>
        <w:bottom w:val="single" w:color="auto" w:sz="4" w:space="0"/>
        <w:right w:val="single" w:color="auto" w:sz="4" w:space="0"/>
      </w:pBdr>
      <w:tabs>
        <w:tab w:val="left" w:pos="360"/>
      </w:tabs>
      <w:spacing w:before="100" w:beforeAutospacing="1" w:after="100" w:afterAutospacing="1"/>
      <w:ind w:left="0" w:firstLine="0"/>
      <w:jc w:val="center"/>
    </w:pPr>
    <w:rPr>
      <w:rFonts w:ascii="宋体" w:hAnsi="宋体" w:cs="宋体"/>
      <w:kern w:val="0"/>
      <w:sz w:val="20"/>
      <w:szCs w:val="20"/>
    </w:rPr>
  </w:style>
  <w:style w:type="paragraph" w:customStyle="1" w:styleId="885">
    <w:name w:val="Char Char Char2 Char Char Char Char Char Char Char Char Char Char Char Char Char Char Char Char"/>
    <w:basedOn w:val="1"/>
    <w:qFormat/>
    <w:uiPriority w:val="0"/>
    <w:pPr>
      <w:snapToGrid w:val="0"/>
      <w:spacing w:line="360" w:lineRule="auto"/>
      <w:ind w:firstLine="200" w:firstLineChars="200"/>
    </w:pPr>
    <w:rPr>
      <w:rFonts w:eastAsia="仿宋_GB2312"/>
      <w:sz w:val="24"/>
      <w:szCs w:val="20"/>
    </w:rPr>
  </w:style>
  <w:style w:type="paragraph" w:customStyle="1" w:styleId="886">
    <w:name w:val="xl95"/>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textAlignment w:val="center"/>
    </w:pPr>
    <w:rPr>
      <w:kern w:val="0"/>
      <w:sz w:val="24"/>
    </w:rPr>
  </w:style>
  <w:style w:type="paragraph" w:customStyle="1" w:styleId="887">
    <w:name w:val="xl74"/>
    <w:basedOn w:val="1"/>
    <w:qFormat/>
    <w:uiPriority w:val="0"/>
    <w:pPr>
      <w:widowControl/>
      <w:numPr>
        <w:ilvl w:val="0"/>
        <w:numId w:val="17"/>
      </w:numPr>
      <w:pBdr>
        <w:top w:val="single" w:color="auto" w:sz="4" w:space="0"/>
        <w:left w:val="single" w:color="auto" w:sz="4" w:space="0"/>
        <w:bottom w:val="single" w:color="auto" w:sz="4" w:space="0"/>
        <w:right w:val="single" w:color="auto" w:sz="4" w:space="0"/>
      </w:pBdr>
      <w:tabs>
        <w:tab w:val="left" w:pos="-289"/>
        <w:tab w:val="left" w:pos="675"/>
      </w:tabs>
      <w:spacing w:before="100" w:beforeAutospacing="1" w:after="100" w:afterAutospacing="1"/>
      <w:ind w:left="0" w:firstLine="0"/>
      <w:jc w:val="center"/>
    </w:pPr>
    <w:rPr>
      <w:rFonts w:ascii="宋体" w:hAnsi="宋体" w:cs="宋体"/>
      <w:kern w:val="0"/>
      <w:sz w:val="20"/>
      <w:szCs w:val="20"/>
    </w:rPr>
  </w:style>
  <w:style w:type="paragraph" w:customStyle="1" w:styleId="888">
    <w:name w:val="xl480"/>
    <w:basedOn w:val="1"/>
    <w:qFormat/>
    <w:uiPriority w:val="0"/>
    <w:pPr>
      <w:widowControl/>
      <w:pBdr>
        <w:top w:val="single" w:color="auto" w:sz="4" w:space="0"/>
        <w:left w:val="single" w:color="000000" w:sz="4" w:space="0"/>
        <w:bottom w:val="single" w:color="000000" w:sz="4" w:space="0"/>
        <w:right w:val="single" w:color="auto" w:sz="8" w:space="0"/>
      </w:pBdr>
      <w:shd w:val="clear" w:color="FFFFFF" w:fill="FFFF00"/>
      <w:spacing w:before="100" w:beforeAutospacing="1" w:after="100" w:afterAutospacing="1"/>
      <w:jc w:val="center"/>
    </w:pPr>
    <w:rPr>
      <w:rFonts w:ascii="宋体" w:hAnsi="宋体"/>
      <w:b/>
      <w:kern w:val="0"/>
      <w:sz w:val="20"/>
      <w:szCs w:val="20"/>
    </w:rPr>
  </w:style>
  <w:style w:type="paragraph" w:customStyle="1" w:styleId="889">
    <w:name w:val="小标题"/>
    <w:basedOn w:val="34"/>
    <w:qFormat/>
    <w:uiPriority w:val="0"/>
    <w:pPr>
      <w:tabs>
        <w:tab w:val="clear" w:pos="567"/>
      </w:tabs>
      <w:spacing w:before="0" w:line="240" w:lineRule="auto"/>
      <w:ind w:left="100" w:leftChars="100"/>
    </w:pPr>
    <w:rPr>
      <w:rFonts w:ascii="Tahoma" w:hAnsi="Tahoma" w:eastAsia="仿宋_GB2312" w:cs="Century"/>
      <w:b/>
      <w:bCs/>
      <w:lang w:val="zh-CN"/>
    </w:rPr>
  </w:style>
  <w:style w:type="paragraph" w:customStyle="1" w:styleId="890">
    <w:name w:val="xl147"/>
    <w:basedOn w:val="1"/>
    <w:qFormat/>
    <w:uiPriority w:val="0"/>
    <w:pPr>
      <w:widowControl/>
      <w:pBdr>
        <w:top w:val="single" w:color="auto" w:sz="4" w:space="0"/>
        <w:left w:val="single" w:color="auto" w:sz="4" w:space="0"/>
        <w:right w:val="single" w:color="auto" w:sz="4" w:space="0"/>
      </w:pBdr>
      <w:spacing w:before="100" w:beforeAutospacing="1" w:after="100" w:afterAutospacing="1"/>
      <w:textAlignment w:val="center"/>
    </w:pPr>
    <w:rPr>
      <w:rFonts w:ascii="宋体" w:hAnsi="宋体" w:cs="宋体"/>
      <w:kern w:val="0"/>
      <w:sz w:val="24"/>
    </w:rPr>
  </w:style>
  <w:style w:type="paragraph" w:customStyle="1" w:styleId="891">
    <w:name w:val="标准书眉_奇数页"/>
    <w:next w:val="1"/>
    <w:qFormat/>
    <w:uiPriority w:val="0"/>
    <w:pPr>
      <w:tabs>
        <w:tab w:val="center" w:pos="4154"/>
        <w:tab w:val="right" w:pos="8306"/>
      </w:tabs>
      <w:spacing w:after="120" w:line="560" w:lineRule="exact"/>
      <w:jc w:val="right"/>
    </w:pPr>
    <w:rPr>
      <w:rFonts w:ascii="Times New Roman" w:hAnsi="Times New Roman" w:eastAsia="宋体" w:cs="Times New Roman"/>
      <w:sz w:val="21"/>
      <w:lang w:val="en-US" w:eastAsia="zh-CN" w:bidi="ar-SA"/>
    </w:rPr>
  </w:style>
  <w:style w:type="paragraph" w:customStyle="1" w:styleId="892">
    <w:name w:val="正文首行缩进2"/>
    <w:basedOn w:val="1"/>
    <w:qFormat/>
    <w:uiPriority w:val="0"/>
    <w:pPr>
      <w:adjustRightInd w:val="0"/>
      <w:spacing w:line="300" w:lineRule="atLeast"/>
      <w:ind w:firstLine="539"/>
      <w:textAlignment w:val="baseline"/>
    </w:pPr>
    <w:rPr>
      <w:rFonts w:ascii="宋体"/>
      <w:kern w:val="0"/>
      <w:sz w:val="24"/>
      <w:szCs w:val="20"/>
    </w:rPr>
  </w:style>
  <w:style w:type="paragraph" w:customStyle="1" w:styleId="893">
    <w:name w:val="正文-第几条 Char Char Char Char"/>
    <w:basedOn w:val="1"/>
    <w:qFormat/>
    <w:uiPriority w:val="0"/>
    <w:pPr>
      <w:tabs>
        <w:tab w:val="left" w:pos="1021"/>
      </w:tabs>
      <w:adjustRightInd w:val="0"/>
      <w:snapToGrid w:val="0"/>
      <w:spacing w:line="360" w:lineRule="auto"/>
      <w:ind w:left="360" w:firstLine="200" w:firstLineChars="200"/>
    </w:pPr>
    <w:rPr>
      <w:rFonts w:eastAsia="仿宋_GB2312"/>
      <w:sz w:val="24"/>
      <w:szCs w:val="20"/>
    </w:rPr>
  </w:style>
  <w:style w:type="paragraph" w:customStyle="1" w:styleId="894">
    <w:name w:val="xl11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2"/>
      <w:szCs w:val="22"/>
    </w:rPr>
  </w:style>
  <w:style w:type="paragraph" w:customStyle="1" w:styleId="895">
    <w:name w:val="xl160"/>
    <w:basedOn w:val="1"/>
    <w:qFormat/>
    <w:uiPriority w:val="0"/>
    <w:pPr>
      <w:widowControl/>
      <w:pBdr>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cs="宋体"/>
      <w:kern w:val="0"/>
      <w:sz w:val="22"/>
      <w:szCs w:val="22"/>
    </w:rPr>
  </w:style>
  <w:style w:type="paragraph" w:customStyle="1" w:styleId="896">
    <w:name w:val="封面标准代替信息"/>
    <w:basedOn w:val="864"/>
    <w:qFormat/>
    <w:uiPriority w:val="0"/>
    <w:pPr>
      <w:spacing w:before="57"/>
    </w:pPr>
    <w:rPr>
      <w:rFonts w:ascii="宋体"/>
      <w:sz w:val="21"/>
    </w:rPr>
  </w:style>
  <w:style w:type="paragraph" w:customStyle="1" w:styleId="897">
    <w:name w:val="xl130"/>
    <w:basedOn w:val="1"/>
    <w:qFormat/>
    <w:uiPriority w:val="0"/>
    <w:pPr>
      <w:widowControl/>
      <w:pBdr>
        <w:bottom w:val="single" w:color="auto" w:sz="4" w:space="0"/>
        <w:right w:val="single" w:color="auto" w:sz="4" w:space="0"/>
      </w:pBdr>
      <w:spacing w:before="100" w:beforeAutospacing="1" w:after="100" w:afterAutospacing="1"/>
      <w:jc w:val="right"/>
      <w:textAlignment w:val="center"/>
    </w:pPr>
    <w:rPr>
      <w:rFonts w:ascii="宋体" w:hAnsi="宋体" w:cs="宋体"/>
      <w:color w:val="FF0000"/>
      <w:kern w:val="0"/>
      <w:sz w:val="22"/>
      <w:szCs w:val="22"/>
    </w:rPr>
  </w:style>
  <w:style w:type="paragraph" w:customStyle="1" w:styleId="898">
    <w:name w:val="样式 样式 四号 首行缩进:  1.01 厘米 行距: 最小值 25 磅 + 黑色"/>
    <w:basedOn w:val="1"/>
    <w:qFormat/>
    <w:uiPriority w:val="0"/>
    <w:pPr>
      <w:spacing w:line="500" w:lineRule="atLeast"/>
      <w:ind w:firstLine="561"/>
    </w:pPr>
    <w:rPr>
      <w:color w:val="000000"/>
      <w:sz w:val="28"/>
      <w:szCs w:val="20"/>
    </w:rPr>
  </w:style>
  <w:style w:type="paragraph" w:customStyle="1" w:styleId="899">
    <w:name w:val="xl163"/>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900">
    <w:name w:val="样式 标题 1 + 段前: 0.5 行 段后: 0.5 行"/>
    <w:basedOn w:val="3"/>
    <w:qFormat/>
    <w:uiPriority w:val="0"/>
    <w:pPr>
      <w:keepNext w:val="0"/>
      <w:keepLines w:val="0"/>
      <w:tabs>
        <w:tab w:val="left" w:pos="432"/>
        <w:tab w:val="left" w:pos="540"/>
      </w:tabs>
      <w:autoSpaceDE/>
      <w:autoSpaceDN/>
      <w:adjustRightInd/>
      <w:spacing w:before="156" w:beforeLines="50" w:after="156" w:afterLines="50" w:line="360" w:lineRule="auto"/>
      <w:ind w:left="432" w:hanging="432"/>
    </w:pPr>
    <w:rPr>
      <w:rFonts w:hAnsi="宋体" w:cs="宋体"/>
      <w:b w:val="0"/>
      <w:bCs/>
      <w:kern w:val="2"/>
      <w:szCs w:val="32"/>
      <w:lang w:val="zh-CN"/>
    </w:rPr>
  </w:style>
  <w:style w:type="paragraph" w:customStyle="1" w:styleId="901">
    <w:name w:val="xl496"/>
    <w:basedOn w:val="1"/>
    <w:qFormat/>
    <w:uiPriority w:val="0"/>
    <w:pPr>
      <w:widowControl/>
      <w:shd w:val="clear" w:color="FFFFFF" w:fill="FFFFFF"/>
      <w:spacing w:before="100" w:beforeAutospacing="1" w:after="100" w:afterAutospacing="1"/>
      <w:jc w:val="center"/>
    </w:pPr>
    <w:rPr>
      <w:rFonts w:ascii="宋体" w:hAnsi="宋体"/>
      <w:kern w:val="0"/>
      <w:sz w:val="20"/>
      <w:szCs w:val="20"/>
    </w:rPr>
  </w:style>
  <w:style w:type="paragraph" w:customStyle="1" w:styleId="902">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903">
    <w:name w:val="样式 默认段落字体 Para Char Char Char Char Char +"/>
    <w:basedOn w:val="1"/>
    <w:qFormat/>
    <w:uiPriority w:val="0"/>
    <w:pPr>
      <w:spacing w:line="500" w:lineRule="atLeast"/>
      <w:ind w:firstLine="561"/>
    </w:pPr>
    <w:rPr>
      <w:kern w:val="0"/>
      <w:sz w:val="28"/>
      <w:szCs w:val="28"/>
    </w:rPr>
  </w:style>
  <w:style w:type="paragraph" w:styleId="904">
    <w:name w:val="Quote"/>
    <w:basedOn w:val="1"/>
    <w:next w:val="1"/>
    <w:link w:val="905"/>
    <w:qFormat/>
    <w:uiPriority w:val="0"/>
    <w:rPr>
      <w:rFonts w:ascii="Calibri" w:hAnsi="Calibri"/>
      <w:i/>
      <w:iCs/>
      <w:color w:val="000000"/>
      <w:szCs w:val="22"/>
    </w:rPr>
  </w:style>
  <w:style w:type="character" w:customStyle="1" w:styleId="905">
    <w:name w:val="引用 字符3"/>
    <w:basedOn w:val="91"/>
    <w:link w:val="904"/>
    <w:qFormat/>
    <w:uiPriority w:val="0"/>
    <w:rPr>
      <w:rFonts w:ascii="Calibri" w:hAnsi="Calibri"/>
      <w:i/>
      <w:iCs/>
      <w:color w:val="000000"/>
      <w:kern w:val="2"/>
      <w:sz w:val="21"/>
      <w:szCs w:val="22"/>
    </w:rPr>
  </w:style>
  <w:style w:type="paragraph" w:customStyle="1" w:styleId="906">
    <w:name w:val="xl1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cs="宋体"/>
      <w:kern w:val="0"/>
      <w:sz w:val="22"/>
      <w:szCs w:val="22"/>
    </w:rPr>
  </w:style>
  <w:style w:type="paragraph" w:customStyle="1" w:styleId="907">
    <w:name w:val="xl152"/>
    <w:basedOn w:val="1"/>
    <w:qFormat/>
    <w:uiPriority w:val="0"/>
    <w:pPr>
      <w:widowControl/>
      <w:pBdr>
        <w:top w:val="single" w:color="auto" w:sz="4" w:space="0"/>
        <w:bottom w:val="single" w:color="auto" w:sz="4" w:space="0"/>
      </w:pBdr>
      <w:spacing w:before="100" w:beforeAutospacing="1" w:after="100" w:afterAutospacing="1"/>
      <w:jc w:val="center"/>
      <w:textAlignment w:val="center"/>
    </w:pPr>
    <w:rPr>
      <w:kern w:val="0"/>
      <w:sz w:val="24"/>
    </w:rPr>
  </w:style>
  <w:style w:type="paragraph" w:customStyle="1" w:styleId="908">
    <w:name w:val="."/>
    <w:basedOn w:val="1"/>
    <w:qFormat/>
    <w:uiPriority w:val="0"/>
    <w:pPr>
      <w:widowControl/>
      <w:numPr>
        <w:ilvl w:val="0"/>
        <w:numId w:val="18"/>
      </w:numPr>
      <w:tabs>
        <w:tab w:val="left" w:pos="600"/>
        <w:tab w:val="left" w:pos="1429"/>
      </w:tabs>
      <w:overflowPunct w:val="0"/>
      <w:autoSpaceDE w:val="0"/>
      <w:autoSpaceDN w:val="0"/>
      <w:adjustRightInd w:val="0"/>
      <w:spacing w:before="40" w:line="264" w:lineRule="auto"/>
      <w:ind w:right="-57"/>
      <w:textAlignment w:val="baseline"/>
    </w:pPr>
    <w:rPr>
      <w:rFonts w:ascii="宋体"/>
      <w:kern w:val="0"/>
      <w:sz w:val="24"/>
      <w:szCs w:val="20"/>
    </w:rPr>
  </w:style>
  <w:style w:type="paragraph" w:customStyle="1" w:styleId="909">
    <w:name w:val="列项◆（三级）"/>
    <w:qFormat/>
    <w:uiPriority w:val="0"/>
    <w:pPr>
      <w:ind w:left="800" w:leftChars="600" w:hanging="200" w:hangingChars="200"/>
    </w:pPr>
    <w:rPr>
      <w:rFonts w:ascii="宋体" w:hAnsi="Times New Roman" w:eastAsia="宋体" w:cs="Times New Roman"/>
      <w:sz w:val="21"/>
      <w:lang w:val="en-US" w:eastAsia="zh-CN" w:bidi="ar-SA"/>
    </w:rPr>
  </w:style>
  <w:style w:type="paragraph" w:customStyle="1" w:styleId="910">
    <w:name w:val="xl504"/>
    <w:basedOn w:val="1"/>
    <w:qFormat/>
    <w:uiPriority w:val="0"/>
    <w:pPr>
      <w:widowControl/>
      <w:pBdr>
        <w:left w:val="single" w:color="auto" w:sz="8" w:space="0"/>
        <w:right w:val="single" w:color="000000" w:sz="4" w:space="0"/>
      </w:pBdr>
      <w:spacing w:before="100" w:beforeAutospacing="1" w:after="100" w:afterAutospacing="1"/>
      <w:jc w:val="center"/>
    </w:pPr>
    <w:rPr>
      <w:rFonts w:ascii="宋体" w:hAnsi="宋体"/>
      <w:kern w:val="0"/>
      <w:sz w:val="20"/>
      <w:szCs w:val="20"/>
    </w:rPr>
  </w:style>
  <w:style w:type="paragraph" w:customStyle="1" w:styleId="911">
    <w:name w:val="xl4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0"/>
      <w:szCs w:val="20"/>
    </w:rPr>
  </w:style>
  <w:style w:type="paragraph" w:customStyle="1" w:styleId="912">
    <w:name w:val="xl79"/>
    <w:basedOn w:val="1"/>
    <w:qFormat/>
    <w:uiPriority w:val="0"/>
    <w:pPr>
      <w:widowControl/>
      <w:numPr>
        <w:ilvl w:val="0"/>
        <w:numId w:val="19"/>
      </w:numPr>
      <w:pBdr>
        <w:top w:val="single" w:color="auto" w:sz="4" w:space="0"/>
        <w:left w:val="single" w:color="auto" w:sz="4" w:space="0"/>
        <w:bottom w:val="single" w:color="auto" w:sz="4" w:space="0"/>
        <w:right w:val="single" w:color="auto" w:sz="4" w:space="0"/>
      </w:pBdr>
      <w:tabs>
        <w:tab w:val="left" w:pos="420"/>
        <w:tab w:val="clear" w:pos="425"/>
      </w:tabs>
      <w:spacing w:before="100" w:beforeAutospacing="1" w:after="100" w:afterAutospacing="1"/>
      <w:ind w:left="0" w:firstLine="0"/>
      <w:jc w:val="left"/>
      <w:textAlignment w:val="center"/>
    </w:pPr>
    <w:rPr>
      <w:rFonts w:ascii="宋体" w:hAnsi="宋体" w:cs="宋体"/>
      <w:b/>
      <w:bCs/>
      <w:kern w:val="0"/>
      <w:sz w:val="20"/>
      <w:szCs w:val="20"/>
    </w:rPr>
  </w:style>
  <w:style w:type="paragraph" w:customStyle="1" w:styleId="913">
    <w:name w:val="xl57"/>
    <w:basedOn w:val="1"/>
    <w:qFormat/>
    <w:uiPriority w:val="0"/>
    <w:pPr>
      <w:widowControl/>
      <w:pBdr>
        <w:top w:val="single" w:color="auto" w:sz="4" w:space="0"/>
        <w:left w:val="single" w:color="auto" w:sz="4" w:space="0"/>
        <w:bottom w:val="single" w:color="auto" w:sz="4" w:space="0"/>
        <w:right w:val="single" w:color="auto" w:sz="4" w:space="0"/>
      </w:pBdr>
      <w:shd w:val="clear" w:color="auto" w:fill="FF99CC"/>
      <w:spacing w:before="100" w:beforeAutospacing="1" w:after="100" w:afterAutospacing="1"/>
      <w:jc w:val="center"/>
      <w:textAlignment w:val="center"/>
    </w:pPr>
    <w:rPr>
      <w:rFonts w:ascii="宋体" w:hAnsi="宋体"/>
      <w:b/>
      <w:bCs/>
      <w:kern w:val="0"/>
      <w:sz w:val="18"/>
      <w:szCs w:val="18"/>
    </w:rPr>
  </w:style>
  <w:style w:type="paragraph" w:customStyle="1" w:styleId="914">
    <w:name w:val="xl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18"/>
      <w:szCs w:val="18"/>
    </w:rPr>
  </w:style>
  <w:style w:type="paragraph" w:customStyle="1" w:styleId="915">
    <w:name w:val="正文 New"/>
    <w:qFormat/>
    <w:uiPriority w:val="0"/>
    <w:pPr>
      <w:widowControl w:val="0"/>
      <w:spacing w:line="560" w:lineRule="exact"/>
      <w:jc w:val="both"/>
    </w:pPr>
    <w:rPr>
      <w:rFonts w:ascii="Times New Roman" w:hAnsi="Times New Roman" w:eastAsia="宋体" w:cs="Times New Roman"/>
      <w:kern w:val="2"/>
      <w:sz w:val="21"/>
      <w:lang w:val="en-US" w:eastAsia="zh-CN" w:bidi="ar-SA"/>
    </w:rPr>
  </w:style>
  <w:style w:type="paragraph" w:customStyle="1" w:styleId="916">
    <w:name w:val="样式 仿宋_GB2312 小四 行距: 固定值 25 磅"/>
    <w:basedOn w:val="1"/>
    <w:qFormat/>
    <w:uiPriority w:val="0"/>
    <w:pPr>
      <w:spacing w:line="420" w:lineRule="exact"/>
      <w:ind w:firstLine="480" w:firstLineChars="200"/>
    </w:pPr>
    <w:rPr>
      <w:rFonts w:ascii="仿宋_GB2312" w:eastAsia="仿宋_GB2312" w:cs="宋体"/>
      <w:sz w:val="24"/>
      <w:szCs w:val="20"/>
    </w:rPr>
  </w:style>
  <w:style w:type="paragraph" w:customStyle="1" w:styleId="917">
    <w:name w:val="4条"/>
    <w:basedOn w:val="1"/>
    <w:next w:val="1"/>
    <w:qFormat/>
    <w:uiPriority w:val="0"/>
    <w:pPr>
      <w:widowControl/>
      <w:spacing w:beforeLines="50" w:afterLines="50" w:line="500" w:lineRule="exact"/>
      <w:jc w:val="left"/>
      <w:outlineLvl w:val="3"/>
    </w:pPr>
    <w:rPr>
      <w:rFonts w:eastAsia="仿宋_GB2312"/>
      <w:kern w:val="0"/>
      <w:sz w:val="28"/>
      <w:szCs w:val="20"/>
    </w:rPr>
  </w:style>
  <w:style w:type="paragraph" w:customStyle="1" w:styleId="918">
    <w:name w:val="正文1 Char Char Char"/>
    <w:basedOn w:val="1"/>
    <w:qFormat/>
    <w:uiPriority w:val="0"/>
    <w:pPr>
      <w:spacing w:line="360" w:lineRule="auto"/>
      <w:ind w:firstLine="200" w:firstLineChars="200"/>
    </w:pPr>
    <w:rPr>
      <w:rFonts w:eastAsia="仿宋_GB2312"/>
      <w:sz w:val="24"/>
      <w:szCs w:val="20"/>
    </w:rPr>
  </w:style>
  <w:style w:type="paragraph" w:customStyle="1" w:styleId="919">
    <w:name w:val="样式 样式 样式 段前: 0.5 行 段后: 0.5 行 + 首行缩进:  2 字符1 + 首行缩进:  2 字符"/>
    <w:basedOn w:val="609"/>
    <w:qFormat/>
    <w:uiPriority w:val="0"/>
  </w:style>
  <w:style w:type="paragraph" w:customStyle="1" w:styleId="920">
    <w:name w:val="附录图标题"/>
    <w:next w:val="757"/>
    <w:qFormat/>
    <w:uiPriority w:val="0"/>
    <w:pPr>
      <w:tabs>
        <w:tab w:val="left" w:pos="360"/>
      </w:tabs>
      <w:spacing w:line="560" w:lineRule="exact"/>
      <w:jc w:val="center"/>
    </w:pPr>
    <w:rPr>
      <w:rFonts w:ascii="黑体" w:hAnsi="Times New Roman" w:eastAsia="黑体" w:cs="Times New Roman"/>
      <w:sz w:val="21"/>
      <w:lang w:val="en-US" w:eastAsia="zh-CN" w:bidi="ar-SA"/>
    </w:rPr>
  </w:style>
  <w:style w:type="paragraph" w:customStyle="1" w:styleId="921">
    <w:name w:val="xl466"/>
    <w:basedOn w:val="1"/>
    <w:qFormat/>
    <w:uiPriority w:val="0"/>
    <w:pPr>
      <w:widowControl/>
      <w:pBdr>
        <w:top w:val="single" w:color="auto" w:sz="4" w:space="0"/>
        <w:left w:val="single" w:color="auto" w:sz="4" w:space="0"/>
        <w:bottom w:val="single" w:color="auto" w:sz="4" w:space="0"/>
        <w:right w:val="single" w:color="auto" w:sz="8" w:space="0"/>
      </w:pBdr>
      <w:shd w:val="clear" w:color="FFFFFF" w:fill="FFFFFF"/>
      <w:spacing w:before="100" w:beforeAutospacing="1" w:after="100" w:afterAutospacing="1"/>
      <w:jc w:val="center"/>
    </w:pPr>
    <w:rPr>
      <w:rFonts w:ascii="宋体" w:hAnsi="宋体"/>
      <w:kern w:val="0"/>
      <w:sz w:val="20"/>
      <w:szCs w:val="20"/>
    </w:rPr>
  </w:style>
  <w:style w:type="paragraph" w:customStyle="1" w:styleId="922">
    <w:name w:val="样式 样式1 + 加粗"/>
    <w:basedOn w:val="1"/>
    <w:qFormat/>
    <w:uiPriority w:val="0"/>
    <w:pPr>
      <w:spacing w:before="180" w:after="180"/>
      <w:jc w:val="center"/>
    </w:pPr>
    <w:rPr>
      <w:b/>
      <w:bCs/>
      <w:sz w:val="30"/>
    </w:rPr>
  </w:style>
  <w:style w:type="paragraph" w:customStyle="1" w:styleId="923">
    <w:name w:val="font15"/>
    <w:basedOn w:val="1"/>
    <w:qFormat/>
    <w:uiPriority w:val="0"/>
    <w:pPr>
      <w:widowControl/>
      <w:spacing w:before="100" w:beforeAutospacing="1" w:after="100" w:afterAutospacing="1"/>
      <w:jc w:val="left"/>
    </w:pPr>
    <w:rPr>
      <w:kern w:val="0"/>
      <w:sz w:val="28"/>
      <w:szCs w:val="20"/>
    </w:rPr>
  </w:style>
  <w:style w:type="paragraph" w:customStyle="1" w:styleId="924">
    <w:name w:val="金安桥正文"/>
    <w:basedOn w:val="35"/>
    <w:qFormat/>
    <w:uiPriority w:val="99"/>
    <w:pPr>
      <w:adjustRightInd w:val="0"/>
      <w:spacing w:line="300" w:lineRule="auto"/>
      <w:ind w:firstLine="200" w:firstLineChars="200"/>
      <w:jc w:val="left"/>
    </w:pPr>
    <w:rPr>
      <w:rFonts w:ascii="Tahoma" w:hAnsi="Tahoma"/>
      <w:kern w:val="0"/>
      <w:szCs w:val="20"/>
      <w:lang w:val="zh-CN"/>
    </w:rPr>
  </w:style>
  <w:style w:type="paragraph" w:customStyle="1" w:styleId="925">
    <w:name w:val="Num"/>
    <w:basedOn w:val="1"/>
    <w:qFormat/>
    <w:uiPriority w:val="0"/>
    <w:pPr>
      <w:widowControl/>
      <w:tabs>
        <w:tab w:val="left" w:pos="900"/>
      </w:tabs>
      <w:overflowPunct w:val="0"/>
      <w:autoSpaceDE w:val="0"/>
      <w:autoSpaceDN w:val="0"/>
      <w:adjustRightInd w:val="0"/>
      <w:snapToGrid w:val="0"/>
      <w:spacing w:before="156" w:beforeLines="50" w:after="156" w:afterLines="50" w:line="360" w:lineRule="auto"/>
      <w:ind w:left="900" w:hanging="420"/>
    </w:pPr>
    <w:rPr>
      <w:rFonts w:hAnsi="宋体"/>
      <w:kern w:val="0"/>
      <w:sz w:val="24"/>
      <w:lang w:val="en-GB"/>
    </w:rPr>
  </w:style>
  <w:style w:type="paragraph" w:customStyle="1" w:styleId="926">
    <w:name w:val="样式 样式 正文文本缩进 3 + 小四 +"/>
    <w:basedOn w:val="927"/>
    <w:qFormat/>
    <w:uiPriority w:val="0"/>
    <w:rPr>
      <w:kern w:val="2"/>
    </w:rPr>
  </w:style>
  <w:style w:type="paragraph" w:customStyle="1" w:styleId="927">
    <w:name w:val="样式 正文文本缩进 3 + 小四"/>
    <w:basedOn w:val="70"/>
    <w:qFormat/>
    <w:uiPriority w:val="0"/>
    <w:pPr>
      <w:autoSpaceDE/>
      <w:autoSpaceDN/>
      <w:adjustRightInd/>
      <w:spacing w:before="0" w:line="500" w:lineRule="atLeast"/>
      <w:ind w:left="0" w:firstLine="561"/>
      <w:jc w:val="both"/>
    </w:pPr>
    <w:rPr>
      <w:rFonts w:ascii="Times New Roman"/>
      <w:sz w:val="28"/>
      <w:szCs w:val="28"/>
      <w:lang w:val="zh-CN"/>
    </w:rPr>
  </w:style>
  <w:style w:type="paragraph" w:customStyle="1" w:styleId="928">
    <w:name w:val="样式 标题 4 + 段前: 0.5 行 段后: 0.5 行"/>
    <w:basedOn w:val="7"/>
    <w:qFormat/>
    <w:uiPriority w:val="0"/>
    <w:pPr>
      <w:tabs>
        <w:tab w:val="left" w:pos="851"/>
      </w:tabs>
      <w:spacing w:before="0" w:after="0" w:line="360" w:lineRule="auto"/>
      <w:ind w:left="851" w:hanging="851"/>
      <w:jc w:val="left"/>
    </w:pPr>
    <w:rPr>
      <w:rFonts w:eastAsia="宋体" w:cs="宋体"/>
      <w:b w:val="0"/>
      <w:bCs/>
      <w:sz w:val="24"/>
      <w:lang w:val="zh-CN"/>
    </w:rPr>
  </w:style>
  <w:style w:type="paragraph" w:customStyle="1" w:styleId="929">
    <w:name w:val="CM12"/>
    <w:basedOn w:val="208"/>
    <w:next w:val="208"/>
    <w:qFormat/>
    <w:uiPriority w:val="0"/>
    <w:pPr>
      <w:spacing w:line="468" w:lineRule="atLeast"/>
    </w:pPr>
    <w:rPr>
      <w:rFonts w:ascii="华文新魏" w:hAnsi="Times New Roman" w:eastAsia="华文新魏" w:cs="Times New Roman"/>
      <w:color w:val="auto"/>
      <w:szCs w:val="20"/>
    </w:rPr>
  </w:style>
  <w:style w:type="paragraph" w:customStyle="1" w:styleId="930">
    <w:name w:val="xl103"/>
    <w:basedOn w:val="1"/>
    <w:qFormat/>
    <w:uiPriority w:val="0"/>
    <w:pPr>
      <w:widowControl/>
      <w:spacing w:before="100" w:beforeAutospacing="1" w:after="100" w:afterAutospacing="1"/>
      <w:jc w:val="center"/>
      <w:textAlignment w:val="center"/>
    </w:pPr>
    <w:rPr>
      <w:rFonts w:ascii="宋体" w:hAnsi="宋体" w:cs="宋体"/>
      <w:kern w:val="0"/>
      <w:sz w:val="22"/>
      <w:szCs w:val="22"/>
    </w:rPr>
  </w:style>
  <w:style w:type="paragraph" w:customStyle="1" w:styleId="931">
    <w:name w:val="正文文本缩进 2 Char Char Char"/>
    <w:basedOn w:val="1"/>
    <w:next w:val="51"/>
    <w:qFormat/>
    <w:uiPriority w:val="0"/>
    <w:pPr>
      <w:spacing w:after="120" w:line="480" w:lineRule="auto"/>
      <w:ind w:left="420" w:leftChars="200"/>
    </w:pPr>
    <w:rPr>
      <w:szCs w:val="20"/>
    </w:rPr>
  </w:style>
  <w:style w:type="paragraph" w:customStyle="1" w:styleId="932">
    <w:name w:val="textstyle1"/>
    <w:basedOn w:val="1"/>
    <w:qFormat/>
    <w:uiPriority w:val="0"/>
    <w:pPr>
      <w:overflowPunct w:val="0"/>
      <w:autoSpaceDE w:val="0"/>
      <w:autoSpaceDN w:val="0"/>
      <w:adjustRightInd w:val="0"/>
      <w:spacing w:after="120" w:line="360" w:lineRule="auto"/>
      <w:ind w:firstLine="426"/>
      <w:textAlignment w:val="baseline"/>
    </w:pPr>
    <w:rPr>
      <w:rFonts w:ascii="楷体" w:eastAsia="楷体"/>
      <w:kern w:val="0"/>
      <w:sz w:val="28"/>
      <w:szCs w:val="28"/>
    </w:rPr>
  </w:style>
  <w:style w:type="paragraph" w:customStyle="1" w:styleId="933">
    <w:name w:val="无间隔2"/>
    <w:qFormat/>
    <w:uiPriority w:val="0"/>
    <w:pPr>
      <w:widowControl w:val="0"/>
      <w:jc w:val="both"/>
    </w:pPr>
    <w:rPr>
      <w:rFonts w:ascii="Calibri" w:hAnsi="Calibri" w:eastAsia="宋体" w:cs="Times New Roman"/>
      <w:kern w:val="2"/>
      <w:sz w:val="21"/>
      <w:szCs w:val="22"/>
      <w:lang w:val="en-US" w:eastAsia="zh-CN" w:bidi="ar-SA"/>
    </w:rPr>
  </w:style>
  <w:style w:type="paragraph" w:customStyle="1" w:styleId="934">
    <w:name w:val="xl98"/>
    <w:basedOn w:val="1"/>
    <w:qFormat/>
    <w:uiPriority w:val="0"/>
    <w:pPr>
      <w:widowControl/>
      <w:pBdr>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935">
    <w:name w:val="xl104"/>
    <w:basedOn w:val="1"/>
    <w:qFormat/>
    <w:uiPriority w:val="0"/>
    <w:pPr>
      <w:widowControl/>
      <w:spacing w:before="100" w:beforeAutospacing="1" w:after="100" w:afterAutospacing="1"/>
      <w:jc w:val="right"/>
      <w:textAlignment w:val="center"/>
    </w:pPr>
    <w:rPr>
      <w:rFonts w:ascii="宋体" w:hAnsi="宋体" w:cs="宋体"/>
      <w:kern w:val="0"/>
      <w:sz w:val="22"/>
      <w:szCs w:val="22"/>
    </w:rPr>
  </w:style>
  <w:style w:type="paragraph" w:customStyle="1" w:styleId="936">
    <w:name w:val="样式 样式 标题 2节H2UNDERRUBRIK 1-2h2l22nd level2Header 2标题 2my2... + 黑色"/>
    <w:basedOn w:val="1"/>
    <w:qFormat/>
    <w:uiPriority w:val="0"/>
    <w:pPr>
      <w:keepNext/>
      <w:keepLines/>
      <w:spacing w:before="120" w:after="120" w:line="500" w:lineRule="atLeast"/>
      <w:outlineLvl w:val="1"/>
    </w:pPr>
    <w:rPr>
      <w:rFonts w:eastAsia="黑体"/>
      <w:color w:val="000000"/>
      <w:sz w:val="30"/>
      <w:szCs w:val="20"/>
    </w:rPr>
  </w:style>
  <w:style w:type="paragraph" w:customStyle="1" w:styleId="937">
    <w:name w:val="xl61"/>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24"/>
    </w:rPr>
  </w:style>
  <w:style w:type="paragraph" w:customStyle="1" w:styleId="938">
    <w:name w:val="xl449"/>
    <w:basedOn w:val="1"/>
    <w:qFormat/>
    <w:uiPriority w:val="0"/>
    <w:pPr>
      <w:widowControl/>
      <w:pBdr>
        <w:top w:val="single" w:color="000000" w:sz="4" w:space="0"/>
        <w:left w:val="single" w:color="000000" w:sz="4" w:space="0"/>
        <w:bottom w:val="single" w:color="000000" w:sz="4" w:space="0"/>
        <w:right w:val="single" w:color="000000" w:sz="4" w:space="0"/>
      </w:pBdr>
      <w:shd w:val="clear" w:color="FFFFFF" w:fill="FFFFFF"/>
      <w:spacing w:before="100" w:beforeAutospacing="1" w:after="100" w:afterAutospacing="1"/>
      <w:jc w:val="left"/>
    </w:pPr>
    <w:rPr>
      <w:rFonts w:ascii="宋体" w:hAnsi="宋体"/>
      <w:kern w:val="0"/>
      <w:sz w:val="20"/>
      <w:szCs w:val="20"/>
    </w:rPr>
  </w:style>
  <w:style w:type="paragraph" w:customStyle="1" w:styleId="939">
    <w:name w:val="表格居中"/>
    <w:basedOn w:val="1"/>
    <w:qFormat/>
    <w:uiPriority w:val="0"/>
    <w:pPr>
      <w:adjustRightInd w:val="0"/>
      <w:spacing w:line="276" w:lineRule="auto"/>
      <w:ind w:right="-161" w:firstLine="109" w:firstLineChars="52"/>
    </w:pPr>
    <w:rPr>
      <w:rFonts w:eastAsia="仿宋_GB2312"/>
      <w:color w:val="FF0000"/>
      <w:kern w:val="0"/>
      <w:szCs w:val="20"/>
    </w:rPr>
  </w:style>
  <w:style w:type="paragraph" w:customStyle="1" w:styleId="940">
    <w:name w:val="Body Text 21"/>
    <w:basedOn w:val="1"/>
    <w:qFormat/>
    <w:uiPriority w:val="0"/>
    <w:pPr>
      <w:adjustRightInd w:val="0"/>
      <w:spacing w:before="240" w:line="400" w:lineRule="exact"/>
      <w:ind w:firstLine="357"/>
      <w:textAlignment w:val="baseline"/>
    </w:pPr>
    <w:rPr>
      <w:sz w:val="28"/>
      <w:szCs w:val="20"/>
    </w:rPr>
  </w:style>
  <w:style w:type="paragraph" w:customStyle="1" w:styleId="941">
    <w:name w:val="PMletterTextBullet"/>
    <w:basedOn w:val="942"/>
    <w:qFormat/>
    <w:uiPriority w:val="0"/>
    <w:pPr>
      <w:tabs>
        <w:tab w:val="left" w:pos="1800"/>
      </w:tabs>
      <w:ind w:left="1800" w:firstLine="288"/>
    </w:pPr>
  </w:style>
  <w:style w:type="paragraph" w:customStyle="1" w:styleId="942">
    <w:name w:val="PMletterText"/>
    <w:basedOn w:val="786"/>
    <w:qFormat/>
    <w:uiPriority w:val="0"/>
    <w:pPr>
      <w:spacing w:before="240"/>
      <w:ind w:left="720"/>
    </w:pPr>
  </w:style>
  <w:style w:type="paragraph" w:customStyle="1" w:styleId="943">
    <w:name w:val="正文+宋体"/>
    <w:basedOn w:val="1"/>
    <w:qFormat/>
    <w:uiPriority w:val="0"/>
    <w:pPr>
      <w:spacing w:after="156" w:afterLines="50" w:line="360" w:lineRule="auto"/>
    </w:pPr>
    <w:rPr>
      <w:rFonts w:ascii="Arial" w:hAnsi="Arial" w:cs="Arial"/>
      <w:color w:val="000000"/>
      <w:szCs w:val="21"/>
    </w:rPr>
  </w:style>
  <w:style w:type="paragraph" w:customStyle="1" w:styleId="944">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945">
    <w:name w:val="xl112"/>
    <w:basedOn w:val="1"/>
    <w:qFormat/>
    <w:uiPriority w:val="0"/>
    <w:pPr>
      <w:widowControl/>
      <w:pBdr>
        <w:bottom w:val="single" w:color="auto" w:sz="4" w:space="0"/>
        <w:right w:val="single" w:color="auto" w:sz="4" w:space="0"/>
      </w:pBdr>
      <w:spacing w:before="100" w:beforeAutospacing="1" w:after="100" w:afterAutospacing="1"/>
      <w:jc w:val="center"/>
      <w:textAlignment w:val="center"/>
    </w:pPr>
    <w:rPr>
      <w:rFonts w:ascii="宋体" w:hAnsi="宋体" w:cs="宋体"/>
      <w:color w:val="0000FF"/>
      <w:kern w:val="0"/>
      <w:sz w:val="22"/>
      <w:szCs w:val="22"/>
    </w:rPr>
  </w:style>
  <w:style w:type="paragraph" w:customStyle="1" w:styleId="946">
    <w:name w:val="Char Char Char Char1"/>
    <w:basedOn w:val="1"/>
    <w:qFormat/>
    <w:uiPriority w:val="0"/>
    <w:rPr>
      <w:rFonts w:ascii="Tahoma" w:hAnsi="Tahoma"/>
      <w:sz w:val="24"/>
      <w:szCs w:val="20"/>
    </w:rPr>
  </w:style>
  <w:style w:type="paragraph" w:customStyle="1" w:styleId="947">
    <w:name w:val="样式 样式 标题 2 + 宋体 五号 非加粗 黑色 + 段前: 6 磅 段后: 0 磅 行距: 单倍行距"/>
    <w:basedOn w:val="309"/>
    <w:qFormat/>
    <w:uiPriority w:val="0"/>
    <w:pPr>
      <w:spacing w:before="120" w:after="0" w:line="240" w:lineRule="auto"/>
    </w:pPr>
    <w:rPr>
      <w:szCs w:val="20"/>
    </w:rPr>
  </w:style>
  <w:style w:type="paragraph" w:customStyle="1" w:styleId="948">
    <w:name w:val="B标题二"/>
    <w:basedOn w:val="4"/>
    <w:qFormat/>
    <w:uiPriority w:val="0"/>
    <w:pPr>
      <w:widowControl/>
      <w:autoSpaceDE/>
      <w:autoSpaceDN/>
      <w:snapToGrid w:val="0"/>
      <w:spacing w:after="120" w:line="360" w:lineRule="auto"/>
      <w:ind w:firstLine="199" w:firstLineChars="62"/>
      <w:jc w:val="left"/>
    </w:pPr>
    <w:rPr>
      <w:rFonts w:ascii="Times New Roman" w:hAnsi="Times New Roman"/>
      <w:b w:val="0"/>
      <w:sz w:val="32"/>
      <w:lang w:val="zh-CN"/>
    </w:rPr>
  </w:style>
  <w:style w:type="paragraph" w:customStyle="1" w:styleId="949">
    <w:name w:val="xl5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18"/>
      <w:szCs w:val="18"/>
    </w:rPr>
  </w:style>
  <w:style w:type="paragraph" w:customStyle="1" w:styleId="950">
    <w:name w:val="编号列项（三级）"/>
    <w:qFormat/>
    <w:uiPriority w:val="0"/>
    <w:pPr>
      <w:numPr>
        <w:ilvl w:val="0"/>
        <w:numId w:val="20"/>
      </w:numPr>
      <w:tabs>
        <w:tab w:val="left" w:pos="420"/>
      </w:tabs>
      <w:ind w:left="800" w:leftChars="600" w:hanging="200" w:hangingChars="200"/>
    </w:pPr>
    <w:rPr>
      <w:rFonts w:ascii="宋体" w:hAnsi="Times New Roman" w:eastAsia="宋体" w:cs="Times New Roman"/>
      <w:sz w:val="21"/>
      <w:lang w:val="en-US" w:eastAsia="zh-CN" w:bidi="ar-SA"/>
    </w:rPr>
  </w:style>
  <w:style w:type="paragraph" w:customStyle="1" w:styleId="951">
    <w:name w:val="样式 标题 3 + 段前: 0.5 行 段后: 0.5 行1"/>
    <w:basedOn w:val="6"/>
    <w:qFormat/>
    <w:uiPriority w:val="0"/>
    <w:pPr>
      <w:autoSpaceDE/>
      <w:autoSpaceDN/>
      <w:spacing w:before="60" w:after="60" w:line="500" w:lineRule="atLeast"/>
      <w:textAlignment w:val="baseline"/>
    </w:pPr>
    <w:rPr>
      <w:rFonts w:ascii="Times New Roman" w:eastAsia="黑体" w:cs="宋体"/>
      <w:sz w:val="28"/>
      <w:u w:val="none"/>
    </w:rPr>
  </w:style>
  <w:style w:type="paragraph" w:customStyle="1" w:styleId="952">
    <w:name w:val="xl144"/>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953">
    <w:name w:val="g11"/>
    <w:basedOn w:val="1"/>
    <w:qFormat/>
    <w:uiPriority w:val="0"/>
    <w:pPr>
      <w:widowControl/>
      <w:spacing w:before="100" w:beforeAutospacing="1" w:after="100" w:afterAutospacing="1" w:line="900" w:lineRule="atLeast"/>
      <w:jc w:val="left"/>
    </w:pPr>
    <w:rPr>
      <w:rFonts w:ascii="华文中宋" w:hAnsi="华文中宋" w:eastAsia="华文中宋" w:cs="宋体"/>
      <w:b/>
      <w:bCs/>
      <w:color w:val="FF0000"/>
      <w:kern w:val="0"/>
      <w:sz w:val="60"/>
      <w:szCs w:val="60"/>
    </w:rPr>
  </w:style>
  <w:style w:type="paragraph" w:customStyle="1" w:styleId="954">
    <w:name w:val="样式 仿宋_GB2312 三号1"/>
    <w:basedOn w:val="1"/>
    <w:qFormat/>
    <w:uiPriority w:val="0"/>
    <w:pPr>
      <w:ind w:firstLine="622" w:firstLineChars="200"/>
    </w:pPr>
    <w:rPr>
      <w:rFonts w:eastAsia="仿宋_GB2312"/>
      <w:sz w:val="32"/>
      <w:szCs w:val="20"/>
    </w:rPr>
  </w:style>
  <w:style w:type="paragraph" w:customStyle="1" w:styleId="955">
    <w:name w:val="xl134"/>
    <w:basedOn w:val="1"/>
    <w:qFormat/>
    <w:uiPriority w:val="0"/>
    <w:pPr>
      <w:widowControl/>
      <w:pBdr>
        <w:bottom w:val="single" w:color="auto" w:sz="4" w:space="0"/>
        <w:right w:val="single" w:color="auto" w:sz="4" w:space="0"/>
      </w:pBdr>
      <w:spacing w:before="100" w:beforeAutospacing="1" w:after="100" w:afterAutospacing="1"/>
      <w:jc w:val="center"/>
      <w:textAlignment w:val="center"/>
    </w:pPr>
    <w:rPr>
      <w:rFonts w:ascii="宋体" w:hAnsi="宋体" w:cs="宋体"/>
      <w:kern w:val="0"/>
      <w:sz w:val="22"/>
      <w:szCs w:val="22"/>
    </w:rPr>
  </w:style>
  <w:style w:type="paragraph" w:customStyle="1" w:styleId="956">
    <w:name w:val="CM49"/>
    <w:basedOn w:val="208"/>
    <w:next w:val="208"/>
    <w:qFormat/>
    <w:uiPriority w:val="0"/>
    <w:rPr>
      <w:rFonts w:ascii="黑体" w:hAnsi="Times New Roman" w:eastAsia="黑体" w:cs="Times New Roman"/>
      <w:color w:val="auto"/>
      <w:szCs w:val="20"/>
    </w:rPr>
  </w:style>
  <w:style w:type="paragraph" w:customStyle="1" w:styleId="957">
    <w:name w:val="样式 标准段 + 右侧:  0 厘米 段前: 自动 段后: 自动 行距: 1.5 倍行距"/>
    <w:basedOn w:val="824"/>
    <w:qFormat/>
    <w:uiPriority w:val="0"/>
    <w:pPr>
      <w:spacing w:line="360" w:lineRule="auto"/>
      <w:ind w:left="0" w:leftChars="0" w:right="0"/>
    </w:pPr>
    <w:rPr>
      <w:rFonts w:cs="宋体"/>
      <w:bCs w:val="0"/>
    </w:rPr>
  </w:style>
  <w:style w:type="paragraph" w:customStyle="1" w:styleId="958">
    <w:name w:val="样式 Tahoma 小四 段前: 7.8 磅 段后: 7.8 磅 行距: 1.5 倍行距"/>
    <w:basedOn w:val="1"/>
    <w:qFormat/>
    <w:uiPriority w:val="0"/>
    <w:pPr>
      <w:spacing w:before="156" w:after="156" w:line="360" w:lineRule="auto"/>
      <w:ind w:firstLine="480" w:firstLineChars="200"/>
    </w:pPr>
    <w:rPr>
      <w:rFonts w:cs="宋体"/>
      <w:sz w:val="24"/>
    </w:rPr>
  </w:style>
  <w:style w:type="paragraph" w:customStyle="1" w:styleId="959">
    <w:name w:val="样式 标题 4 + 段前: 5 磅 段后: 5 磅 行距: 单倍行距"/>
    <w:basedOn w:val="7"/>
    <w:qFormat/>
    <w:uiPriority w:val="0"/>
    <w:pPr>
      <w:tabs>
        <w:tab w:val="left" w:pos="900"/>
        <w:tab w:val="left" w:pos="1680"/>
        <w:tab w:val="left" w:pos="2356"/>
      </w:tabs>
      <w:spacing w:before="100" w:after="100" w:line="240" w:lineRule="auto"/>
      <w:ind w:left="900" w:hanging="900"/>
      <w:jc w:val="left"/>
      <w:textAlignment w:val="auto"/>
    </w:pPr>
    <w:rPr>
      <w:rFonts w:cs="宋体"/>
      <w:bCs/>
      <w:lang w:val="zh-CN"/>
    </w:rPr>
  </w:style>
  <w:style w:type="paragraph" w:customStyle="1" w:styleId="960">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961">
    <w:name w:val="简单回函地址"/>
    <w:basedOn w:val="1"/>
    <w:qFormat/>
    <w:uiPriority w:val="0"/>
    <w:rPr>
      <w:szCs w:val="20"/>
    </w:rPr>
  </w:style>
  <w:style w:type="paragraph" w:customStyle="1" w:styleId="962">
    <w:name w:val="xl71"/>
    <w:basedOn w:val="1"/>
    <w:qFormat/>
    <w:uiPriority w:val="0"/>
    <w:pPr>
      <w:widowControl/>
      <w:pBdr>
        <w:top w:val="single" w:color="auto" w:sz="4" w:space="0"/>
        <w:left w:val="single" w:color="auto" w:sz="4" w:space="0"/>
        <w:bottom w:val="single" w:color="auto" w:sz="4" w:space="0"/>
        <w:right w:val="single" w:color="auto" w:sz="4" w:space="0"/>
      </w:pBdr>
      <w:tabs>
        <w:tab w:val="left" w:pos="2405"/>
      </w:tabs>
      <w:spacing w:before="100" w:beforeAutospacing="1" w:after="100" w:afterAutospacing="1"/>
      <w:jc w:val="center"/>
      <w:textAlignment w:val="center"/>
    </w:pPr>
    <w:rPr>
      <w:rFonts w:ascii="宋体" w:hAnsi="宋体" w:cs="宋体"/>
      <w:kern w:val="0"/>
      <w:sz w:val="20"/>
      <w:szCs w:val="20"/>
    </w:rPr>
  </w:style>
  <w:style w:type="paragraph" w:customStyle="1" w:styleId="963">
    <w:name w:val="xl11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2"/>
      <w:szCs w:val="22"/>
    </w:rPr>
  </w:style>
  <w:style w:type="paragraph" w:customStyle="1" w:styleId="964">
    <w:name w:val="样式 样式 纯文本普通文字表格内容 + 小四 非加粗 行距: 1.5 倍行距 + Times New Roman 两端对齐"/>
    <w:basedOn w:val="1"/>
    <w:qFormat/>
    <w:uiPriority w:val="0"/>
    <w:pPr>
      <w:snapToGrid w:val="0"/>
      <w:spacing w:line="500" w:lineRule="atLeast"/>
      <w:ind w:firstLine="561"/>
    </w:pPr>
    <w:rPr>
      <w:rFonts w:cs="宋体"/>
      <w:kern w:val="0"/>
      <w:sz w:val="28"/>
      <w:szCs w:val="20"/>
    </w:rPr>
  </w:style>
  <w:style w:type="paragraph" w:customStyle="1" w:styleId="965">
    <w:name w:val="样式 正文文本缩进Body Text 2Body Text1HD正文1 + 四号 黑色 首行缩进:  0.97 厘米..."/>
    <w:basedOn w:val="35"/>
    <w:qFormat/>
    <w:uiPriority w:val="0"/>
    <w:pPr>
      <w:spacing w:line="500" w:lineRule="atLeast"/>
      <w:ind w:firstLine="561"/>
    </w:pPr>
    <w:rPr>
      <w:color w:val="000000"/>
      <w:sz w:val="28"/>
      <w:szCs w:val="20"/>
      <w:lang w:val="zh-CN"/>
    </w:rPr>
  </w:style>
  <w:style w:type="paragraph" w:customStyle="1" w:styleId="966">
    <w:name w:val="xl505"/>
    <w:basedOn w:val="1"/>
    <w:qFormat/>
    <w:uiPriority w:val="0"/>
    <w:pPr>
      <w:widowControl/>
      <w:pBdr>
        <w:left w:val="single" w:color="000000" w:sz="4" w:space="0"/>
        <w:right w:val="single" w:color="000000" w:sz="4" w:space="0"/>
      </w:pBdr>
      <w:spacing w:before="100" w:beforeAutospacing="1" w:after="100" w:afterAutospacing="1"/>
      <w:jc w:val="left"/>
    </w:pPr>
    <w:rPr>
      <w:rFonts w:ascii="宋体" w:hAnsi="宋体"/>
      <w:kern w:val="0"/>
      <w:sz w:val="20"/>
      <w:szCs w:val="20"/>
    </w:rPr>
  </w:style>
  <w:style w:type="paragraph" w:customStyle="1" w:styleId="967">
    <w:name w:val="样式 样式 样式 样式 段前: 0.5 行 段后: 0.5 行 + 首行缩进:  2 字符1 + 首行缩进:  2 字符 + 首..."/>
    <w:basedOn w:val="919"/>
    <w:qFormat/>
    <w:uiPriority w:val="0"/>
    <w:pPr>
      <w:ind w:firstLine="552"/>
      <w:jc w:val="both"/>
    </w:pPr>
    <w:rPr>
      <w:szCs w:val="28"/>
    </w:rPr>
  </w:style>
  <w:style w:type="paragraph" w:customStyle="1" w:styleId="968">
    <w:name w:val="a1"/>
    <w:basedOn w:val="1"/>
    <w:qFormat/>
    <w:uiPriority w:val="0"/>
    <w:pPr>
      <w:spacing w:line="360" w:lineRule="auto"/>
      <w:ind w:firstLine="422"/>
    </w:pPr>
    <w:rPr>
      <w:b/>
      <w:szCs w:val="20"/>
    </w:rPr>
  </w:style>
  <w:style w:type="paragraph" w:customStyle="1" w:styleId="969">
    <w:name w:val="font1"/>
    <w:basedOn w:val="1"/>
    <w:qFormat/>
    <w:uiPriority w:val="0"/>
    <w:pPr>
      <w:widowControl/>
      <w:spacing w:before="100" w:beforeAutospacing="1" w:after="100" w:afterAutospacing="1"/>
      <w:jc w:val="left"/>
    </w:pPr>
    <w:rPr>
      <w:rFonts w:ascii="宋体" w:hAnsi="宋体" w:cs="宋体"/>
      <w:kern w:val="0"/>
      <w:sz w:val="24"/>
    </w:rPr>
  </w:style>
  <w:style w:type="paragraph" w:customStyle="1" w:styleId="970">
    <w:name w:val="xl485"/>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kern w:val="0"/>
      <w:sz w:val="20"/>
      <w:szCs w:val="20"/>
    </w:rPr>
  </w:style>
  <w:style w:type="paragraph" w:customStyle="1" w:styleId="971">
    <w:name w:val="样式 标题 2 + (西文) Times New Roman 段前: 7.8 磅 段后: 7.8 磅 行距: 1.5 倍行距"/>
    <w:basedOn w:val="4"/>
    <w:qFormat/>
    <w:uiPriority w:val="0"/>
    <w:pPr>
      <w:autoSpaceDE/>
      <w:autoSpaceDN/>
      <w:adjustRightInd/>
      <w:spacing w:before="156" w:after="156" w:line="360" w:lineRule="auto"/>
      <w:ind w:firstLine="200" w:firstLineChars="200"/>
      <w:jc w:val="both"/>
    </w:pPr>
    <w:rPr>
      <w:rFonts w:ascii="Times New Roman" w:hAnsi="Times New Roman"/>
      <w:kern w:val="2"/>
      <w:lang w:val="zh-CN"/>
    </w:rPr>
  </w:style>
  <w:style w:type="paragraph" w:customStyle="1" w:styleId="972">
    <w:name w:val="发布部门"/>
    <w:next w:val="757"/>
    <w:qFormat/>
    <w:uiPriority w:val="0"/>
    <w:pPr>
      <w:spacing w:line="560" w:lineRule="exact"/>
      <w:jc w:val="center"/>
    </w:pPr>
    <w:rPr>
      <w:rFonts w:ascii="宋体" w:hAnsi="Times New Roman" w:eastAsia="宋体" w:cs="Times New Roman"/>
      <w:b/>
      <w:spacing w:val="20"/>
      <w:w w:val="135"/>
      <w:sz w:val="36"/>
      <w:lang w:val="en-US" w:eastAsia="zh-CN" w:bidi="ar-SA"/>
    </w:rPr>
  </w:style>
  <w:style w:type="paragraph" w:customStyle="1" w:styleId="973">
    <w:name w:val="注×："/>
    <w:qFormat/>
    <w:uiPriority w:val="0"/>
    <w:pPr>
      <w:widowControl w:val="0"/>
      <w:tabs>
        <w:tab w:val="left" w:pos="630"/>
      </w:tabs>
      <w:autoSpaceDE w:val="0"/>
      <w:autoSpaceDN w:val="0"/>
      <w:spacing w:line="560" w:lineRule="exact"/>
      <w:jc w:val="both"/>
    </w:pPr>
    <w:rPr>
      <w:rFonts w:ascii="宋体" w:hAnsi="Times New Roman" w:eastAsia="宋体" w:cs="Times New Roman"/>
      <w:sz w:val="18"/>
      <w:lang w:val="en-US" w:eastAsia="zh-CN" w:bidi="ar-SA"/>
    </w:rPr>
  </w:style>
  <w:style w:type="paragraph" w:customStyle="1" w:styleId="974">
    <w:name w:val="题目名称小"/>
    <w:basedOn w:val="1"/>
    <w:qFormat/>
    <w:uiPriority w:val="0"/>
    <w:pPr>
      <w:spacing w:before="120" w:after="120"/>
      <w:jc w:val="center"/>
    </w:pPr>
    <w:rPr>
      <w:rFonts w:ascii="黑体" w:eastAsia="黑体"/>
      <w:sz w:val="32"/>
      <w:szCs w:val="44"/>
    </w:rPr>
  </w:style>
  <w:style w:type="paragraph" w:customStyle="1" w:styleId="975">
    <w:name w:val="xl15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kern w:val="0"/>
      <w:sz w:val="24"/>
    </w:rPr>
  </w:style>
  <w:style w:type="paragraph" w:customStyle="1" w:styleId="976">
    <w:name w:val="xl154"/>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kern w:val="0"/>
      <w:sz w:val="24"/>
    </w:rPr>
  </w:style>
  <w:style w:type="paragraph" w:customStyle="1" w:styleId="977">
    <w:name w:val="sma."/>
    <w:basedOn w:val="1"/>
    <w:qFormat/>
    <w:uiPriority w:val="0"/>
    <w:pPr>
      <w:widowControl/>
      <w:numPr>
        <w:ilvl w:val="6"/>
        <w:numId w:val="21"/>
      </w:numPr>
      <w:tabs>
        <w:tab w:val="left" w:pos="1588"/>
        <w:tab w:val="left" w:pos="3991"/>
      </w:tabs>
      <w:spacing w:before="240" w:line="240" w:lineRule="atLeast"/>
      <w:ind w:left="1588" w:hanging="454"/>
    </w:pPr>
    <w:rPr>
      <w:sz w:val="24"/>
    </w:rPr>
  </w:style>
  <w:style w:type="paragraph" w:customStyle="1" w:styleId="978">
    <w:name w:val="7.30一、"/>
    <w:qFormat/>
    <w:uiPriority w:val="0"/>
    <w:pPr>
      <w:spacing w:line="332" w:lineRule="exact"/>
      <w:ind w:firstLine="200" w:firstLineChars="200"/>
    </w:pPr>
    <w:rPr>
      <w:rFonts w:ascii="Times New Roman" w:hAnsi="Times New Roman" w:eastAsia="宋体" w:cs="Times New Roman"/>
      <w:b/>
      <w:sz w:val="21"/>
      <w:lang w:val="en-US" w:eastAsia="zh-CN" w:bidi="ar-SA"/>
    </w:rPr>
  </w:style>
  <w:style w:type="paragraph" w:customStyle="1" w:styleId="979">
    <w:name w:val="标题四"/>
    <w:basedOn w:val="1"/>
    <w:next w:val="1"/>
    <w:qFormat/>
    <w:uiPriority w:val="0"/>
    <w:pPr>
      <w:spacing w:before="31" w:beforeLines="10" w:line="400" w:lineRule="atLeast"/>
    </w:pPr>
    <w:rPr>
      <w:sz w:val="24"/>
      <w:szCs w:val="20"/>
    </w:rPr>
  </w:style>
  <w:style w:type="paragraph" w:customStyle="1" w:styleId="980">
    <w:name w:val="font11"/>
    <w:basedOn w:val="1"/>
    <w:qFormat/>
    <w:uiPriority w:val="0"/>
    <w:pPr>
      <w:widowControl/>
      <w:spacing w:before="100" w:beforeAutospacing="1" w:after="100" w:afterAutospacing="1"/>
      <w:jc w:val="left"/>
    </w:pPr>
    <w:rPr>
      <w:b/>
      <w:bCs/>
      <w:color w:val="000000"/>
      <w:kern w:val="0"/>
      <w:sz w:val="18"/>
      <w:szCs w:val="18"/>
    </w:rPr>
  </w:style>
  <w:style w:type="paragraph" w:customStyle="1" w:styleId="981">
    <w:name w:val="内容文本正文"/>
    <w:basedOn w:val="1"/>
    <w:qFormat/>
    <w:uiPriority w:val="0"/>
    <w:pPr>
      <w:spacing w:line="360" w:lineRule="auto"/>
      <w:ind w:firstLine="200"/>
    </w:pPr>
    <w:rPr>
      <w:rFonts w:ascii="ˎ̥" w:hAnsi="ˎ̥"/>
      <w:sz w:val="24"/>
    </w:rPr>
  </w:style>
  <w:style w:type="paragraph" w:customStyle="1" w:styleId="982">
    <w:name w:val="xl132"/>
    <w:basedOn w:val="1"/>
    <w:qFormat/>
    <w:uiPriority w:val="0"/>
    <w:pPr>
      <w:widowControl/>
      <w:pBdr>
        <w:bottom w:val="single" w:color="auto" w:sz="4" w:space="0"/>
        <w:right w:val="single" w:color="auto" w:sz="4" w:space="0"/>
      </w:pBdr>
      <w:spacing w:before="100" w:beforeAutospacing="1" w:after="100" w:afterAutospacing="1"/>
      <w:jc w:val="center"/>
      <w:textAlignment w:val="center"/>
    </w:pPr>
    <w:rPr>
      <w:rFonts w:ascii="宋体" w:hAnsi="宋体" w:cs="宋体"/>
      <w:kern w:val="0"/>
      <w:sz w:val="22"/>
      <w:szCs w:val="22"/>
    </w:rPr>
  </w:style>
  <w:style w:type="paragraph" w:customStyle="1" w:styleId="983">
    <w:name w:val="Char Char Char Char2"/>
    <w:basedOn w:val="1"/>
    <w:qFormat/>
    <w:uiPriority w:val="0"/>
    <w:rPr>
      <w:rFonts w:ascii="Tahoma" w:hAnsi="Tahoma"/>
      <w:sz w:val="24"/>
      <w:szCs w:val="20"/>
    </w:rPr>
  </w:style>
  <w:style w:type="paragraph" w:customStyle="1" w:styleId="984">
    <w:name w:val="xl489"/>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kern w:val="0"/>
      <w:sz w:val="20"/>
      <w:szCs w:val="20"/>
    </w:rPr>
  </w:style>
  <w:style w:type="paragraph" w:customStyle="1" w:styleId="985">
    <w:name w:val="样式 正文文字 + 首行缩进:  2 字符1"/>
    <w:basedOn w:val="34"/>
    <w:qFormat/>
    <w:uiPriority w:val="0"/>
    <w:pPr>
      <w:tabs>
        <w:tab w:val="clear" w:pos="567"/>
      </w:tabs>
      <w:spacing w:before="0" w:line="360" w:lineRule="auto"/>
      <w:jc w:val="center"/>
    </w:pPr>
    <w:rPr>
      <w:rFonts w:ascii="Times New Roman" w:hAnsi="Times New Roman" w:eastAsia="仿宋_GB2312"/>
      <w:b/>
      <w:szCs w:val="20"/>
      <w:lang w:val="zh-CN"/>
    </w:rPr>
  </w:style>
  <w:style w:type="paragraph" w:customStyle="1" w:styleId="986">
    <w:name w:val="列出段落3"/>
    <w:basedOn w:val="1"/>
    <w:qFormat/>
    <w:uiPriority w:val="0"/>
    <w:pPr>
      <w:ind w:firstLine="420" w:firstLineChars="200"/>
    </w:pPr>
    <w:rPr>
      <w:rFonts w:ascii="Calibri" w:hAnsi="Calibri"/>
      <w:szCs w:val="22"/>
    </w:rPr>
  </w:style>
  <w:style w:type="paragraph" w:customStyle="1" w:styleId="987">
    <w:name w:val="xl479"/>
    <w:basedOn w:val="1"/>
    <w:qFormat/>
    <w:uiPriority w:val="0"/>
    <w:pPr>
      <w:widowControl/>
      <w:pBdr>
        <w:top w:val="single" w:color="auto" w:sz="4" w:space="0"/>
        <w:left w:val="single" w:color="000000" w:sz="4" w:space="0"/>
        <w:bottom w:val="single" w:color="000000" w:sz="4" w:space="0"/>
        <w:right w:val="single" w:color="000000" w:sz="4" w:space="0"/>
      </w:pBdr>
      <w:shd w:val="clear" w:color="FFFFFF" w:fill="FFFFFF"/>
      <w:spacing w:before="100" w:beforeAutospacing="1" w:after="100" w:afterAutospacing="1"/>
      <w:jc w:val="center"/>
    </w:pPr>
    <w:rPr>
      <w:rFonts w:ascii="宋体" w:hAnsi="宋体"/>
      <w:kern w:val="0"/>
      <w:sz w:val="20"/>
      <w:szCs w:val="20"/>
    </w:rPr>
  </w:style>
  <w:style w:type="paragraph" w:customStyle="1" w:styleId="988">
    <w:name w:val="xl105"/>
    <w:basedOn w:val="1"/>
    <w:qFormat/>
    <w:uiPriority w:val="0"/>
    <w:pPr>
      <w:widowControl/>
      <w:pBdr>
        <w:top w:val="single" w:color="auto" w:sz="4" w:space="0"/>
        <w:right w:val="single" w:color="auto" w:sz="4" w:space="0"/>
      </w:pBdr>
      <w:spacing w:before="100" w:beforeAutospacing="1" w:after="100" w:afterAutospacing="1"/>
      <w:jc w:val="center"/>
      <w:textAlignment w:val="center"/>
    </w:pPr>
    <w:rPr>
      <w:rFonts w:ascii="宋体" w:hAnsi="宋体" w:cs="宋体"/>
      <w:kern w:val="0"/>
      <w:sz w:val="22"/>
      <w:szCs w:val="22"/>
    </w:rPr>
  </w:style>
  <w:style w:type="paragraph" w:customStyle="1" w:styleId="989">
    <w:name w:val="xl44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0"/>
      <w:szCs w:val="20"/>
    </w:rPr>
  </w:style>
  <w:style w:type="paragraph" w:customStyle="1" w:styleId="990">
    <w:name w:val="xl156"/>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kern w:val="0"/>
      <w:sz w:val="24"/>
    </w:rPr>
  </w:style>
  <w:style w:type="paragraph" w:customStyle="1" w:styleId="991">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992">
    <w:name w:val="表正文"/>
    <w:basedOn w:val="1"/>
    <w:qFormat/>
    <w:uiPriority w:val="0"/>
    <w:pPr>
      <w:adjustRightInd w:val="0"/>
      <w:spacing w:after="120" w:line="360" w:lineRule="atLeast"/>
      <w:jc w:val="left"/>
    </w:pPr>
    <w:rPr>
      <w:kern w:val="0"/>
      <w:sz w:val="16"/>
      <w:szCs w:val="16"/>
    </w:rPr>
  </w:style>
  <w:style w:type="paragraph" w:customStyle="1" w:styleId="993">
    <w:name w:val="xl142"/>
    <w:basedOn w:val="1"/>
    <w:qFormat/>
    <w:uiPriority w:val="0"/>
    <w:pPr>
      <w:widowControl/>
      <w:pBdr>
        <w:bottom w:val="single" w:color="auto" w:sz="4" w:space="0"/>
        <w:right w:val="single" w:color="auto" w:sz="4" w:space="0"/>
      </w:pBdr>
      <w:spacing w:before="100" w:beforeAutospacing="1" w:after="100" w:afterAutospacing="1"/>
      <w:jc w:val="center"/>
      <w:textAlignment w:val="center"/>
    </w:pPr>
    <w:rPr>
      <w:rFonts w:ascii="宋体" w:hAnsi="宋体" w:cs="宋体"/>
      <w:kern w:val="0"/>
      <w:sz w:val="22"/>
      <w:szCs w:val="22"/>
    </w:rPr>
  </w:style>
  <w:style w:type="paragraph" w:customStyle="1" w:styleId="994">
    <w:name w:val="样式 标题 2 + 仿宋_GB2312 段前: 0 磅 段后: 0 磅 行距: 单倍行距"/>
    <w:basedOn w:val="4"/>
    <w:qFormat/>
    <w:uiPriority w:val="0"/>
    <w:pPr>
      <w:autoSpaceDE/>
      <w:autoSpaceDN/>
      <w:adjustRightInd/>
      <w:spacing w:after="120" w:line="240" w:lineRule="auto"/>
      <w:jc w:val="both"/>
    </w:pPr>
    <w:rPr>
      <w:rFonts w:ascii="Times New Roman" w:hAnsi="Times New Roman" w:eastAsia="宋体"/>
      <w:bCs/>
      <w:kern w:val="2"/>
      <w:sz w:val="24"/>
      <w:szCs w:val="24"/>
      <w:lang w:val="zh-CN"/>
    </w:rPr>
  </w:style>
  <w:style w:type="paragraph" w:customStyle="1" w:styleId="995">
    <w:name w:val="xl450"/>
    <w:basedOn w:val="1"/>
    <w:qFormat/>
    <w:uiPriority w:val="0"/>
    <w:pPr>
      <w:widowControl/>
      <w:pBdr>
        <w:top w:val="single" w:color="000000" w:sz="4" w:space="0"/>
        <w:left w:val="single" w:color="000000" w:sz="4" w:space="0"/>
        <w:bottom w:val="single" w:color="000000" w:sz="4" w:space="0"/>
        <w:right w:val="single" w:color="000000" w:sz="4" w:space="0"/>
      </w:pBdr>
      <w:shd w:val="clear" w:color="FFFFFF" w:fill="FFFFFF"/>
      <w:spacing w:before="100" w:beforeAutospacing="1" w:after="100" w:afterAutospacing="1"/>
      <w:jc w:val="left"/>
    </w:pPr>
    <w:rPr>
      <w:rFonts w:ascii="黑体" w:hAnsi="黑体" w:eastAsia="黑体"/>
      <w:kern w:val="0"/>
      <w:sz w:val="20"/>
      <w:szCs w:val="20"/>
    </w:rPr>
  </w:style>
  <w:style w:type="paragraph" w:customStyle="1" w:styleId="996">
    <w:name w:val="尾注文字"/>
    <w:basedOn w:val="1"/>
    <w:qFormat/>
    <w:uiPriority w:val="0"/>
    <w:pPr>
      <w:autoSpaceDE w:val="0"/>
      <w:autoSpaceDN w:val="0"/>
      <w:adjustRightInd w:val="0"/>
      <w:jc w:val="left"/>
    </w:pPr>
    <w:rPr>
      <w:kern w:val="0"/>
      <w:sz w:val="24"/>
      <w:szCs w:val="20"/>
    </w:rPr>
  </w:style>
  <w:style w:type="paragraph" w:customStyle="1" w:styleId="997">
    <w:name w:val="样式 宋体 左 首行缩进:  2 字符"/>
    <w:basedOn w:val="1"/>
    <w:qFormat/>
    <w:uiPriority w:val="0"/>
    <w:pPr>
      <w:spacing w:line="360" w:lineRule="auto"/>
      <w:ind w:firstLine="480" w:firstLineChars="200"/>
      <w:jc w:val="left"/>
    </w:pPr>
    <w:rPr>
      <w:rFonts w:ascii="宋体" w:hAnsi="宋体"/>
      <w:sz w:val="28"/>
      <w:szCs w:val="20"/>
    </w:rPr>
  </w:style>
  <w:style w:type="paragraph" w:customStyle="1" w:styleId="998">
    <w:name w:val="xl10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kern w:val="0"/>
      <w:sz w:val="24"/>
    </w:rPr>
  </w:style>
  <w:style w:type="paragraph" w:customStyle="1" w:styleId="999">
    <w:name w:val="xl484"/>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kern w:val="0"/>
      <w:sz w:val="20"/>
      <w:szCs w:val="20"/>
    </w:rPr>
  </w:style>
  <w:style w:type="paragraph" w:customStyle="1" w:styleId="1000">
    <w:name w:val="样式 宋体 小四 行距: 1.5 倍行距"/>
    <w:basedOn w:val="1"/>
    <w:qFormat/>
    <w:uiPriority w:val="0"/>
    <w:pPr>
      <w:spacing w:line="500" w:lineRule="atLeast"/>
      <w:ind w:firstLine="200" w:firstLineChars="200"/>
    </w:pPr>
    <w:rPr>
      <w:rFonts w:ascii="宋体" w:hAnsi="宋体" w:cs="宋体"/>
      <w:sz w:val="28"/>
      <w:szCs w:val="20"/>
    </w:rPr>
  </w:style>
  <w:style w:type="paragraph" w:customStyle="1" w:styleId="1001">
    <w:name w:val="样式 样式 小四 行距: 1.5 倍行距 + 首行缩进:  2 字符"/>
    <w:basedOn w:val="1"/>
    <w:qFormat/>
    <w:uiPriority w:val="0"/>
    <w:pPr>
      <w:spacing w:line="460" w:lineRule="atLeast"/>
      <w:ind w:firstLine="480" w:firstLineChars="200"/>
    </w:pPr>
    <w:rPr>
      <w:kern w:val="0"/>
      <w:szCs w:val="20"/>
    </w:rPr>
  </w:style>
  <w:style w:type="paragraph" w:customStyle="1" w:styleId="1002">
    <w:name w:val="样式 首行缩进:  2 字符1"/>
    <w:basedOn w:val="1"/>
    <w:qFormat/>
    <w:uiPriority w:val="0"/>
    <w:pPr>
      <w:spacing w:beforeLines="50" w:afterLines="50" w:line="360" w:lineRule="auto"/>
      <w:ind w:firstLine="200" w:firstLineChars="200"/>
    </w:pPr>
    <w:rPr>
      <w:rFonts w:eastAsia="仿宋_GB2312"/>
      <w:sz w:val="24"/>
      <w:szCs w:val="20"/>
    </w:rPr>
  </w:style>
  <w:style w:type="paragraph" w:customStyle="1" w:styleId="1003">
    <w:name w:val="xl82"/>
    <w:basedOn w:val="1"/>
    <w:qFormat/>
    <w:uiPriority w:val="0"/>
    <w:pPr>
      <w:widowControl/>
      <w:pBdr>
        <w:left w:val="single" w:color="auto" w:sz="4" w:space="0"/>
        <w:right w:val="single" w:color="auto" w:sz="8" w:space="0"/>
      </w:pBdr>
      <w:spacing w:before="100" w:beforeAutospacing="1" w:after="100" w:afterAutospacing="1"/>
      <w:jc w:val="center"/>
    </w:pPr>
    <w:rPr>
      <w:rFonts w:ascii="宋体" w:hAnsi="宋体"/>
      <w:color w:val="000000"/>
      <w:kern w:val="0"/>
      <w:sz w:val="24"/>
      <w:szCs w:val="20"/>
    </w:rPr>
  </w:style>
  <w:style w:type="paragraph" w:customStyle="1" w:styleId="1004">
    <w:name w:val="xl122"/>
    <w:basedOn w:val="1"/>
    <w:qFormat/>
    <w:uiPriority w:val="0"/>
    <w:pPr>
      <w:widowControl/>
      <w:pBdr>
        <w:bottom w:val="single" w:color="auto" w:sz="4" w:space="0"/>
        <w:right w:val="single" w:color="auto" w:sz="4" w:space="0"/>
      </w:pBdr>
      <w:spacing w:before="100" w:beforeAutospacing="1" w:after="100" w:afterAutospacing="1"/>
      <w:jc w:val="right"/>
      <w:textAlignment w:val="center"/>
    </w:pPr>
    <w:rPr>
      <w:rFonts w:ascii="宋体" w:hAnsi="宋体" w:cs="宋体"/>
      <w:b/>
      <w:bCs/>
      <w:kern w:val="0"/>
      <w:sz w:val="22"/>
      <w:szCs w:val="22"/>
    </w:rPr>
  </w:style>
  <w:style w:type="paragraph" w:customStyle="1" w:styleId="1005">
    <w:name w:val="附录表标题"/>
    <w:next w:val="757"/>
    <w:qFormat/>
    <w:uiPriority w:val="0"/>
    <w:pPr>
      <w:tabs>
        <w:tab w:val="left" w:pos="360"/>
      </w:tabs>
      <w:spacing w:line="560" w:lineRule="exact"/>
      <w:jc w:val="center"/>
      <w:textAlignment w:val="baseline"/>
    </w:pPr>
    <w:rPr>
      <w:rFonts w:ascii="黑体" w:hAnsi="Times New Roman" w:eastAsia="黑体" w:cs="Times New Roman"/>
      <w:kern w:val="21"/>
      <w:sz w:val="21"/>
      <w:lang w:val="en-US" w:eastAsia="zh-CN" w:bidi="ar-SA"/>
    </w:rPr>
  </w:style>
  <w:style w:type="paragraph" w:customStyle="1" w:styleId="1006">
    <w:name w:val="xl62"/>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Arial Unicode MS" w:hAnsi="Arial Unicode MS" w:eastAsia="Arial Unicode MS" w:cs="Arial Unicode MS"/>
      <w:kern w:val="0"/>
      <w:sz w:val="24"/>
    </w:rPr>
  </w:style>
  <w:style w:type="paragraph" w:customStyle="1" w:styleId="1007">
    <w:name w:val="xl66"/>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Arial Unicode MS" w:hAnsi="Arial Unicode MS" w:eastAsia="Arial Unicode MS" w:cs="Arial Unicode MS"/>
      <w:kern w:val="0"/>
      <w:sz w:val="24"/>
    </w:rPr>
  </w:style>
  <w:style w:type="paragraph" w:customStyle="1" w:styleId="1008">
    <w:name w:val="样式 标题 5 + 段前: 5 磅 段后: 5 磅 行距: 单倍行距"/>
    <w:basedOn w:val="8"/>
    <w:qFormat/>
    <w:uiPriority w:val="0"/>
    <w:pPr>
      <w:numPr>
        <w:ilvl w:val="4"/>
        <w:numId w:val="22"/>
      </w:numPr>
      <w:tabs>
        <w:tab w:val="left" w:pos="1080"/>
      </w:tabs>
      <w:spacing w:before="100" w:after="100" w:line="240" w:lineRule="auto"/>
      <w:jc w:val="left"/>
    </w:pPr>
    <w:rPr>
      <w:rFonts w:cs="宋体"/>
      <w:bCs/>
      <w:lang w:val="zh-CN"/>
    </w:rPr>
  </w:style>
  <w:style w:type="paragraph" w:customStyle="1" w:styleId="1009">
    <w:name w:val="Char Char Char1 Char Char Char Char1"/>
    <w:basedOn w:val="1"/>
    <w:qFormat/>
    <w:uiPriority w:val="0"/>
    <w:pPr>
      <w:snapToGrid w:val="0"/>
      <w:spacing w:line="360" w:lineRule="auto"/>
      <w:ind w:firstLine="200" w:firstLineChars="200"/>
    </w:pPr>
    <w:rPr>
      <w:rFonts w:eastAsia="仿宋_GB2312"/>
      <w:sz w:val="24"/>
      <w:szCs w:val="20"/>
    </w:rPr>
  </w:style>
  <w:style w:type="paragraph" w:customStyle="1" w:styleId="1010">
    <w:name w:val="_Style 4"/>
    <w:basedOn w:val="1"/>
    <w:qFormat/>
    <w:uiPriority w:val="0"/>
    <w:pPr>
      <w:ind w:firstLine="420" w:firstLineChars="200"/>
    </w:pPr>
    <w:rPr>
      <w:rFonts w:ascii="Calibri" w:hAnsi="Calibri"/>
      <w:szCs w:val="21"/>
    </w:rPr>
  </w:style>
  <w:style w:type="paragraph" w:customStyle="1" w:styleId="1011">
    <w:name w:val="样式 样式 样式 标题 2 + 宋体 五号 非加粗 黑色 + 段前: 6 磅 段后: 0 磅 行距: 单倍行距 + 段前: 12..."/>
    <w:basedOn w:val="947"/>
    <w:qFormat/>
    <w:uiPriority w:val="0"/>
    <w:pPr>
      <w:spacing w:before="240"/>
    </w:pPr>
  </w:style>
  <w:style w:type="paragraph" w:customStyle="1" w:styleId="1012">
    <w:name w:val="g2"/>
    <w:basedOn w:val="1"/>
    <w:qFormat/>
    <w:uiPriority w:val="0"/>
    <w:pPr>
      <w:widowControl/>
      <w:spacing w:before="100" w:beforeAutospacing="1" w:after="100" w:afterAutospacing="1"/>
      <w:jc w:val="left"/>
    </w:pPr>
    <w:rPr>
      <w:rFonts w:ascii="仿宋_GB2312" w:hAnsi="宋体" w:eastAsia="仿宋_GB2312" w:cs="宋体"/>
      <w:kern w:val="0"/>
      <w:sz w:val="33"/>
      <w:szCs w:val="33"/>
    </w:rPr>
  </w:style>
  <w:style w:type="paragraph" w:customStyle="1" w:styleId="1013">
    <w:name w:val="注："/>
    <w:next w:val="757"/>
    <w:qFormat/>
    <w:uiPriority w:val="0"/>
    <w:pPr>
      <w:widowControl w:val="0"/>
      <w:tabs>
        <w:tab w:val="left" w:pos="360"/>
      </w:tabs>
      <w:autoSpaceDE w:val="0"/>
      <w:autoSpaceDN w:val="0"/>
      <w:spacing w:line="560" w:lineRule="exact"/>
      <w:jc w:val="both"/>
    </w:pPr>
    <w:rPr>
      <w:rFonts w:ascii="宋体" w:hAnsi="Times New Roman" w:eastAsia="宋体" w:cs="Times New Roman"/>
      <w:sz w:val="18"/>
      <w:lang w:val="en-US" w:eastAsia="zh-CN" w:bidi="ar-SA"/>
    </w:rPr>
  </w:style>
  <w:style w:type="paragraph" w:customStyle="1" w:styleId="1014">
    <w:name w:val="样式 目录 2 + 左侧:  2 字符"/>
    <w:basedOn w:val="74"/>
    <w:qFormat/>
    <w:uiPriority w:val="0"/>
    <w:pPr>
      <w:tabs>
        <w:tab w:val="left" w:pos="1080"/>
        <w:tab w:val="right" w:leader="dot" w:pos="8302"/>
        <w:tab w:val="clear" w:pos="8937"/>
      </w:tabs>
      <w:spacing w:line="240" w:lineRule="auto"/>
      <w:ind w:left="560"/>
    </w:pPr>
    <w:rPr>
      <w:rFonts w:cs="宋体"/>
      <w:sz w:val="28"/>
      <w:szCs w:val="20"/>
    </w:rPr>
  </w:style>
  <w:style w:type="paragraph" w:customStyle="1" w:styleId="1015">
    <w:name w:val="xl477"/>
    <w:basedOn w:val="1"/>
    <w:qFormat/>
    <w:uiPriority w:val="0"/>
    <w:pPr>
      <w:widowControl/>
      <w:pBdr>
        <w:top w:val="single" w:color="auto" w:sz="4" w:space="0"/>
        <w:left w:val="single" w:color="000000" w:sz="4" w:space="0"/>
        <w:bottom w:val="single" w:color="000000" w:sz="4" w:space="0"/>
        <w:right w:val="single" w:color="000000" w:sz="4" w:space="0"/>
      </w:pBdr>
      <w:shd w:val="clear" w:color="FFFFFF" w:fill="FFFFFF"/>
      <w:spacing w:before="100" w:beforeAutospacing="1" w:after="100" w:afterAutospacing="1"/>
      <w:jc w:val="left"/>
    </w:pPr>
    <w:rPr>
      <w:rFonts w:ascii="黑体" w:hAnsi="黑体" w:eastAsia="黑体"/>
      <w:kern w:val="0"/>
      <w:sz w:val="20"/>
      <w:szCs w:val="20"/>
    </w:rPr>
  </w:style>
  <w:style w:type="paragraph" w:customStyle="1" w:styleId="1016">
    <w:name w:val="xl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18"/>
      <w:szCs w:val="18"/>
    </w:rPr>
  </w:style>
  <w:style w:type="paragraph" w:customStyle="1" w:styleId="1017">
    <w:name w:val="xl491"/>
    <w:basedOn w:val="1"/>
    <w:qFormat/>
    <w:uiPriority w:val="0"/>
    <w:pPr>
      <w:widowControl/>
      <w:pBdr>
        <w:top w:val="single" w:color="auto" w:sz="4" w:space="0"/>
        <w:left w:val="single" w:color="auto" w:sz="4" w:space="0"/>
        <w:bottom w:val="single" w:color="auto" w:sz="4" w:space="0"/>
        <w:right w:val="single" w:color="auto" w:sz="8" w:space="0"/>
      </w:pBdr>
      <w:shd w:val="clear" w:color="FFFFFF" w:fill="FFFF00"/>
      <w:spacing w:before="100" w:beforeAutospacing="1" w:after="100" w:afterAutospacing="1"/>
      <w:jc w:val="center"/>
    </w:pPr>
    <w:rPr>
      <w:rFonts w:ascii="宋体" w:hAnsi="宋体"/>
      <w:b/>
      <w:kern w:val="0"/>
      <w:sz w:val="20"/>
      <w:szCs w:val="20"/>
    </w:rPr>
  </w:style>
  <w:style w:type="paragraph" w:customStyle="1" w:styleId="1018">
    <w:name w:val="Char Char1 Char"/>
    <w:basedOn w:val="1"/>
    <w:qFormat/>
    <w:uiPriority w:val="0"/>
    <w:pPr>
      <w:spacing w:line="360" w:lineRule="auto"/>
      <w:ind w:firstLine="200" w:firstLineChars="200"/>
    </w:pPr>
    <w:rPr>
      <w:sz w:val="24"/>
      <w:szCs w:val="20"/>
    </w:rPr>
  </w:style>
  <w:style w:type="paragraph" w:customStyle="1" w:styleId="1019">
    <w:name w:val="图文框"/>
    <w:basedOn w:val="1"/>
    <w:qFormat/>
    <w:uiPriority w:val="0"/>
    <w:pPr>
      <w:spacing w:line="0" w:lineRule="atLeast"/>
      <w:jc w:val="center"/>
    </w:pPr>
    <w:rPr>
      <w:sz w:val="24"/>
      <w:szCs w:val="28"/>
    </w:rPr>
  </w:style>
  <w:style w:type="paragraph" w:customStyle="1" w:styleId="1020">
    <w:name w:val="标题 32"/>
    <w:basedOn w:val="1"/>
    <w:next w:val="5"/>
    <w:qFormat/>
    <w:uiPriority w:val="0"/>
    <w:pPr>
      <w:widowControl/>
      <w:spacing w:line="360" w:lineRule="auto"/>
      <w:jc w:val="left"/>
      <w:outlineLvl w:val="2"/>
    </w:pPr>
    <w:rPr>
      <w:sz w:val="24"/>
      <w:szCs w:val="20"/>
    </w:rPr>
  </w:style>
  <w:style w:type="paragraph" w:customStyle="1" w:styleId="1021">
    <w:name w:val="xl453"/>
    <w:basedOn w:val="1"/>
    <w:qFormat/>
    <w:uiPriority w:val="0"/>
    <w:pPr>
      <w:widowControl/>
      <w:pBdr>
        <w:top w:val="single" w:color="000000" w:sz="4" w:space="0"/>
        <w:left w:val="single" w:color="000000" w:sz="4" w:space="0"/>
        <w:bottom w:val="single" w:color="000000" w:sz="4" w:space="0"/>
        <w:right w:val="single" w:color="000000" w:sz="4" w:space="0"/>
      </w:pBdr>
      <w:shd w:val="clear" w:color="FFFFFF" w:fill="FFFFFF"/>
      <w:spacing w:before="100" w:beforeAutospacing="1" w:after="100" w:afterAutospacing="1"/>
      <w:jc w:val="left"/>
    </w:pPr>
    <w:rPr>
      <w:rFonts w:ascii="宋体" w:hAnsi="宋体"/>
      <w:kern w:val="0"/>
      <w:sz w:val="20"/>
      <w:szCs w:val="20"/>
    </w:rPr>
  </w:style>
  <w:style w:type="paragraph" w:customStyle="1" w:styleId="1022">
    <w:name w:val="xl111"/>
    <w:basedOn w:val="1"/>
    <w:qFormat/>
    <w:uiPriority w:val="0"/>
    <w:pPr>
      <w:widowControl/>
      <w:pBdr>
        <w:bottom w:val="single" w:color="auto" w:sz="4" w:space="0"/>
        <w:right w:val="single" w:color="auto" w:sz="4" w:space="0"/>
      </w:pBdr>
      <w:spacing w:before="100" w:beforeAutospacing="1" w:after="100" w:afterAutospacing="1"/>
      <w:jc w:val="right"/>
      <w:textAlignment w:val="center"/>
    </w:pPr>
    <w:rPr>
      <w:rFonts w:ascii="宋体" w:hAnsi="宋体" w:cs="宋体"/>
      <w:kern w:val="0"/>
      <w:sz w:val="22"/>
      <w:szCs w:val="22"/>
    </w:rPr>
  </w:style>
  <w:style w:type="paragraph" w:customStyle="1" w:styleId="1023">
    <w:name w:val="样式 样式 标题 4 + 段前: 5 磅 段后: 5 磅 行距: 单倍行距 + 五号"/>
    <w:basedOn w:val="959"/>
    <w:qFormat/>
    <w:uiPriority w:val="0"/>
    <w:pPr>
      <w:numPr>
        <w:ilvl w:val="3"/>
        <w:numId w:val="22"/>
      </w:numPr>
      <w:tabs>
        <w:tab w:val="left" w:pos="1080"/>
        <w:tab w:val="clear" w:pos="1680"/>
      </w:tabs>
      <w:textAlignment w:val="baseline"/>
    </w:pPr>
    <w:rPr>
      <w:sz w:val="21"/>
    </w:rPr>
  </w:style>
  <w:style w:type="paragraph" w:customStyle="1" w:styleId="1024">
    <w:name w:val="a)"/>
    <w:basedOn w:val="1"/>
    <w:qFormat/>
    <w:uiPriority w:val="0"/>
    <w:pPr>
      <w:numPr>
        <w:ilvl w:val="0"/>
        <w:numId w:val="23"/>
      </w:numPr>
      <w:tabs>
        <w:tab w:val="left" w:pos="420"/>
        <w:tab w:val="left" w:pos="1080"/>
      </w:tabs>
      <w:spacing w:before="156" w:beforeLines="50"/>
    </w:pPr>
    <w:rPr>
      <w:sz w:val="24"/>
    </w:rPr>
  </w:style>
  <w:style w:type="paragraph" w:customStyle="1" w:styleId="1025">
    <w:name w:val="xl451"/>
    <w:basedOn w:val="1"/>
    <w:qFormat/>
    <w:uiPriority w:val="0"/>
    <w:pPr>
      <w:widowControl/>
      <w:pBdr>
        <w:top w:val="single" w:color="000000" w:sz="4" w:space="0"/>
        <w:left w:val="single" w:color="000000" w:sz="4" w:space="0"/>
        <w:bottom w:val="single" w:color="000000" w:sz="4" w:space="0"/>
        <w:right w:val="single" w:color="000000" w:sz="4" w:space="0"/>
      </w:pBdr>
      <w:shd w:val="clear" w:color="FFFFFF" w:fill="FFFFFF"/>
      <w:spacing w:before="100" w:beforeAutospacing="1" w:after="100" w:afterAutospacing="1"/>
      <w:jc w:val="center"/>
    </w:pPr>
    <w:rPr>
      <w:rFonts w:ascii="宋体" w:hAnsi="宋体"/>
      <w:kern w:val="0"/>
      <w:sz w:val="20"/>
      <w:szCs w:val="20"/>
    </w:rPr>
  </w:style>
  <w:style w:type="paragraph" w:customStyle="1" w:styleId="1026">
    <w:name w:val="菲页1"/>
    <w:basedOn w:val="4"/>
    <w:qFormat/>
    <w:uiPriority w:val="0"/>
    <w:pPr>
      <w:keepNext w:val="0"/>
      <w:keepLines w:val="0"/>
      <w:autoSpaceDE/>
      <w:autoSpaceDN/>
      <w:adjustRightInd/>
      <w:spacing w:before="260" w:after="260" w:line="413" w:lineRule="auto"/>
      <w:ind w:firstLine="5720" w:firstLineChars="1300"/>
    </w:pPr>
    <w:rPr>
      <w:rFonts w:ascii="黑体" w:hAnsi="宋体" w:eastAsia="宋体"/>
      <w:color w:val="000000"/>
      <w:kern w:val="2"/>
      <w:sz w:val="52"/>
      <w:lang w:val="zh-CN"/>
    </w:rPr>
  </w:style>
  <w:style w:type="paragraph" w:customStyle="1" w:styleId="1027">
    <w:name w:val="xl157"/>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kern w:val="0"/>
      <w:sz w:val="22"/>
      <w:szCs w:val="22"/>
    </w:rPr>
  </w:style>
  <w:style w:type="paragraph" w:customStyle="1" w:styleId="1028">
    <w:name w:val="7.30章"/>
    <w:qFormat/>
    <w:uiPriority w:val="0"/>
    <w:pPr>
      <w:spacing w:beforeLines="50" w:afterLines="50" w:line="332" w:lineRule="exact"/>
      <w:jc w:val="center"/>
    </w:pPr>
    <w:rPr>
      <w:rFonts w:ascii="宋体" w:hAnsi="宋体" w:eastAsia="宋体" w:cs="Times New Roman"/>
      <w:b/>
      <w:kern w:val="2"/>
      <w:sz w:val="21"/>
      <w:lang w:val="en-US" w:eastAsia="zh-CN" w:bidi="ar-SA"/>
    </w:rPr>
  </w:style>
  <w:style w:type="paragraph" w:customStyle="1" w:styleId="1029">
    <w:name w:val="正文文本缩进 211"/>
    <w:basedOn w:val="1"/>
    <w:qFormat/>
    <w:uiPriority w:val="0"/>
    <w:pPr>
      <w:spacing w:line="360" w:lineRule="auto"/>
      <w:ind w:firstLine="480" w:firstLineChars="200"/>
    </w:pPr>
    <w:rPr>
      <w:sz w:val="24"/>
      <w:szCs w:val="20"/>
    </w:rPr>
  </w:style>
  <w:style w:type="paragraph" w:customStyle="1" w:styleId="1030">
    <w:name w:val="样式 正文文本缩进 3 + (西文) Times New Roman (中文) 仿宋_GB2312 小四 首行缩进:  2..."/>
    <w:basedOn w:val="70"/>
    <w:qFormat/>
    <w:uiPriority w:val="0"/>
    <w:pPr>
      <w:autoSpaceDE/>
      <w:autoSpaceDN/>
      <w:adjustRightInd/>
      <w:spacing w:before="0" w:line="360" w:lineRule="auto"/>
      <w:ind w:left="0" w:firstLine="200" w:firstLineChars="200"/>
      <w:jc w:val="both"/>
    </w:pPr>
    <w:rPr>
      <w:rFonts w:ascii="Times New Roman" w:eastAsia="仿宋_GB2312"/>
      <w:kern w:val="2"/>
      <w:lang w:val="zh-CN"/>
    </w:rPr>
  </w:style>
  <w:style w:type="paragraph" w:customStyle="1" w:styleId="1031">
    <w:name w:val="样式 四号 行距: 多倍行距 0.8 字行"/>
    <w:basedOn w:val="1"/>
    <w:qFormat/>
    <w:uiPriority w:val="0"/>
    <w:pPr>
      <w:ind w:firstLine="560" w:firstLineChars="200"/>
    </w:pPr>
    <w:rPr>
      <w:sz w:val="28"/>
      <w:szCs w:val="20"/>
    </w:rPr>
  </w:style>
  <w:style w:type="paragraph" w:customStyle="1" w:styleId="1032">
    <w:name w:val="xl503"/>
    <w:basedOn w:val="1"/>
    <w:qFormat/>
    <w:uiPriority w:val="0"/>
    <w:pPr>
      <w:widowControl/>
      <w:pBdr>
        <w:top w:val="single" w:color="000000" w:sz="4" w:space="0"/>
        <w:left w:val="single" w:color="000000" w:sz="4" w:space="0"/>
        <w:right w:val="single" w:color="000000" w:sz="4" w:space="0"/>
      </w:pBdr>
      <w:spacing w:before="100" w:beforeAutospacing="1" w:after="100" w:afterAutospacing="1"/>
      <w:jc w:val="left"/>
    </w:pPr>
    <w:rPr>
      <w:rFonts w:ascii="宋体" w:hAnsi="宋体"/>
      <w:kern w:val="0"/>
      <w:sz w:val="20"/>
      <w:szCs w:val="20"/>
    </w:rPr>
  </w:style>
  <w:style w:type="paragraph" w:customStyle="1" w:styleId="1033">
    <w:name w:val="样式 样式 段前: 0.5 行 段后: 0.5 行 + 首行缩进:  2 字符2"/>
    <w:basedOn w:val="1"/>
    <w:qFormat/>
    <w:uiPriority w:val="0"/>
    <w:pPr>
      <w:adjustRightInd w:val="0"/>
      <w:spacing w:line="500" w:lineRule="atLeast"/>
      <w:ind w:firstLine="560" w:firstLineChars="200"/>
      <w:textAlignment w:val="baseline"/>
    </w:pPr>
    <w:rPr>
      <w:rFonts w:cs="宋体"/>
      <w:kern w:val="0"/>
      <w:sz w:val="28"/>
      <w:szCs w:val="20"/>
    </w:rPr>
  </w:style>
  <w:style w:type="paragraph" w:customStyle="1" w:styleId="1034">
    <w:name w:val="font19"/>
    <w:basedOn w:val="1"/>
    <w:qFormat/>
    <w:uiPriority w:val="0"/>
    <w:pPr>
      <w:widowControl/>
      <w:spacing w:before="100" w:beforeAutospacing="1" w:after="100" w:afterAutospacing="1"/>
      <w:jc w:val="left"/>
    </w:pPr>
    <w:rPr>
      <w:rFonts w:ascii="宋体" w:hAnsi="宋体"/>
      <w:color w:val="FF0000"/>
      <w:kern w:val="0"/>
      <w:sz w:val="20"/>
      <w:szCs w:val="20"/>
    </w:rPr>
  </w:style>
  <w:style w:type="paragraph" w:customStyle="1" w:styleId="1035">
    <w:name w:val="Char Char91"/>
    <w:basedOn w:val="1"/>
    <w:qFormat/>
    <w:uiPriority w:val="0"/>
    <w:pPr>
      <w:widowControl/>
      <w:spacing w:after="160" w:line="240" w:lineRule="exact"/>
      <w:jc w:val="center"/>
    </w:pPr>
    <w:rPr>
      <w:rFonts w:ascii="宋体" w:hAnsi="宋体"/>
      <w:b/>
      <w:kern w:val="0"/>
      <w:sz w:val="30"/>
      <w:szCs w:val="20"/>
      <w:lang w:eastAsia="en-US"/>
    </w:rPr>
  </w:style>
  <w:style w:type="paragraph" w:customStyle="1" w:styleId="1036">
    <w:name w:val="xl99"/>
    <w:basedOn w:val="1"/>
    <w:qFormat/>
    <w:uiPriority w:val="0"/>
    <w:pPr>
      <w:widowControl/>
      <w:pBdr>
        <w:bottom w:val="single" w:color="auto" w:sz="4" w:space="0"/>
        <w:right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1037">
    <w:name w:val="样式 标题 1 + 四号 居中 段前: 12 磅 段后: 12 磅 行距: 单倍行距"/>
    <w:basedOn w:val="3"/>
    <w:qFormat/>
    <w:uiPriority w:val="0"/>
    <w:pPr>
      <w:autoSpaceDE/>
      <w:autoSpaceDN/>
      <w:spacing w:after="240" w:line="240" w:lineRule="auto"/>
      <w:ind w:left="2412" w:firstLine="288"/>
    </w:pPr>
    <w:rPr>
      <w:rFonts w:ascii="Times New Roman"/>
      <w:bCs/>
      <w:sz w:val="28"/>
      <w:lang w:val="zh-CN"/>
    </w:rPr>
  </w:style>
  <w:style w:type="paragraph" w:customStyle="1" w:styleId="1038">
    <w:name w:val="样式 标题 3 + 行距: 2 倍行距"/>
    <w:basedOn w:val="6"/>
    <w:qFormat/>
    <w:uiPriority w:val="0"/>
    <w:pPr>
      <w:autoSpaceDE/>
      <w:autoSpaceDN/>
      <w:adjustRightInd/>
      <w:spacing w:before="0" w:after="0" w:line="480" w:lineRule="auto"/>
      <w:jc w:val="both"/>
    </w:pPr>
    <w:rPr>
      <w:rFonts w:ascii="Times New Roman" w:eastAsia="黑体"/>
      <w:b w:val="0"/>
      <w:kern w:val="2"/>
      <w:sz w:val="32"/>
      <w:u w:val="none"/>
      <w:lang w:val="zh-CN"/>
    </w:rPr>
  </w:style>
  <w:style w:type="paragraph" w:customStyle="1" w:styleId="1039">
    <w:name w:val="xl11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2"/>
      <w:szCs w:val="22"/>
    </w:rPr>
  </w:style>
  <w:style w:type="paragraph" w:customStyle="1" w:styleId="1040">
    <w:name w:val="样式 正文文本缩进 + 行距: 1.5 倍行距"/>
    <w:basedOn w:val="35"/>
    <w:qFormat/>
    <w:uiPriority w:val="0"/>
    <w:pPr>
      <w:adjustRightInd w:val="0"/>
      <w:snapToGrid w:val="0"/>
      <w:ind w:firstLine="199" w:firstLineChars="199"/>
    </w:pPr>
    <w:rPr>
      <w:kern w:val="0"/>
      <w:sz w:val="28"/>
      <w:szCs w:val="20"/>
      <w:lang w:val="zh-CN"/>
    </w:rPr>
  </w:style>
  <w:style w:type="paragraph" w:customStyle="1" w:styleId="1041">
    <w:name w:val="A."/>
    <w:basedOn w:val="1"/>
    <w:qFormat/>
    <w:uiPriority w:val="0"/>
    <w:pPr>
      <w:widowControl/>
      <w:tabs>
        <w:tab w:val="left" w:pos="1200"/>
      </w:tabs>
      <w:spacing w:before="240" w:line="240" w:lineRule="atLeast"/>
    </w:pPr>
    <w:rPr>
      <w:sz w:val="24"/>
    </w:rPr>
  </w:style>
  <w:style w:type="paragraph" w:customStyle="1" w:styleId="1042">
    <w:name w:val="向喜琼表格文字"/>
    <w:basedOn w:val="1"/>
    <w:next w:val="1"/>
    <w:qFormat/>
    <w:uiPriority w:val="0"/>
    <w:pPr>
      <w:adjustRightInd w:val="0"/>
      <w:snapToGrid w:val="0"/>
      <w:jc w:val="center"/>
    </w:pPr>
    <w:rPr>
      <w:rFonts w:ascii="Times" w:hAnsi="Times"/>
      <w:kern w:val="0"/>
      <w:sz w:val="24"/>
      <w:szCs w:val="20"/>
    </w:rPr>
  </w:style>
  <w:style w:type="paragraph" w:customStyle="1" w:styleId="1043">
    <w:name w:val="Char Char Char Char Char Char Char21"/>
    <w:basedOn w:val="1"/>
    <w:qFormat/>
    <w:uiPriority w:val="0"/>
    <w:rPr>
      <w:szCs w:val="20"/>
    </w:rPr>
  </w:style>
  <w:style w:type="paragraph" w:customStyle="1" w:styleId="1044">
    <w:name w:val="p16"/>
    <w:basedOn w:val="1"/>
    <w:qFormat/>
    <w:uiPriority w:val="0"/>
    <w:pPr>
      <w:widowControl/>
      <w:jc w:val="left"/>
    </w:pPr>
    <w:rPr>
      <w:kern w:val="0"/>
      <w:szCs w:val="20"/>
    </w:rPr>
  </w:style>
  <w:style w:type="paragraph" w:customStyle="1" w:styleId="1045">
    <w:name w:val="正文首行缩进 21"/>
    <w:basedOn w:val="115"/>
    <w:qFormat/>
    <w:uiPriority w:val="0"/>
    <w:pPr>
      <w:spacing w:after="120" w:line="360" w:lineRule="auto"/>
      <w:ind w:left="420" w:leftChars="200" w:firstLine="420"/>
    </w:pPr>
    <w:rPr>
      <w:rFonts w:ascii="Times New Roman" w:hAnsi="Times New Roman"/>
      <w:kern w:val="2"/>
      <w:szCs w:val="20"/>
    </w:rPr>
  </w:style>
  <w:style w:type="paragraph" w:customStyle="1" w:styleId="1046">
    <w:name w:val="xl468"/>
    <w:basedOn w:val="1"/>
    <w:qFormat/>
    <w:uiPriority w:val="0"/>
    <w:pPr>
      <w:widowControl/>
      <w:pBdr>
        <w:top w:val="single" w:color="auto" w:sz="4" w:space="0"/>
        <w:left w:val="single" w:color="auto" w:sz="4" w:space="0"/>
        <w:bottom w:val="single" w:color="auto" w:sz="4" w:space="0"/>
        <w:right w:val="single" w:color="auto" w:sz="4" w:space="0"/>
      </w:pBdr>
      <w:shd w:val="clear" w:color="FFFFFF" w:fill="FFFFFF"/>
      <w:spacing w:before="100" w:beforeAutospacing="1" w:after="100" w:afterAutospacing="1"/>
      <w:jc w:val="left"/>
    </w:pPr>
    <w:rPr>
      <w:rFonts w:ascii="黑体" w:hAnsi="黑体" w:eastAsia="黑体"/>
      <w:kern w:val="0"/>
      <w:sz w:val="20"/>
      <w:szCs w:val="20"/>
    </w:rPr>
  </w:style>
  <w:style w:type="paragraph" w:customStyle="1" w:styleId="1047">
    <w:name w:val="样式 标题 2节 + 左侧:  0 厘米 悬挂缩进: 6.8 字符 段前: 18 磅 段后: 0 磅 行距: 最小值 ..."/>
    <w:basedOn w:val="4"/>
    <w:qFormat/>
    <w:uiPriority w:val="0"/>
    <w:pPr>
      <w:autoSpaceDE/>
      <w:autoSpaceDN/>
      <w:adjustRightInd/>
      <w:snapToGrid w:val="0"/>
      <w:spacing w:before="360" w:line="240" w:lineRule="atLeast"/>
      <w:ind w:left="680" w:hanging="680"/>
      <w:jc w:val="left"/>
    </w:pPr>
    <w:rPr>
      <w:rFonts w:cs="宋体"/>
      <w:bCs/>
      <w:kern w:val="2"/>
      <w:sz w:val="28"/>
      <w:lang w:val="zh-CN"/>
    </w:rPr>
  </w:style>
  <w:style w:type="paragraph" w:customStyle="1" w:styleId="1048">
    <w:name w:val="xl63"/>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eastAsia="Arial Unicode MS" w:cs="Arial Unicode MS"/>
      <w:kern w:val="0"/>
      <w:sz w:val="24"/>
    </w:rPr>
  </w:style>
  <w:style w:type="paragraph" w:customStyle="1" w:styleId="1049">
    <w:name w:val="Char Char3 Char"/>
    <w:basedOn w:val="1"/>
    <w:qFormat/>
    <w:uiPriority w:val="0"/>
    <w:pPr>
      <w:adjustRightInd w:val="0"/>
      <w:snapToGrid w:val="0"/>
      <w:spacing w:line="360" w:lineRule="auto"/>
      <w:ind w:firstLine="200" w:firstLineChars="200"/>
    </w:pPr>
    <w:rPr>
      <w:rFonts w:ascii="宋体" w:hAnsi="宋体" w:eastAsia="仿宋_GB2312"/>
      <w:sz w:val="32"/>
      <w:szCs w:val="20"/>
    </w:rPr>
  </w:style>
  <w:style w:type="paragraph" w:customStyle="1" w:styleId="1050">
    <w:name w:val="xl494"/>
    <w:basedOn w:val="1"/>
    <w:qFormat/>
    <w:uiPriority w:val="0"/>
    <w:pPr>
      <w:widowControl/>
      <w:pBdr>
        <w:top w:val="single" w:color="auto" w:sz="4" w:space="0"/>
        <w:left w:val="single" w:color="auto" w:sz="4" w:space="0"/>
        <w:bottom w:val="single" w:color="auto" w:sz="4" w:space="0"/>
        <w:right w:val="single" w:color="auto" w:sz="4" w:space="0"/>
      </w:pBdr>
      <w:shd w:val="clear" w:color="FFFFFF" w:fill="FFFFFF"/>
      <w:spacing w:before="100" w:beforeAutospacing="1" w:after="100" w:afterAutospacing="1"/>
      <w:jc w:val="left"/>
    </w:pPr>
    <w:rPr>
      <w:rFonts w:ascii="宋体" w:hAnsi="宋体"/>
      <w:kern w:val="0"/>
      <w:sz w:val="20"/>
      <w:szCs w:val="20"/>
    </w:rPr>
  </w:style>
  <w:style w:type="paragraph" w:customStyle="1" w:styleId="1051">
    <w:name w:val="Char Char1 Char1"/>
    <w:basedOn w:val="1"/>
    <w:next w:val="1"/>
    <w:qFormat/>
    <w:uiPriority w:val="0"/>
    <w:pPr>
      <w:spacing w:line="360" w:lineRule="auto"/>
    </w:pPr>
    <w:rPr>
      <w:sz w:val="24"/>
      <w:szCs w:val="20"/>
    </w:rPr>
  </w:style>
  <w:style w:type="paragraph" w:customStyle="1" w:styleId="1052">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053">
    <w:name w:val="xl5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eastAsia="Arial Unicode MS"/>
      <w:kern w:val="0"/>
      <w:sz w:val="24"/>
    </w:rPr>
  </w:style>
  <w:style w:type="paragraph" w:customStyle="1" w:styleId="1054">
    <w:name w:val="xl78"/>
    <w:basedOn w:val="1"/>
    <w:qFormat/>
    <w:uiPriority w:val="0"/>
    <w:pPr>
      <w:widowControl/>
      <w:numPr>
        <w:ilvl w:val="0"/>
        <w:numId w:val="24"/>
      </w:numPr>
      <w:pBdr>
        <w:top w:val="single" w:color="auto" w:sz="4" w:space="0"/>
        <w:left w:val="single" w:color="auto" w:sz="4" w:space="0"/>
        <w:bottom w:val="single" w:color="auto" w:sz="4" w:space="0"/>
        <w:right w:val="single" w:color="auto" w:sz="4" w:space="0"/>
      </w:pBdr>
      <w:spacing w:before="100" w:beforeAutospacing="1" w:after="100" w:afterAutospacing="1"/>
      <w:ind w:left="0" w:firstLine="0"/>
      <w:jc w:val="center"/>
    </w:pPr>
    <w:rPr>
      <w:kern w:val="0"/>
      <w:sz w:val="20"/>
      <w:szCs w:val="20"/>
    </w:rPr>
  </w:style>
  <w:style w:type="paragraph" w:customStyle="1" w:styleId="1055">
    <w:name w:val="Char Char2 Char Char"/>
    <w:basedOn w:val="1"/>
    <w:qFormat/>
    <w:uiPriority w:val="0"/>
    <w:pPr>
      <w:snapToGrid w:val="0"/>
      <w:spacing w:line="360" w:lineRule="auto"/>
      <w:ind w:firstLine="200" w:firstLineChars="200"/>
    </w:pPr>
    <w:rPr>
      <w:rFonts w:eastAsia="仿宋_GB2312"/>
      <w:sz w:val="24"/>
      <w:szCs w:val="20"/>
    </w:rPr>
  </w:style>
  <w:style w:type="paragraph" w:customStyle="1" w:styleId="1056">
    <w:name w:val="xl497"/>
    <w:basedOn w:val="1"/>
    <w:qFormat/>
    <w:uiPriority w:val="0"/>
    <w:pPr>
      <w:widowControl/>
      <w:pBdr>
        <w:top w:val="single" w:color="000000" w:sz="4" w:space="0"/>
        <w:left w:val="single" w:color="auto" w:sz="8" w:space="0"/>
        <w:right w:val="single" w:color="000000" w:sz="4" w:space="0"/>
      </w:pBdr>
      <w:spacing w:before="100" w:beforeAutospacing="1" w:after="100" w:afterAutospacing="1"/>
      <w:jc w:val="center"/>
    </w:pPr>
    <w:rPr>
      <w:rFonts w:ascii="宋体" w:hAnsi="宋体"/>
      <w:kern w:val="0"/>
      <w:sz w:val="20"/>
      <w:szCs w:val="20"/>
    </w:rPr>
  </w:style>
  <w:style w:type="paragraph" w:customStyle="1" w:styleId="1057">
    <w:name w:val="xl70"/>
    <w:basedOn w:val="1"/>
    <w:qFormat/>
    <w:uiPriority w:val="0"/>
    <w:pPr>
      <w:widowControl/>
      <w:numPr>
        <w:ilvl w:val="0"/>
        <w:numId w:val="25"/>
      </w:numPr>
      <w:pBdr>
        <w:top w:val="single" w:color="auto" w:sz="4" w:space="0"/>
        <w:left w:val="single" w:color="auto" w:sz="4" w:space="0"/>
        <w:bottom w:val="single" w:color="auto" w:sz="4" w:space="0"/>
        <w:right w:val="single" w:color="auto" w:sz="4" w:space="0"/>
      </w:pBdr>
      <w:tabs>
        <w:tab w:val="left" w:pos="432"/>
        <w:tab w:val="clear" w:pos="420"/>
      </w:tabs>
      <w:spacing w:before="100" w:beforeAutospacing="1" w:after="100" w:afterAutospacing="1"/>
      <w:ind w:left="0" w:firstLine="0"/>
      <w:jc w:val="left"/>
    </w:pPr>
    <w:rPr>
      <w:rFonts w:ascii="宋体" w:hAnsi="宋体" w:cs="宋体"/>
      <w:kern w:val="0"/>
      <w:sz w:val="20"/>
      <w:szCs w:val="20"/>
    </w:rPr>
  </w:style>
  <w:style w:type="paragraph" w:customStyle="1" w:styleId="1058">
    <w:name w:val="PMtextBullet"/>
    <w:basedOn w:val="786"/>
    <w:qFormat/>
    <w:uiPriority w:val="0"/>
    <w:pPr>
      <w:tabs>
        <w:tab w:val="left" w:pos="2520"/>
        <w:tab w:val="left" w:pos="3119"/>
      </w:tabs>
      <w:spacing w:after="200"/>
      <w:ind w:left="2520" w:hanging="709"/>
    </w:pPr>
  </w:style>
  <w:style w:type="paragraph" w:customStyle="1" w:styleId="1059">
    <w:name w:val="_Style 789"/>
    <w:basedOn w:val="1"/>
    <w:next w:val="123"/>
    <w:qFormat/>
    <w:uiPriority w:val="0"/>
    <w:pPr>
      <w:ind w:firstLine="420" w:firstLineChars="200"/>
    </w:pPr>
    <w:rPr>
      <w:rFonts w:ascii="Calibri" w:hAnsi="Calibri"/>
      <w:szCs w:val="22"/>
    </w:rPr>
  </w:style>
  <w:style w:type="paragraph" w:customStyle="1" w:styleId="1060">
    <w:name w:val="6'"/>
    <w:basedOn w:val="1"/>
    <w:qFormat/>
    <w:uiPriority w:val="99"/>
    <w:pPr>
      <w:autoSpaceDE w:val="0"/>
      <w:autoSpaceDN w:val="0"/>
      <w:adjustRightInd w:val="0"/>
      <w:snapToGrid w:val="0"/>
      <w:spacing w:line="320" w:lineRule="exact"/>
      <w:jc w:val="center"/>
      <w:textAlignment w:val="baseline"/>
    </w:pPr>
    <w:rPr>
      <w:spacing w:val="20"/>
      <w:kern w:val="28"/>
      <w:szCs w:val="20"/>
    </w:rPr>
  </w:style>
  <w:style w:type="paragraph" w:customStyle="1" w:styleId="1061">
    <w:name w:val="Normal1"/>
    <w:basedOn w:val="3"/>
    <w:next w:val="3"/>
    <w:qFormat/>
    <w:uiPriority w:val="0"/>
    <w:pPr>
      <w:keepNext w:val="0"/>
      <w:keepLines w:val="0"/>
      <w:tabs>
        <w:tab w:val="left" w:pos="360"/>
      </w:tabs>
      <w:autoSpaceDE/>
      <w:autoSpaceDN/>
      <w:spacing w:before="0" w:after="0" w:line="360" w:lineRule="auto"/>
      <w:ind w:left="360" w:hanging="360"/>
      <w:jc w:val="left"/>
      <w:textAlignment w:val="baseline"/>
    </w:pPr>
    <w:rPr>
      <w:rFonts w:hAnsi="宋体"/>
      <w:kern w:val="0"/>
      <w:sz w:val="24"/>
      <w:lang w:val="zh-CN"/>
    </w:rPr>
  </w:style>
  <w:style w:type="paragraph" w:customStyle="1" w:styleId="1062">
    <w:name w:val="xl10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2"/>
      <w:szCs w:val="22"/>
    </w:rPr>
  </w:style>
  <w:style w:type="paragraph" w:customStyle="1" w:styleId="1063">
    <w:name w:val="样式 标题 4 + (西文) Times New Roman (中文) +中文标题 居中 左侧:  0 厘米 首行缩进:..."/>
    <w:basedOn w:val="7"/>
    <w:qFormat/>
    <w:uiPriority w:val="0"/>
    <w:pPr>
      <w:adjustRightInd/>
      <w:spacing w:before="120" w:after="120" w:line="360" w:lineRule="auto"/>
      <w:ind w:right="-82" w:rightChars="-82" w:firstLine="562" w:firstLineChars="200"/>
      <w:jc w:val="left"/>
      <w:textAlignment w:val="auto"/>
    </w:pPr>
    <w:rPr>
      <w:rFonts w:ascii="Times New Roman" w:hAnsi="Times New Roman" w:eastAsia="宋体"/>
      <w:kern w:val="2"/>
      <w:lang w:val="zh-CN"/>
    </w:rPr>
  </w:style>
  <w:style w:type="paragraph" w:customStyle="1" w:styleId="1064">
    <w:name w:val="xl471"/>
    <w:basedOn w:val="1"/>
    <w:qFormat/>
    <w:uiPriority w:val="0"/>
    <w:pPr>
      <w:widowControl/>
      <w:pBdr>
        <w:top w:val="single" w:color="auto" w:sz="4" w:space="0"/>
        <w:left w:val="single" w:color="auto" w:sz="4" w:space="0"/>
        <w:bottom w:val="single" w:color="auto" w:sz="4" w:space="0"/>
        <w:right w:val="single" w:color="auto" w:sz="8" w:space="0"/>
      </w:pBdr>
      <w:shd w:val="clear" w:color="FFFFFF" w:fill="FFFF00"/>
      <w:spacing w:before="100" w:beforeAutospacing="1" w:after="100" w:afterAutospacing="1"/>
      <w:jc w:val="center"/>
    </w:pPr>
    <w:rPr>
      <w:rFonts w:ascii="宋体" w:hAnsi="宋体"/>
      <w:b/>
      <w:kern w:val="0"/>
      <w:sz w:val="20"/>
      <w:szCs w:val="20"/>
    </w:rPr>
  </w:style>
  <w:style w:type="paragraph" w:customStyle="1" w:styleId="1065">
    <w:name w:val="样式 正文"/>
    <w:basedOn w:val="1"/>
    <w:qFormat/>
    <w:uiPriority w:val="0"/>
    <w:pPr>
      <w:spacing w:line="360" w:lineRule="auto"/>
      <w:ind w:firstLine="480" w:firstLineChars="200"/>
    </w:pPr>
    <w:rPr>
      <w:sz w:val="24"/>
      <w:szCs w:val="20"/>
    </w:rPr>
  </w:style>
  <w:style w:type="paragraph" w:customStyle="1" w:styleId="1066">
    <w:name w:val="表格3 Char Char Char Char Char Char Char Char Char Char Char Char Char Char Char Char Char Char Char Char Char Char"/>
    <w:qFormat/>
    <w:uiPriority w:val="0"/>
    <w:pPr>
      <w:spacing w:before="240" w:after="240" w:line="360" w:lineRule="auto"/>
    </w:pPr>
    <w:rPr>
      <w:rFonts w:ascii="Times New Roman" w:hAnsi="Times New Roman" w:eastAsia="仿宋_GB2312" w:cs="Times New Roman"/>
      <w:kern w:val="2"/>
      <w:sz w:val="24"/>
      <w:lang w:val="en-US" w:eastAsia="zh-CN" w:bidi="ar-SA"/>
    </w:rPr>
  </w:style>
  <w:style w:type="paragraph" w:customStyle="1" w:styleId="1067">
    <w:name w:val="xl461"/>
    <w:basedOn w:val="1"/>
    <w:qFormat/>
    <w:uiPriority w:val="0"/>
    <w:pPr>
      <w:widowControl/>
      <w:pBdr>
        <w:top w:val="single" w:color="auto" w:sz="4" w:space="0"/>
        <w:left w:val="single" w:color="auto" w:sz="4" w:space="0"/>
        <w:bottom w:val="single" w:color="auto" w:sz="4" w:space="0"/>
        <w:right w:val="single" w:color="auto" w:sz="4" w:space="0"/>
      </w:pBdr>
      <w:shd w:val="clear" w:color="FFFFFF" w:fill="FFFFFF"/>
      <w:spacing w:before="100" w:beforeAutospacing="1" w:after="100" w:afterAutospacing="1"/>
      <w:jc w:val="center"/>
    </w:pPr>
    <w:rPr>
      <w:rFonts w:ascii="宋体" w:hAnsi="宋体"/>
      <w:kern w:val="0"/>
      <w:sz w:val="20"/>
      <w:szCs w:val="20"/>
    </w:rPr>
  </w:style>
  <w:style w:type="paragraph" w:customStyle="1" w:styleId="1068">
    <w:name w:val="xl96"/>
    <w:basedOn w:val="1"/>
    <w:qFormat/>
    <w:uiPriority w:val="0"/>
    <w:pPr>
      <w:widowControl/>
      <w:pBdr>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1069">
    <w:name w:val="xl508"/>
    <w:basedOn w:val="1"/>
    <w:qFormat/>
    <w:uiPriority w:val="0"/>
    <w:pPr>
      <w:widowControl/>
      <w:pBdr>
        <w:left w:val="single" w:color="auto" w:sz="8" w:space="0"/>
        <w:right w:val="single" w:color="000000" w:sz="4" w:space="0"/>
      </w:pBdr>
      <w:spacing w:before="100" w:beforeAutospacing="1" w:after="100" w:afterAutospacing="1"/>
      <w:jc w:val="center"/>
    </w:pPr>
    <w:rPr>
      <w:rFonts w:ascii="宋体" w:hAnsi="宋体"/>
      <w:kern w:val="0"/>
      <w:sz w:val="20"/>
      <w:szCs w:val="20"/>
    </w:rPr>
  </w:style>
  <w:style w:type="paragraph" w:customStyle="1" w:styleId="1070">
    <w:name w:val="font14"/>
    <w:basedOn w:val="1"/>
    <w:qFormat/>
    <w:uiPriority w:val="0"/>
    <w:pPr>
      <w:widowControl/>
      <w:spacing w:before="100" w:beforeAutospacing="1" w:after="100" w:afterAutospacing="1"/>
      <w:jc w:val="left"/>
    </w:pPr>
    <w:rPr>
      <w:kern w:val="0"/>
      <w:sz w:val="28"/>
      <w:szCs w:val="20"/>
    </w:rPr>
  </w:style>
  <w:style w:type="paragraph" w:customStyle="1" w:styleId="1071">
    <w:name w:val="xl473"/>
    <w:basedOn w:val="1"/>
    <w:qFormat/>
    <w:uiPriority w:val="0"/>
    <w:pPr>
      <w:widowControl/>
      <w:pBdr>
        <w:left w:val="single" w:color="000000" w:sz="4" w:space="0"/>
        <w:bottom w:val="single" w:color="000000" w:sz="4" w:space="0"/>
        <w:right w:val="single" w:color="000000" w:sz="4" w:space="0"/>
      </w:pBdr>
      <w:shd w:val="clear" w:color="FFFFFF" w:fill="FFFFFF"/>
      <w:spacing w:before="100" w:beforeAutospacing="1" w:after="100" w:afterAutospacing="1"/>
      <w:jc w:val="left"/>
    </w:pPr>
    <w:rPr>
      <w:rFonts w:ascii="宋体" w:hAnsi="宋体"/>
      <w:kern w:val="0"/>
      <w:sz w:val="20"/>
      <w:szCs w:val="20"/>
    </w:rPr>
  </w:style>
  <w:style w:type="paragraph" w:customStyle="1" w:styleId="1072">
    <w:name w:val="Char Char Char Char3"/>
    <w:basedOn w:val="1"/>
    <w:qFormat/>
    <w:uiPriority w:val="99"/>
    <w:pPr>
      <w:widowControl/>
      <w:spacing w:after="160" w:line="240" w:lineRule="exact"/>
      <w:jc w:val="left"/>
    </w:pPr>
    <w:rPr>
      <w:rFonts w:ascii="Verdana" w:hAnsi="Verdana"/>
      <w:kern w:val="0"/>
      <w:sz w:val="20"/>
      <w:szCs w:val="20"/>
      <w:lang w:eastAsia="en-US"/>
    </w:rPr>
  </w:style>
  <w:style w:type="paragraph" w:customStyle="1" w:styleId="1073">
    <w:name w:val="xl133"/>
    <w:basedOn w:val="1"/>
    <w:qFormat/>
    <w:uiPriority w:val="0"/>
    <w:pPr>
      <w:widowControl/>
      <w:pBdr>
        <w:bottom w:val="single" w:color="auto" w:sz="4" w:space="0"/>
        <w:right w:val="single" w:color="auto" w:sz="4" w:space="0"/>
      </w:pBdr>
      <w:spacing w:before="100" w:beforeAutospacing="1" w:after="100" w:afterAutospacing="1"/>
      <w:jc w:val="center"/>
      <w:textAlignment w:val="center"/>
    </w:pPr>
    <w:rPr>
      <w:rFonts w:ascii="宋体" w:hAnsi="宋体" w:cs="宋体"/>
      <w:b/>
      <w:bCs/>
      <w:i/>
      <w:iCs/>
      <w:kern w:val="0"/>
      <w:sz w:val="22"/>
      <w:szCs w:val="22"/>
    </w:rPr>
  </w:style>
  <w:style w:type="paragraph" w:customStyle="1" w:styleId="1074">
    <w:name w:val="xl501"/>
    <w:basedOn w:val="1"/>
    <w:qFormat/>
    <w:uiPriority w:val="0"/>
    <w:pPr>
      <w:widowControl/>
      <w:pBdr>
        <w:top w:val="single" w:color="auto" w:sz="4" w:space="0"/>
        <w:left w:val="single" w:color="auto" w:sz="4" w:space="0"/>
        <w:bottom w:val="single" w:color="auto" w:sz="4" w:space="0"/>
        <w:right w:val="single" w:color="auto" w:sz="4" w:space="0"/>
      </w:pBdr>
      <w:shd w:val="clear" w:color="FFFFFF" w:fill="FFFFFF"/>
      <w:spacing w:before="100" w:beforeAutospacing="1" w:after="100" w:afterAutospacing="1"/>
      <w:jc w:val="left"/>
    </w:pPr>
    <w:rPr>
      <w:rFonts w:ascii="宋体" w:hAnsi="宋体"/>
      <w:kern w:val="0"/>
      <w:sz w:val="20"/>
      <w:szCs w:val="20"/>
    </w:rPr>
  </w:style>
  <w:style w:type="paragraph" w:customStyle="1" w:styleId="1075">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076">
    <w:name w:val="样式 居中 行距: 固定值 22 磅1"/>
    <w:basedOn w:val="1"/>
    <w:qFormat/>
    <w:uiPriority w:val="0"/>
    <w:pPr>
      <w:spacing w:line="440" w:lineRule="exact"/>
      <w:jc w:val="center"/>
    </w:pPr>
    <w:rPr>
      <w:rFonts w:cs="宋体"/>
      <w:szCs w:val="20"/>
    </w:rPr>
  </w:style>
  <w:style w:type="paragraph" w:customStyle="1" w:styleId="1077">
    <w:name w:val="样式 标题 1 + 仿宋_GB2312 三号 全部大写 段前: 6 磅 段后: 6 磅 行距: 固定值 25 磅"/>
    <w:basedOn w:val="3"/>
    <w:qFormat/>
    <w:uiPriority w:val="0"/>
    <w:pPr>
      <w:autoSpaceDE/>
      <w:autoSpaceDN/>
      <w:adjustRightInd/>
      <w:spacing w:after="240" w:line="500" w:lineRule="exact"/>
      <w:jc w:val="both"/>
    </w:pPr>
    <w:rPr>
      <w:rFonts w:ascii="仿宋_GB2312" w:hAnsi="宋体" w:eastAsia="仿宋_GB2312" w:cs="宋体"/>
      <w:bCs/>
      <w:caps/>
      <w:kern w:val="2"/>
      <w:lang w:val="zh-CN"/>
    </w:rPr>
  </w:style>
  <w:style w:type="paragraph" w:customStyle="1" w:styleId="1078">
    <w:name w:val="CM45"/>
    <w:basedOn w:val="208"/>
    <w:next w:val="208"/>
    <w:qFormat/>
    <w:uiPriority w:val="0"/>
    <w:rPr>
      <w:rFonts w:ascii="黑体" w:hAnsi="Times New Roman" w:eastAsia="黑体" w:cs="Times New Roman"/>
      <w:color w:val="auto"/>
      <w:szCs w:val="20"/>
    </w:rPr>
  </w:style>
  <w:style w:type="paragraph" w:customStyle="1" w:styleId="1079">
    <w:name w:val="xl452"/>
    <w:basedOn w:val="1"/>
    <w:qFormat/>
    <w:uiPriority w:val="0"/>
    <w:pPr>
      <w:widowControl/>
      <w:pBdr>
        <w:top w:val="single" w:color="000000" w:sz="4" w:space="0"/>
        <w:left w:val="single" w:color="000000" w:sz="4" w:space="0"/>
        <w:bottom w:val="single" w:color="000000" w:sz="4" w:space="0"/>
        <w:right w:val="single" w:color="000000" w:sz="4" w:space="0"/>
      </w:pBdr>
      <w:shd w:val="clear" w:color="FFFFFF" w:fill="FFFFFF"/>
      <w:spacing w:before="100" w:beforeAutospacing="1" w:after="100" w:afterAutospacing="1"/>
      <w:jc w:val="center"/>
    </w:pPr>
    <w:rPr>
      <w:rFonts w:ascii="宋体" w:hAnsi="宋体"/>
      <w:kern w:val="0"/>
      <w:sz w:val="20"/>
      <w:szCs w:val="20"/>
    </w:rPr>
  </w:style>
  <w:style w:type="paragraph" w:customStyle="1" w:styleId="1080">
    <w:name w:val="菲页(卷)"/>
    <w:basedOn w:val="3"/>
    <w:next w:val="621"/>
    <w:qFormat/>
    <w:uiPriority w:val="0"/>
    <w:pPr>
      <w:keepNext w:val="0"/>
      <w:keepLines w:val="0"/>
      <w:tabs>
        <w:tab w:val="left" w:pos="360"/>
      </w:tabs>
      <w:autoSpaceDE/>
      <w:autoSpaceDN/>
      <w:adjustRightInd/>
      <w:spacing w:before="0" w:after="0" w:line="360" w:lineRule="auto"/>
      <w:ind w:left="360" w:hanging="360"/>
      <w:jc w:val="left"/>
      <w:outlineLvl w:val="1"/>
    </w:pPr>
    <w:rPr>
      <w:rFonts w:ascii="黑体" w:hAnsi="宋体"/>
      <w:kern w:val="0"/>
      <w:sz w:val="52"/>
      <w:lang w:val="zh-CN"/>
    </w:rPr>
  </w:style>
  <w:style w:type="paragraph" w:customStyle="1" w:styleId="1081">
    <w:name w:val="xl106"/>
    <w:basedOn w:val="1"/>
    <w:qFormat/>
    <w:uiPriority w:val="0"/>
    <w:pPr>
      <w:widowControl/>
      <w:pBdr>
        <w:bottom w:val="single" w:color="auto" w:sz="4" w:space="0"/>
        <w:right w:val="single" w:color="auto" w:sz="4" w:space="0"/>
      </w:pBdr>
      <w:spacing w:before="100" w:beforeAutospacing="1" w:after="100" w:afterAutospacing="1"/>
      <w:jc w:val="center"/>
      <w:textAlignment w:val="center"/>
    </w:pPr>
    <w:rPr>
      <w:rFonts w:ascii="宋体" w:hAnsi="宋体" w:cs="宋体"/>
      <w:kern w:val="0"/>
      <w:sz w:val="22"/>
      <w:szCs w:val="22"/>
    </w:rPr>
  </w:style>
  <w:style w:type="paragraph" w:customStyle="1" w:styleId="1082">
    <w:name w:val="xl507"/>
    <w:basedOn w:val="1"/>
    <w:qFormat/>
    <w:uiPriority w:val="0"/>
    <w:pPr>
      <w:widowControl/>
      <w:pBdr>
        <w:left w:val="single" w:color="000000" w:sz="4" w:space="0"/>
        <w:bottom w:val="single" w:color="000000" w:sz="4" w:space="0"/>
        <w:right w:val="single" w:color="000000" w:sz="4" w:space="0"/>
      </w:pBdr>
      <w:spacing w:before="100" w:beforeAutospacing="1" w:after="100" w:afterAutospacing="1"/>
      <w:jc w:val="center"/>
    </w:pPr>
    <w:rPr>
      <w:rFonts w:ascii="宋体" w:hAnsi="宋体"/>
      <w:kern w:val="0"/>
      <w:sz w:val="20"/>
      <w:szCs w:val="20"/>
    </w:rPr>
  </w:style>
  <w:style w:type="paragraph" w:customStyle="1" w:styleId="1083">
    <w:name w:val="a封面标题"/>
    <w:qFormat/>
    <w:uiPriority w:val="0"/>
    <w:pPr>
      <w:spacing w:line="560" w:lineRule="exact"/>
      <w:jc w:val="center"/>
    </w:pPr>
    <w:rPr>
      <w:rFonts w:ascii="Times New Roman" w:hAnsi="Times New Roman" w:eastAsia="宋体" w:cs="Times New Roman"/>
      <w:b/>
      <w:sz w:val="52"/>
      <w:lang w:val="en-US" w:eastAsia="zh-CN" w:bidi="ar-SA"/>
    </w:rPr>
  </w:style>
  <w:style w:type="paragraph" w:customStyle="1" w:styleId="1084">
    <w:name w:val="列出段落11"/>
    <w:basedOn w:val="1"/>
    <w:qFormat/>
    <w:uiPriority w:val="0"/>
    <w:pPr>
      <w:widowControl/>
      <w:adjustRightInd w:val="0"/>
      <w:snapToGrid w:val="0"/>
      <w:spacing w:after="200"/>
      <w:ind w:firstLine="420" w:firstLineChars="200"/>
      <w:jc w:val="left"/>
    </w:pPr>
    <w:rPr>
      <w:rFonts w:ascii="Tahoma" w:hAnsi="Tahoma" w:eastAsia="微软雅黑"/>
      <w:kern w:val="0"/>
      <w:sz w:val="22"/>
      <w:szCs w:val="20"/>
    </w:rPr>
  </w:style>
  <w:style w:type="paragraph" w:customStyle="1" w:styleId="1085">
    <w:name w:val="xl135"/>
    <w:basedOn w:val="1"/>
    <w:qFormat/>
    <w:uiPriority w:val="0"/>
    <w:pPr>
      <w:widowControl/>
      <w:pBdr>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2"/>
      <w:szCs w:val="22"/>
    </w:rPr>
  </w:style>
  <w:style w:type="paragraph" w:customStyle="1" w:styleId="1086">
    <w:name w:val="xl488"/>
    <w:basedOn w:val="1"/>
    <w:qFormat/>
    <w:uiPriority w:val="0"/>
    <w:pPr>
      <w:widowControl/>
      <w:pBdr>
        <w:top w:val="single" w:color="000000" w:sz="4" w:space="0"/>
        <w:left w:val="single" w:color="000000" w:sz="4" w:space="0"/>
        <w:bottom w:val="single" w:color="000000" w:sz="4" w:space="0"/>
        <w:right w:val="single" w:color="auto" w:sz="8" w:space="0"/>
      </w:pBdr>
      <w:spacing w:before="100" w:beforeAutospacing="1" w:after="100" w:afterAutospacing="1"/>
      <w:jc w:val="center"/>
    </w:pPr>
    <w:rPr>
      <w:rFonts w:ascii="宋体" w:hAnsi="宋体"/>
      <w:kern w:val="0"/>
      <w:sz w:val="20"/>
      <w:szCs w:val="20"/>
    </w:rPr>
  </w:style>
  <w:style w:type="paragraph" w:customStyle="1" w:styleId="1087">
    <w:name w:val="xl158"/>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2"/>
      <w:szCs w:val="22"/>
    </w:rPr>
  </w:style>
  <w:style w:type="paragraph" w:customStyle="1" w:styleId="1088">
    <w:name w:val="目录文字"/>
    <w:basedOn w:val="1"/>
    <w:qFormat/>
    <w:uiPriority w:val="0"/>
    <w:pPr>
      <w:widowControl/>
      <w:spacing w:line="480" w:lineRule="auto"/>
      <w:jc w:val="left"/>
    </w:pPr>
    <w:rPr>
      <w:rFonts w:ascii="宋体" w:hAnsi="宋体"/>
      <w:kern w:val="0"/>
      <w:sz w:val="24"/>
      <w:szCs w:val="20"/>
    </w:rPr>
  </w:style>
  <w:style w:type="paragraph" w:customStyle="1" w:styleId="1089">
    <w:name w:val="xl462"/>
    <w:basedOn w:val="1"/>
    <w:qFormat/>
    <w:uiPriority w:val="0"/>
    <w:pPr>
      <w:widowControl/>
      <w:pBdr>
        <w:top w:val="single" w:color="auto" w:sz="8" w:space="0"/>
        <w:left w:val="single" w:color="auto" w:sz="8" w:space="0"/>
        <w:bottom w:val="single" w:color="000000" w:sz="4" w:space="0"/>
        <w:right w:val="single" w:color="000000" w:sz="4" w:space="0"/>
      </w:pBdr>
      <w:shd w:val="clear" w:color="FFFFFF" w:fill="FFFFFF"/>
      <w:spacing w:before="100" w:beforeAutospacing="1" w:after="100" w:afterAutospacing="1"/>
      <w:jc w:val="center"/>
    </w:pPr>
    <w:rPr>
      <w:rFonts w:ascii="宋体" w:hAnsi="宋体"/>
      <w:kern w:val="0"/>
      <w:sz w:val="20"/>
      <w:szCs w:val="20"/>
    </w:rPr>
  </w:style>
  <w:style w:type="paragraph" w:customStyle="1" w:styleId="1090">
    <w:name w:val="xl131"/>
    <w:basedOn w:val="1"/>
    <w:qFormat/>
    <w:uiPriority w:val="0"/>
    <w:pPr>
      <w:widowControl/>
      <w:pBdr>
        <w:bottom w:val="single" w:color="auto" w:sz="4" w:space="0"/>
        <w:right w:val="single" w:color="auto" w:sz="4" w:space="0"/>
      </w:pBdr>
      <w:spacing w:before="100" w:beforeAutospacing="1" w:after="100" w:afterAutospacing="1"/>
      <w:jc w:val="right"/>
      <w:textAlignment w:val="center"/>
    </w:pPr>
    <w:rPr>
      <w:rFonts w:ascii="宋体" w:hAnsi="宋体" w:cs="宋体"/>
      <w:b/>
      <w:bCs/>
      <w:i/>
      <w:iCs/>
      <w:kern w:val="0"/>
      <w:sz w:val="22"/>
      <w:szCs w:val="22"/>
    </w:rPr>
  </w:style>
  <w:style w:type="paragraph" w:customStyle="1" w:styleId="1091">
    <w:name w:val="标题 21"/>
    <w:basedOn w:val="1"/>
    <w:next w:val="5"/>
    <w:qFormat/>
    <w:uiPriority w:val="0"/>
    <w:pPr>
      <w:tabs>
        <w:tab w:val="left" w:pos="360"/>
      </w:tabs>
      <w:spacing w:line="360" w:lineRule="auto"/>
      <w:ind w:left="360" w:hanging="360"/>
      <w:jc w:val="left"/>
      <w:outlineLvl w:val="1"/>
    </w:pPr>
    <w:rPr>
      <w:rFonts w:ascii="宋体" w:hAnsi="宋体"/>
      <w:kern w:val="0"/>
      <w:sz w:val="24"/>
      <w:szCs w:val="20"/>
    </w:rPr>
  </w:style>
  <w:style w:type="paragraph" w:customStyle="1" w:styleId="1092">
    <w:name w:val="样式 标题 3 + 宋体 四号"/>
    <w:basedOn w:val="6"/>
    <w:qFormat/>
    <w:uiPriority w:val="0"/>
    <w:pPr>
      <w:widowControl/>
      <w:autoSpaceDE/>
      <w:autoSpaceDN/>
      <w:adjustRightInd/>
      <w:spacing w:before="240" w:after="240"/>
    </w:pPr>
    <w:rPr>
      <w:rFonts w:hAnsi="宋体" w:eastAsia="黑体"/>
      <w:b w:val="0"/>
      <w:sz w:val="28"/>
      <w:u w:val="none"/>
      <w:lang w:val="zh-CN"/>
    </w:rPr>
  </w:style>
  <w:style w:type="paragraph" w:customStyle="1" w:styleId="1093">
    <w:name w:val="样式 标题 2 + 左侧:  0 厘米 首行缩进:  0 厘米"/>
    <w:basedOn w:val="1091"/>
    <w:qFormat/>
    <w:uiPriority w:val="0"/>
    <w:pPr>
      <w:tabs>
        <w:tab w:val="left" w:pos="840"/>
        <w:tab w:val="clear" w:pos="360"/>
      </w:tabs>
      <w:ind w:left="840" w:hanging="420"/>
    </w:pPr>
  </w:style>
  <w:style w:type="paragraph" w:customStyle="1" w:styleId="1094">
    <w:name w:val="reader-word-layer"/>
    <w:basedOn w:val="1"/>
    <w:qFormat/>
    <w:uiPriority w:val="0"/>
    <w:pPr>
      <w:widowControl/>
      <w:spacing w:before="100" w:beforeAutospacing="1" w:after="100" w:afterAutospacing="1"/>
      <w:jc w:val="left"/>
    </w:pPr>
    <w:rPr>
      <w:rFonts w:ascii="宋体" w:hAnsi="宋体"/>
      <w:kern w:val="0"/>
      <w:sz w:val="24"/>
      <w:szCs w:val="20"/>
    </w:rPr>
  </w:style>
  <w:style w:type="paragraph" w:customStyle="1" w:styleId="1095">
    <w:name w:val="样式 标题 2 + 宋体 四号 非加粗"/>
    <w:basedOn w:val="4"/>
    <w:qFormat/>
    <w:uiPriority w:val="0"/>
    <w:pPr>
      <w:keepNext w:val="0"/>
      <w:widowControl/>
      <w:autoSpaceDE/>
      <w:autoSpaceDN/>
      <w:snapToGrid w:val="0"/>
      <w:spacing w:after="120" w:line="413" w:lineRule="auto"/>
      <w:ind w:firstLine="199" w:firstLineChars="62"/>
      <w:jc w:val="left"/>
    </w:pPr>
    <w:rPr>
      <w:rFonts w:ascii="宋体" w:hAnsi="宋体" w:eastAsia="宋体"/>
      <w:b w:val="0"/>
      <w:sz w:val="28"/>
      <w:lang w:val="zh-CN"/>
    </w:rPr>
  </w:style>
  <w:style w:type="paragraph" w:customStyle="1" w:styleId="1096">
    <w:name w:val="l_text"/>
    <w:basedOn w:val="1"/>
    <w:qFormat/>
    <w:uiPriority w:val="0"/>
    <w:pPr>
      <w:widowControl/>
      <w:overflowPunct w:val="0"/>
      <w:autoSpaceDE w:val="0"/>
      <w:autoSpaceDN w:val="0"/>
      <w:adjustRightInd w:val="0"/>
      <w:snapToGrid w:val="0"/>
      <w:spacing w:before="156" w:beforeLines="50" w:after="156" w:afterLines="50" w:line="360" w:lineRule="auto"/>
      <w:ind w:firstLine="480" w:firstLineChars="200"/>
    </w:pPr>
    <w:rPr>
      <w:kern w:val="0"/>
      <w:sz w:val="24"/>
      <w:lang w:val="en-GB"/>
    </w:rPr>
  </w:style>
  <w:style w:type="paragraph" w:customStyle="1" w:styleId="1097">
    <w:name w:val="xl469"/>
    <w:basedOn w:val="1"/>
    <w:qFormat/>
    <w:uiPriority w:val="0"/>
    <w:pPr>
      <w:widowControl/>
      <w:pBdr>
        <w:top w:val="single" w:color="auto" w:sz="4" w:space="0"/>
        <w:left w:val="single" w:color="auto" w:sz="4" w:space="0"/>
        <w:bottom w:val="single" w:color="auto" w:sz="4" w:space="0"/>
        <w:right w:val="single" w:color="auto" w:sz="8" w:space="0"/>
      </w:pBdr>
      <w:shd w:val="clear" w:color="FFFFFF" w:fill="FFFFFF"/>
      <w:spacing w:before="100" w:beforeAutospacing="1" w:after="100" w:afterAutospacing="1"/>
      <w:jc w:val="center"/>
    </w:pPr>
    <w:rPr>
      <w:rFonts w:ascii="宋体" w:hAnsi="宋体"/>
      <w:kern w:val="0"/>
      <w:sz w:val="20"/>
      <w:szCs w:val="20"/>
    </w:rPr>
  </w:style>
  <w:style w:type="paragraph" w:customStyle="1" w:styleId="1098">
    <w:name w:val="xl2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360" w:lineRule="auto"/>
      <w:ind w:firstLine="200" w:firstLineChars="200"/>
      <w:jc w:val="left"/>
    </w:pPr>
    <w:rPr>
      <w:rFonts w:ascii="宋体" w:hAnsi="宋体" w:eastAsia="仿宋_GB2312"/>
      <w:kern w:val="0"/>
      <w:sz w:val="24"/>
      <w:szCs w:val="20"/>
    </w:rPr>
  </w:style>
  <w:style w:type="paragraph" w:customStyle="1" w:styleId="1099">
    <w:name w:val="样式 样式2 + Times New Roman 黑色"/>
    <w:basedOn w:val="1"/>
    <w:qFormat/>
    <w:uiPriority w:val="0"/>
    <w:pPr>
      <w:keepNext/>
      <w:keepLines/>
      <w:spacing w:line="500" w:lineRule="atLeast"/>
      <w:outlineLvl w:val="3"/>
    </w:pPr>
    <w:rPr>
      <w:color w:val="000000"/>
      <w:sz w:val="28"/>
      <w:szCs w:val="20"/>
    </w:rPr>
  </w:style>
  <w:style w:type="paragraph" w:customStyle="1" w:styleId="1100">
    <w:name w:val="xl136"/>
    <w:basedOn w:val="1"/>
    <w:qFormat/>
    <w:uiPriority w:val="0"/>
    <w:pPr>
      <w:widowControl/>
      <w:pBdr>
        <w:bottom w:val="single" w:color="auto" w:sz="4" w:space="0"/>
        <w:right w:val="single" w:color="auto" w:sz="4" w:space="0"/>
      </w:pBdr>
      <w:spacing w:before="100" w:beforeAutospacing="1" w:after="100" w:afterAutospacing="1"/>
      <w:jc w:val="center"/>
      <w:textAlignment w:val="center"/>
    </w:pPr>
    <w:rPr>
      <w:rFonts w:ascii="宋体" w:hAnsi="宋体" w:cs="宋体"/>
      <w:kern w:val="0"/>
      <w:sz w:val="22"/>
      <w:szCs w:val="22"/>
    </w:rPr>
  </w:style>
  <w:style w:type="paragraph" w:customStyle="1" w:styleId="1101">
    <w:name w:val="封面一致性程度标识"/>
    <w:qFormat/>
    <w:uiPriority w:val="0"/>
    <w:pPr>
      <w:spacing w:before="440" w:line="400" w:lineRule="exact"/>
      <w:jc w:val="center"/>
    </w:pPr>
    <w:rPr>
      <w:rFonts w:ascii="宋体" w:hAnsi="Times New Roman" w:eastAsia="宋体" w:cs="Times New Roman"/>
      <w:sz w:val="28"/>
      <w:lang w:val="en-US" w:eastAsia="zh-CN" w:bidi="ar-SA"/>
    </w:rPr>
  </w:style>
  <w:style w:type="paragraph" w:customStyle="1" w:styleId="1102">
    <w:name w:val="目次、标准名称标题"/>
    <w:basedOn w:val="855"/>
    <w:next w:val="757"/>
    <w:qFormat/>
    <w:uiPriority w:val="0"/>
    <w:pPr>
      <w:tabs>
        <w:tab w:val="left" w:pos="540"/>
        <w:tab w:val="clear" w:pos="825"/>
      </w:tabs>
      <w:spacing w:line="460" w:lineRule="exact"/>
      <w:ind w:left="0" w:firstLine="0"/>
    </w:pPr>
  </w:style>
  <w:style w:type="paragraph" w:customStyle="1" w:styleId="1103">
    <w:name w:val="7表中文字"/>
    <w:basedOn w:val="1"/>
    <w:qFormat/>
    <w:uiPriority w:val="0"/>
    <w:pPr>
      <w:topLinePunct/>
      <w:autoSpaceDE w:val="0"/>
      <w:autoSpaceDN w:val="0"/>
      <w:adjustRightInd w:val="0"/>
      <w:snapToGrid w:val="0"/>
      <w:spacing w:beforeLines="50"/>
      <w:jc w:val="center"/>
    </w:pPr>
    <w:rPr>
      <w:rFonts w:eastAsia="仿宋_GB2312"/>
      <w:kern w:val="0"/>
      <w:szCs w:val="20"/>
    </w:rPr>
  </w:style>
  <w:style w:type="paragraph" w:customStyle="1" w:styleId="1104">
    <w:name w:val="xl458"/>
    <w:basedOn w:val="1"/>
    <w:qFormat/>
    <w:uiPriority w:val="0"/>
    <w:pPr>
      <w:widowControl/>
      <w:pBdr>
        <w:left w:val="single" w:color="000000" w:sz="4" w:space="0"/>
        <w:bottom w:val="single" w:color="000000" w:sz="4" w:space="0"/>
        <w:right w:val="single" w:color="auto" w:sz="8" w:space="0"/>
      </w:pBdr>
      <w:shd w:val="clear" w:color="FFFFFF" w:fill="FFFF00"/>
      <w:spacing w:before="100" w:beforeAutospacing="1" w:after="100" w:afterAutospacing="1"/>
      <w:jc w:val="center"/>
    </w:pPr>
    <w:rPr>
      <w:rFonts w:ascii="宋体" w:hAnsi="宋体"/>
      <w:b/>
      <w:kern w:val="0"/>
      <w:sz w:val="20"/>
      <w:szCs w:val="20"/>
    </w:rPr>
  </w:style>
  <w:style w:type="paragraph" w:customStyle="1" w:styleId="1105">
    <w:name w:val="xl16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1106">
    <w:name w:val="xl459"/>
    <w:basedOn w:val="1"/>
    <w:qFormat/>
    <w:uiPriority w:val="0"/>
    <w:pPr>
      <w:widowControl/>
      <w:pBdr>
        <w:top w:val="single" w:color="auto" w:sz="4" w:space="0"/>
        <w:left w:val="single" w:color="auto" w:sz="4" w:space="0"/>
        <w:bottom w:val="single" w:color="auto" w:sz="4" w:space="0"/>
        <w:right w:val="single" w:color="auto" w:sz="4" w:space="0"/>
      </w:pBdr>
      <w:shd w:val="clear" w:color="FFFFFF" w:fill="FFFFFF"/>
      <w:spacing w:before="100" w:beforeAutospacing="1" w:after="100" w:afterAutospacing="1"/>
      <w:jc w:val="center"/>
    </w:pPr>
    <w:rPr>
      <w:rFonts w:ascii="宋体" w:hAnsi="宋体"/>
      <w:kern w:val="0"/>
      <w:sz w:val="20"/>
      <w:szCs w:val="20"/>
    </w:rPr>
  </w:style>
  <w:style w:type="paragraph" w:customStyle="1" w:styleId="1107">
    <w:name w:val="实施日期"/>
    <w:basedOn w:val="1108"/>
    <w:qFormat/>
    <w:uiPriority w:val="0"/>
    <w:pPr>
      <w:tabs>
        <w:tab w:val="left" w:pos="2280"/>
      </w:tabs>
      <w:ind w:left="2280" w:hanging="420"/>
      <w:jc w:val="right"/>
    </w:pPr>
  </w:style>
  <w:style w:type="paragraph" w:customStyle="1" w:styleId="1108">
    <w:name w:val="发布日期"/>
    <w:qFormat/>
    <w:uiPriority w:val="0"/>
    <w:pPr>
      <w:spacing w:line="560" w:lineRule="exact"/>
    </w:pPr>
    <w:rPr>
      <w:rFonts w:ascii="Times New Roman" w:hAnsi="Times New Roman" w:eastAsia="黑体" w:cs="Times New Roman"/>
      <w:sz w:val="28"/>
      <w:lang w:val="en-US" w:eastAsia="zh-CN" w:bidi="ar-SA"/>
    </w:rPr>
  </w:style>
  <w:style w:type="paragraph" w:customStyle="1" w:styleId="1109">
    <w:name w:val="正文编号"/>
    <w:basedOn w:val="1"/>
    <w:qFormat/>
    <w:uiPriority w:val="0"/>
    <w:pPr>
      <w:tabs>
        <w:tab w:val="left" w:pos="1200"/>
      </w:tabs>
      <w:spacing w:line="360" w:lineRule="auto"/>
      <w:ind w:left="1200" w:hanging="720"/>
    </w:pPr>
    <w:rPr>
      <w:sz w:val="24"/>
      <w:szCs w:val="20"/>
    </w:rPr>
  </w:style>
  <w:style w:type="paragraph" w:customStyle="1" w:styleId="1110">
    <w:name w:val="xl72"/>
    <w:basedOn w:val="1"/>
    <w:qFormat/>
    <w:uiPriority w:val="0"/>
    <w:pPr>
      <w:widowControl/>
      <w:pBdr>
        <w:top w:val="single" w:color="auto" w:sz="4" w:space="0"/>
        <w:left w:val="single" w:color="auto" w:sz="4" w:space="0"/>
        <w:bottom w:val="single" w:color="auto" w:sz="4" w:space="0"/>
        <w:right w:val="single" w:color="auto" w:sz="4" w:space="0"/>
      </w:pBdr>
      <w:tabs>
        <w:tab w:val="left" w:pos="2405"/>
      </w:tabs>
      <w:spacing w:before="100" w:beforeAutospacing="1" w:after="100" w:afterAutospacing="1"/>
      <w:jc w:val="right"/>
    </w:pPr>
    <w:rPr>
      <w:rFonts w:ascii="宋体" w:hAnsi="宋体" w:cs="宋体"/>
      <w:kern w:val="0"/>
      <w:sz w:val="20"/>
      <w:szCs w:val="20"/>
    </w:rPr>
  </w:style>
  <w:style w:type="paragraph" w:customStyle="1" w:styleId="1111">
    <w:name w:val="正文缩进2字 Char Char Char1 Char"/>
    <w:qFormat/>
    <w:uiPriority w:val="0"/>
    <w:pPr>
      <w:snapToGrid w:val="0"/>
      <w:spacing w:beforeLines="50" w:line="360" w:lineRule="auto"/>
      <w:ind w:firstLine="200" w:firstLineChars="200"/>
    </w:pPr>
    <w:rPr>
      <w:rFonts w:ascii="Times New Roman" w:hAnsi="Times New Roman" w:eastAsia="仿宋_GB2312" w:cs="Times New Roman"/>
      <w:kern w:val="2"/>
      <w:sz w:val="24"/>
      <w:lang w:val="en-US" w:eastAsia="zh-CN" w:bidi="ar-SA"/>
    </w:rPr>
  </w:style>
  <w:style w:type="paragraph" w:customStyle="1" w:styleId="1112">
    <w:name w:val="默认段落字体 Para Char"/>
    <w:basedOn w:val="1"/>
    <w:qFormat/>
    <w:uiPriority w:val="0"/>
    <w:rPr>
      <w:szCs w:val="20"/>
    </w:rPr>
  </w:style>
  <w:style w:type="paragraph" w:customStyle="1" w:styleId="1113">
    <w:name w:val="正文表标题"/>
    <w:next w:val="1"/>
    <w:qFormat/>
    <w:uiPriority w:val="0"/>
    <w:pPr>
      <w:tabs>
        <w:tab w:val="left" w:pos="1200"/>
      </w:tabs>
      <w:ind w:left="720" w:hanging="360"/>
      <w:jc w:val="center"/>
    </w:pPr>
    <w:rPr>
      <w:rFonts w:ascii="黑体" w:hAnsi="Times New Roman" w:eastAsia="黑体" w:cs="Times New Roman"/>
      <w:sz w:val="21"/>
      <w:lang w:val="en-US" w:eastAsia="zh-CN" w:bidi="ar-SA"/>
    </w:rPr>
  </w:style>
  <w:style w:type="paragraph" w:customStyle="1" w:styleId="1114">
    <w:name w:val=")"/>
    <w:basedOn w:val="1"/>
    <w:qFormat/>
    <w:uiPriority w:val="0"/>
    <w:pPr>
      <w:widowControl/>
      <w:numPr>
        <w:ilvl w:val="0"/>
        <w:numId w:val="26"/>
      </w:numPr>
      <w:tabs>
        <w:tab w:val="left" w:pos="420"/>
        <w:tab w:val="left" w:pos="855"/>
      </w:tabs>
      <w:overflowPunct w:val="0"/>
      <w:autoSpaceDE w:val="0"/>
      <w:autoSpaceDN w:val="0"/>
      <w:adjustRightInd w:val="0"/>
      <w:spacing w:before="120"/>
      <w:textAlignment w:val="baseline"/>
    </w:pPr>
    <w:rPr>
      <w:rFonts w:ascii="宋体"/>
      <w:kern w:val="0"/>
      <w:sz w:val="24"/>
    </w:rPr>
  </w:style>
  <w:style w:type="paragraph" w:customStyle="1" w:styleId="1115">
    <w:name w:val="目录2"/>
    <w:qFormat/>
    <w:uiPriority w:val="0"/>
    <w:pPr>
      <w:snapToGrid w:val="0"/>
      <w:spacing w:line="332" w:lineRule="exact"/>
      <w:ind w:firstLine="200" w:firstLineChars="200"/>
      <w:outlineLvl w:val="1"/>
    </w:pPr>
    <w:rPr>
      <w:rFonts w:ascii="Times New Roman" w:hAnsi="Times New Roman" w:eastAsia="宋体" w:cs="Times New Roman"/>
      <w:b/>
      <w:kern w:val="2"/>
      <w:sz w:val="21"/>
      <w:lang w:val="en-US" w:eastAsia="zh-CN" w:bidi="ar-SA"/>
    </w:rPr>
  </w:style>
  <w:style w:type="paragraph" w:customStyle="1" w:styleId="1116">
    <w:name w:val="样式 纯文本普通文字表格内容 + 小四 非加粗 行距: 1.5 倍行距"/>
    <w:basedOn w:val="45"/>
    <w:qFormat/>
    <w:uiPriority w:val="0"/>
    <w:pPr>
      <w:widowControl/>
      <w:snapToGrid w:val="0"/>
      <w:spacing w:line="500" w:lineRule="atLeast"/>
      <w:ind w:firstLine="482"/>
      <w:jc w:val="left"/>
    </w:pPr>
    <w:rPr>
      <w:rFonts w:hint="default" w:cs="宋体"/>
      <w:kern w:val="0"/>
      <w:sz w:val="28"/>
    </w:rPr>
  </w:style>
  <w:style w:type="paragraph" w:customStyle="1" w:styleId="1117">
    <w:name w:val="font18"/>
    <w:basedOn w:val="1"/>
    <w:qFormat/>
    <w:uiPriority w:val="0"/>
    <w:pPr>
      <w:widowControl/>
      <w:spacing w:before="100" w:beforeAutospacing="1" w:after="100" w:afterAutospacing="1"/>
      <w:jc w:val="left"/>
    </w:pPr>
    <w:rPr>
      <w:rFonts w:ascii="宋体" w:hAnsi="宋体"/>
      <w:color w:val="FF0000"/>
      <w:kern w:val="0"/>
      <w:sz w:val="20"/>
      <w:szCs w:val="20"/>
    </w:rPr>
  </w:style>
  <w:style w:type="paragraph" w:customStyle="1" w:styleId="1118">
    <w:name w:val="标准标志"/>
    <w:next w:val="1"/>
    <w:qFormat/>
    <w:uiPriority w:val="0"/>
    <w:pPr>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1119">
    <w:name w:val="xl139"/>
    <w:basedOn w:val="1"/>
    <w:qFormat/>
    <w:uiPriority w:val="0"/>
    <w:pPr>
      <w:widowControl/>
      <w:pBdr>
        <w:bottom w:val="single" w:color="auto" w:sz="4" w:space="0"/>
        <w:right w:val="single" w:color="auto" w:sz="4" w:space="0"/>
      </w:pBdr>
      <w:spacing w:before="100" w:beforeAutospacing="1" w:after="100" w:afterAutospacing="1"/>
      <w:jc w:val="right"/>
      <w:textAlignment w:val="center"/>
    </w:pPr>
    <w:rPr>
      <w:rFonts w:ascii="宋体" w:hAnsi="宋体" w:cs="宋体"/>
      <w:i/>
      <w:iCs/>
      <w:kern w:val="0"/>
      <w:sz w:val="22"/>
      <w:szCs w:val="22"/>
    </w:rPr>
  </w:style>
  <w:style w:type="paragraph" w:customStyle="1" w:styleId="1120">
    <w:name w:val="5表中文字"/>
    <w:basedOn w:val="1"/>
    <w:qFormat/>
    <w:uiPriority w:val="0"/>
    <w:pPr>
      <w:tabs>
        <w:tab w:val="left" w:pos="6195"/>
      </w:tabs>
      <w:autoSpaceDE w:val="0"/>
      <w:autoSpaceDN w:val="0"/>
      <w:adjustRightInd w:val="0"/>
      <w:jc w:val="center"/>
    </w:pPr>
    <w:rPr>
      <w:szCs w:val="20"/>
    </w:rPr>
  </w:style>
  <w:style w:type="paragraph" w:customStyle="1" w:styleId="1121">
    <w:name w:val="样式 标题 1 + (中文) 黑体 三号 非加粗 居中 段前: 12 磅 段后: 12 磅 行距: 最小值 25 磅"/>
    <w:basedOn w:val="3"/>
    <w:qFormat/>
    <w:uiPriority w:val="0"/>
    <w:pPr>
      <w:autoSpaceDE/>
      <w:autoSpaceDN/>
      <w:adjustRightInd/>
      <w:spacing w:after="240" w:line="500" w:lineRule="atLeast"/>
      <w:jc w:val="left"/>
    </w:pPr>
    <w:rPr>
      <w:rFonts w:ascii="Times New Roman" w:eastAsia="黑体"/>
      <w:lang w:val="zh-CN"/>
    </w:rPr>
  </w:style>
  <w:style w:type="paragraph" w:customStyle="1" w:styleId="1122">
    <w:name w:val="标准称谓"/>
    <w:next w:val="1"/>
    <w:qFormat/>
    <w:uiPriority w:val="0"/>
    <w:pPr>
      <w:widowControl w:val="0"/>
      <w:kinsoku w:val="0"/>
      <w:overflowPunct w:val="0"/>
      <w:autoSpaceDE w:val="0"/>
      <w:autoSpaceDN w:val="0"/>
      <w:spacing w:line="0" w:lineRule="atLeast"/>
      <w:jc w:val="distribute"/>
    </w:pPr>
    <w:rPr>
      <w:rFonts w:ascii="宋体" w:hAnsi="Times New Roman" w:eastAsia="宋体" w:cs="Times New Roman"/>
      <w:b/>
      <w:spacing w:val="20"/>
      <w:w w:val="148"/>
      <w:sz w:val="52"/>
      <w:lang w:val="en-US" w:eastAsia="zh-CN" w:bidi="ar-SA"/>
    </w:rPr>
  </w:style>
  <w:style w:type="paragraph" w:customStyle="1" w:styleId="1123">
    <w:name w:val="日期2"/>
    <w:basedOn w:val="1"/>
    <w:next w:val="1"/>
    <w:qFormat/>
    <w:uiPriority w:val="0"/>
    <w:pPr>
      <w:overflowPunct w:val="0"/>
      <w:autoSpaceDE w:val="0"/>
      <w:autoSpaceDN w:val="0"/>
      <w:adjustRightInd w:val="0"/>
    </w:pPr>
    <w:rPr>
      <w:rFonts w:hint="eastAsia" w:ascii="宋体"/>
      <w:sz w:val="28"/>
      <w:szCs w:val="20"/>
    </w:rPr>
  </w:style>
  <w:style w:type="paragraph" w:customStyle="1" w:styleId="1124">
    <w:name w:val="文本 + 首行缩进:  2 字符"/>
    <w:basedOn w:val="1"/>
    <w:qFormat/>
    <w:uiPriority w:val="0"/>
    <w:pPr>
      <w:spacing w:line="360" w:lineRule="auto"/>
      <w:ind w:firstLine="560" w:firstLineChars="200"/>
    </w:pPr>
    <w:rPr>
      <w:sz w:val="28"/>
      <w:szCs w:val="20"/>
    </w:rPr>
  </w:style>
  <w:style w:type="paragraph" w:customStyle="1" w:styleId="1125">
    <w:name w:val="xl138"/>
    <w:basedOn w:val="1"/>
    <w:qFormat/>
    <w:uiPriority w:val="0"/>
    <w:pPr>
      <w:widowControl/>
      <w:pBdr>
        <w:bottom w:val="single" w:color="auto" w:sz="4" w:space="0"/>
        <w:right w:val="single" w:color="auto" w:sz="4" w:space="0"/>
      </w:pBdr>
      <w:spacing w:before="100" w:beforeAutospacing="1" w:after="100" w:afterAutospacing="1"/>
      <w:jc w:val="left"/>
      <w:textAlignment w:val="center"/>
    </w:pPr>
    <w:rPr>
      <w:rFonts w:ascii="宋体" w:hAnsi="宋体" w:cs="宋体"/>
      <w:i/>
      <w:iCs/>
      <w:kern w:val="0"/>
      <w:sz w:val="24"/>
    </w:rPr>
  </w:style>
  <w:style w:type="paragraph" w:customStyle="1" w:styleId="1126">
    <w:name w:val="xl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18"/>
      <w:szCs w:val="18"/>
    </w:rPr>
  </w:style>
  <w:style w:type="paragraph" w:customStyle="1" w:styleId="1127">
    <w:name w:val="xl13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宋体" w:hAnsi="宋体" w:cs="宋体"/>
      <w:kern w:val="0"/>
      <w:sz w:val="20"/>
      <w:szCs w:val="20"/>
    </w:rPr>
  </w:style>
  <w:style w:type="paragraph" w:customStyle="1" w:styleId="1128">
    <w:name w:val="font16"/>
    <w:basedOn w:val="1"/>
    <w:qFormat/>
    <w:uiPriority w:val="0"/>
    <w:pPr>
      <w:widowControl/>
      <w:spacing w:before="100" w:beforeAutospacing="1" w:after="100" w:afterAutospacing="1"/>
      <w:jc w:val="left"/>
    </w:pPr>
    <w:rPr>
      <w:rFonts w:ascii="宋体" w:hAnsi="宋体"/>
      <w:kern w:val="0"/>
      <w:sz w:val="20"/>
      <w:szCs w:val="20"/>
    </w:rPr>
  </w:style>
  <w:style w:type="paragraph" w:customStyle="1" w:styleId="1129">
    <w:name w:val="Char Char Char Char Char Char Char Char Char Char Char Char Char Char Char Char11"/>
    <w:basedOn w:val="1"/>
    <w:next w:val="1"/>
    <w:qFormat/>
    <w:uiPriority w:val="0"/>
    <w:pPr>
      <w:adjustRightInd w:val="0"/>
      <w:snapToGrid w:val="0"/>
      <w:spacing w:line="360" w:lineRule="auto"/>
      <w:ind w:firstLine="200" w:firstLineChars="200"/>
    </w:pPr>
    <w:rPr>
      <w:rFonts w:ascii="宋体" w:hAnsi="宋体"/>
      <w:sz w:val="24"/>
      <w:szCs w:val="20"/>
    </w:rPr>
  </w:style>
  <w:style w:type="paragraph" w:customStyle="1" w:styleId="1130">
    <w:name w:val="表样式"/>
    <w:basedOn w:val="1"/>
    <w:qFormat/>
    <w:uiPriority w:val="0"/>
    <w:pPr>
      <w:tabs>
        <w:tab w:val="center" w:pos="4153"/>
        <w:tab w:val="right" w:pos="8306"/>
      </w:tabs>
      <w:autoSpaceDE w:val="0"/>
      <w:autoSpaceDN w:val="0"/>
      <w:adjustRightInd w:val="0"/>
      <w:spacing w:line="360" w:lineRule="auto"/>
      <w:ind w:left="181"/>
      <w:jc w:val="left"/>
    </w:pPr>
    <w:rPr>
      <w:rFonts w:ascii="宋体"/>
      <w:kern w:val="0"/>
      <w:szCs w:val="20"/>
    </w:rPr>
  </w:style>
  <w:style w:type="paragraph" w:customStyle="1" w:styleId="1131">
    <w:name w:val="4表中文字"/>
    <w:basedOn w:val="1"/>
    <w:qFormat/>
    <w:uiPriority w:val="0"/>
    <w:pPr>
      <w:tabs>
        <w:tab w:val="left" w:pos="6195"/>
      </w:tabs>
      <w:autoSpaceDE w:val="0"/>
      <w:autoSpaceDN w:val="0"/>
      <w:adjustRightInd w:val="0"/>
      <w:jc w:val="center"/>
    </w:pPr>
    <w:rPr>
      <w:rFonts w:eastAsia="仿宋_GB2312"/>
      <w:szCs w:val="20"/>
    </w:rPr>
  </w:style>
  <w:style w:type="paragraph" w:customStyle="1" w:styleId="1132">
    <w:name w:val="xl149"/>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1133">
    <w:name w:val="xl148"/>
    <w:basedOn w:val="1"/>
    <w:qFormat/>
    <w:uiPriority w:val="0"/>
    <w:pPr>
      <w:widowControl/>
      <w:pBdr>
        <w:left w:val="single" w:color="auto" w:sz="4" w:space="0"/>
        <w:bottom w:val="single" w:color="auto" w:sz="4" w:space="0"/>
        <w:right w:val="single" w:color="auto" w:sz="4" w:space="0"/>
      </w:pBdr>
      <w:spacing w:before="100" w:beforeAutospacing="1" w:after="100" w:afterAutospacing="1"/>
      <w:textAlignment w:val="center"/>
    </w:pPr>
    <w:rPr>
      <w:rFonts w:ascii="宋体" w:hAnsi="宋体" w:cs="宋体"/>
      <w:kern w:val="0"/>
      <w:sz w:val="24"/>
    </w:rPr>
  </w:style>
  <w:style w:type="paragraph" w:customStyle="1" w:styleId="1134">
    <w:name w:val="标准书脚_奇数页"/>
    <w:qFormat/>
    <w:uiPriority w:val="0"/>
    <w:pPr>
      <w:spacing w:before="120" w:line="560" w:lineRule="exact"/>
      <w:jc w:val="right"/>
    </w:pPr>
    <w:rPr>
      <w:rFonts w:ascii="Times New Roman" w:hAnsi="Times New Roman" w:eastAsia="宋体" w:cs="Times New Roman"/>
      <w:sz w:val="18"/>
      <w:lang w:val="en-US" w:eastAsia="zh-CN" w:bidi="ar-SA"/>
    </w:rPr>
  </w:style>
  <w:style w:type="paragraph" w:customStyle="1" w:styleId="1135">
    <w:name w:val="列项——（一级）"/>
    <w:qFormat/>
    <w:uiPriority w:val="0"/>
    <w:pPr>
      <w:widowControl w:val="0"/>
      <w:tabs>
        <w:tab w:val="left" w:pos="854"/>
      </w:tabs>
      <w:spacing w:line="560" w:lineRule="exact"/>
      <w:ind w:left="200" w:leftChars="200" w:hanging="200" w:hangingChars="200"/>
      <w:jc w:val="both"/>
    </w:pPr>
    <w:rPr>
      <w:rFonts w:ascii="宋体" w:hAnsi="Times New Roman" w:eastAsia="宋体" w:cs="Times New Roman"/>
      <w:sz w:val="21"/>
      <w:lang w:val="en-US" w:eastAsia="zh-CN" w:bidi="ar-SA"/>
    </w:rPr>
  </w:style>
  <w:style w:type="paragraph" w:customStyle="1" w:styleId="1136">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1137">
    <w:name w:val="xl495"/>
    <w:basedOn w:val="1"/>
    <w:qFormat/>
    <w:uiPriority w:val="0"/>
    <w:pPr>
      <w:widowControl/>
      <w:pBdr>
        <w:top w:val="single" w:color="auto" w:sz="4" w:space="0"/>
        <w:left w:val="single" w:color="auto" w:sz="4" w:space="0"/>
        <w:bottom w:val="single" w:color="auto" w:sz="4" w:space="0"/>
        <w:right w:val="single" w:color="auto" w:sz="8" w:space="0"/>
      </w:pBdr>
      <w:shd w:val="clear" w:color="FFFFFF" w:fill="FFFF00"/>
      <w:spacing w:before="100" w:beforeAutospacing="1" w:after="100" w:afterAutospacing="1"/>
      <w:jc w:val="center"/>
    </w:pPr>
    <w:rPr>
      <w:rFonts w:ascii="宋体" w:hAnsi="宋体"/>
      <w:b/>
      <w:kern w:val="0"/>
      <w:sz w:val="20"/>
      <w:szCs w:val="20"/>
    </w:rPr>
  </w:style>
  <w:style w:type="paragraph" w:customStyle="1" w:styleId="1138">
    <w:name w:val="表"/>
    <w:basedOn w:val="1"/>
    <w:qFormat/>
    <w:uiPriority w:val="0"/>
    <w:pPr>
      <w:wordWrap w:val="0"/>
      <w:adjustRightInd w:val="0"/>
      <w:spacing w:line="288" w:lineRule="auto"/>
      <w:jc w:val="center"/>
      <w:textAlignment w:val="baseline"/>
    </w:pPr>
    <w:rPr>
      <w:rFonts w:ascii="宋体" w:hAnsi="宋体" w:cs="Arial Unicode MS"/>
      <w:kern w:val="0"/>
      <w:szCs w:val="22"/>
    </w:rPr>
  </w:style>
  <w:style w:type="paragraph" w:customStyle="1" w:styleId="1139">
    <w:name w:val="font17"/>
    <w:basedOn w:val="1"/>
    <w:qFormat/>
    <w:uiPriority w:val="0"/>
    <w:pPr>
      <w:widowControl/>
      <w:spacing w:before="100" w:beforeAutospacing="1" w:after="100" w:afterAutospacing="1"/>
      <w:jc w:val="left"/>
    </w:pPr>
    <w:rPr>
      <w:rFonts w:ascii="宋体" w:hAnsi="宋体"/>
      <w:kern w:val="0"/>
      <w:sz w:val="24"/>
      <w:szCs w:val="20"/>
    </w:rPr>
  </w:style>
  <w:style w:type="paragraph" w:customStyle="1" w:styleId="1140">
    <w:name w:val="样式 标题 3 + 段前: 0.5 行 段后: 0.5 行"/>
    <w:basedOn w:val="6"/>
    <w:next w:val="1"/>
    <w:qFormat/>
    <w:uiPriority w:val="0"/>
    <w:pPr>
      <w:tabs>
        <w:tab w:val="left" w:pos="709"/>
      </w:tabs>
      <w:autoSpaceDE/>
      <w:autoSpaceDN/>
      <w:spacing w:before="156" w:beforeLines="50" w:after="156" w:afterLines="50" w:line="360" w:lineRule="auto"/>
      <w:ind w:left="709" w:hanging="709"/>
      <w:textAlignment w:val="baseline"/>
    </w:pPr>
    <w:rPr>
      <w:rFonts w:ascii="Times New Roman" w:eastAsia="黑体" w:cs="宋体"/>
      <w:b w:val="0"/>
      <w:sz w:val="28"/>
      <w:szCs w:val="28"/>
      <w:u w:val="none"/>
    </w:rPr>
  </w:style>
  <w:style w:type="paragraph" w:customStyle="1" w:styleId="1141">
    <w:name w:val="xl481"/>
    <w:basedOn w:val="1"/>
    <w:qFormat/>
    <w:uiPriority w:val="0"/>
    <w:pPr>
      <w:widowControl/>
      <w:shd w:val="clear" w:color="FFFFFF" w:fill="FFFFFF"/>
      <w:spacing w:before="100" w:beforeAutospacing="1" w:after="100" w:afterAutospacing="1"/>
      <w:jc w:val="center"/>
    </w:pPr>
    <w:rPr>
      <w:rFonts w:ascii="宋体" w:hAnsi="宋体"/>
      <w:kern w:val="0"/>
      <w:sz w:val="20"/>
      <w:szCs w:val="20"/>
    </w:rPr>
  </w:style>
  <w:style w:type="paragraph" w:customStyle="1" w:styleId="1142">
    <w:name w:val="图表名称"/>
    <w:basedOn w:val="1"/>
    <w:qFormat/>
    <w:uiPriority w:val="0"/>
    <w:pPr>
      <w:spacing w:afterLines="50"/>
      <w:jc w:val="center"/>
    </w:pPr>
    <w:rPr>
      <w:szCs w:val="20"/>
    </w:rPr>
  </w:style>
  <w:style w:type="paragraph" w:customStyle="1" w:styleId="1143">
    <w:name w:val="样式 样式2 + 段前: 0.5 行 段后: 0.5 行"/>
    <w:basedOn w:val="202"/>
    <w:qFormat/>
    <w:uiPriority w:val="0"/>
    <w:pPr>
      <w:adjustRightInd w:val="0"/>
      <w:snapToGrid w:val="0"/>
      <w:spacing w:beforeLines="50" w:afterLines="50"/>
      <w:ind w:firstLine="200" w:firstLineChars="200"/>
      <w:jc w:val="both"/>
    </w:pPr>
    <w:rPr>
      <w:rFonts w:hAnsi="宋体" w:eastAsia="仿宋_GB2312"/>
      <w:b/>
    </w:rPr>
  </w:style>
  <w:style w:type="paragraph" w:customStyle="1" w:styleId="1144">
    <w:name w:val="附录标识"/>
    <w:basedOn w:val="1"/>
    <w:qFormat/>
    <w:uiPriority w:val="0"/>
    <w:pPr>
      <w:widowControl/>
      <w:shd w:val="clear" w:color="FFFFFF" w:fill="FFFFFF"/>
      <w:tabs>
        <w:tab w:val="left" w:pos="6405"/>
      </w:tabs>
      <w:spacing w:before="640" w:after="200"/>
      <w:ind w:left="720" w:hanging="360"/>
      <w:jc w:val="center"/>
      <w:outlineLvl w:val="0"/>
    </w:pPr>
    <w:rPr>
      <w:rFonts w:ascii="黑体" w:eastAsia="黑体"/>
      <w:kern w:val="0"/>
      <w:szCs w:val="20"/>
    </w:rPr>
  </w:style>
  <w:style w:type="paragraph" w:customStyle="1" w:styleId="1145">
    <w:name w:val="样式 标题 4 + Times New Roman1"/>
    <w:basedOn w:val="7"/>
    <w:qFormat/>
    <w:uiPriority w:val="0"/>
    <w:pPr>
      <w:adjustRightInd/>
      <w:spacing w:before="120" w:after="120" w:line="360" w:lineRule="auto"/>
      <w:ind w:left="864" w:hanging="864"/>
      <w:textAlignment w:val="auto"/>
    </w:pPr>
    <w:rPr>
      <w:rFonts w:ascii="Times New Roman" w:hAnsi="Times New Roman" w:eastAsia="宋体"/>
      <w:b w:val="0"/>
      <w:bCs/>
      <w:sz w:val="32"/>
      <w:szCs w:val="32"/>
      <w:lang w:val="zh-CN"/>
    </w:rPr>
  </w:style>
  <w:style w:type="paragraph" w:customStyle="1" w:styleId="1146">
    <w:name w:val="xl454"/>
    <w:basedOn w:val="1"/>
    <w:qFormat/>
    <w:uiPriority w:val="0"/>
    <w:pPr>
      <w:widowControl/>
      <w:pBdr>
        <w:top w:val="single" w:color="000000" w:sz="4" w:space="0"/>
        <w:left w:val="single" w:color="000000" w:sz="4" w:space="0"/>
        <w:bottom w:val="single" w:color="000000" w:sz="4" w:space="0"/>
        <w:right w:val="single" w:color="000000" w:sz="4" w:space="0"/>
      </w:pBdr>
      <w:shd w:val="clear" w:color="FFFFFF" w:fill="FFFFFF"/>
      <w:spacing w:before="100" w:beforeAutospacing="1" w:after="100" w:afterAutospacing="1"/>
      <w:jc w:val="center"/>
    </w:pPr>
    <w:rPr>
      <w:rFonts w:ascii="宋体" w:hAnsi="宋体"/>
      <w:kern w:val="0"/>
      <w:sz w:val="20"/>
      <w:szCs w:val="20"/>
    </w:rPr>
  </w:style>
  <w:style w:type="paragraph" w:customStyle="1" w:styleId="1147">
    <w:name w:val="样式 标题 2 + 四号 段前: 7.8 磅 段后: 7.8 磅 行距: 1.5 倍行距"/>
    <w:basedOn w:val="1"/>
    <w:qFormat/>
    <w:uiPriority w:val="0"/>
    <w:pPr>
      <w:tabs>
        <w:tab w:val="left" w:pos="576"/>
      </w:tabs>
      <w:ind w:left="576" w:hanging="576"/>
    </w:pPr>
    <w:rPr>
      <w:sz w:val="28"/>
    </w:rPr>
  </w:style>
  <w:style w:type="paragraph" w:customStyle="1" w:styleId="1148">
    <w:name w:val="正文正式"/>
    <w:basedOn w:val="1"/>
    <w:qFormat/>
    <w:uiPriority w:val="0"/>
    <w:pPr>
      <w:spacing w:line="360" w:lineRule="auto"/>
      <w:ind w:firstLine="200" w:firstLineChars="200"/>
    </w:pPr>
    <w:rPr>
      <w:rFonts w:ascii="宋体" w:hAnsi="宋体"/>
      <w:kern w:val="0"/>
      <w:sz w:val="24"/>
      <w:szCs w:val="20"/>
    </w:rPr>
  </w:style>
  <w:style w:type="paragraph" w:customStyle="1" w:styleId="1149">
    <w:name w:val="CM24"/>
    <w:basedOn w:val="208"/>
    <w:next w:val="208"/>
    <w:qFormat/>
    <w:uiPriority w:val="0"/>
    <w:rPr>
      <w:rFonts w:ascii="黑体" w:hAnsi="Times New Roman" w:eastAsia="黑体" w:cs="Times New Roman"/>
      <w:color w:val="auto"/>
      <w:szCs w:val="20"/>
    </w:rPr>
  </w:style>
  <w:style w:type="paragraph" w:customStyle="1" w:styleId="1150">
    <w:name w:val="样式 样式 标题 4 + 段前: 0.5 行 段后: 0.5 行 + Times New Roman 段前: 0.5 行 段..."/>
    <w:basedOn w:val="928"/>
    <w:qFormat/>
    <w:uiPriority w:val="0"/>
    <w:pPr>
      <w:tabs>
        <w:tab w:val="clear" w:pos="851"/>
      </w:tabs>
      <w:spacing w:line="500" w:lineRule="atLeast"/>
      <w:ind w:left="0" w:firstLine="0"/>
    </w:pPr>
    <w:rPr>
      <w:rFonts w:ascii="Times New Roman" w:hAnsi="Times New Roman"/>
      <w:b/>
      <w:sz w:val="28"/>
    </w:rPr>
  </w:style>
  <w:style w:type="paragraph" w:customStyle="1" w:styleId="1151">
    <w:name w:val="xl502"/>
    <w:basedOn w:val="1"/>
    <w:qFormat/>
    <w:uiPriority w:val="0"/>
    <w:pPr>
      <w:widowControl/>
      <w:spacing w:before="100" w:beforeAutospacing="1" w:after="100" w:afterAutospacing="1"/>
      <w:jc w:val="left"/>
    </w:pPr>
    <w:rPr>
      <w:rFonts w:ascii="宋体" w:hAnsi="宋体"/>
      <w:color w:val="000000"/>
      <w:kern w:val="0"/>
      <w:sz w:val="22"/>
      <w:szCs w:val="20"/>
    </w:rPr>
  </w:style>
  <w:style w:type="paragraph" w:customStyle="1" w:styleId="1152">
    <w:name w:val="章"/>
    <w:basedOn w:val="1"/>
    <w:qFormat/>
    <w:uiPriority w:val="0"/>
    <w:pPr>
      <w:widowControl/>
      <w:spacing w:line="360" w:lineRule="auto"/>
      <w:ind w:right="142"/>
      <w:jc w:val="center"/>
      <w:outlineLvl w:val="0"/>
    </w:pPr>
    <w:rPr>
      <w:rFonts w:ascii="宋体" w:hAnsi="宋体"/>
      <w:b/>
      <w:kern w:val="0"/>
      <w:sz w:val="32"/>
      <w:szCs w:val="20"/>
    </w:rPr>
  </w:style>
  <w:style w:type="paragraph" w:customStyle="1" w:styleId="1153">
    <w:name w:val="标题2 带编号"/>
    <w:basedOn w:val="4"/>
    <w:next w:val="1"/>
    <w:qFormat/>
    <w:uiPriority w:val="0"/>
    <w:pPr>
      <w:tabs>
        <w:tab w:val="left" w:pos="360"/>
      </w:tabs>
      <w:autoSpaceDE/>
      <w:autoSpaceDN/>
      <w:adjustRightInd/>
      <w:spacing w:before="0" w:line="360" w:lineRule="auto"/>
    </w:pPr>
    <w:rPr>
      <w:rFonts w:ascii="Times New Roman" w:hAnsi="Times New Roman"/>
      <w:kern w:val="2"/>
      <w:sz w:val="28"/>
      <w:lang w:val="zh-CN"/>
    </w:rPr>
  </w:style>
  <w:style w:type="paragraph" w:customStyle="1" w:styleId="1154">
    <w:name w:val="样式 标题 1 + 小二 非加粗 黑色"/>
    <w:basedOn w:val="3"/>
    <w:qFormat/>
    <w:uiPriority w:val="0"/>
    <w:pPr>
      <w:autoSpaceDE/>
      <w:autoSpaceDN/>
      <w:adjustRightInd/>
      <w:spacing w:after="240" w:line="500" w:lineRule="atLeast"/>
    </w:pPr>
    <w:rPr>
      <w:rFonts w:ascii="Times New Roman" w:hAnsi="宋体"/>
      <w:color w:val="000000"/>
      <w:kern w:val="0"/>
      <w:sz w:val="52"/>
      <w:szCs w:val="44"/>
      <w:lang w:val="zh-CN"/>
    </w:rPr>
  </w:style>
  <w:style w:type="paragraph" w:customStyle="1" w:styleId="1155">
    <w:name w:val="标题 1 + Times New Roman"/>
    <w:basedOn w:val="3"/>
    <w:qFormat/>
    <w:uiPriority w:val="0"/>
    <w:pPr>
      <w:keepNext w:val="0"/>
      <w:keepLines w:val="0"/>
      <w:tabs>
        <w:tab w:val="left" w:pos="840"/>
      </w:tabs>
      <w:autoSpaceDE/>
      <w:autoSpaceDN/>
      <w:adjustRightInd/>
      <w:snapToGrid w:val="0"/>
      <w:spacing w:before="0" w:beforeLines="50" w:after="0" w:afterLines="50" w:line="360" w:lineRule="auto"/>
    </w:pPr>
    <w:rPr>
      <w:rFonts w:ascii="Times New Roman"/>
      <w:b w:val="0"/>
      <w:lang w:val="zh-CN"/>
    </w:rPr>
  </w:style>
  <w:style w:type="paragraph" w:customStyle="1" w:styleId="1156">
    <w:name w:val="文章标题"/>
    <w:basedOn w:val="84"/>
    <w:next w:val="84"/>
    <w:qFormat/>
    <w:uiPriority w:val="0"/>
    <w:pPr>
      <w:widowControl/>
      <w:tabs>
        <w:tab w:val="left" w:pos="0"/>
      </w:tabs>
      <w:spacing w:before="240" w:after="60"/>
    </w:pPr>
    <w:rPr>
      <w:rFonts w:ascii="宋体" w:hAnsi="宋体"/>
      <w:kern w:val="0"/>
      <w:lang w:val="zh-CN"/>
    </w:rPr>
  </w:style>
  <w:style w:type="paragraph" w:customStyle="1" w:styleId="1157">
    <w:name w:val="xl456"/>
    <w:basedOn w:val="1"/>
    <w:qFormat/>
    <w:uiPriority w:val="0"/>
    <w:pPr>
      <w:widowControl/>
      <w:pBdr>
        <w:top w:val="single" w:color="auto" w:sz="8" w:space="0"/>
        <w:left w:val="single" w:color="000000" w:sz="4" w:space="0"/>
        <w:bottom w:val="single" w:color="000000" w:sz="4" w:space="0"/>
        <w:right w:val="single" w:color="000000" w:sz="4" w:space="0"/>
      </w:pBdr>
      <w:shd w:val="clear" w:color="FFFFFF" w:fill="FFFFFF"/>
      <w:spacing w:before="100" w:beforeAutospacing="1" w:after="100" w:afterAutospacing="1"/>
      <w:jc w:val="center"/>
    </w:pPr>
    <w:rPr>
      <w:rFonts w:ascii="宋体" w:hAnsi="宋体"/>
      <w:kern w:val="0"/>
      <w:sz w:val="20"/>
      <w:szCs w:val="20"/>
    </w:rPr>
  </w:style>
  <w:style w:type="paragraph" w:customStyle="1" w:styleId="1158">
    <w:name w:val="xl58"/>
    <w:basedOn w:val="1"/>
    <w:qFormat/>
    <w:uiPriority w:val="0"/>
    <w:pPr>
      <w:widowControl/>
      <w:pBdr>
        <w:top w:val="single" w:color="auto" w:sz="4" w:space="0"/>
        <w:left w:val="single" w:color="auto" w:sz="4" w:space="0"/>
        <w:bottom w:val="single" w:color="auto" w:sz="4" w:space="0"/>
        <w:right w:val="single" w:color="auto" w:sz="4" w:space="0"/>
      </w:pBdr>
      <w:shd w:val="clear" w:color="auto" w:fill="FF99CC"/>
      <w:spacing w:before="100" w:beforeAutospacing="1" w:after="100" w:afterAutospacing="1"/>
      <w:jc w:val="center"/>
      <w:textAlignment w:val="center"/>
    </w:pPr>
    <w:rPr>
      <w:rFonts w:ascii="宋体" w:hAnsi="宋体"/>
      <w:b/>
      <w:bCs/>
      <w:kern w:val="0"/>
      <w:sz w:val="18"/>
      <w:szCs w:val="18"/>
    </w:rPr>
  </w:style>
  <w:style w:type="paragraph" w:customStyle="1" w:styleId="1159">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20"/>
      <w:szCs w:val="20"/>
    </w:rPr>
  </w:style>
  <w:style w:type="paragraph" w:customStyle="1" w:styleId="1160">
    <w:name w:val="xl487"/>
    <w:basedOn w:val="1"/>
    <w:qFormat/>
    <w:uiPriority w:val="0"/>
    <w:pPr>
      <w:widowControl/>
      <w:pBdr>
        <w:top w:val="single" w:color="000000" w:sz="4" w:space="0"/>
        <w:left w:val="single" w:color="000000" w:sz="4" w:space="0"/>
        <w:right w:val="single" w:color="000000" w:sz="4" w:space="0"/>
      </w:pBdr>
      <w:spacing w:before="100" w:beforeAutospacing="1" w:after="100" w:afterAutospacing="1"/>
      <w:jc w:val="left"/>
    </w:pPr>
    <w:rPr>
      <w:rFonts w:ascii="宋体" w:hAnsi="宋体"/>
      <w:kern w:val="0"/>
      <w:sz w:val="20"/>
      <w:szCs w:val="20"/>
    </w:rPr>
  </w:style>
  <w:style w:type="paragraph" w:customStyle="1" w:styleId="1161">
    <w:name w:val="xl463"/>
    <w:basedOn w:val="1"/>
    <w:qFormat/>
    <w:uiPriority w:val="0"/>
    <w:pPr>
      <w:widowControl/>
      <w:pBdr>
        <w:top w:val="single" w:color="auto" w:sz="8" w:space="0"/>
        <w:left w:val="single" w:color="000000" w:sz="4" w:space="0"/>
        <w:bottom w:val="single" w:color="000000" w:sz="4" w:space="0"/>
        <w:right w:val="single" w:color="auto" w:sz="8" w:space="0"/>
      </w:pBdr>
      <w:shd w:val="clear" w:color="FFFFFF" w:fill="FFFFFF"/>
      <w:spacing w:before="100" w:beforeAutospacing="1" w:after="100" w:afterAutospacing="1"/>
      <w:jc w:val="center"/>
    </w:pPr>
    <w:rPr>
      <w:rFonts w:ascii="宋体" w:hAnsi="宋体"/>
      <w:kern w:val="0"/>
      <w:sz w:val="20"/>
      <w:szCs w:val="20"/>
    </w:rPr>
  </w:style>
  <w:style w:type="paragraph" w:customStyle="1" w:styleId="1162">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63">
    <w:name w:val="标准书眉一"/>
    <w:qFormat/>
    <w:uiPriority w:val="0"/>
    <w:pPr>
      <w:spacing w:line="560" w:lineRule="exact"/>
      <w:jc w:val="both"/>
    </w:pPr>
    <w:rPr>
      <w:rFonts w:ascii="Times New Roman" w:hAnsi="Times New Roman" w:eastAsia="宋体" w:cs="Times New Roman"/>
      <w:lang w:val="en-US" w:eastAsia="zh-CN" w:bidi="ar-SA"/>
    </w:rPr>
  </w:style>
  <w:style w:type="paragraph" w:customStyle="1" w:styleId="1164">
    <w:name w:val="样式 标题 5 + 首行缩进:  2 字符"/>
    <w:basedOn w:val="8"/>
    <w:qFormat/>
    <w:uiPriority w:val="0"/>
    <w:pPr>
      <w:adjustRightInd/>
      <w:spacing w:before="0" w:after="0" w:line="480" w:lineRule="auto"/>
      <w:textAlignment w:val="auto"/>
    </w:pPr>
    <w:rPr>
      <w:rFonts w:eastAsia="黑体"/>
      <w:b w:val="0"/>
      <w:kern w:val="2"/>
      <w:lang w:val="zh-CN"/>
    </w:rPr>
  </w:style>
  <w:style w:type="paragraph" w:customStyle="1" w:styleId="1165">
    <w:name w:val="9注"/>
    <w:basedOn w:val="690"/>
    <w:next w:val="690"/>
    <w:qFormat/>
    <w:uiPriority w:val="0"/>
    <w:pPr>
      <w:widowControl w:val="0"/>
      <w:spacing w:after="312" w:line="240" w:lineRule="auto"/>
      <w:ind w:firstLine="360"/>
      <w:jc w:val="right"/>
    </w:pPr>
    <w:rPr>
      <w:b/>
      <w:position w:val="-24"/>
      <w:sz w:val="18"/>
    </w:rPr>
  </w:style>
  <w:style w:type="paragraph" w:customStyle="1" w:styleId="1166">
    <w:name w:val="xl11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2"/>
      <w:szCs w:val="22"/>
    </w:rPr>
  </w:style>
  <w:style w:type="paragraph" w:customStyle="1" w:styleId="1167">
    <w:name w:val="xl73"/>
    <w:basedOn w:val="1"/>
    <w:qFormat/>
    <w:uiPriority w:val="0"/>
    <w:pPr>
      <w:widowControl/>
      <w:pBdr>
        <w:top w:val="single" w:color="auto" w:sz="4" w:space="0"/>
        <w:left w:val="single" w:color="auto" w:sz="4" w:space="0"/>
        <w:bottom w:val="single" w:color="auto" w:sz="4" w:space="0"/>
        <w:right w:val="single" w:color="auto" w:sz="4" w:space="0"/>
      </w:pBdr>
      <w:tabs>
        <w:tab w:val="left" w:pos="2405"/>
      </w:tabs>
      <w:spacing w:before="100" w:beforeAutospacing="1" w:after="100" w:afterAutospacing="1"/>
      <w:jc w:val="left"/>
    </w:pPr>
    <w:rPr>
      <w:rFonts w:ascii="宋体" w:hAnsi="宋体" w:cs="宋体"/>
      <w:kern w:val="0"/>
      <w:sz w:val="20"/>
      <w:szCs w:val="20"/>
    </w:rPr>
  </w:style>
  <w:style w:type="paragraph" w:customStyle="1" w:styleId="1168">
    <w:name w:val="正文12"/>
    <w:basedOn w:val="1"/>
    <w:qFormat/>
    <w:uiPriority w:val="0"/>
    <w:pPr>
      <w:spacing w:line="360" w:lineRule="auto"/>
      <w:ind w:firstLine="480" w:firstLineChars="200"/>
    </w:pPr>
    <w:rPr>
      <w:sz w:val="24"/>
      <w:szCs w:val="20"/>
    </w:rPr>
  </w:style>
  <w:style w:type="paragraph" w:customStyle="1" w:styleId="1169">
    <w:name w:val="样式 标题 3 + 段前: 0.5 行 段后: 0.5 行 行距: 固定值 20 磅"/>
    <w:basedOn w:val="7"/>
    <w:next w:val="7"/>
    <w:qFormat/>
    <w:uiPriority w:val="0"/>
    <w:pPr>
      <w:spacing w:before="156" w:beforeLines="50" w:after="156" w:afterLines="50" w:line="376" w:lineRule="auto"/>
      <w:jc w:val="left"/>
    </w:pPr>
    <w:rPr>
      <w:rFonts w:eastAsia="宋体"/>
      <w:bCs/>
      <w:sz w:val="24"/>
      <w:szCs w:val="24"/>
      <w:lang w:val="zh-CN"/>
    </w:rPr>
  </w:style>
  <w:style w:type="paragraph" w:customStyle="1" w:styleId="1170">
    <w:name w:val="标准书脚_偶数页"/>
    <w:qFormat/>
    <w:uiPriority w:val="0"/>
    <w:pPr>
      <w:spacing w:before="120" w:line="560" w:lineRule="exact"/>
    </w:pPr>
    <w:rPr>
      <w:rFonts w:ascii="Times New Roman" w:hAnsi="Times New Roman" w:eastAsia="宋体" w:cs="Times New Roman"/>
      <w:sz w:val="18"/>
      <w:lang w:val="en-US" w:eastAsia="zh-CN" w:bidi="ar-SA"/>
    </w:rPr>
  </w:style>
  <w:style w:type="paragraph" w:customStyle="1" w:styleId="1171">
    <w:name w:val="样式 标准段 + 左  0 字符"/>
    <w:basedOn w:val="824"/>
    <w:qFormat/>
    <w:uiPriority w:val="0"/>
    <w:pPr>
      <w:ind w:left="0" w:leftChars="0" w:right="28" w:firstLine="200" w:firstLineChars="200"/>
    </w:pPr>
    <w:rPr>
      <w:rFonts w:cs="宋体"/>
      <w:bCs w:val="0"/>
    </w:rPr>
  </w:style>
  <w:style w:type="paragraph" w:customStyle="1" w:styleId="1172">
    <w:name w:val="样式 样式 标题 5 + 段前: 5 磅 段后: 5 磅 行距: 单倍行距 + 五号"/>
    <w:basedOn w:val="1008"/>
    <w:qFormat/>
    <w:uiPriority w:val="0"/>
    <w:rPr>
      <w:sz w:val="21"/>
    </w:rPr>
  </w:style>
  <w:style w:type="paragraph" w:customStyle="1" w:styleId="1173">
    <w:name w:val="样式 段 + 首行缩进:  2 字符"/>
    <w:basedOn w:val="1"/>
    <w:qFormat/>
    <w:uiPriority w:val="0"/>
    <w:pPr>
      <w:widowControl/>
      <w:autoSpaceDE w:val="0"/>
      <w:autoSpaceDN w:val="0"/>
      <w:ind w:firstLine="420" w:firstLineChars="200"/>
    </w:pPr>
    <w:rPr>
      <w:kern w:val="0"/>
      <w:szCs w:val="20"/>
    </w:rPr>
  </w:style>
  <w:style w:type="paragraph" w:customStyle="1" w:styleId="1174">
    <w:name w:val="1  一二"/>
    <w:basedOn w:val="1"/>
    <w:qFormat/>
    <w:uiPriority w:val="0"/>
    <w:rPr>
      <w:kern w:val="0"/>
      <w:sz w:val="28"/>
      <w:szCs w:val="20"/>
    </w:rPr>
  </w:style>
  <w:style w:type="paragraph" w:customStyle="1" w:styleId="1175">
    <w:name w:val="Default Text"/>
    <w:basedOn w:val="1"/>
    <w:qFormat/>
    <w:uiPriority w:val="0"/>
    <w:pPr>
      <w:widowControl/>
      <w:overflowPunct w:val="0"/>
      <w:autoSpaceDE w:val="0"/>
      <w:autoSpaceDN w:val="0"/>
      <w:adjustRightInd w:val="0"/>
      <w:jc w:val="left"/>
      <w:textAlignment w:val="baseline"/>
    </w:pPr>
    <w:rPr>
      <w:rFonts w:eastAsia="仿宋_GB2312"/>
      <w:kern w:val="0"/>
      <w:sz w:val="24"/>
      <w:szCs w:val="20"/>
      <w:lang w:val="en-GB"/>
    </w:rPr>
  </w:style>
  <w:style w:type="paragraph" w:customStyle="1" w:styleId="1176">
    <w:name w:val="条文脚注"/>
    <w:basedOn w:val="67"/>
    <w:qFormat/>
    <w:uiPriority w:val="0"/>
    <w:pPr>
      <w:ind w:left="780" w:leftChars="200" w:hanging="360" w:hangingChars="200"/>
      <w:jc w:val="both"/>
    </w:pPr>
    <w:rPr>
      <w:rFonts w:ascii="宋体"/>
      <w:szCs w:val="20"/>
    </w:rPr>
  </w:style>
  <w:style w:type="paragraph" w:customStyle="1" w:styleId="1177">
    <w:name w:val="xl91"/>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1178">
    <w:name w:val="p"/>
    <w:basedOn w:val="1"/>
    <w:qFormat/>
    <w:uiPriority w:val="0"/>
    <w:pPr>
      <w:widowControl/>
      <w:numPr>
        <w:ilvl w:val="0"/>
        <w:numId w:val="27"/>
      </w:numPr>
      <w:tabs>
        <w:tab w:val="left" w:pos="360"/>
        <w:tab w:val="left" w:pos="2405"/>
      </w:tabs>
      <w:overflowPunct w:val="0"/>
      <w:autoSpaceDE w:val="0"/>
      <w:autoSpaceDN w:val="0"/>
      <w:adjustRightInd w:val="0"/>
      <w:spacing w:before="120" w:line="264" w:lineRule="auto"/>
      <w:ind w:right="-57"/>
      <w:textAlignment w:val="baseline"/>
    </w:pPr>
    <w:rPr>
      <w:rFonts w:ascii="宋体"/>
      <w:kern w:val="0"/>
      <w:sz w:val="24"/>
      <w:szCs w:val="20"/>
    </w:rPr>
  </w:style>
  <w:style w:type="paragraph" w:customStyle="1" w:styleId="1179">
    <w:name w:val="(1)"/>
    <w:basedOn w:val="1"/>
    <w:qFormat/>
    <w:uiPriority w:val="0"/>
    <w:pPr>
      <w:widowControl/>
      <w:tabs>
        <w:tab w:val="left" w:pos="210"/>
        <w:tab w:val="left" w:pos="1429"/>
      </w:tabs>
      <w:overflowPunct w:val="0"/>
      <w:autoSpaceDE w:val="0"/>
      <w:autoSpaceDN w:val="0"/>
      <w:adjustRightInd w:val="0"/>
      <w:spacing w:line="300" w:lineRule="auto"/>
      <w:ind w:left="1429" w:hanging="720"/>
      <w:textAlignment w:val="baseline"/>
    </w:pPr>
    <w:rPr>
      <w:kern w:val="0"/>
      <w:sz w:val="24"/>
      <w:szCs w:val="20"/>
    </w:rPr>
  </w:style>
  <w:style w:type="paragraph" w:customStyle="1" w:styleId="1180">
    <w:name w:val="列项●（二级）"/>
    <w:qFormat/>
    <w:uiPriority w:val="0"/>
    <w:pPr>
      <w:tabs>
        <w:tab w:val="left" w:pos="760"/>
        <w:tab w:val="left" w:pos="840"/>
      </w:tabs>
      <w:spacing w:line="560" w:lineRule="exact"/>
      <w:ind w:left="600" w:leftChars="400" w:hanging="200" w:hangingChars="200"/>
      <w:jc w:val="both"/>
    </w:pPr>
    <w:rPr>
      <w:rFonts w:ascii="宋体" w:hAnsi="Times New Roman" w:eastAsia="宋体" w:cs="Times New Roman"/>
      <w:sz w:val="21"/>
      <w:lang w:val="en-US" w:eastAsia="zh-CN" w:bidi="ar-SA"/>
    </w:rPr>
  </w:style>
  <w:style w:type="paragraph" w:customStyle="1" w:styleId="1181">
    <w:name w:val="B表头"/>
    <w:qFormat/>
    <w:uiPriority w:val="0"/>
    <w:pPr>
      <w:ind w:firstLine="210" w:firstLineChars="100"/>
      <w:jc w:val="center"/>
    </w:pPr>
    <w:rPr>
      <w:rFonts w:ascii="Times New Roman" w:hAnsi="Times New Roman" w:eastAsia="黑体" w:cs="Times New Roman"/>
      <w:kern w:val="2"/>
      <w:sz w:val="21"/>
      <w:lang w:val="en-US" w:eastAsia="zh-CN" w:bidi="ar-SA"/>
    </w:rPr>
  </w:style>
  <w:style w:type="paragraph" w:customStyle="1" w:styleId="1182">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1183">
    <w:name w:val="xl109"/>
    <w:basedOn w:val="1"/>
    <w:qFormat/>
    <w:uiPriority w:val="0"/>
    <w:pPr>
      <w:widowControl/>
      <w:pBdr>
        <w:bottom w:val="single" w:color="auto" w:sz="4" w:space="0"/>
        <w:right w:val="single" w:color="auto" w:sz="4" w:space="0"/>
      </w:pBdr>
      <w:spacing w:before="100" w:beforeAutospacing="1" w:after="100" w:afterAutospacing="1"/>
      <w:jc w:val="right"/>
      <w:textAlignment w:val="center"/>
    </w:pPr>
    <w:rPr>
      <w:rFonts w:ascii="宋体" w:hAnsi="宋体" w:cs="宋体"/>
      <w:b/>
      <w:bCs/>
      <w:i/>
      <w:iCs/>
      <w:kern w:val="0"/>
      <w:sz w:val="22"/>
      <w:szCs w:val="22"/>
    </w:rPr>
  </w:style>
  <w:style w:type="paragraph" w:customStyle="1" w:styleId="1184">
    <w:name w:val="font10"/>
    <w:basedOn w:val="1"/>
    <w:qFormat/>
    <w:uiPriority w:val="0"/>
    <w:pPr>
      <w:widowControl/>
      <w:spacing w:before="100" w:beforeAutospacing="1" w:after="100" w:afterAutospacing="1"/>
      <w:jc w:val="left"/>
    </w:pPr>
    <w:rPr>
      <w:rFonts w:hint="eastAsia" w:ascii="宋体" w:hAnsi="宋体"/>
      <w:b/>
      <w:bCs/>
      <w:color w:val="000000"/>
      <w:kern w:val="0"/>
      <w:sz w:val="18"/>
      <w:szCs w:val="18"/>
    </w:rPr>
  </w:style>
  <w:style w:type="paragraph" w:customStyle="1" w:styleId="1185">
    <w:name w:val="表格2"/>
    <w:basedOn w:val="1"/>
    <w:qFormat/>
    <w:uiPriority w:val="0"/>
    <w:rPr>
      <w:szCs w:val="20"/>
    </w:rPr>
  </w:style>
  <w:style w:type="paragraph" w:customStyle="1" w:styleId="1186">
    <w:name w:val="textstyle2"/>
    <w:basedOn w:val="932"/>
    <w:qFormat/>
    <w:uiPriority w:val="0"/>
    <w:pPr>
      <w:widowControl/>
      <w:spacing w:before="120"/>
      <w:ind w:firstLine="0"/>
    </w:pPr>
    <w:rPr>
      <w:rFonts w:ascii="宋体" w:eastAsia="宋体"/>
      <w:kern w:val="3"/>
    </w:rPr>
  </w:style>
  <w:style w:type="paragraph" w:customStyle="1" w:styleId="1187">
    <w:name w:val="样式 样式 标题 4 + 首行缩进:  2 字符 + 10 磅"/>
    <w:basedOn w:val="732"/>
    <w:qFormat/>
    <w:uiPriority w:val="0"/>
  </w:style>
  <w:style w:type="paragraph" w:customStyle="1" w:styleId="1188">
    <w:name w:val="g3"/>
    <w:basedOn w:val="1"/>
    <w:qFormat/>
    <w:uiPriority w:val="0"/>
    <w:pPr>
      <w:widowControl/>
      <w:spacing w:before="100" w:beforeAutospacing="1" w:after="100" w:afterAutospacing="1" w:line="675" w:lineRule="atLeast"/>
      <w:jc w:val="left"/>
    </w:pPr>
    <w:rPr>
      <w:rFonts w:ascii="华文中宋" w:hAnsi="华文中宋" w:eastAsia="华文中宋" w:cs="宋体"/>
      <w:kern w:val="0"/>
      <w:sz w:val="32"/>
      <w:szCs w:val="32"/>
    </w:rPr>
  </w:style>
  <w:style w:type="paragraph" w:customStyle="1" w:styleId="1189">
    <w:name w:val="Char Char Char Char1 Char Char Char"/>
    <w:basedOn w:val="1"/>
    <w:qFormat/>
    <w:uiPriority w:val="0"/>
    <w:rPr>
      <w:rFonts w:ascii="Tahoma" w:hAnsi="Tahoma"/>
      <w:sz w:val="24"/>
      <w:szCs w:val="20"/>
    </w:rPr>
  </w:style>
  <w:style w:type="paragraph" w:customStyle="1" w:styleId="1190">
    <w:name w:val="xl150"/>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1191">
    <w:name w:val="样式 首行缩进:  1.11 厘米"/>
    <w:basedOn w:val="1"/>
    <w:next w:val="87"/>
    <w:qFormat/>
    <w:uiPriority w:val="0"/>
    <w:pPr>
      <w:ind w:firstLine="630"/>
    </w:pPr>
    <w:rPr>
      <w:rFonts w:ascii="宋体" w:cs="宋体"/>
      <w:sz w:val="28"/>
      <w:szCs w:val="20"/>
    </w:rPr>
  </w:style>
  <w:style w:type="paragraph" w:customStyle="1" w:styleId="1192">
    <w:name w:val="xl97"/>
    <w:basedOn w:val="1"/>
    <w:qFormat/>
    <w:uiPriority w:val="0"/>
    <w:pPr>
      <w:widowControl/>
      <w:pBdr>
        <w:bottom w:val="single" w:color="auto" w:sz="4" w:space="0"/>
        <w:right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1193">
    <w:name w:val="mys1"/>
    <w:basedOn w:val="84"/>
    <w:qFormat/>
    <w:uiPriority w:val="0"/>
    <w:pPr>
      <w:spacing w:before="360" w:after="180" w:line="360" w:lineRule="auto"/>
      <w:jc w:val="left"/>
    </w:pPr>
    <w:rPr>
      <w:rFonts w:ascii="Arial" w:hAnsi="Arial"/>
      <w:bCs/>
      <w:sz w:val="36"/>
      <w:szCs w:val="28"/>
      <w:lang w:val="zh-CN"/>
    </w:rPr>
  </w:style>
  <w:style w:type="paragraph" w:customStyle="1" w:styleId="1194">
    <w:name w:val="CM33"/>
    <w:basedOn w:val="208"/>
    <w:next w:val="208"/>
    <w:qFormat/>
    <w:uiPriority w:val="0"/>
    <w:pPr>
      <w:spacing w:after="105" w:line="560" w:lineRule="exact"/>
    </w:pPr>
    <w:rPr>
      <w:rFonts w:ascii="华文新魏" w:hAnsi="Times New Roman" w:eastAsia="华文新魏" w:cs="Times New Roman"/>
      <w:color w:val="auto"/>
      <w:szCs w:val="20"/>
    </w:rPr>
  </w:style>
  <w:style w:type="paragraph" w:customStyle="1" w:styleId="1195">
    <w:name w:val="样式"/>
    <w:qFormat/>
    <w:uiPriority w:val="99"/>
    <w:pPr>
      <w:widowControl w:val="0"/>
      <w:jc w:val="both"/>
    </w:pPr>
    <w:rPr>
      <w:rFonts w:ascii="Times New Roman" w:hAnsi="Times New Roman" w:eastAsia="宋体" w:cs="Times New Roman"/>
      <w:kern w:val="2"/>
      <w:sz w:val="21"/>
      <w:lang w:val="en-US" w:eastAsia="zh-CN" w:bidi="ar-SA"/>
    </w:rPr>
  </w:style>
  <w:style w:type="paragraph" w:customStyle="1" w:styleId="1196">
    <w:name w:val="xl123"/>
    <w:basedOn w:val="1"/>
    <w:qFormat/>
    <w:uiPriority w:val="0"/>
    <w:pPr>
      <w:widowControl/>
      <w:pBdr>
        <w:top w:val="single" w:color="auto" w:sz="4" w:space="0"/>
        <w:bottom w:val="single" w:color="auto" w:sz="4" w:space="0"/>
      </w:pBdr>
      <w:spacing w:before="100" w:beforeAutospacing="1" w:after="100" w:afterAutospacing="1"/>
      <w:jc w:val="center"/>
      <w:textAlignment w:val="center"/>
    </w:pPr>
    <w:rPr>
      <w:rFonts w:ascii="宋体" w:hAnsi="宋体" w:cs="宋体"/>
      <w:kern w:val="0"/>
      <w:sz w:val="22"/>
      <w:szCs w:val="22"/>
    </w:rPr>
  </w:style>
  <w:style w:type="paragraph" w:customStyle="1" w:styleId="1197">
    <w:name w:val="小标题下列表"/>
    <w:basedOn w:val="34"/>
    <w:qFormat/>
    <w:uiPriority w:val="0"/>
    <w:pPr>
      <w:tabs>
        <w:tab w:val="left" w:pos="420"/>
        <w:tab w:val="left" w:pos="1589"/>
        <w:tab w:val="clear" w:pos="567"/>
      </w:tabs>
      <w:spacing w:before="0" w:line="240" w:lineRule="auto"/>
      <w:ind w:left="1468" w:hanging="900"/>
    </w:pPr>
    <w:rPr>
      <w:rFonts w:ascii="Tahoma" w:hAnsi="Tahoma" w:eastAsia="仿宋_GB2312"/>
      <w:lang w:val="zh-CN"/>
    </w:rPr>
  </w:style>
  <w:style w:type="paragraph" w:customStyle="1" w:styleId="1198">
    <w:name w:val="xl125"/>
    <w:basedOn w:val="1"/>
    <w:qFormat/>
    <w:uiPriority w:val="0"/>
    <w:pPr>
      <w:widowControl/>
      <w:pBdr>
        <w:bottom w:val="single" w:color="auto" w:sz="4" w:space="0"/>
        <w:right w:val="single" w:color="auto" w:sz="4" w:space="0"/>
      </w:pBdr>
      <w:spacing w:before="100" w:beforeAutospacing="1" w:after="100" w:afterAutospacing="1"/>
      <w:jc w:val="right"/>
      <w:textAlignment w:val="center"/>
    </w:pPr>
    <w:rPr>
      <w:rFonts w:ascii="宋体" w:hAnsi="宋体" w:cs="宋体"/>
      <w:kern w:val="0"/>
      <w:sz w:val="22"/>
      <w:szCs w:val="22"/>
    </w:rPr>
  </w:style>
  <w:style w:type="paragraph" w:customStyle="1" w:styleId="1199">
    <w:name w:val="piont"/>
    <w:basedOn w:val="1"/>
    <w:next w:val="1"/>
    <w:qFormat/>
    <w:uiPriority w:val="0"/>
    <w:pPr>
      <w:suppressLineNumbers/>
      <w:tabs>
        <w:tab w:val="left" w:pos="600"/>
      </w:tabs>
      <w:suppressAutoHyphens/>
      <w:wordWrap w:val="0"/>
      <w:topLinePunct/>
      <w:adjustRightInd w:val="0"/>
      <w:snapToGrid w:val="0"/>
      <w:spacing w:before="100" w:beforeAutospacing="1" w:line="360" w:lineRule="auto"/>
      <w:ind w:left="600" w:hanging="420"/>
      <w:jc w:val="left"/>
    </w:pPr>
    <w:rPr>
      <w:rFonts w:ascii="Arial" w:hAnsi="Arial"/>
      <w:sz w:val="28"/>
      <w:szCs w:val="20"/>
    </w:rPr>
  </w:style>
  <w:style w:type="paragraph" w:customStyle="1" w:styleId="1200">
    <w:name w:val="7.30正文首行缩进"/>
    <w:qFormat/>
    <w:uiPriority w:val="0"/>
    <w:pPr>
      <w:snapToGrid w:val="0"/>
      <w:spacing w:line="332" w:lineRule="exact"/>
      <w:ind w:firstLine="200" w:firstLineChars="200"/>
      <w:jc w:val="both"/>
    </w:pPr>
    <w:rPr>
      <w:rFonts w:ascii="Times New Roman" w:hAnsi="Times New Roman" w:eastAsia="宋体" w:cs="Times New Roman"/>
      <w:sz w:val="21"/>
      <w:lang w:val="en-US" w:eastAsia="zh-CN" w:bidi="ar-SA"/>
    </w:rPr>
  </w:style>
  <w:style w:type="paragraph" w:customStyle="1" w:styleId="1201">
    <w:name w:val="i."/>
    <w:basedOn w:val="1"/>
    <w:qFormat/>
    <w:uiPriority w:val="0"/>
    <w:pPr>
      <w:numPr>
        <w:ilvl w:val="7"/>
        <w:numId w:val="21"/>
      </w:numPr>
      <w:tabs>
        <w:tab w:val="left" w:pos="2041"/>
        <w:tab w:val="left" w:pos="2308"/>
        <w:tab w:val="left" w:pos="4776"/>
      </w:tabs>
      <w:spacing w:before="60" w:after="60" w:line="264" w:lineRule="auto"/>
      <w:ind w:left="2041" w:hanging="453"/>
    </w:pPr>
    <w:rPr>
      <w:sz w:val="22"/>
      <w:szCs w:val="22"/>
    </w:rPr>
  </w:style>
  <w:style w:type="paragraph" w:customStyle="1" w:styleId="1202">
    <w:name w:val="xl145"/>
    <w:basedOn w:val="1"/>
    <w:qFormat/>
    <w:uiPriority w:val="0"/>
    <w:pPr>
      <w:widowControl/>
      <w:pBdr>
        <w:top w:val="single" w:color="auto" w:sz="4" w:space="0"/>
        <w:bottom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1203">
    <w:name w:val="zhwb2"/>
    <w:basedOn w:val="1"/>
    <w:next w:val="5"/>
    <w:qFormat/>
    <w:uiPriority w:val="0"/>
    <w:pPr>
      <w:tabs>
        <w:tab w:val="left" w:pos="755"/>
      </w:tabs>
      <w:spacing w:before="120" w:after="120" w:line="360" w:lineRule="auto"/>
      <w:ind w:left="755" w:hanging="576"/>
      <w:jc w:val="left"/>
      <w:outlineLvl w:val="1"/>
    </w:pPr>
    <w:rPr>
      <w:bCs/>
      <w:color w:val="FF00FF"/>
      <w:sz w:val="28"/>
      <w:szCs w:val="32"/>
    </w:rPr>
  </w:style>
  <w:style w:type="paragraph" w:customStyle="1" w:styleId="1204">
    <w:name w:val="xl107"/>
    <w:basedOn w:val="1"/>
    <w:qFormat/>
    <w:uiPriority w:val="0"/>
    <w:pPr>
      <w:widowControl/>
      <w:pBdr>
        <w:bottom w:val="single" w:color="auto" w:sz="4" w:space="0"/>
        <w:right w:val="single" w:color="auto" w:sz="4" w:space="0"/>
      </w:pBdr>
      <w:spacing w:before="100" w:beforeAutospacing="1" w:after="100" w:afterAutospacing="1"/>
      <w:jc w:val="right"/>
      <w:textAlignment w:val="center"/>
    </w:pPr>
    <w:rPr>
      <w:rFonts w:ascii="宋体" w:hAnsi="宋体" w:cs="宋体"/>
      <w:b/>
      <w:bCs/>
      <w:kern w:val="0"/>
      <w:sz w:val="22"/>
      <w:szCs w:val="22"/>
    </w:rPr>
  </w:style>
  <w:style w:type="paragraph" w:customStyle="1" w:styleId="1205">
    <w:name w:val="xl5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olor w:val="333399"/>
      <w:kern w:val="0"/>
      <w:sz w:val="18"/>
      <w:szCs w:val="18"/>
    </w:rPr>
  </w:style>
  <w:style w:type="paragraph" w:customStyle="1" w:styleId="1206">
    <w:name w:val="标题改4"/>
    <w:basedOn w:val="1"/>
    <w:qFormat/>
    <w:uiPriority w:val="0"/>
    <w:pPr>
      <w:spacing w:line="700" w:lineRule="exact"/>
      <w:ind w:firstLine="200" w:firstLineChars="200"/>
    </w:pPr>
    <w:rPr>
      <w:rFonts w:ascii="宋体"/>
      <w:sz w:val="30"/>
      <w:szCs w:val="20"/>
    </w:rPr>
  </w:style>
  <w:style w:type="paragraph" w:customStyle="1" w:styleId="1207">
    <w:name w:val="xl124"/>
    <w:basedOn w:val="1"/>
    <w:qFormat/>
    <w:uiPriority w:val="0"/>
    <w:pPr>
      <w:widowControl/>
      <w:spacing w:before="100" w:beforeAutospacing="1" w:after="100" w:afterAutospacing="1"/>
      <w:jc w:val="right"/>
      <w:textAlignment w:val="center"/>
    </w:pPr>
    <w:rPr>
      <w:rFonts w:ascii="宋体" w:hAnsi="宋体" w:cs="宋体"/>
      <w:kern w:val="0"/>
      <w:sz w:val="22"/>
      <w:szCs w:val="22"/>
    </w:rPr>
  </w:style>
  <w:style w:type="paragraph" w:customStyle="1" w:styleId="1208">
    <w:name w:val="xl129"/>
    <w:basedOn w:val="1"/>
    <w:qFormat/>
    <w:uiPriority w:val="0"/>
    <w:pPr>
      <w:widowControl/>
      <w:pBdr>
        <w:top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cs="宋体"/>
      <w:kern w:val="0"/>
      <w:sz w:val="22"/>
      <w:szCs w:val="22"/>
    </w:rPr>
  </w:style>
  <w:style w:type="paragraph" w:customStyle="1" w:styleId="1209">
    <w:name w:val="标准书眉_偶数页"/>
    <w:basedOn w:val="891"/>
    <w:next w:val="1"/>
    <w:qFormat/>
    <w:uiPriority w:val="0"/>
    <w:pPr>
      <w:jc w:val="left"/>
    </w:pPr>
  </w:style>
  <w:style w:type="paragraph" w:customStyle="1" w:styleId="1210">
    <w:name w:val="xl1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cs="宋体"/>
      <w:b/>
      <w:bCs/>
      <w:kern w:val="0"/>
      <w:sz w:val="22"/>
      <w:szCs w:val="22"/>
    </w:rPr>
  </w:style>
  <w:style w:type="paragraph" w:customStyle="1" w:styleId="1211">
    <w:name w:val="样式 宋体 五号 两端对齐 行距: 单倍行距1"/>
    <w:basedOn w:val="1"/>
    <w:qFormat/>
    <w:uiPriority w:val="0"/>
    <w:pPr>
      <w:adjustRightInd w:val="0"/>
      <w:textAlignment w:val="baseline"/>
    </w:pPr>
    <w:rPr>
      <w:rFonts w:ascii="宋体" w:hAnsi="宋体" w:cs="宋体"/>
      <w:kern w:val="0"/>
      <w:szCs w:val="20"/>
    </w:rPr>
  </w:style>
  <w:style w:type="paragraph" w:customStyle="1" w:styleId="1212">
    <w:name w:val="xl492"/>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pPr>
    <w:rPr>
      <w:rFonts w:ascii="宋体" w:hAnsi="宋体"/>
      <w:kern w:val="0"/>
      <w:sz w:val="20"/>
      <w:szCs w:val="20"/>
    </w:rPr>
  </w:style>
  <w:style w:type="paragraph" w:customStyle="1" w:styleId="1213">
    <w:name w:val="xl14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1214">
    <w:name w:val="正文 New New New New New New New"/>
    <w:qFormat/>
    <w:uiPriority w:val="0"/>
    <w:pPr>
      <w:widowControl w:val="0"/>
      <w:spacing w:line="560" w:lineRule="exact"/>
      <w:jc w:val="both"/>
    </w:pPr>
    <w:rPr>
      <w:rFonts w:ascii="Times New Roman" w:hAnsi="Times New Roman" w:eastAsia="宋体" w:cs="Times New Roman"/>
      <w:kern w:val="2"/>
      <w:sz w:val="21"/>
      <w:lang w:val="en-US" w:eastAsia="zh-CN" w:bidi="ar-SA"/>
    </w:rPr>
  </w:style>
  <w:style w:type="paragraph" w:customStyle="1" w:styleId="1215">
    <w:name w:val="xl64"/>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24"/>
    </w:rPr>
  </w:style>
  <w:style w:type="paragraph" w:customStyle="1" w:styleId="1216">
    <w:name w:val="样式 表格文字　居中"/>
    <w:basedOn w:val="1"/>
    <w:qFormat/>
    <w:uiPriority w:val="0"/>
    <w:pPr>
      <w:widowControl/>
      <w:adjustRightInd w:val="0"/>
      <w:snapToGrid w:val="0"/>
      <w:jc w:val="center"/>
    </w:pPr>
    <w:rPr>
      <w:rFonts w:ascii="宋体" w:hAnsi="宋体" w:eastAsia="楷体_GB2312"/>
      <w:snapToGrid w:val="0"/>
      <w:color w:val="000000"/>
      <w:kern w:val="0"/>
      <w:szCs w:val="20"/>
    </w:rPr>
  </w:style>
  <w:style w:type="paragraph" w:customStyle="1" w:styleId="1217">
    <w:name w:val="xl81"/>
    <w:basedOn w:val="1"/>
    <w:qFormat/>
    <w:uiPriority w:val="0"/>
    <w:pPr>
      <w:widowControl/>
      <w:numPr>
        <w:ilvl w:val="0"/>
        <w:numId w:val="28"/>
      </w:numPr>
      <w:pBdr>
        <w:top w:val="single" w:color="auto" w:sz="4" w:space="0"/>
        <w:left w:val="single" w:color="auto" w:sz="4" w:space="0"/>
        <w:bottom w:val="single" w:color="auto" w:sz="4" w:space="0"/>
        <w:right w:val="single" w:color="auto" w:sz="4" w:space="0"/>
      </w:pBdr>
      <w:tabs>
        <w:tab w:val="left" w:pos="360"/>
      </w:tabs>
      <w:spacing w:before="100" w:beforeAutospacing="1" w:after="100" w:afterAutospacing="1"/>
      <w:ind w:left="0" w:firstLine="0"/>
      <w:jc w:val="left"/>
    </w:pPr>
    <w:rPr>
      <w:rFonts w:ascii="宋体" w:hAnsi="宋体" w:cs="宋体"/>
      <w:b/>
      <w:bCs/>
      <w:kern w:val="0"/>
      <w:sz w:val="20"/>
      <w:szCs w:val="20"/>
    </w:rPr>
  </w:style>
  <w:style w:type="paragraph" w:customStyle="1" w:styleId="1218">
    <w:name w:val="样式 四号 黑色 行距: 1.5 倍行距"/>
    <w:basedOn w:val="1"/>
    <w:qFormat/>
    <w:uiPriority w:val="0"/>
    <w:pPr>
      <w:spacing w:line="500" w:lineRule="atLeast"/>
      <w:ind w:firstLine="200" w:firstLineChars="200"/>
    </w:pPr>
    <w:rPr>
      <w:rFonts w:cs="宋体"/>
      <w:color w:val="000000"/>
      <w:kern w:val="0"/>
      <w:sz w:val="28"/>
      <w:szCs w:val="20"/>
    </w:rPr>
  </w:style>
  <w:style w:type="paragraph" w:customStyle="1" w:styleId="1219">
    <w:name w:val="样式7 Char Char"/>
    <w:basedOn w:val="1"/>
    <w:qFormat/>
    <w:uiPriority w:val="0"/>
    <w:pPr>
      <w:spacing w:line="360" w:lineRule="auto"/>
      <w:ind w:firstLine="480" w:firstLineChars="200"/>
    </w:pPr>
    <w:rPr>
      <w:rFonts w:eastAsia="仿宋_GB2312"/>
      <w:sz w:val="24"/>
      <w:szCs w:val="20"/>
    </w:rPr>
  </w:style>
  <w:style w:type="paragraph" w:customStyle="1" w:styleId="1220">
    <w:name w:val="样式 正文文本缩进 + 行距: 多倍行距 1.3 字行 Char"/>
    <w:basedOn w:val="35"/>
    <w:qFormat/>
    <w:uiPriority w:val="0"/>
    <w:pPr>
      <w:autoSpaceDE w:val="0"/>
      <w:autoSpaceDN w:val="0"/>
      <w:adjustRightInd w:val="0"/>
      <w:ind w:firstLine="554" w:firstLineChars="198"/>
    </w:pPr>
    <w:rPr>
      <w:rFonts w:ascii="宋体" w:hAnsi="宋体"/>
      <w:kern w:val="0"/>
      <w:sz w:val="28"/>
      <w:szCs w:val="28"/>
      <w:lang w:val="zh-CN"/>
    </w:rPr>
  </w:style>
  <w:style w:type="paragraph" w:customStyle="1" w:styleId="1221">
    <w:name w:val="样式 小四 行距: 1.5 倍行距 首行缩进:  2 字符"/>
    <w:basedOn w:val="1"/>
    <w:qFormat/>
    <w:uiPriority w:val="0"/>
    <w:pPr>
      <w:spacing w:line="360" w:lineRule="auto"/>
      <w:ind w:firstLine="480" w:firstLineChars="200"/>
    </w:pPr>
    <w:rPr>
      <w:rFonts w:eastAsia="仿宋_GB2312"/>
      <w:sz w:val="24"/>
      <w:szCs w:val="20"/>
    </w:rPr>
  </w:style>
  <w:style w:type="paragraph" w:customStyle="1" w:styleId="1222">
    <w:name w:val="样式 样式 样式 标题 3 + 左侧:  0 厘米 首行缩进:  0 厘米 + + 黑色"/>
    <w:basedOn w:val="1"/>
    <w:qFormat/>
    <w:uiPriority w:val="0"/>
    <w:pPr>
      <w:keepNext/>
      <w:keepLines/>
      <w:tabs>
        <w:tab w:val="left" w:pos="624"/>
      </w:tabs>
      <w:spacing w:before="60" w:after="60" w:line="500" w:lineRule="atLeast"/>
      <w:ind w:left="624" w:hanging="624"/>
      <w:outlineLvl w:val="2"/>
    </w:pPr>
    <w:rPr>
      <w:rFonts w:eastAsia="黑体" w:cs="宋体"/>
      <w:color w:val="000000"/>
      <w:kern w:val="0"/>
      <w:sz w:val="28"/>
      <w:szCs w:val="20"/>
    </w:rPr>
  </w:style>
  <w:style w:type="paragraph" w:customStyle="1" w:styleId="1223">
    <w:name w:val="p17"/>
    <w:basedOn w:val="1"/>
    <w:qFormat/>
    <w:uiPriority w:val="99"/>
    <w:pPr>
      <w:widowControl/>
    </w:pPr>
    <w:rPr>
      <w:kern w:val="0"/>
      <w:szCs w:val="21"/>
    </w:rPr>
  </w:style>
  <w:style w:type="paragraph" w:customStyle="1" w:styleId="1224">
    <w:name w:val="默认段落字体 Para Char Char Char Char Char Char Char Char Char Char Char Char Char"/>
    <w:basedOn w:val="1"/>
    <w:qFormat/>
    <w:uiPriority w:val="0"/>
    <w:pPr>
      <w:shd w:val="clear" w:color="auto" w:fill="000080"/>
    </w:pPr>
    <w:rPr>
      <w:szCs w:val="20"/>
      <w:shd w:val="clear" w:color="auto" w:fill="000080"/>
    </w:rPr>
  </w:style>
  <w:style w:type="paragraph" w:customStyle="1" w:styleId="1225">
    <w:name w:val="xl460"/>
    <w:basedOn w:val="1"/>
    <w:qFormat/>
    <w:uiPriority w:val="0"/>
    <w:pPr>
      <w:widowControl/>
      <w:pBdr>
        <w:top w:val="single" w:color="auto" w:sz="4" w:space="0"/>
        <w:left w:val="single" w:color="auto" w:sz="4" w:space="0"/>
        <w:bottom w:val="single" w:color="auto" w:sz="4" w:space="0"/>
        <w:right w:val="single" w:color="auto" w:sz="4" w:space="0"/>
      </w:pBdr>
      <w:shd w:val="clear" w:color="FFFFFF" w:fill="FFFFFF"/>
      <w:spacing w:before="100" w:beforeAutospacing="1" w:after="100" w:afterAutospacing="1"/>
      <w:jc w:val="center"/>
    </w:pPr>
    <w:rPr>
      <w:rFonts w:ascii="宋体" w:hAnsi="宋体"/>
      <w:kern w:val="0"/>
      <w:sz w:val="20"/>
      <w:szCs w:val="20"/>
    </w:rPr>
  </w:style>
  <w:style w:type="paragraph" w:customStyle="1" w:styleId="1226">
    <w:name w:val="xl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1227">
    <w:name w:val="正文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228">
    <w:name w:val="xl159"/>
    <w:basedOn w:val="1"/>
    <w:qFormat/>
    <w:uiPriority w:val="0"/>
    <w:pPr>
      <w:widowControl/>
      <w:pBdr>
        <w:top w:val="single" w:color="auto" w:sz="4" w:space="0"/>
        <w:left w:val="single" w:color="auto" w:sz="4" w:space="0"/>
        <w:right w:val="single" w:color="auto" w:sz="4" w:space="0"/>
      </w:pBdr>
      <w:spacing w:before="100" w:beforeAutospacing="1" w:after="100" w:afterAutospacing="1"/>
      <w:jc w:val="right"/>
      <w:textAlignment w:val="center"/>
    </w:pPr>
    <w:rPr>
      <w:rFonts w:ascii="宋体" w:hAnsi="宋体" w:cs="宋体"/>
      <w:kern w:val="0"/>
      <w:sz w:val="22"/>
      <w:szCs w:val="22"/>
    </w:rPr>
  </w:style>
  <w:style w:type="paragraph" w:customStyle="1" w:styleId="1229">
    <w:name w:val="xl10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1230">
    <w:name w:val="xl490"/>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黑体" w:hAnsi="黑体" w:eastAsia="黑体"/>
      <w:kern w:val="0"/>
      <w:sz w:val="20"/>
      <w:szCs w:val="20"/>
    </w:rPr>
  </w:style>
  <w:style w:type="paragraph" w:customStyle="1" w:styleId="1231">
    <w:name w:val="样式 标题 1 + 宋体 三号"/>
    <w:basedOn w:val="3"/>
    <w:qFormat/>
    <w:uiPriority w:val="0"/>
    <w:pPr>
      <w:keepNext w:val="0"/>
      <w:autoSpaceDE/>
      <w:autoSpaceDN/>
      <w:snapToGrid w:val="0"/>
      <w:spacing w:after="240" w:line="360" w:lineRule="auto"/>
      <w:jc w:val="left"/>
    </w:pPr>
    <w:rPr>
      <w:rFonts w:hAnsi="宋体"/>
      <w:color w:val="FF0000"/>
      <w:lang w:val="zh-CN"/>
    </w:rPr>
  </w:style>
  <w:style w:type="paragraph" w:customStyle="1" w:styleId="1232">
    <w:name w:val="xl506"/>
    <w:basedOn w:val="1"/>
    <w:qFormat/>
    <w:uiPriority w:val="0"/>
    <w:pPr>
      <w:widowControl/>
      <w:spacing w:before="100" w:beforeAutospacing="1" w:after="100" w:afterAutospacing="1"/>
      <w:jc w:val="left"/>
    </w:pPr>
    <w:rPr>
      <w:rFonts w:ascii="宋体" w:hAnsi="宋体"/>
      <w:color w:val="000000"/>
      <w:kern w:val="0"/>
      <w:sz w:val="22"/>
      <w:szCs w:val="20"/>
    </w:rPr>
  </w:style>
  <w:style w:type="paragraph" w:customStyle="1" w:styleId="1233">
    <w:name w:val="font20"/>
    <w:basedOn w:val="1"/>
    <w:qFormat/>
    <w:uiPriority w:val="0"/>
    <w:pPr>
      <w:widowControl/>
      <w:spacing w:before="100" w:beforeAutospacing="1" w:after="100" w:afterAutospacing="1"/>
      <w:jc w:val="left"/>
    </w:pPr>
    <w:rPr>
      <w:rFonts w:ascii="宋体" w:hAnsi="宋体"/>
      <w:kern w:val="0"/>
      <w:sz w:val="20"/>
      <w:szCs w:val="20"/>
    </w:rPr>
  </w:style>
  <w:style w:type="paragraph" w:customStyle="1" w:styleId="1234">
    <w:name w:val="目录1"/>
    <w:qFormat/>
    <w:uiPriority w:val="0"/>
    <w:pPr>
      <w:spacing w:beforeLines="50" w:afterLines="50" w:line="332" w:lineRule="exact"/>
      <w:ind w:firstLine="180" w:firstLineChars="180"/>
      <w:outlineLvl w:val="0"/>
    </w:pPr>
    <w:rPr>
      <w:rFonts w:ascii="Times New Roman" w:hAnsi="Times New Roman" w:eastAsia="宋体" w:cs="Times New Roman"/>
      <w:b/>
      <w:kern w:val="2"/>
      <w:sz w:val="28"/>
      <w:lang w:val="en-US" w:eastAsia="zh-CN" w:bidi="ar-SA"/>
    </w:rPr>
  </w:style>
  <w:style w:type="paragraph" w:customStyle="1" w:styleId="1235">
    <w:name w:val="1章"/>
    <w:basedOn w:val="84"/>
    <w:next w:val="1"/>
    <w:qFormat/>
    <w:uiPriority w:val="0"/>
    <w:pPr>
      <w:adjustRightInd w:val="0"/>
      <w:spacing w:before="240" w:beforeLines="200" w:after="60" w:afterLines="100" w:line="360" w:lineRule="auto"/>
    </w:pPr>
    <w:rPr>
      <w:rFonts w:ascii="宋体" w:hAnsi="宋体" w:eastAsia="黑体"/>
      <w:lang w:val="zh-CN"/>
    </w:rPr>
  </w:style>
  <w:style w:type="paragraph" w:customStyle="1" w:styleId="1236">
    <w:name w:val="Char Char Char Char Char Char"/>
    <w:basedOn w:val="1"/>
    <w:qFormat/>
    <w:uiPriority w:val="0"/>
    <w:pPr>
      <w:snapToGrid w:val="0"/>
      <w:spacing w:line="360" w:lineRule="auto"/>
      <w:ind w:firstLine="200" w:firstLineChars="200"/>
    </w:pPr>
    <w:rPr>
      <w:rFonts w:eastAsia="仿宋_GB2312"/>
      <w:sz w:val="24"/>
      <w:szCs w:val="20"/>
    </w:rPr>
  </w:style>
  <w:style w:type="paragraph" w:customStyle="1" w:styleId="1237">
    <w:name w:val="其他发布部门"/>
    <w:basedOn w:val="972"/>
    <w:qFormat/>
    <w:uiPriority w:val="0"/>
    <w:pPr>
      <w:spacing w:line="0" w:lineRule="atLeast"/>
    </w:pPr>
    <w:rPr>
      <w:rFonts w:ascii="黑体" w:eastAsia="黑体"/>
      <w:b w:val="0"/>
    </w:rPr>
  </w:style>
  <w:style w:type="paragraph" w:customStyle="1" w:styleId="1238">
    <w:name w:val="正文缩进2字 Char"/>
    <w:qFormat/>
    <w:uiPriority w:val="0"/>
    <w:pPr>
      <w:snapToGrid w:val="0"/>
      <w:spacing w:beforeLines="50" w:line="360" w:lineRule="auto"/>
      <w:ind w:firstLine="200" w:firstLineChars="200"/>
    </w:pPr>
    <w:rPr>
      <w:rFonts w:ascii="Times New Roman" w:hAnsi="Times New Roman" w:eastAsia="仿宋_GB2312" w:cs="Times New Roman"/>
      <w:kern w:val="2"/>
      <w:sz w:val="24"/>
      <w:lang w:val="en-US" w:eastAsia="zh-CN" w:bidi="ar-SA"/>
    </w:rPr>
  </w:style>
  <w:style w:type="paragraph" w:customStyle="1" w:styleId="1239">
    <w:name w:val="样式 标题 2 + 段前: 6 磅1"/>
    <w:basedOn w:val="4"/>
    <w:qFormat/>
    <w:uiPriority w:val="0"/>
    <w:pPr>
      <w:tabs>
        <w:tab w:val="left" w:pos="567"/>
      </w:tabs>
      <w:autoSpaceDE/>
      <w:autoSpaceDN/>
      <w:adjustRightInd/>
      <w:spacing w:after="260" w:line="360" w:lineRule="auto"/>
      <w:ind w:left="567" w:hanging="567"/>
      <w:jc w:val="left"/>
    </w:pPr>
    <w:rPr>
      <w:rFonts w:ascii="宋体" w:hAnsi="宋体" w:eastAsia="宋体"/>
      <w:spacing w:val="20"/>
      <w:kern w:val="2"/>
      <w:lang w:val="zh-CN"/>
    </w:rPr>
  </w:style>
  <w:style w:type="paragraph" w:customStyle="1" w:styleId="1240">
    <w:name w:val="xl486"/>
    <w:basedOn w:val="1"/>
    <w:qFormat/>
    <w:uiPriority w:val="0"/>
    <w:pPr>
      <w:widowControl/>
      <w:pBdr>
        <w:top w:val="single" w:color="000000" w:sz="4" w:space="0"/>
        <w:left w:val="single" w:color="000000" w:sz="4" w:space="0"/>
        <w:bottom w:val="single" w:color="000000" w:sz="4" w:space="0"/>
        <w:right w:val="single" w:color="auto" w:sz="8" w:space="0"/>
      </w:pBdr>
      <w:shd w:val="clear" w:color="000000" w:fill="FFFF00"/>
      <w:spacing w:before="100" w:beforeAutospacing="1" w:after="100" w:afterAutospacing="1"/>
      <w:jc w:val="center"/>
    </w:pPr>
    <w:rPr>
      <w:rFonts w:ascii="宋体" w:hAnsi="宋体"/>
      <w:b/>
      <w:kern w:val="0"/>
      <w:sz w:val="20"/>
      <w:szCs w:val="20"/>
    </w:rPr>
  </w:style>
  <w:style w:type="paragraph" w:customStyle="1" w:styleId="1241">
    <w:name w:val="样式 标题 5 + 小四 左侧:  0 厘米 段前: 0 磅 段后: 0 磅 行距: 1.5 倍行距 首行缩进:  2..."/>
    <w:basedOn w:val="8"/>
    <w:qFormat/>
    <w:uiPriority w:val="0"/>
    <w:pPr>
      <w:adjustRightInd/>
      <w:spacing w:before="0" w:after="0" w:line="360" w:lineRule="auto"/>
      <w:ind w:firstLine="482" w:firstLineChars="200"/>
      <w:textAlignment w:val="auto"/>
    </w:pPr>
    <w:rPr>
      <w:kern w:val="2"/>
      <w:sz w:val="24"/>
      <w:lang w:val="zh-CN"/>
    </w:rPr>
  </w:style>
  <w:style w:type="paragraph" w:customStyle="1" w:styleId="1242">
    <w:name w:val="B图名"/>
    <w:qFormat/>
    <w:uiPriority w:val="0"/>
    <w:pPr>
      <w:spacing w:before="187" w:after="187"/>
      <w:jc w:val="center"/>
    </w:pPr>
    <w:rPr>
      <w:rFonts w:ascii="Times New Roman" w:hAnsi="Times New Roman" w:eastAsia="黑体" w:cs="Times New Roman"/>
      <w:kern w:val="2"/>
      <w:sz w:val="21"/>
      <w:lang w:val="en-US" w:eastAsia="zh-CN" w:bidi="ar-SA"/>
    </w:rPr>
  </w:style>
  <w:style w:type="paragraph" w:customStyle="1" w:styleId="1243">
    <w:name w:val="xl509"/>
    <w:basedOn w:val="1"/>
    <w:qFormat/>
    <w:uiPriority w:val="0"/>
    <w:pPr>
      <w:widowControl/>
      <w:pBdr>
        <w:left w:val="single" w:color="000000" w:sz="4" w:space="0"/>
        <w:right w:val="single" w:color="000000" w:sz="4" w:space="0"/>
      </w:pBdr>
      <w:spacing w:before="100" w:beforeAutospacing="1" w:after="100" w:afterAutospacing="1"/>
      <w:jc w:val="left"/>
    </w:pPr>
    <w:rPr>
      <w:rFonts w:ascii="宋体" w:hAnsi="宋体"/>
      <w:kern w:val="0"/>
      <w:sz w:val="20"/>
      <w:szCs w:val="20"/>
    </w:rPr>
  </w:style>
  <w:style w:type="paragraph" w:customStyle="1" w:styleId="1244">
    <w:name w:val="xl476"/>
    <w:basedOn w:val="1"/>
    <w:qFormat/>
    <w:uiPriority w:val="0"/>
    <w:pPr>
      <w:widowControl/>
      <w:pBdr>
        <w:top w:val="single" w:color="auto" w:sz="4" w:space="0"/>
        <w:left w:val="single" w:color="000000" w:sz="4" w:space="0"/>
        <w:bottom w:val="single" w:color="000000" w:sz="4" w:space="0"/>
        <w:right w:val="single" w:color="000000" w:sz="4" w:space="0"/>
      </w:pBdr>
      <w:shd w:val="clear" w:color="FFFFFF" w:fill="FFFFFF"/>
      <w:spacing w:before="100" w:beforeAutospacing="1" w:after="100" w:afterAutospacing="1"/>
      <w:jc w:val="left"/>
    </w:pPr>
    <w:rPr>
      <w:rFonts w:ascii="宋体" w:hAnsi="宋体"/>
      <w:kern w:val="0"/>
      <w:sz w:val="20"/>
      <w:szCs w:val="20"/>
    </w:rPr>
  </w:style>
  <w:style w:type="paragraph" w:customStyle="1" w:styleId="1245">
    <w:name w:val="正文图标题"/>
    <w:next w:val="757"/>
    <w:qFormat/>
    <w:uiPriority w:val="0"/>
    <w:pPr>
      <w:spacing w:line="560" w:lineRule="exact"/>
      <w:jc w:val="center"/>
    </w:pPr>
    <w:rPr>
      <w:rFonts w:ascii="黑体" w:hAnsi="Times New Roman" w:eastAsia="黑体" w:cs="Times New Roman"/>
      <w:sz w:val="21"/>
      <w:lang w:val="en-US" w:eastAsia="zh-CN" w:bidi="ar-SA"/>
    </w:rPr>
  </w:style>
  <w:style w:type="paragraph" w:customStyle="1" w:styleId="1246">
    <w:name w:val="正文文本缩进11"/>
    <w:basedOn w:val="1"/>
    <w:qFormat/>
    <w:uiPriority w:val="0"/>
    <w:pPr>
      <w:spacing w:after="120"/>
      <w:ind w:left="420" w:leftChars="200"/>
    </w:pPr>
    <w:rPr>
      <w:szCs w:val="20"/>
    </w:rPr>
  </w:style>
  <w:style w:type="paragraph" w:customStyle="1" w:styleId="1247">
    <w:name w:val="Char Char Char Char Char Char Char11"/>
    <w:basedOn w:val="1"/>
    <w:qFormat/>
    <w:uiPriority w:val="0"/>
    <w:rPr>
      <w:szCs w:val="20"/>
    </w:rPr>
  </w:style>
  <w:style w:type="paragraph" w:customStyle="1" w:styleId="1248">
    <w:name w:val="Char Char Char Char11"/>
    <w:basedOn w:val="1"/>
    <w:qFormat/>
    <w:uiPriority w:val="99"/>
    <w:rPr>
      <w:szCs w:val="20"/>
    </w:rPr>
  </w:style>
  <w:style w:type="paragraph" w:customStyle="1" w:styleId="1249">
    <w:name w:val="Char Char Char Char21"/>
    <w:basedOn w:val="1"/>
    <w:qFormat/>
    <w:uiPriority w:val="99"/>
    <w:pPr>
      <w:widowControl/>
      <w:spacing w:after="160" w:line="240" w:lineRule="exact"/>
      <w:jc w:val="left"/>
    </w:pPr>
    <w:rPr>
      <w:szCs w:val="20"/>
    </w:rPr>
  </w:style>
  <w:style w:type="paragraph" w:customStyle="1" w:styleId="1250">
    <w:name w:val="菲页2"/>
    <w:basedOn w:val="6"/>
    <w:qFormat/>
    <w:uiPriority w:val="0"/>
    <w:pPr>
      <w:keepNext w:val="0"/>
      <w:keepLines w:val="0"/>
      <w:widowControl/>
      <w:autoSpaceDE/>
      <w:autoSpaceDN/>
      <w:adjustRightInd/>
      <w:spacing w:before="0" w:after="0" w:line="360" w:lineRule="auto"/>
      <w:jc w:val="center"/>
    </w:pPr>
    <w:rPr>
      <w:rFonts w:ascii="黑体" w:hAnsi="宋体" w:eastAsia="黑体"/>
      <w:kern w:val="2"/>
      <w:sz w:val="44"/>
      <w:u w:val="none"/>
      <w:lang w:val="zh-CN"/>
    </w:rPr>
  </w:style>
  <w:style w:type="paragraph" w:customStyle="1" w:styleId="1251">
    <w:name w:val="标注"/>
    <w:qFormat/>
    <w:uiPriority w:val="0"/>
    <w:pPr>
      <w:spacing w:line="560" w:lineRule="exact"/>
    </w:pPr>
    <w:rPr>
      <w:rFonts w:ascii="Times New Roman" w:hAnsi="Times New Roman" w:eastAsia="宋体" w:cs="Times New Roman"/>
      <w:sz w:val="21"/>
      <w:lang w:val="en-US" w:eastAsia="zh-CN" w:bidi="ar-SA"/>
    </w:rPr>
  </w:style>
  <w:style w:type="paragraph" w:customStyle="1" w:styleId="1252">
    <w:name w:val="Char Char2 Char"/>
    <w:basedOn w:val="9"/>
    <w:qFormat/>
    <w:uiPriority w:val="0"/>
    <w:pPr>
      <w:keepNext w:val="0"/>
      <w:keepLines w:val="0"/>
      <w:snapToGrid w:val="0"/>
      <w:spacing w:before="0" w:after="0" w:line="240" w:lineRule="auto"/>
      <w:ind w:left="200" w:leftChars="200" w:firstLine="454"/>
      <w:jc w:val="left"/>
      <w:textAlignment w:val="auto"/>
      <w:outlineLvl w:val="4"/>
    </w:pPr>
    <w:rPr>
      <w:bCs/>
      <w:szCs w:val="24"/>
      <w:lang w:val="zh-CN"/>
    </w:rPr>
  </w:style>
  <w:style w:type="paragraph" w:customStyle="1" w:styleId="1253">
    <w:name w:val="参考文献、索引标题"/>
    <w:basedOn w:val="855"/>
    <w:next w:val="1"/>
    <w:qFormat/>
    <w:uiPriority w:val="0"/>
    <w:pPr>
      <w:tabs>
        <w:tab w:val="left" w:pos="540"/>
        <w:tab w:val="clear" w:pos="825"/>
      </w:tabs>
      <w:spacing w:after="200" w:line="560" w:lineRule="exact"/>
      <w:ind w:left="0" w:firstLine="0"/>
    </w:pPr>
    <w:rPr>
      <w:sz w:val="21"/>
    </w:rPr>
  </w:style>
  <w:style w:type="paragraph" w:customStyle="1" w:styleId="1254">
    <w:name w:val="样式 标题 1 + 黑体 三号 非加粗 居中 段前: 6 磅 段后: 6 磅 行距: 固定值 20 磅"/>
    <w:basedOn w:val="3"/>
    <w:qFormat/>
    <w:uiPriority w:val="99"/>
    <w:pPr>
      <w:autoSpaceDE/>
      <w:autoSpaceDN/>
      <w:adjustRightInd/>
      <w:spacing w:before="120" w:line="400" w:lineRule="exact"/>
    </w:pPr>
    <w:rPr>
      <w:rFonts w:ascii="黑体" w:hAnsi="黑体" w:eastAsia="黑体" w:cs="宋体"/>
      <w:b w:val="0"/>
      <w:lang w:val="zh-CN"/>
    </w:rPr>
  </w:style>
  <w:style w:type="paragraph" w:customStyle="1" w:styleId="1255">
    <w:name w:val="XW正文"/>
    <w:basedOn w:val="35"/>
    <w:qFormat/>
    <w:uiPriority w:val="99"/>
    <w:pPr>
      <w:adjustRightInd w:val="0"/>
      <w:snapToGrid w:val="0"/>
      <w:spacing w:line="300" w:lineRule="auto"/>
      <w:ind w:firstLine="520" w:firstLineChars="200"/>
      <w:jc w:val="left"/>
    </w:pPr>
    <w:rPr>
      <w:kern w:val="0"/>
      <w:sz w:val="20"/>
      <w:lang w:val="zh-CN"/>
    </w:rPr>
  </w:style>
  <w:style w:type="character" w:customStyle="1" w:styleId="1256">
    <w:name w:val="NormalCharacter"/>
    <w:qFormat/>
    <w:uiPriority w:val="0"/>
  </w:style>
  <w:style w:type="character" w:customStyle="1" w:styleId="1257">
    <w:name w:val="普通(网站) 字符"/>
    <w:qFormat/>
    <w:locked/>
    <w:uiPriority w:val="0"/>
    <w:rPr>
      <w:rFonts w:ascii="Arial Unicode MS" w:hAnsi="Arial Unicode MS" w:eastAsia="Arial Unicode MS" w:cs="Tahoma"/>
      <w:color w:val="000000"/>
      <w:sz w:val="24"/>
      <w:szCs w:val="24"/>
    </w:rPr>
  </w:style>
  <w:style w:type="paragraph" w:customStyle="1" w:styleId="1258">
    <w:name w:val="Char Char Char3"/>
    <w:basedOn w:val="1"/>
    <w:qFormat/>
    <w:uiPriority w:val="0"/>
    <w:rPr>
      <w:rFonts w:ascii="Tahoma" w:hAnsi="Tahoma"/>
      <w:sz w:val="24"/>
      <w:szCs w:val="20"/>
    </w:rPr>
  </w:style>
  <w:style w:type="character" w:customStyle="1" w:styleId="1259">
    <w:name w:val="style_kwd"/>
    <w:basedOn w:val="91"/>
    <w:qFormat/>
    <w:uiPriority w:val="0"/>
  </w:style>
  <w:style w:type="character" w:customStyle="1" w:styleId="1260">
    <w:name w:val="Comment Text Char"/>
    <w:qFormat/>
    <w:uiPriority w:val="0"/>
  </w:style>
  <w:style w:type="paragraph" w:customStyle="1" w:styleId="1261">
    <w:name w:val="_Style 23"/>
    <w:basedOn w:val="1"/>
    <w:qFormat/>
    <w:uiPriority w:val="0"/>
    <w:pPr>
      <w:widowControl/>
      <w:spacing w:after="160" w:line="240" w:lineRule="exact"/>
      <w:jc w:val="left"/>
    </w:pPr>
    <w:rPr>
      <w:rFonts w:ascii="Calibri" w:hAnsi="Calibri"/>
      <w:szCs w:val="22"/>
    </w:rPr>
  </w:style>
  <w:style w:type="paragraph" w:customStyle="1" w:styleId="1262">
    <w:name w:val="我的正文"/>
    <w:basedOn w:val="1"/>
    <w:qFormat/>
    <w:uiPriority w:val="0"/>
    <w:pPr>
      <w:spacing w:line="360" w:lineRule="auto"/>
    </w:pPr>
    <w:rPr>
      <w:rFonts w:ascii="宋体" w:hAnsi="宋体"/>
      <w:sz w:val="24"/>
    </w:rPr>
  </w:style>
  <w:style w:type="paragraph" w:customStyle="1" w:styleId="1263">
    <w:name w:val="修订11"/>
    <w:qFormat/>
    <w:uiPriority w:val="0"/>
    <w:rPr>
      <w:rFonts w:ascii="Times New Roman" w:hAnsi="Times New Roman" w:eastAsia="宋体" w:cs="Times New Roman"/>
      <w:kern w:val="2"/>
      <w:sz w:val="21"/>
      <w:szCs w:val="24"/>
      <w:lang w:val="en-US" w:eastAsia="zh-CN" w:bidi="ar-SA"/>
    </w:rPr>
  </w:style>
  <w:style w:type="paragraph" w:customStyle="1" w:styleId="1264">
    <w:name w:val="样式 标题 2 + (符号) 宋体 小四"/>
    <w:basedOn w:val="4"/>
    <w:qFormat/>
    <w:uiPriority w:val="0"/>
    <w:pPr>
      <w:autoSpaceDE/>
      <w:autoSpaceDN/>
      <w:adjustRightInd/>
      <w:spacing w:before="0" w:line="416" w:lineRule="auto"/>
      <w:jc w:val="both"/>
    </w:pPr>
    <w:rPr>
      <w:rFonts w:eastAsia="宋体"/>
      <w:b w:val="0"/>
      <w:bCs/>
      <w:kern w:val="2"/>
      <w:sz w:val="24"/>
      <w:szCs w:val="32"/>
    </w:rPr>
  </w:style>
  <w:style w:type="character" w:customStyle="1" w:styleId="1265">
    <w:name w:val="标题 2 字符1"/>
    <w:basedOn w:val="91"/>
    <w:qFormat/>
    <w:uiPriority w:val="0"/>
    <w:rPr>
      <w:rFonts w:ascii="Arial" w:hAnsi="Arial" w:eastAsia="黑体"/>
      <w:b/>
      <w:kern w:val="2"/>
      <w:sz w:val="32"/>
    </w:rPr>
  </w:style>
  <w:style w:type="character" w:customStyle="1" w:styleId="1266">
    <w:name w:val="标题 4 字符1"/>
    <w:basedOn w:val="91"/>
    <w:qFormat/>
    <w:uiPriority w:val="0"/>
    <w:rPr>
      <w:rFonts w:ascii="Arial" w:hAnsi="Arial" w:eastAsia="黑体"/>
      <w:b/>
      <w:bCs/>
      <w:kern w:val="2"/>
      <w:sz w:val="28"/>
      <w:szCs w:val="28"/>
    </w:rPr>
  </w:style>
  <w:style w:type="paragraph" w:customStyle="1" w:styleId="1267">
    <w:name w:val="正文 A"/>
    <w:qFormat/>
    <w:uiPriority w:val="99"/>
    <w:pPr>
      <w:widowControl w:val="0"/>
      <w:jc w:val="both"/>
    </w:pPr>
    <w:rPr>
      <w:rFonts w:ascii="Arial Unicode MS" w:hAnsi="Arial Unicode MS" w:eastAsia="宋体" w:cs="Arial Unicode MS"/>
      <w:color w:val="000000"/>
      <w:kern w:val="2"/>
      <w:sz w:val="21"/>
      <w:szCs w:val="21"/>
      <w:u w:color="000000"/>
      <w:lang w:val="en-US" w:eastAsia="zh-CN" w:bidi="ar-SA"/>
    </w:rPr>
  </w:style>
  <w:style w:type="paragraph" w:customStyle="1" w:styleId="1268">
    <w:name w:val="TOC 标题4"/>
    <w:basedOn w:val="3"/>
    <w:next w:val="1"/>
    <w:unhideWhenUsed/>
    <w:qFormat/>
    <w:uiPriority w:val="39"/>
    <w:pPr>
      <w:widowControl/>
      <w:autoSpaceDE/>
      <w:autoSpaceDN/>
      <w:adjustRightInd/>
      <w:spacing w:after="0" w:line="259" w:lineRule="auto"/>
      <w:jc w:val="left"/>
      <w:outlineLvl w:val="9"/>
    </w:pPr>
    <w:rPr>
      <w:rFonts w:asciiTheme="majorHAnsi" w:hAnsiTheme="majorHAnsi" w:eastAsiaTheme="majorEastAsia" w:cstheme="majorBidi"/>
      <w:b w:val="0"/>
      <w:color w:val="376092" w:themeColor="accent1" w:themeShade="BF"/>
      <w:kern w:val="0"/>
      <w:szCs w:val="32"/>
    </w:rPr>
  </w:style>
  <w:style w:type="character" w:customStyle="1" w:styleId="1269">
    <w:name w:val="不明显参考3"/>
    <w:qFormat/>
    <w:uiPriority w:val="0"/>
    <w:rPr>
      <w:rFonts w:ascii="Tahoma" w:hAnsi="Tahoma" w:eastAsia="宋体"/>
      <w:b/>
      <w:smallCaps/>
      <w:color w:val="C0504D"/>
      <w:kern w:val="2"/>
      <w:sz w:val="28"/>
      <w:szCs w:val="28"/>
      <w:u w:val="single"/>
      <w:lang w:val="en-US" w:eastAsia="zh-CN" w:bidi="ar-SA"/>
    </w:rPr>
  </w:style>
  <w:style w:type="character" w:customStyle="1" w:styleId="1270">
    <w:name w:val="明显强调3"/>
    <w:qFormat/>
    <w:uiPriority w:val="0"/>
    <w:rPr>
      <w:b/>
      <w:bCs/>
      <w:i/>
      <w:iCs/>
      <w:color w:val="4F81BD"/>
    </w:rPr>
  </w:style>
  <w:style w:type="character" w:customStyle="1" w:styleId="1271">
    <w:name w:val="不明显强调3"/>
    <w:qFormat/>
    <w:uiPriority w:val="0"/>
    <w:rPr>
      <w:i/>
      <w:iCs/>
      <w:color w:val="808080"/>
    </w:rPr>
  </w:style>
  <w:style w:type="character" w:customStyle="1" w:styleId="1272">
    <w:name w:val="书籍标题3"/>
    <w:qFormat/>
    <w:uiPriority w:val="0"/>
    <w:rPr>
      <w:b/>
      <w:bCs/>
      <w:smallCaps/>
      <w:spacing w:val="5"/>
    </w:rPr>
  </w:style>
  <w:style w:type="character" w:customStyle="1" w:styleId="1273">
    <w:name w:val="明显参考3"/>
    <w:qFormat/>
    <w:uiPriority w:val="0"/>
    <w:rPr>
      <w:b/>
      <w:bCs/>
      <w:smallCaps/>
      <w:color w:val="C0504D"/>
      <w:spacing w:val="5"/>
      <w:u w:val="single"/>
    </w:rPr>
  </w:style>
  <w:style w:type="character" w:customStyle="1" w:styleId="1274">
    <w:name w:val="未处理的提及3"/>
    <w:basedOn w:val="91"/>
    <w:semiHidden/>
    <w:unhideWhenUsed/>
    <w:qFormat/>
    <w:uiPriority w:val="99"/>
    <w:rPr>
      <w:color w:val="605E5C"/>
      <w:shd w:val="clear" w:color="auto" w:fill="E1DFDD"/>
    </w:rPr>
  </w:style>
  <w:style w:type="table" w:customStyle="1" w:styleId="1275">
    <w:name w:val="Table Normal_1"/>
    <w:semiHidden/>
    <w:unhideWhenUsed/>
    <w:qFormat/>
    <w:uiPriority w:val="2"/>
    <w:rPr>
      <w:rFonts w:ascii="Arial" w:hAnsi="Arial" w:cs="Arial" w:eastAsiaTheme="minorEastAsia"/>
      <w:snapToGrid w:val="0"/>
      <w:color w:val="000000"/>
      <w:sz w:val="21"/>
      <w:szCs w:val="21"/>
    </w:rPr>
    <w:tblPr>
      <w:tblCellMar>
        <w:top w:w="0" w:type="dxa"/>
        <w:left w:w="0" w:type="dxa"/>
        <w:bottom w:w="0" w:type="dxa"/>
        <w:right w:w="0" w:type="dxa"/>
      </w:tblCellMar>
    </w:tblPr>
  </w:style>
  <w:style w:type="character" w:customStyle="1" w:styleId="1276">
    <w:name w:val="未处理的提及4"/>
    <w:basedOn w:val="91"/>
    <w:semiHidden/>
    <w:unhideWhenUsed/>
    <w:qFormat/>
    <w:uiPriority w:val="99"/>
    <w:rPr>
      <w:color w:val="605E5C"/>
      <w:shd w:val="clear" w:color="auto" w:fill="E1DFDD"/>
    </w:rPr>
  </w:style>
  <w:style w:type="character" w:customStyle="1" w:styleId="1277">
    <w:name w:val="电子邮件签名 字符1"/>
    <w:basedOn w:val="91"/>
    <w:semiHidden/>
    <w:qFormat/>
    <w:uiPriority w:val="0"/>
    <w:rPr>
      <w:kern w:val="2"/>
      <w:sz w:val="21"/>
      <w:szCs w:val="24"/>
    </w:rPr>
  </w:style>
  <w:style w:type="character" w:customStyle="1" w:styleId="1278">
    <w:name w:val="正文文本 3 字符1"/>
    <w:basedOn w:val="91"/>
    <w:semiHidden/>
    <w:qFormat/>
    <w:uiPriority w:val="0"/>
    <w:rPr>
      <w:kern w:val="2"/>
      <w:sz w:val="16"/>
      <w:szCs w:val="16"/>
    </w:rPr>
  </w:style>
  <w:style w:type="character" w:customStyle="1" w:styleId="1279">
    <w:name w:val="尾注文本 字符1"/>
    <w:basedOn w:val="91"/>
    <w:semiHidden/>
    <w:qFormat/>
    <w:uiPriority w:val="0"/>
    <w:rPr>
      <w:kern w:val="2"/>
      <w:sz w:val="21"/>
      <w:szCs w:val="24"/>
    </w:rPr>
  </w:style>
  <w:style w:type="character" w:customStyle="1" w:styleId="1280">
    <w:name w:val="HTML 地址 字符1"/>
    <w:basedOn w:val="91"/>
    <w:semiHidden/>
    <w:qFormat/>
    <w:uiPriority w:val="0"/>
    <w:rPr>
      <w:i/>
      <w:iCs/>
      <w:kern w:val="2"/>
      <w:sz w:val="21"/>
      <w:szCs w:val="24"/>
    </w:rPr>
  </w:style>
  <w:style w:type="character" w:customStyle="1" w:styleId="1281">
    <w:name w:val="信息标题 字符1"/>
    <w:basedOn w:val="91"/>
    <w:semiHidden/>
    <w:qFormat/>
    <w:uiPriority w:val="0"/>
    <w:rPr>
      <w:rFonts w:asciiTheme="majorHAnsi" w:hAnsiTheme="majorHAnsi" w:eastAsiaTheme="majorEastAsia" w:cstheme="majorBidi"/>
      <w:kern w:val="2"/>
      <w:sz w:val="24"/>
      <w:szCs w:val="24"/>
      <w:shd w:val="pct20" w:color="auto" w:fill="auto"/>
    </w:rPr>
  </w:style>
  <w:style w:type="character" w:customStyle="1" w:styleId="1282">
    <w:name w:val="签名 字符1"/>
    <w:basedOn w:val="91"/>
    <w:semiHidden/>
    <w:qFormat/>
    <w:uiPriority w:val="0"/>
    <w:rPr>
      <w:kern w:val="2"/>
      <w:sz w:val="21"/>
      <w:szCs w:val="24"/>
    </w:rPr>
  </w:style>
  <w:style w:type="character" w:customStyle="1" w:styleId="1283">
    <w:name w:val="结束语 字符1"/>
    <w:basedOn w:val="91"/>
    <w:semiHidden/>
    <w:qFormat/>
    <w:uiPriority w:val="0"/>
    <w:rPr>
      <w:kern w:val="2"/>
      <w:sz w:val="21"/>
      <w:szCs w:val="24"/>
    </w:rPr>
  </w:style>
  <w:style w:type="character" w:customStyle="1" w:styleId="1284">
    <w:name w:val="宏文本 字符1"/>
    <w:basedOn w:val="91"/>
    <w:semiHidden/>
    <w:qFormat/>
    <w:uiPriority w:val="0"/>
    <w:rPr>
      <w:rFonts w:ascii="Courier New" w:hAnsi="Courier New" w:cs="Courier New"/>
      <w:kern w:val="2"/>
      <w:sz w:val="24"/>
      <w:szCs w:val="24"/>
    </w:rPr>
  </w:style>
  <w:style w:type="character" w:customStyle="1" w:styleId="1285">
    <w:name w:val="HTML 预设格式 字符1"/>
    <w:basedOn w:val="91"/>
    <w:semiHidden/>
    <w:qFormat/>
    <w:uiPriority w:val="0"/>
    <w:rPr>
      <w:rFonts w:ascii="Courier New" w:hAnsi="Courier New" w:cs="Courier New"/>
      <w:kern w:val="2"/>
    </w:rPr>
  </w:style>
  <w:style w:type="character" w:customStyle="1" w:styleId="1286">
    <w:name w:val="脚注文本 字符1"/>
    <w:basedOn w:val="91"/>
    <w:semiHidden/>
    <w:qFormat/>
    <w:uiPriority w:val="0"/>
    <w:rPr>
      <w:kern w:val="2"/>
      <w:sz w:val="18"/>
      <w:szCs w:val="18"/>
    </w:rPr>
  </w:style>
  <w:style w:type="character" w:customStyle="1" w:styleId="1287">
    <w:name w:val="明显引用 字符4"/>
    <w:basedOn w:val="91"/>
    <w:qFormat/>
    <w:uiPriority w:val="0"/>
    <w:rPr>
      <w:i/>
      <w:iCs/>
      <w:color w:val="4F81BD" w:themeColor="accent1"/>
      <w:kern w:val="2"/>
      <w:sz w:val="21"/>
      <w:szCs w:val="24"/>
      <w14:textFill>
        <w14:solidFill>
          <w14:schemeClr w14:val="accent1"/>
        </w14:solidFill>
      </w14:textFill>
    </w:rPr>
  </w:style>
  <w:style w:type="paragraph" w:customStyle="1" w:styleId="1288">
    <w:name w:val="5"/>
    <w:basedOn w:val="1"/>
    <w:next w:val="123"/>
    <w:qFormat/>
    <w:uiPriority w:val="0"/>
    <w:pPr>
      <w:ind w:firstLine="420" w:firstLineChars="200"/>
    </w:pPr>
    <w:rPr>
      <w:rFonts w:eastAsia="仿宋_GB2312"/>
      <w:szCs w:val="20"/>
    </w:rPr>
  </w:style>
  <w:style w:type="paragraph" w:customStyle="1" w:styleId="1289">
    <w:name w:val="Char4"/>
    <w:basedOn w:val="1"/>
    <w:qFormat/>
    <w:uiPriority w:val="0"/>
    <w:pPr>
      <w:snapToGrid w:val="0"/>
      <w:spacing w:line="360" w:lineRule="auto"/>
      <w:ind w:firstLine="200" w:firstLineChars="200"/>
    </w:pPr>
    <w:rPr>
      <w:rFonts w:eastAsia="仿宋_GB2312"/>
      <w:sz w:val="24"/>
    </w:rPr>
  </w:style>
  <w:style w:type="paragraph" w:customStyle="1" w:styleId="1290">
    <w:name w:val="Char Char Char4"/>
    <w:basedOn w:val="1"/>
    <w:qFormat/>
    <w:uiPriority w:val="0"/>
    <w:rPr>
      <w:rFonts w:ascii="Tahoma" w:hAnsi="Tahoma"/>
      <w:sz w:val="24"/>
      <w:szCs w:val="20"/>
    </w:rPr>
  </w:style>
  <w:style w:type="paragraph" w:customStyle="1" w:styleId="1291">
    <w:name w:val="正文13"/>
    <w:qFormat/>
    <w:uiPriority w:val="0"/>
    <w:pPr>
      <w:widowControl w:val="0"/>
      <w:adjustRightInd w:val="0"/>
      <w:spacing w:line="312" w:lineRule="atLeast"/>
      <w:jc w:val="both"/>
      <w:textAlignment w:val="baseline"/>
    </w:pPr>
    <w:rPr>
      <w:rFonts w:ascii="宋体" w:hAnsi="Times New Roman" w:eastAsia="宋体" w:cs="Times New Roman"/>
      <w:sz w:val="24"/>
      <w:lang w:val="en-US" w:eastAsia="zh-CN" w:bidi="ar-SA"/>
    </w:rPr>
  </w:style>
  <w:style w:type="paragraph" w:customStyle="1" w:styleId="1292">
    <w:name w:val="Char23"/>
    <w:basedOn w:val="1"/>
    <w:qFormat/>
    <w:uiPriority w:val="0"/>
  </w:style>
  <w:style w:type="character" w:customStyle="1" w:styleId="1293">
    <w:name w:val="正文缩进 Char1"/>
    <w:qFormat/>
    <w:uiPriority w:val="0"/>
    <w:rPr>
      <w:rFonts w:ascii="宋体" w:hAnsi="Times New Roman" w:eastAsia="宋体" w:cs="Times New Roman"/>
      <w:sz w:val="24"/>
      <w:szCs w:val="24"/>
    </w:rPr>
  </w:style>
  <w:style w:type="paragraph" w:customStyle="1" w:styleId="1294">
    <w:name w:val="目录 71"/>
    <w:basedOn w:val="1"/>
    <w:next w:val="1"/>
    <w:qFormat/>
    <w:uiPriority w:val="39"/>
    <w:pPr>
      <w:ind w:left="2520" w:leftChars="1200"/>
    </w:pPr>
  </w:style>
  <w:style w:type="character" w:customStyle="1" w:styleId="1295">
    <w:name w:val="正文文本缩进 Char2"/>
    <w:qFormat/>
    <w:uiPriority w:val="0"/>
    <w:rPr>
      <w:rFonts w:ascii="Times New Roman" w:hAnsi="Times New Roman" w:eastAsia="宋体" w:cs="Times New Roman"/>
      <w:sz w:val="24"/>
      <w:szCs w:val="24"/>
    </w:rPr>
  </w:style>
  <w:style w:type="paragraph" w:customStyle="1" w:styleId="1296">
    <w:name w:val="目录 51"/>
    <w:basedOn w:val="1"/>
    <w:next w:val="1"/>
    <w:qFormat/>
    <w:uiPriority w:val="39"/>
    <w:pPr>
      <w:ind w:left="1680" w:leftChars="800"/>
    </w:pPr>
  </w:style>
  <w:style w:type="paragraph" w:customStyle="1" w:styleId="1297">
    <w:name w:val="目录 31"/>
    <w:basedOn w:val="1"/>
    <w:next w:val="1"/>
    <w:qFormat/>
    <w:uiPriority w:val="39"/>
    <w:pPr>
      <w:ind w:left="840" w:leftChars="400"/>
    </w:pPr>
  </w:style>
  <w:style w:type="paragraph" w:customStyle="1" w:styleId="1298">
    <w:name w:val="目录 81"/>
    <w:basedOn w:val="1"/>
    <w:next w:val="1"/>
    <w:qFormat/>
    <w:uiPriority w:val="39"/>
    <w:pPr>
      <w:ind w:left="2940" w:leftChars="1400"/>
    </w:pPr>
  </w:style>
  <w:style w:type="paragraph" w:customStyle="1" w:styleId="1299">
    <w:name w:val="目录 11"/>
    <w:basedOn w:val="1"/>
    <w:next w:val="1"/>
    <w:qFormat/>
    <w:uiPriority w:val="39"/>
    <w:pPr>
      <w:tabs>
        <w:tab w:val="left" w:pos="1050"/>
        <w:tab w:val="right" w:leader="dot" w:pos="8937"/>
      </w:tabs>
      <w:spacing w:line="300" w:lineRule="auto"/>
    </w:pPr>
    <w:rPr>
      <w:rFonts w:ascii="宋体" w:hAnsi="宋体"/>
      <w:b/>
      <w:sz w:val="24"/>
    </w:rPr>
  </w:style>
  <w:style w:type="paragraph" w:customStyle="1" w:styleId="1300">
    <w:name w:val="目录 41"/>
    <w:basedOn w:val="1"/>
    <w:next w:val="1"/>
    <w:qFormat/>
    <w:uiPriority w:val="39"/>
    <w:pPr>
      <w:ind w:left="1260" w:leftChars="600"/>
    </w:pPr>
  </w:style>
  <w:style w:type="paragraph" w:customStyle="1" w:styleId="1301">
    <w:name w:val="目录 61"/>
    <w:basedOn w:val="1"/>
    <w:next w:val="1"/>
    <w:qFormat/>
    <w:uiPriority w:val="39"/>
    <w:pPr>
      <w:ind w:left="2100" w:leftChars="1000"/>
    </w:pPr>
  </w:style>
  <w:style w:type="paragraph" w:customStyle="1" w:styleId="1302">
    <w:name w:val="目录 21"/>
    <w:basedOn w:val="1"/>
    <w:next w:val="1"/>
    <w:qFormat/>
    <w:uiPriority w:val="39"/>
    <w:pPr>
      <w:tabs>
        <w:tab w:val="right" w:leader="dot" w:pos="8937"/>
      </w:tabs>
      <w:spacing w:line="312" w:lineRule="auto"/>
      <w:ind w:left="420" w:leftChars="200"/>
    </w:pPr>
  </w:style>
  <w:style w:type="paragraph" w:customStyle="1" w:styleId="1303">
    <w:name w:val="目录 91"/>
    <w:basedOn w:val="1"/>
    <w:next w:val="1"/>
    <w:qFormat/>
    <w:uiPriority w:val="39"/>
    <w:pPr>
      <w:ind w:left="3360" w:leftChars="1600"/>
    </w:pPr>
  </w:style>
  <w:style w:type="character" w:customStyle="1" w:styleId="1304">
    <w:name w:val="标题 Char1"/>
    <w:qFormat/>
    <w:uiPriority w:val="99"/>
    <w:rPr>
      <w:rFonts w:ascii="Times New Roman" w:hAnsi="Times New Roman" w:eastAsia="宋体" w:cs="Times New Roman"/>
      <w:b/>
      <w:sz w:val="32"/>
      <w:szCs w:val="20"/>
    </w:rPr>
  </w:style>
  <w:style w:type="character" w:customStyle="1" w:styleId="1305">
    <w:name w:val="列出段落 Char1"/>
    <w:link w:val="209"/>
    <w:qFormat/>
    <w:uiPriority w:val="34"/>
    <w:rPr>
      <w:rFonts w:ascii="Calibri" w:hAnsi="Calibri"/>
      <w:kern w:val="2"/>
      <w:sz w:val="21"/>
      <w:szCs w:val="22"/>
    </w:rPr>
  </w:style>
  <w:style w:type="character" w:customStyle="1" w:styleId="1306">
    <w:name w:val="Body text|1_"/>
    <w:link w:val="1307"/>
    <w:qFormat/>
    <w:uiPriority w:val="0"/>
    <w:rPr>
      <w:rFonts w:ascii="宋体" w:hAnsi="宋体" w:cs="宋体"/>
      <w:lang w:val="zh-TW" w:eastAsia="zh-TW" w:bidi="zh-TW"/>
    </w:rPr>
  </w:style>
  <w:style w:type="paragraph" w:customStyle="1" w:styleId="1307">
    <w:name w:val="Body text|1"/>
    <w:basedOn w:val="1"/>
    <w:link w:val="1306"/>
    <w:qFormat/>
    <w:uiPriority w:val="0"/>
    <w:pPr>
      <w:spacing w:line="473" w:lineRule="auto"/>
      <w:ind w:firstLine="400"/>
      <w:jc w:val="left"/>
    </w:pPr>
    <w:rPr>
      <w:rFonts w:ascii="宋体" w:hAnsi="宋体" w:cs="宋体"/>
      <w:kern w:val="0"/>
      <w:sz w:val="20"/>
      <w:szCs w:val="20"/>
      <w:lang w:val="zh-TW" w:eastAsia="zh-TW" w:bidi="zh-TW"/>
    </w:rPr>
  </w:style>
  <w:style w:type="paragraph" w:customStyle="1" w:styleId="1308">
    <w:name w:val="正文_48"/>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309">
    <w:name w:val="样式 标题 3 + (中文) 黑体 小四 非加粗 段前: 7.8 磅 段后: 0 磅 行距: 固定值 20 磅 Char"/>
    <w:link w:val="298"/>
    <w:qFormat/>
    <w:uiPriority w:val="0"/>
    <w:rPr>
      <w:rFonts w:ascii="Calibri Light" w:hAnsi="Calibri Light" w:eastAsia="黑体"/>
      <w:b/>
      <w:bCs/>
      <w:color w:val="44546A"/>
      <w:sz w:val="24"/>
    </w:rPr>
  </w:style>
  <w:style w:type="character" w:customStyle="1" w:styleId="1310">
    <w:name w:val="未处理的提及5"/>
    <w:basedOn w:val="91"/>
    <w:semiHidden/>
    <w:unhideWhenUsed/>
    <w:qFormat/>
    <w:uiPriority w:val="99"/>
    <w:rPr>
      <w:color w:val="605E5C"/>
      <w:shd w:val="clear" w:color="auto" w:fill="E1DFDD"/>
    </w:rPr>
  </w:style>
  <w:style w:type="paragraph" w:customStyle="1" w:styleId="1311">
    <w:name w:val="修订61"/>
    <w:hidden/>
    <w:unhideWhenUsed/>
    <w:qFormat/>
    <w:uiPriority w:val="99"/>
    <w:rPr>
      <w:rFonts w:ascii="Times New Roman" w:hAnsi="Times New Roman" w:eastAsia="宋体" w:cs="Times New Roman"/>
      <w:kern w:val="2"/>
      <w:sz w:val="21"/>
      <w:szCs w:val="24"/>
      <w:lang w:val="en-US" w:eastAsia="zh-CN" w:bidi="ar-SA"/>
    </w:rPr>
  </w:style>
  <w:style w:type="paragraph" w:customStyle="1" w:styleId="1312">
    <w:name w:val="修订7"/>
    <w:hidden/>
    <w:unhideWhenUsed/>
    <w:qFormat/>
    <w:uiPriority w:val="99"/>
    <w:rPr>
      <w:rFonts w:ascii="Times New Roman" w:hAnsi="Times New Roman" w:eastAsia="宋体" w:cs="Times New Roman"/>
      <w:kern w:val="2"/>
      <w:sz w:val="21"/>
      <w:szCs w:val="24"/>
      <w:lang w:val="en-US" w:eastAsia="zh-CN" w:bidi="ar-SA"/>
    </w:rPr>
  </w:style>
  <w:style w:type="paragraph" w:customStyle="1" w:styleId="1313">
    <w:name w:val="修订8"/>
    <w:hidden/>
    <w:unhideWhenUsed/>
    <w:qFormat/>
    <w:uiPriority w:val="99"/>
    <w:rPr>
      <w:rFonts w:ascii="Times New Roman" w:hAnsi="Times New Roman" w:eastAsia="宋体" w:cs="Times New Roman"/>
      <w:kern w:val="2"/>
      <w:sz w:val="21"/>
      <w:szCs w:val="24"/>
      <w:lang w:val="en-US" w:eastAsia="zh-CN" w:bidi="ar-SA"/>
    </w:rPr>
  </w:style>
  <w:style w:type="paragraph" w:customStyle="1" w:styleId="1314">
    <w:name w:val="TOC 标题5"/>
    <w:basedOn w:val="3"/>
    <w:next w:val="1"/>
    <w:semiHidden/>
    <w:unhideWhenUsed/>
    <w:qFormat/>
    <w:uiPriority w:val="39"/>
    <w:pPr>
      <w:autoSpaceDE/>
      <w:autoSpaceDN/>
      <w:adjustRightInd/>
      <w:spacing w:before="340" w:after="330" w:line="578" w:lineRule="auto"/>
      <w:jc w:val="both"/>
      <w:outlineLvl w:val="9"/>
    </w:pPr>
    <w:rPr>
      <w:rFonts w:ascii="Times New Roman"/>
      <w:bCs/>
      <w:sz w:val="44"/>
      <w:szCs w:val="44"/>
    </w:rPr>
  </w:style>
  <w:style w:type="character" w:customStyle="1" w:styleId="1315">
    <w:name w:val="未处理的提及6"/>
    <w:basedOn w:val="91"/>
    <w:semiHidden/>
    <w:unhideWhenUsed/>
    <w:qFormat/>
    <w:uiPriority w:val="99"/>
    <w:rPr>
      <w:color w:val="605E5C"/>
      <w:shd w:val="clear" w:color="auto" w:fill="E1DFDD"/>
    </w:rPr>
  </w:style>
  <w:style w:type="table" w:customStyle="1" w:styleId="1316">
    <w:name w:val="Table Grid_5"/>
    <w:basedOn w:val="88"/>
    <w:qFormat/>
    <w:uiPriority w:val="59"/>
    <w:rPr>
      <w:rFonts w:ascii="等线" w:hAnsi="等线" w:eastAsia="Times New Roman"/>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17">
    <w:name w:val="Table Grid_6"/>
    <w:basedOn w:val="88"/>
    <w:qFormat/>
    <w:uiPriority w:val="59"/>
    <w:rPr>
      <w:rFonts w:ascii="等线" w:hAnsi="等线" w:eastAsia="Times New Roman"/>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18">
    <w:name w:val="Table Grid_7"/>
    <w:basedOn w:val="88"/>
    <w:qFormat/>
    <w:uiPriority w:val="59"/>
    <w:rPr>
      <w:rFonts w:ascii="等线" w:hAnsi="等线" w:eastAsia="Times New Roman"/>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319">
    <w:name w:val="修订9"/>
    <w:hidden/>
    <w:unhideWhenUsed/>
    <w:qFormat/>
    <w:uiPriority w:val="99"/>
    <w:rPr>
      <w:rFonts w:ascii="Times New Roman" w:hAnsi="Times New Roman" w:eastAsia="宋体" w:cs="Times New Roman"/>
      <w:kern w:val="2"/>
      <w:sz w:val="21"/>
      <w:szCs w:val="24"/>
      <w:lang w:val="en-US" w:eastAsia="zh-CN" w:bidi="ar-SA"/>
    </w:rPr>
  </w:style>
  <w:style w:type="paragraph" w:customStyle="1" w:styleId="1320">
    <w:name w:val="修订10"/>
    <w:hidden/>
    <w:unhideWhenUsed/>
    <w:qFormat/>
    <w:uiPriority w:val="99"/>
    <w:rPr>
      <w:rFonts w:ascii="Times New Roman" w:hAnsi="Times New Roman" w:eastAsia="宋体" w:cs="Times New Roman"/>
      <w:kern w:val="2"/>
      <w:sz w:val="21"/>
      <w:szCs w:val="24"/>
      <w:lang w:val="en-US" w:eastAsia="zh-CN" w:bidi="ar-SA"/>
    </w:rPr>
  </w:style>
  <w:style w:type="paragraph" w:customStyle="1" w:styleId="1321">
    <w:name w:val="修订12"/>
    <w:hidden/>
    <w:unhideWhenUsed/>
    <w:qFormat/>
    <w:uiPriority w:val="99"/>
    <w:rPr>
      <w:rFonts w:ascii="Times New Roman" w:hAnsi="Times New Roman" w:eastAsia="宋体" w:cs="Times New Roman"/>
      <w:kern w:val="2"/>
      <w:sz w:val="21"/>
      <w:szCs w:val="24"/>
      <w:lang w:val="en-US" w:eastAsia="zh-CN" w:bidi="ar-SA"/>
    </w:rPr>
  </w:style>
  <w:style w:type="paragraph" w:customStyle="1" w:styleId="1322">
    <w:name w:val="修订13"/>
    <w:hidden/>
    <w:unhideWhenUsed/>
    <w:qFormat/>
    <w:uiPriority w:val="99"/>
    <w:rPr>
      <w:rFonts w:ascii="Times New Roman" w:hAnsi="Times New Roman" w:eastAsia="宋体" w:cs="Times New Roman"/>
      <w:kern w:val="2"/>
      <w:sz w:val="21"/>
      <w:szCs w:val="24"/>
      <w:lang w:val="en-US" w:eastAsia="zh-CN" w:bidi="ar-SA"/>
    </w:rPr>
  </w:style>
  <w:style w:type="paragraph" w:customStyle="1" w:styleId="1323">
    <w:name w:val="修订14"/>
    <w:hidden/>
    <w:unhideWhenUsed/>
    <w:qFormat/>
    <w:uiPriority w:val="99"/>
    <w:rPr>
      <w:rFonts w:ascii="Times New Roman" w:hAnsi="Times New Roman" w:eastAsia="宋体" w:cs="Times New Roman"/>
      <w:kern w:val="2"/>
      <w:sz w:val="21"/>
      <w:szCs w:val="24"/>
      <w:lang w:val="en-US" w:eastAsia="zh-CN" w:bidi="ar-SA"/>
    </w:rPr>
  </w:style>
  <w:style w:type="paragraph" w:customStyle="1" w:styleId="1324">
    <w:name w:val="修订15"/>
    <w:hidden/>
    <w:unhideWhenUsed/>
    <w:qFormat/>
    <w:uiPriority w:val="99"/>
    <w:rPr>
      <w:rFonts w:ascii="Times New Roman" w:hAnsi="Times New Roman" w:eastAsia="宋体" w:cs="Times New Roman"/>
      <w:kern w:val="2"/>
      <w:sz w:val="21"/>
      <w:szCs w:val="24"/>
      <w:lang w:val="en-US" w:eastAsia="zh-CN" w:bidi="ar-SA"/>
    </w:rPr>
  </w:style>
  <w:style w:type="paragraph" w:customStyle="1" w:styleId="1325">
    <w:name w:val="Revision"/>
    <w:hidden/>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0" Type="http://schemas.openxmlformats.org/officeDocument/2006/relationships/fontTable" Target="fontTable.xml"/><Relationship Id="rId3" Type="http://schemas.openxmlformats.org/officeDocument/2006/relationships/header" Target="header1.xml"/><Relationship Id="rId29" Type="http://schemas.openxmlformats.org/officeDocument/2006/relationships/customXml" Target="../customXml/item2.xml"/><Relationship Id="rId28" Type="http://schemas.openxmlformats.org/officeDocument/2006/relationships/numbering" Target="numbering.xml"/><Relationship Id="rId27" Type="http://schemas.openxmlformats.org/officeDocument/2006/relationships/customXml" Target="../customXml/item1.xml"/><Relationship Id="rId26" Type="http://schemas.openxmlformats.org/officeDocument/2006/relationships/image" Target="media/image1.wmf"/><Relationship Id="rId25" Type="http://schemas.openxmlformats.org/officeDocument/2006/relationships/theme" Target="theme/theme1.xml"/><Relationship Id="rId24" Type="http://schemas.openxmlformats.org/officeDocument/2006/relationships/footer" Target="footer12.xml"/><Relationship Id="rId23" Type="http://schemas.openxmlformats.org/officeDocument/2006/relationships/footer" Target="footer11.xml"/><Relationship Id="rId22" Type="http://schemas.openxmlformats.org/officeDocument/2006/relationships/header" Target="header10.xml"/><Relationship Id="rId21" Type="http://schemas.openxmlformats.org/officeDocument/2006/relationships/header" Target="header9.xml"/><Relationship Id="rId20" Type="http://schemas.openxmlformats.org/officeDocument/2006/relationships/header" Target="header8.xml"/><Relationship Id="rId2" Type="http://schemas.openxmlformats.org/officeDocument/2006/relationships/settings" Target="settings.xml"/><Relationship Id="rId19" Type="http://schemas.openxmlformats.org/officeDocument/2006/relationships/footer" Target="footer10.xml"/><Relationship Id="rId18" Type="http://schemas.openxmlformats.org/officeDocument/2006/relationships/header" Target="header7.xml"/><Relationship Id="rId17" Type="http://schemas.openxmlformats.org/officeDocument/2006/relationships/header" Target="header6.xml"/><Relationship Id="rId16" Type="http://schemas.openxmlformats.org/officeDocument/2006/relationships/footer" Target="footer9.xml"/><Relationship Id="rId15" Type="http://schemas.openxmlformats.org/officeDocument/2006/relationships/footer" Target="footer8.xml"/><Relationship Id="rId14" Type="http://schemas.openxmlformats.org/officeDocument/2006/relationships/header" Target="header5.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tyleName="APA" SelectedStyle="\APASixthEditionOfficeOnline.xsl"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63D6A92-F696-4BDA-8327-9C0B6A78091F}">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139</Pages>
  <Words>2670</Words>
  <Characters>3086</Characters>
  <Lines>766</Lines>
  <Paragraphs>215</Paragraphs>
  <TotalTime>213</TotalTime>
  <ScaleCrop>false</ScaleCrop>
  <LinksUpToDate>false</LinksUpToDate>
  <CharactersWithSpaces>3177</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2025-05-28T01:51:00Z</dcterms:created>
  <dc:creator>Yin Hao</dc:creator>
  <cp:lastModifiedBy>Jodier</cp:lastModifiedBy>
  <cp:lastPrinted>2025-07-18T10:17:00Z</cp:lastPrinted>
  <dcterms:modified xsi:type="dcterms:W3CDTF">2026-04-17T03:37:46Z</dcterms:modified>
  <dc:title>02年杜范本稿</dc:title>
  <cp:revision>122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773F86318540483FB11AE8160B11DFD8_13</vt:lpwstr>
  </property>
  <property fmtid="{D5CDD505-2E9C-101B-9397-08002B2CF9AE}" pid="3" name="KSOProductBuildVer">
    <vt:lpwstr>2052-12.1.0.25865</vt:lpwstr>
  </property>
  <property fmtid="{D5CDD505-2E9C-101B-9397-08002B2CF9AE}" pid="4" name="KSOTemplateDocerSaveRecord">
    <vt:lpwstr>eyJoZGlkIjoiMDNhM2E5NjFjMjljMGIwOWE3MzliMjM5YmFkNTJkNWUiLCJ1c2VySWQiOiI0NTUzNjg1NDkifQ==</vt:lpwstr>
  </property>
</Properties>
</file>