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6E737E">
      <w:pPr>
        <w:jc w:val="center"/>
        <w:rPr>
          <w:rFonts w:ascii="Times New Roman" w:hAnsi="Times New Roman" w:cs="Times New Roman"/>
          <w:b/>
          <w:bCs/>
          <w:color w:val="auto"/>
          <w:sz w:val="60"/>
          <w:szCs w:val="60"/>
          <w:highlight w:val="none"/>
        </w:rPr>
      </w:pPr>
      <w:bookmarkStart w:id="0" w:name="_Toc25013"/>
      <w:bookmarkStart w:id="1" w:name="_Toc99301418"/>
      <w:bookmarkStart w:id="2" w:name="_Toc28109"/>
      <w:bookmarkStart w:id="3" w:name="_Toc3783"/>
    </w:p>
    <w:p w14:paraId="15F2CEFD">
      <w:pPr>
        <w:jc w:val="center"/>
        <w:rPr>
          <w:rFonts w:ascii="Times New Roman" w:hAnsi="Times New Roman" w:cs="Times New Roman"/>
          <w:b/>
          <w:bCs/>
          <w:color w:val="auto"/>
          <w:sz w:val="52"/>
          <w:szCs w:val="52"/>
          <w:highlight w:val="none"/>
        </w:rPr>
      </w:pPr>
    </w:p>
    <w:p w14:paraId="32C3BD38">
      <w:pPr>
        <w:jc w:val="center"/>
        <w:rPr>
          <w:rFonts w:ascii="Times New Roman" w:hAnsi="Times New Roman" w:cs="Times New Roman"/>
          <w:b/>
          <w:bCs/>
          <w:color w:val="auto"/>
          <w:sz w:val="60"/>
          <w:szCs w:val="60"/>
          <w:highlight w:val="none"/>
        </w:rPr>
      </w:pPr>
    </w:p>
    <w:p w14:paraId="063C8A9A">
      <w:pPr>
        <w:spacing w:line="360" w:lineRule="auto"/>
        <w:jc w:val="center"/>
        <w:rPr>
          <w:rFonts w:hint="eastAsia" w:ascii="Times New Roman" w:hAnsi="Times New Roman" w:cs="Times New Roman"/>
          <w:b/>
          <w:bCs/>
          <w:color w:val="auto"/>
          <w:sz w:val="96"/>
          <w:szCs w:val="96"/>
          <w:highlight w:val="none"/>
        </w:rPr>
      </w:pPr>
    </w:p>
    <w:p w14:paraId="1BED92CC">
      <w:pPr>
        <w:spacing w:line="360" w:lineRule="auto"/>
        <w:jc w:val="center"/>
        <w:rPr>
          <w:rFonts w:ascii="Times New Roman" w:hAnsi="Times New Roman" w:cs="Times New Roman"/>
          <w:b/>
          <w:bCs/>
          <w:color w:val="auto"/>
          <w:sz w:val="72"/>
          <w:szCs w:val="72"/>
          <w:highlight w:val="none"/>
        </w:rPr>
      </w:pPr>
      <w:r>
        <w:rPr>
          <w:rFonts w:hint="eastAsia" w:ascii="Times New Roman" w:hAnsi="Times New Roman" w:cs="Times New Roman"/>
          <w:b/>
          <w:bCs/>
          <w:color w:val="auto"/>
          <w:sz w:val="72"/>
          <w:szCs w:val="72"/>
          <w:highlight w:val="none"/>
        </w:rPr>
        <w:t>公开</w:t>
      </w:r>
      <w:r>
        <w:rPr>
          <w:rFonts w:ascii="Times New Roman" w:hAnsi="Times New Roman" w:cs="Times New Roman"/>
          <w:b/>
          <w:bCs/>
          <w:color w:val="auto"/>
          <w:sz w:val="72"/>
          <w:szCs w:val="72"/>
          <w:highlight w:val="none"/>
        </w:rPr>
        <w:t>招标文件</w:t>
      </w:r>
    </w:p>
    <w:p w14:paraId="70BF5033">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242AA074">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59E59AD4">
      <w:pPr>
        <w:widowControl w:val="0"/>
        <w:autoSpaceDE w:val="0"/>
        <w:autoSpaceDN w:val="0"/>
        <w:adjustRightInd w:val="0"/>
        <w:rPr>
          <w:rFonts w:ascii="Symbol" w:hAnsi="Symbol" w:eastAsia="宋体" w:cs="Symbol"/>
          <w:b/>
          <w:bCs/>
          <w:color w:val="auto"/>
          <w:sz w:val="60"/>
          <w:szCs w:val="60"/>
          <w:highlight w:val="none"/>
          <w:lang w:val="en-US" w:eastAsia="zh-CN" w:bidi="ar-SA"/>
        </w:rPr>
      </w:pPr>
    </w:p>
    <w:p w14:paraId="695760D3">
      <w:pPr>
        <w:tabs>
          <w:tab w:val="left" w:pos="3240"/>
          <w:tab w:val="left" w:pos="3420"/>
        </w:tabs>
        <w:spacing w:line="480" w:lineRule="auto"/>
        <w:ind w:left="2832" w:leftChars="444" w:hanging="1900" w:hangingChars="528"/>
        <w:jc w:val="left"/>
        <w:rPr>
          <w:rFonts w:ascii="Times New Roman" w:hAnsi="Times New Roman" w:cs="Times New Roman"/>
          <w:bCs/>
          <w:color w:val="auto"/>
          <w:sz w:val="36"/>
          <w:szCs w:val="36"/>
          <w:highlight w:val="none"/>
        </w:rPr>
      </w:pPr>
    </w:p>
    <w:p w14:paraId="3A271FD8">
      <w:pPr>
        <w:tabs>
          <w:tab w:val="left" w:pos="3240"/>
          <w:tab w:val="left" w:pos="3420"/>
        </w:tabs>
        <w:spacing w:line="480" w:lineRule="auto"/>
        <w:ind w:left="2823" w:leftChars="304" w:hanging="2185" w:hangingChars="607"/>
        <w:jc w:val="left"/>
        <w:rPr>
          <w:rFonts w:ascii="Times New Roman" w:hAnsi="Times New Roman" w:cs="Times New Roman"/>
          <w:bCs/>
          <w:color w:val="auto"/>
          <w:sz w:val="36"/>
          <w:szCs w:val="36"/>
          <w:highlight w:val="none"/>
        </w:rPr>
      </w:pPr>
    </w:p>
    <w:p w14:paraId="62304E0A">
      <w:pPr>
        <w:tabs>
          <w:tab w:val="left" w:pos="3240"/>
          <w:tab w:val="left" w:pos="3420"/>
        </w:tabs>
        <w:spacing w:line="480" w:lineRule="auto"/>
        <w:ind w:left="2320" w:leftChars="303" w:hanging="1684" w:hangingChars="468"/>
        <w:jc w:val="left"/>
        <w:rPr>
          <w:rFonts w:hint="eastAsia" w:ascii="Times New Roman" w:hAnsi="Times New Roman" w:eastAsia="宋体" w:cs="Times New Roman"/>
          <w:bCs/>
          <w:color w:val="auto"/>
          <w:sz w:val="36"/>
          <w:szCs w:val="36"/>
          <w:highlight w:val="none"/>
          <w:lang w:eastAsia="zh-CN"/>
        </w:rPr>
      </w:pPr>
      <w:r>
        <w:rPr>
          <w:rFonts w:ascii="Times New Roman" w:hAnsi="Times New Roman" w:cs="Times New Roman"/>
          <w:bCs/>
          <w:color w:val="auto"/>
          <w:sz w:val="36"/>
          <w:szCs w:val="36"/>
          <w:highlight w:val="none"/>
        </w:rPr>
        <w:t>项目名称：</w:t>
      </w:r>
      <w:r>
        <w:rPr>
          <w:rFonts w:hint="eastAsia" w:cs="Times New Roman"/>
          <w:bCs/>
          <w:color w:val="auto"/>
          <w:sz w:val="36"/>
          <w:szCs w:val="36"/>
          <w:highlight w:val="none"/>
          <w:lang w:eastAsia="zh-CN"/>
        </w:rPr>
        <w:t>顺义区医院血液透析设备（血液透析滤过机）采购项目</w:t>
      </w:r>
    </w:p>
    <w:p w14:paraId="32B26E61">
      <w:pPr>
        <w:tabs>
          <w:tab w:val="left" w:pos="3240"/>
          <w:tab w:val="left" w:pos="3420"/>
        </w:tabs>
        <w:spacing w:line="480" w:lineRule="auto"/>
        <w:ind w:left="2320" w:leftChars="303" w:hanging="1684" w:hangingChars="468"/>
        <w:jc w:val="left"/>
        <w:rPr>
          <w:rFonts w:hint="eastAsia" w:cs="Times New Roman"/>
          <w:bCs/>
          <w:color w:val="auto"/>
          <w:sz w:val="36"/>
          <w:szCs w:val="36"/>
          <w:highlight w:val="none"/>
          <w:lang w:eastAsia="zh-CN"/>
        </w:rPr>
      </w:pPr>
      <w:r>
        <w:rPr>
          <w:rFonts w:hint="eastAsia" w:cs="Times New Roman"/>
          <w:bCs/>
          <w:color w:val="auto"/>
          <w:sz w:val="36"/>
          <w:szCs w:val="36"/>
          <w:highlight w:val="none"/>
          <w:lang w:eastAsia="zh-CN"/>
        </w:rPr>
        <w:t>项目编号：11011326210200025471-XM001</w:t>
      </w:r>
    </w:p>
    <w:p w14:paraId="3221186D">
      <w:pPr>
        <w:tabs>
          <w:tab w:val="left" w:pos="3240"/>
          <w:tab w:val="left" w:pos="3420"/>
        </w:tabs>
        <w:spacing w:line="480" w:lineRule="auto"/>
        <w:ind w:left="2823" w:leftChars="304" w:hanging="2185" w:hangingChars="607"/>
        <w:jc w:val="left"/>
        <w:rPr>
          <w:rFonts w:hint="eastAsia" w:ascii="Times New Roman" w:hAnsi="Times New Roman" w:eastAsia="宋体" w:cs="Times New Roman"/>
          <w:bCs/>
          <w:color w:val="auto"/>
          <w:sz w:val="36"/>
          <w:szCs w:val="36"/>
          <w:highlight w:val="none"/>
          <w:lang w:eastAsia="zh-CN"/>
        </w:rPr>
      </w:pPr>
      <w:r>
        <w:rPr>
          <w:rFonts w:ascii="Times New Roman" w:hAnsi="Times New Roman" w:cs="Times New Roman"/>
          <w:bCs/>
          <w:color w:val="auto"/>
          <w:sz w:val="36"/>
          <w:szCs w:val="36"/>
          <w:highlight w:val="none"/>
        </w:rPr>
        <w:t>采 购 人：</w:t>
      </w:r>
      <w:r>
        <w:rPr>
          <w:rFonts w:hint="eastAsia" w:cs="Times New Roman"/>
          <w:bCs/>
          <w:color w:val="auto"/>
          <w:sz w:val="36"/>
          <w:szCs w:val="36"/>
          <w:highlight w:val="none"/>
          <w:lang w:eastAsia="zh-CN"/>
        </w:rPr>
        <w:t>北京市顺义区医院</w:t>
      </w:r>
    </w:p>
    <w:p w14:paraId="1E344967">
      <w:pPr>
        <w:tabs>
          <w:tab w:val="left" w:pos="3240"/>
          <w:tab w:val="left" w:pos="3420"/>
        </w:tabs>
        <w:spacing w:line="480" w:lineRule="auto"/>
        <w:ind w:left="2823" w:leftChars="304" w:hanging="2185" w:hangingChars="607"/>
        <w:jc w:val="left"/>
        <w:rPr>
          <w:rFonts w:hint="eastAsia" w:ascii="Times New Roman" w:hAnsi="Times New Roman" w:cs="Times New Roman"/>
          <w:bCs/>
          <w:color w:val="auto"/>
          <w:sz w:val="36"/>
          <w:szCs w:val="36"/>
          <w:highlight w:val="none"/>
          <w:lang w:val="en-US" w:eastAsia="zh-CN"/>
        </w:rPr>
      </w:pPr>
      <w:r>
        <w:rPr>
          <w:rFonts w:hint="eastAsia" w:ascii="Times New Roman" w:hAnsi="Times New Roman" w:cs="Times New Roman"/>
          <w:bCs/>
          <w:color w:val="auto"/>
          <w:sz w:val="36"/>
          <w:szCs w:val="36"/>
          <w:highlight w:val="none"/>
        </w:rPr>
        <w:t>采购</w:t>
      </w:r>
      <w:r>
        <w:rPr>
          <w:rFonts w:ascii="Times New Roman" w:hAnsi="Times New Roman" w:cs="Times New Roman"/>
          <w:bCs/>
          <w:color w:val="auto"/>
          <w:sz w:val="36"/>
          <w:szCs w:val="36"/>
          <w:highlight w:val="none"/>
        </w:rPr>
        <w:t>代理机构：</w:t>
      </w:r>
      <w:r>
        <w:rPr>
          <w:rFonts w:hint="eastAsia" w:ascii="Times New Roman" w:hAnsi="Times New Roman" w:cs="Times New Roman"/>
          <w:bCs/>
          <w:color w:val="auto"/>
          <w:sz w:val="36"/>
          <w:szCs w:val="36"/>
          <w:highlight w:val="none"/>
          <w:lang w:val="en-US" w:eastAsia="zh-CN"/>
        </w:rPr>
        <w:t>北京中盛宇工程管理有限公司</w:t>
      </w:r>
    </w:p>
    <w:p w14:paraId="6C356CE4">
      <w:pPr>
        <w:ind w:left="1912" w:leftChars="304" w:hanging="1274" w:hangingChars="607"/>
        <w:rPr>
          <w:color w:val="auto"/>
          <w:highlight w:val="none"/>
        </w:rPr>
        <w:sectPr>
          <w:headerReference r:id="rId3" w:type="default"/>
          <w:footerReference r:id="rId4" w:type="default"/>
          <w:pgSz w:w="11907" w:h="16840"/>
          <w:pgMar w:top="1418" w:right="946" w:bottom="1418" w:left="150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p>
    <w:p w14:paraId="3D621B01">
      <w:pPr>
        <w:spacing w:line="360" w:lineRule="auto"/>
        <w:jc w:val="center"/>
        <w:outlineLvl w:val="0"/>
        <w:rPr>
          <w:b/>
          <w:color w:val="auto"/>
          <w:sz w:val="44"/>
          <w:szCs w:val="44"/>
          <w:highlight w:val="none"/>
        </w:rPr>
        <w:sectPr>
          <w:footerReference r:id="rId5" w:type="default"/>
          <w:pgSz w:w="11907" w:h="16840"/>
          <w:pgMar w:top="1418" w:right="946" w:bottom="1418" w:left="172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bookmarkStart w:id="4" w:name="_Toc29394"/>
      <w:bookmarkStart w:id="5" w:name="_Toc16608"/>
      <w:bookmarkStart w:id="6" w:name="_Toc27518"/>
      <w:bookmarkStart w:id="7" w:name="_Toc11513"/>
    </w:p>
    <w:p w14:paraId="4144ED6A">
      <w:pPr>
        <w:spacing w:line="360" w:lineRule="auto"/>
        <w:jc w:val="center"/>
        <w:outlineLvl w:val="0"/>
        <w:rPr>
          <w:b/>
          <w:color w:val="auto"/>
          <w:sz w:val="44"/>
          <w:szCs w:val="44"/>
          <w:highlight w:val="none"/>
        </w:rPr>
      </w:pPr>
      <w:bookmarkStart w:id="8" w:name="_Toc31368"/>
      <w:r>
        <w:rPr>
          <w:b/>
          <w:color w:val="auto"/>
          <w:sz w:val="44"/>
          <w:szCs w:val="44"/>
          <w:highlight w:val="none"/>
        </w:rPr>
        <w:t>目      录</w:t>
      </w:r>
      <w:bookmarkEnd w:id="0"/>
      <w:bookmarkEnd w:id="1"/>
      <w:bookmarkEnd w:id="2"/>
      <w:bookmarkEnd w:id="3"/>
      <w:bookmarkEnd w:id="4"/>
      <w:bookmarkEnd w:id="5"/>
      <w:bookmarkEnd w:id="6"/>
      <w:bookmarkEnd w:id="7"/>
      <w:bookmarkEnd w:id="8"/>
    </w:p>
    <w:p w14:paraId="6484F799">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b w:val="0"/>
          <w:color w:val="auto"/>
          <w:sz w:val="32"/>
          <w:szCs w:val="32"/>
          <w:highlight w:val="none"/>
        </w:rPr>
        <w:fldChar w:fldCharType="begin"/>
      </w:r>
      <w:r>
        <w:rPr>
          <w:rFonts w:hint="eastAsia" w:ascii="宋体" w:hAnsi="宋体" w:eastAsia="宋体" w:cs="宋体"/>
          <w:b w:val="0"/>
          <w:color w:val="auto"/>
          <w:sz w:val="32"/>
          <w:szCs w:val="32"/>
          <w:highlight w:val="none"/>
        </w:rPr>
        <w:instrText xml:space="preserve"> TOC \o "1-1" \h \z \u </w:instrText>
      </w:r>
      <w:r>
        <w:rPr>
          <w:rFonts w:hint="eastAsia" w:ascii="宋体" w:hAnsi="宋体" w:eastAsia="宋体" w:cs="宋体"/>
          <w:b w:val="0"/>
          <w:color w:val="auto"/>
          <w:sz w:val="32"/>
          <w:szCs w:val="32"/>
          <w:highlight w:val="none"/>
        </w:rPr>
        <w:fldChar w:fldCharType="separate"/>
      </w: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_Toc3837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第一章   投标邀请</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_Toc3837 \h </w:instrText>
      </w:r>
      <w:r>
        <w:rPr>
          <w:rFonts w:hint="eastAsia" w:ascii="宋体" w:hAnsi="宋体" w:eastAsia="宋体" w:cs="宋体"/>
          <w:sz w:val="32"/>
          <w:szCs w:val="32"/>
        </w:rPr>
        <w:fldChar w:fldCharType="separate"/>
      </w:r>
      <w:r>
        <w:rPr>
          <w:rFonts w:hint="eastAsia" w:ascii="宋体" w:hAnsi="宋体" w:eastAsia="宋体" w:cs="宋体"/>
          <w:sz w:val="32"/>
          <w:szCs w:val="32"/>
        </w:rPr>
        <w:t>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1CF3F3B8">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_Toc29297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第二章   投标人须知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_Toc29297 \h </w:instrText>
      </w:r>
      <w:r>
        <w:rPr>
          <w:rFonts w:hint="eastAsia" w:ascii="宋体" w:hAnsi="宋体" w:eastAsia="宋体" w:cs="宋体"/>
          <w:sz w:val="32"/>
          <w:szCs w:val="32"/>
        </w:rPr>
        <w:fldChar w:fldCharType="separate"/>
      </w:r>
      <w:r>
        <w:rPr>
          <w:rFonts w:hint="eastAsia" w:ascii="宋体" w:hAnsi="宋体" w:eastAsia="宋体" w:cs="宋体"/>
          <w:sz w:val="32"/>
          <w:szCs w:val="32"/>
        </w:rPr>
        <w:t>7</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655641B8">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_Toc24397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第三章   资格审查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_Toc24397 \h </w:instrText>
      </w:r>
      <w:r>
        <w:rPr>
          <w:rFonts w:hint="eastAsia" w:ascii="宋体" w:hAnsi="宋体" w:eastAsia="宋体" w:cs="宋体"/>
          <w:sz w:val="32"/>
          <w:szCs w:val="32"/>
        </w:rPr>
        <w:fldChar w:fldCharType="separate"/>
      </w:r>
      <w:r>
        <w:rPr>
          <w:rFonts w:hint="eastAsia" w:ascii="宋体" w:hAnsi="宋体" w:eastAsia="宋体" w:cs="宋体"/>
          <w:sz w:val="32"/>
          <w:szCs w:val="32"/>
        </w:rPr>
        <w:t>23</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4B9A164F">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_Toc9730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第四章   评标程序、评标方法和评标标准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_Toc9730 \h </w:instrText>
      </w:r>
      <w:r>
        <w:rPr>
          <w:rFonts w:hint="eastAsia" w:ascii="宋体" w:hAnsi="宋体" w:eastAsia="宋体" w:cs="宋体"/>
          <w:sz w:val="32"/>
          <w:szCs w:val="32"/>
        </w:rPr>
        <w:fldChar w:fldCharType="separate"/>
      </w:r>
      <w:r>
        <w:rPr>
          <w:rFonts w:hint="eastAsia" w:ascii="宋体" w:hAnsi="宋体" w:eastAsia="宋体" w:cs="宋体"/>
          <w:sz w:val="32"/>
          <w:szCs w:val="32"/>
        </w:rPr>
        <w:t>26</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35AD9D27">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_Toc28987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第五章   采购需求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_Toc28987 \h </w:instrText>
      </w:r>
      <w:r>
        <w:rPr>
          <w:rFonts w:hint="eastAsia" w:ascii="宋体" w:hAnsi="宋体" w:eastAsia="宋体" w:cs="宋体"/>
          <w:sz w:val="32"/>
          <w:szCs w:val="32"/>
        </w:rPr>
        <w:fldChar w:fldCharType="separate"/>
      </w:r>
      <w:r>
        <w:rPr>
          <w:rFonts w:hint="eastAsia" w:ascii="宋体" w:hAnsi="宋体" w:eastAsia="宋体" w:cs="宋体"/>
          <w:sz w:val="32"/>
          <w:szCs w:val="32"/>
        </w:rPr>
        <w:t>35</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3D86FFBB">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_Toc7159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第六章   拟签订的合同文本</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_Toc7159 \h </w:instrText>
      </w:r>
      <w:r>
        <w:rPr>
          <w:rFonts w:hint="eastAsia" w:ascii="宋体" w:hAnsi="宋体" w:eastAsia="宋体" w:cs="宋体"/>
          <w:sz w:val="32"/>
          <w:szCs w:val="32"/>
        </w:rPr>
        <w:fldChar w:fldCharType="separate"/>
      </w:r>
      <w:r>
        <w:rPr>
          <w:rFonts w:hint="eastAsia" w:ascii="宋体" w:hAnsi="宋体" w:eastAsia="宋体" w:cs="宋体"/>
          <w:sz w:val="32"/>
          <w:szCs w:val="32"/>
        </w:rPr>
        <w:t>39</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51C479A0">
      <w:pPr>
        <w:pStyle w:val="31"/>
        <w:tabs>
          <w:tab w:val="right" w:leader="dot" w:pos="9460"/>
          <w:tab w:val="clear" w:pos="1050"/>
          <w:tab w:val="clear" w:pos="8937"/>
        </w:tabs>
        <w:rPr>
          <w:rFonts w:hint="eastAsia" w:ascii="宋体" w:hAnsi="宋体" w:eastAsia="宋体" w:cs="宋体"/>
          <w:sz w:val="32"/>
          <w:szCs w:val="32"/>
        </w:rPr>
      </w:pPr>
      <w:r>
        <w:rPr>
          <w:rFonts w:hint="eastAsia" w:ascii="宋体" w:hAnsi="宋体" w:eastAsia="宋体" w:cs="宋体"/>
          <w:color w:val="auto"/>
          <w:sz w:val="32"/>
          <w:szCs w:val="32"/>
          <w:highlight w:val="none"/>
        </w:rPr>
        <w:fldChar w:fldCharType="begin"/>
      </w:r>
      <w:r>
        <w:rPr>
          <w:rFonts w:hint="eastAsia" w:ascii="宋体" w:hAnsi="宋体" w:eastAsia="宋体" w:cs="宋体"/>
          <w:sz w:val="32"/>
          <w:szCs w:val="32"/>
          <w:highlight w:val="none"/>
        </w:rPr>
        <w:instrText xml:space="preserve"> HYPERLINK \l _Toc30520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第七章   投标文件格式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_Toc30520 \h </w:instrText>
      </w:r>
      <w:r>
        <w:rPr>
          <w:rFonts w:hint="eastAsia" w:ascii="宋体" w:hAnsi="宋体" w:eastAsia="宋体" w:cs="宋体"/>
          <w:sz w:val="32"/>
          <w:szCs w:val="32"/>
        </w:rPr>
        <w:fldChar w:fldCharType="separate"/>
      </w:r>
      <w:r>
        <w:rPr>
          <w:rFonts w:hint="eastAsia" w:ascii="宋体" w:hAnsi="宋体" w:eastAsia="宋体" w:cs="宋体"/>
          <w:sz w:val="32"/>
          <w:szCs w:val="32"/>
        </w:rPr>
        <w:t>62</w:t>
      </w:r>
      <w:r>
        <w:rPr>
          <w:rFonts w:hint="eastAsia" w:ascii="宋体" w:hAnsi="宋体" w:eastAsia="宋体" w:cs="宋体"/>
          <w:sz w:val="32"/>
          <w:szCs w:val="32"/>
        </w:rPr>
        <w:fldChar w:fldCharType="end"/>
      </w:r>
      <w:r>
        <w:rPr>
          <w:rFonts w:hint="eastAsia" w:ascii="宋体" w:hAnsi="宋体" w:eastAsia="宋体" w:cs="宋体"/>
          <w:color w:val="auto"/>
          <w:sz w:val="32"/>
          <w:szCs w:val="32"/>
          <w:highlight w:val="none"/>
        </w:rPr>
        <w:fldChar w:fldCharType="end"/>
      </w:r>
    </w:p>
    <w:p w14:paraId="17A88D56">
      <w:pPr>
        <w:pStyle w:val="31"/>
        <w:spacing w:line="480" w:lineRule="auto"/>
        <w:rPr>
          <w:rFonts w:ascii="Times New Roman" w:hAnsi="Times New Roman"/>
          <w:b w:val="0"/>
          <w:color w:val="auto"/>
          <w:highlight w:val="none"/>
        </w:rPr>
      </w:pPr>
      <w:r>
        <w:rPr>
          <w:rFonts w:hint="eastAsia" w:ascii="宋体" w:hAnsi="宋体" w:eastAsia="宋体" w:cs="宋体"/>
          <w:color w:val="auto"/>
          <w:sz w:val="32"/>
          <w:szCs w:val="32"/>
          <w:highlight w:val="none"/>
        </w:rPr>
        <w:fldChar w:fldCharType="end"/>
      </w:r>
    </w:p>
    <w:p w14:paraId="6D84D59C">
      <w:pPr>
        <w:spacing w:line="360" w:lineRule="auto"/>
        <w:jc w:val="center"/>
        <w:outlineLvl w:val="0"/>
        <w:rPr>
          <w:b/>
          <w:color w:val="auto"/>
          <w:sz w:val="36"/>
          <w:szCs w:val="36"/>
          <w:highlight w:val="none"/>
        </w:rPr>
      </w:pPr>
      <w:r>
        <w:rPr>
          <w:color w:val="auto"/>
          <w:sz w:val="24"/>
          <w:highlight w:val="none"/>
        </w:rPr>
        <w:br w:type="page"/>
      </w:r>
      <w:bookmarkStart w:id="9" w:name="_Toc3837"/>
      <w:r>
        <w:rPr>
          <w:b/>
          <w:color w:val="auto"/>
          <w:sz w:val="36"/>
          <w:szCs w:val="36"/>
          <w:highlight w:val="none"/>
        </w:rPr>
        <w:t>第一章   投标邀请</w:t>
      </w:r>
      <w:bookmarkEnd w:id="9"/>
    </w:p>
    <w:p w14:paraId="573CC72F">
      <w:pPr>
        <w:pStyle w:val="3"/>
        <w:spacing w:before="0" w:line="360" w:lineRule="auto"/>
        <w:jc w:val="left"/>
        <w:rPr>
          <w:rFonts w:ascii="宋体" w:hAnsi="宋体" w:eastAsia="宋体" w:cs="宋体"/>
          <w:color w:val="auto"/>
          <w:sz w:val="24"/>
          <w:szCs w:val="24"/>
          <w:highlight w:val="none"/>
        </w:rPr>
      </w:pPr>
      <w:bookmarkStart w:id="10" w:name="_Toc35393790"/>
      <w:bookmarkStart w:id="11" w:name="_Toc35393621"/>
      <w:bookmarkStart w:id="12" w:name="_Toc28359079"/>
      <w:bookmarkStart w:id="13" w:name="_Toc28359002"/>
      <w:bookmarkStart w:id="14" w:name="_Hlk24379207"/>
      <w:r>
        <w:rPr>
          <w:rFonts w:hint="eastAsia" w:ascii="宋体" w:hAnsi="宋体" w:eastAsia="宋体" w:cs="宋体"/>
          <w:color w:val="auto"/>
          <w:sz w:val="24"/>
          <w:szCs w:val="24"/>
          <w:highlight w:val="none"/>
        </w:rPr>
        <w:t>一、项目基本情况</w:t>
      </w:r>
      <w:bookmarkEnd w:id="10"/>
      <w:bookmarkEnd w:id="11"/>
      <w:bookmarkEnd w:id="12"/>
      <w:bookmarkEnd w:id="13"/>
    </w:p>
    <w:p w14:paraId="5DD039A3">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1.项目编号：</w:t>
      </w:r>
      <w:r>
        <w:rPr>
          <w:rFonts w:hint="eastAsia" w:ascii="宋体" w:hAnsi="宋体" w:cs="宋体"/>
          <w:color w:val="auto"/>
          <w:sz w:val="24"/>
          <w:highlight w:val="none"/>
          <w:lang w:eastAsia="zh-CN"/>
        </w:rPr>
        <w:t>11011326210200025471-XM001</w:t>
      </w:r>
    </w:p>
    <w:p w14:paraId="04CB99D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2.项目名称：</w:t>
      </w:r>
      <w:r>
        <w:rPr>
          <w:rFonts w:hint="eastAsia" w:ascii="宋体" w:hAnsi="宋体" w:cs="宋体"/>
          <w:color w:val="auto"/>
          <w:sz w:val="24"/>
          <w:highlight w:val="none"/>
          <w:lang w:eastAsia="zh-CN"/>
        </w:rPr>
        <w:t>顺义区医院血液透析设备（血液透析滤过机）采购项目</w:t>
      </w:r>
    </w:p>
    <w:bookmarkEnd w:id="14"/>
    <w:p w14:paraId="4C09833D">
      <w:pPr>
        <w:spacing w:line="360" w:lineRule="auto"/>
        <w:ind w:right="-168" w:rightChars="-80" w:firstLine="480" w:firstLineChars="200"/>
        <w:rPr>
          <w:rFonts w:ascii="宋体" w:hAnsi="宋体" w:cs="宋体"/>
          <w:color w:val="auto"/>
          <w:sz w:val="24"/>
          <w:highlight w:val="none"/>
        </w:rPr>
      </w:pPr>
      <w:r>
        <w:rPr>
          <w:rFonts w:hint="eastAsia" w:ascii="宋体" w:hAnsi="宋体" w:cs="宋体"/>
          <w:color w:val="auto"/>
          <w:sz w:val="24"/>
          <w:highlight w:val="none"/>
        </w:rPr>
        <w:t>3.项目预算金额：</w:t>
      </w:r>
      <w:r>
        <w:rPr>
          <w:rFonts w:hint="eastAsia" w:ascii="宋体" w:hAnsi="宋体" w:cs="宋体"/>
          <w:color w:val="auto"/>
          <w:sz w:val="24"/>
          <w:highlight w:val="none"/>
          <w:u w:val="single"/>
          <w:lang w:val="en-US" w:eastAsia="zh-CN"/>
        </w:rPr>
        <w:t>189</w:t>
      </w:r>
      <w:r>
        <w:rPr>
          <w:rFonts w:hint="eastAsia" w:ascii="宋体" w:hAnsi="宋体" w:cs="宋体"/>
          <w:color w:val="auto"/>
          <w:sz w:val="24"/>
          <w:highlight w:val="none"/>
          <w:u w:val="none"/>
          <w:lang w:eastAsia="zh-CN"/>
        </w:rPr>
        <w:t>万元</w:t>
      </w:r>
      <w:r>
        <w:rPr>
          <w:rFonts w:hint="eastAsia" w:ascii="宋体" w:hAnsi="宋体" w:cs="宋体"/>
          <w:color w:val="auto"/>
          <w:sz w:val="24"/>
          <w:highlight w:val="none"/>
        </w:rPr>
        <w:t>、项目最高限价：</w:t>
      </w:r>
      <w:r>
        <w:rPr>
          <w:rFonts w:hint="eastAsia" w:ascii="宋体" w:hAnsi="宋体" w:cs="宋体"/>
          <w:color w:val="auto"/>
          <w:sz w:val="24"/>
          <w:highlight w:val="none"/>
          <w:u w:val="single"/>
          <w:lang w:val="en-US" w:eastAsia="zh-CN"/>
        </w:rPr>
        <w:t>189</w:t>
      </w:r>
      <w:r>
        <w:rPr>
          <w:rFonts w:hint="eastAsia" w:ascii="宋体" w:hAnsi="宋体" w:cs="宋体"/>
          <w:color w:val="auto"/>
          <w:sz w:val="24"/>
          <w:highlight w:val="none"/>
        </w:rPr>
        <w:t>万元</w:t>
      </w:r>
    </w:p>
    <w:p w14:paraId="623F7CC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4.采购需求：</w:t>
      </w:r>
    </w:p>
    <w:tbl>
      <w:tblPr>
        <w:tblStyle w:val="46"/>
        <w:tblW w:w="940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604"/>
        <w:gridCol w:w="1500"/>
        <w:gridCol w:w="633"/>
        <w:gridCol w:w="1319"/>
        <w:gridCol w:w="1278"/>
        <w:gridCol w:w="2462"/>
      </w:tblGrid>
      <w:tr w14:paraId="5D60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right"/>
        </w:trPr>
        <w:tc>
          <w:tcPr>
            <w:tcW w:w="607" w:type="dxa"/>
            <w:vAlign w:val="center"/>
          </w:tcPr>
          <w:p w14:paraId="443DB860">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包号</w:t>
            </w:r>
          </w:p>
        </w:tc>
        <w:tc>
          <w:tcPr>
            <w:tcW w:w="1604" w:type="dxa"/>
            <w:vAlign w:val="center"/>
          </w:tcPr>
          <w:p w14:paraId="6796C732">
            <w:pPr>
              <w:jc w:val="center"/>
              <w:rPr>
                <w:rFonts w:ascii="Times New Roman" w:hAnsi="Times New Roman" w:eastAsia="宋体" w:cs="Times New Roman"/>
                <w:bCs/>
                <w:color w:val="auto"/>
                <w:sz w:val="21"/>
                <w:szCs w:val="21"/>
                <w:highlight w:val="none"/>
              </w:rPr>
            </w:pPr>
            <w:r>
              <w:rPr>
                <w:rFonts w:hint="eastAsia" w:cs="Times New Roman"/>
                <w:bCs/>
                <w:color w:val="auto"/>
                <w:sz w:val="21"/>
                <w:szCs w:val="21"/>
                <w:highlight w:val="none"/>
                <w:lang w:val="en-US" w:eastAsia="zh-CN"/>
              </w:rPr>
              <w:t>标的</w:t>
            </w:r>
            <w:r>
              <w:rPr>
                <w:rFonts w:ascii="Times New Roman" w:hAnsi="Times New Roman" w:eastAsia="宋体" w:cs="Times New Roman"/>
                <w:bCs/>
                <w:color w:val="auto"/>
                <w:sz w:val="21"/>
                <w:szCs w:val="21"/>
                <w:highlight w:val="none"/>
              </w:rPr>
              <w:t>名称</w:t>
            </w:r>
          </w:p>
        </w:tc>
        <w:tc>
          <w:tcPr>
            <w:tcW w:w="1500" w:type="dxa"/>
            <w:vAlign w:val="center"/>
          </w:tcPr>
          <w:p w14:paraId="2B174A8F">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采购包预算金额</w:t>
            </w:r>
            <w:r>
              <w:rPr>
                <w:rFonts w:hint="eastAsia" w:ascii="Times New Roman" w:hAnsi="Times New Roman" w:eastAsia="宋体" w:cs="Times New Roman"/>
                <w:bCs/>
                <w:color w:val="auto"/>
                <w:sz w:val="21"/>
                <w:szCs w:val="21"/>
                <w:highlight w:val="none"/>
                <w:lang w:val="en-US" w:eastAsia="zh-CN"/>
              </w:rPr>
              <w:t>及最高限价</w:t>
            </w:r>
            <w:r>
              <w:rPr>
                <w:rFonts w:ascii="Times New Roman" w:hAnsi="Times New Roman" w:eastAsia="宋体" w:cs="Times New Roman"/>
                <w:bCs/>
                <w:color w:val="auto"/>
                <w:sz w:val="21"/>
                <w:szCs w:val="21"/>
                <w:highlight w:val="none"/>
              </w:rPr>
              <w:t>（万元）</w:t>
            </w:r>
          </w:p>
        </w:tc>
        <w:tc>
          <w:tcPr>
            <w:tcW w:w="633" w:type="dxa"/>
            <w:vAlign w:val="center"/>
          </w:tcPr>
          <w:p w14:paraId="5FB6ABF4">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1319" w:type="dxa"/>
            <w:vAlign w:val="center"/>
          </w:tcPr>
          <w:p w14:paraId="712DE15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供货地点</w:t>
            </w:r>
          </w:p>
        </w:tc>
        <w:tc>
          <w:tcPr>
            <w:tcW w:w="1278" w:type="dxa"/>
            <w:vAlign w:val="center"/>
          </w:tcPr>
          <w:p w14:paraId="6992C1EC">
            <w:pPr>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是否采购进口产品</w:t>
            </w:r>
          </w:p>
        </w:tc>
        <w:tc>
          <w:tcPr>
            <w:tcW w:w="2462" w:type="dxa"/>
            <w:vAlign w:val="center"/>
          </w:tcPr>
          <w:p w14:paraId="2A13F8F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简要技术要求</w:t>
            </w:r>
          </w:p>
        </w:tc>
      </w:tr>
      <w:tr w14:paraId="0F78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right"/>
        </w:trPr>
        <w:tc>
          <w:tcPr>
            <w:tcW w:w="607" w:type="dxa"/>
            <w:vAlign w:val="center"/>
          </w:tcPr>
          <w:p w14:paraId="44ED7161">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01</w:t>
            </w:r>
          </w:p>
        </w:tc>
        <w:tc>
          <w:tcPr>
            <w:tcW w:w="1604" w:type="dxa"/>
            <w:vAlign w:val="center"/>
          </w:tcPr>
          <w:p w14:paraId="79C6E9A9">
            <w:pPr>
              <w:jc w:val="center"/>
              <w:rPr>
                <w:rFonts w:hint="eastAsia" w:ascii="Times New Roman" w:hAnsi="Times New Roman" w:eastAsia="宋体" w:cs="Times New Roman"/>
                <w:bCs/>
                <w:color w:val="auto"/>
                <w:sz w:val="21"/>
                <w:szCs w:val="21"/>
                <w:highlight w:val="none"/>
                <w:lang w:eastAsia="zh-CN"/>
              </w:rPr>
            </w:pPr>
            <w:r>
              <w:rPr>
                <w:rFonts w:hint="eastAsia" w:ascii="宋体" w:hAnsi="宋体" w:cs="宋体"/>
                <w:color w:val="auto"/>
                <w:sz w:val="21"/>
                <w:szCs w:val="21"/>
                <w:highlight w:val="none"/>
                <w:lang w:eastAsia="zh-CN"/>
              </w:rPr>
              <w:t>顺义区医院血液透析设备（血液透析滤过机）采购项目</w:t>
            </w:r>
          </w:p>
        </w:tc>
        <w:tc>
          <w:tcPr>
            <w:tcW w:w="1500" w:type="dxa"/>
            <w:vAlign w:val="center"/>
          </w:tcPr>
          <w:p w14:paraId="624D9408">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189</w:t>
            </w:r>
          </w:p>
        </w:tc>
        <w:tc>
          <w:tcPr>
            <w:tcW w:w="633" w:type="dxa"/>
            <w:vAlign w:val="center"/>
          </w:tcPr>
          <w:p w14:paraId="41EF0BA5">
            <w:pPr>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9套</w:t>
            </w:r>
          </w:p>
        </w:tc>
        <w:tc>
          <w:tcPr>
            <w:tcW w:w="1319" w:type="dxa"/>
            <w:vAlign w:val="center"/>
          </w:tcPr>
          <w:p w14:paraId="5CE40402">
            <w:pPr>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北京市顺义区医院</w:t>
            </w:r>
          </w:p>
        </w:tc>
        <w:tc>
          <w:tcPr>
            <w:tcW w:w="1278" w:type="dxa"/>
            <w:vAlign w:val="center"/>
          </w:tcPr>
          <w:p w14:paraId="7695901B">
            <w:pPr>
              <w:jc w:val="center"/>
              <w:rPr>
                <w:rFonts w:hint="eastAsia" w:cs="Times New Roman"/>
                <w:color w:val="auto"/>
                <w:kern w:val="0"/>
                <w:sz w:val="21"/>
                <w:szCs w:val="21"/>
                <w:highlight w:val="none"/>
                <w:lang w:eastAsia="zh-CN"/>
              </w:rPr>
            </w:pPr>
            <w:r>
              <w:rPr>
                <w:rFonts w:hint="eastAsia" w:cs="Times New Roman"/>
                <w:color w:val="auto"/>
                <w:kern w:val="0"/>
                <w:sz w:val="21"/>
                <w:szCs w:val="21"/>
                <w:highlight w:val="none"/>
                <w:lang w:val="en-US" w:eastAsia="zh-CN"/>
              </w:rPr>
              <w:t>否</w:t>
            </w:r>
          </w:p>
        </w:tc>
        <w:tc>
          <w:tcPr>
            <w:tcW w:w="2462" w:type="dxa"/>
            <w:vAlign w:val="center"/>
          </w:tcPr>
          <w:p w14:paraId="131CA69D">
            <w:pPr>
              <w:jc w:val="center"/>
              <w:rPr>
                <w:rFonts w:hint="eastAsia"/>
                <w:sz w:val="21"/>
                <w:szCs w:val="21"/>
                <w:highlight w:val="none"/>
                <w:lang w:val="en-US" w:eastAsia="zh-CN"/>
              </w:rPr>
            </w:pPr>
            <w:r>
              <w:rPr>
                <w:rFonts w:hint="eastAsia"/>
                <w:sz w:val="21"/>
                <w:szCs w:val="21"/>
                <w:highlight w:val="none"/>
                <w:lang w:val="en-US" w:eastAsia="zh-CN"/>
              </w:rPr>
              <w:t>为满足临床血液透析滤过诊疗需求，现采购一批血液透析滤过机，具体参数要求详见采购需求。</w:t>
            </w:r>
          </w:p>
        </w:tc>
      </w:tr>
    </w:tbl>
    <w:p w14:paraId="640A0786">
      <w:pPr>
        <w:spacing w:line="360" w:lineRule="auto"/>
        <w:ind w:firstLine="480" w:firstLineChars="200"/>
        <w:rPr>
          <w:rFonts w:hint="eastAsia" w:ascii="宋体" w:hAnsi="宋体" w:cs="宋体" w:eastAsiaTheme="minorEastAsia"/>
          <w:color w:val="0000FF"/>
          <w:sz w:val="24"/>
          <w:szCs w:val="32"/>
          <w:highlight w:val="none"/>
          <w:lang w:val="en-US" w:eastAsia="zh-CN"/>
        </w:rPr>
      </w:pPr>
      <w:r>
        <w:rPr>
          <w:rFonts w:hint="eastAsia" w:ascii="宋体" w:hAnsi="宋体" w:cs="宋体"/>
          <w:color w:val="auto"/>
          <w:sz w:val="24"/>
          <w:szCs w:val="32"/>
          <w:highlight w:val="none"/>
        </w:rPr>
        <w:t>5.合同履行期</w:t>
      </w:r>
      <w:r>
        <w:rPr>
          <w:rFonts w:hint="eastAsia" w:ascii="宋体" w:hAnsi="宋体" w:cs="宋体"/>
          <w:color w:val="auto"/>
          <w:sz w:val="24"/>
          <w:szCs w:val="32"/>
          <w:highlight w:val="none"/>
          <w:shd w:val="clear"/>
        </w:rPr>
        <w:t>限：</w:t>
      </w:r>
      <w:r>
        <w:rPr>
          <w:rFonts w:hint="eastAsia" w:ascii="宋体" w:hAnsi="宋体" w:eastAsia="宋体" w:cs="宋体"/>
          <w:color w:val="auto"/>
          <w:sz w:val="24"/>
          <w:highlight w:val="none"/>
          <w:lang w:val="en-US" w:eastAsia="zh-CN"/>
        </w:rPr>
        <w:t>收到院方通知后</w:t>
      </w: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lang w:val="en-US" w:eastAsia="zh-CN"/>
        </w:rPr>
        <w:t>日内按照医院指定位置交货、清点、验收。</w:t>
      </w:r>
    </w:p>
    <w:p w14:paraId="69AEEC04">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6.本项目是否接受联合体投标：</w:t>
      </w:r>
      <w:r>
        <w:rPr>
          <w:rFonts w:hint="eastAsia" w:ascii="宋体" w:hAnsi="宋体" w:cs="宋体"/>
          <w:color w:val="auto"/>
          <w:sz w:val="24"/>
          <w:szCs w:val="32"/>
          <w:highlight w:val="none"/>
        </w:rPr>
        <w:sym w:font="Wingdings 2" w:char="00A3"/>
      </w:r>
      <w:r>
        <w:rPr>
          <w:rFonts w:hint="eastAsia" w:ascii="宋体" w:hAnsi="宋体" w:cs="宋体"/>
          <w:color w:val="auto"/>
          <w:sz w:val="24"/>
          <w:szCs w:val="32"/>
          <w:highlight w:val="none"/>
        </w:rPr>
        <w:t>是  ■否。</w:t>
      </w:r>
    </w:p>
    <w:p w14:paraId="6EA080EE">
      <w:pPr>
        <w:pStyle w:val="3"/>
        <w:spacing w:before="0" w:line="360" w:lineRule="auto"/>
        <w:jc w:val="left"/>
        <w:rPr>
          <w:rFonts w:ascii="宋体" w:hAnsi="宋体" w:eastAsia="宋体" w:cs="宋体"/>
          <w:color w:val="auto"/>
          <w:sz w:val="24"/>
          <w:szCs w:val="24"/>
          <w:highlight w:val="none"/>
        </w:rPr>
      </w:pPr>
      <w:bookmarkStart w:id="15" w:name="_Toc28359003"/>
      <w:bookmarkStart w:id="16" w:name="_Toc28359080"/>
      <w:bookmarkStart w:id="17" w:name="_Toc35393622"/>
      <w:bookmarkStart w:id="18" w:name="_Toc35393791"/>
      <w:r>
        <w:rPr>
          <w:rFonts w:hint="eastAsia" w:ascii="宋体" w:hAnsi="宋体" w:eastAsia="宋体" w:cs="宋体"/>
          <w:color w:val="auto"/>
          <w:sz w:val="24"/>
          <w:szCs w:val="24"/>
          <w:highlight w:val="none"/>
        </w:rPr>
        <w:t>二、申请人的资格要求（须同时满足）</w:t>
      </w:r>
      <w:bookmarkEnd w:id="15"/>
      <w:bookmarkEnd w:id="16"/>
      <w:bookmarkEnd w:id="17"/>
      <w:bookmarkEnd w:id="18"/>
    </w:p>
    <w:p w14:paraId="33A7727A">
      <w:pPr>
        <w:spacing w:line="360" w:lineRule="auto"/>
        <w:rPr>
          <w:color w:val="auto"/>
          <w:sz w:val="24"/>
          <w:szCs w:val="32"/>
          <w:highlight w:val="none"/>
        </w:rPr>
      </w:pPr>
      <w:r>
        <w:rPr>
          <w:rFonts w:hint="eastAsia"/>
          <w:color w:val="auto"/>
          <w:sz w:val="24"/>
          <w:szCs w:val="32"/>
          <w:highlight w:val="none"/>
        </w:rPr>
        <w:t>1.满足《中华人民共和国政府采购法》第二十二条规定；</w:t>
      </w:r>
    </w:p>
    <w:p w14:paraId="3D7F0C3A">
      <w:pPr>
        <w:spacing w:line="360" w:lineRule="auto"/>
        <w:rPr>
          <w:color w:val="auto"/>
          <w:sz w:val="24"/>
          <w:szCs w:val="32"/>
          <w:highlight w:val="none"/>
        </w:rPr>
      </w:pPr>
      <w:bookmarkStart w:id="19" w:name="_Toc28359081"/>
      <w:bookmarkStart w:id="20" w:name="_Toc28359004"/>
      <w:r>
        <w:rPr>
          <w:rFonts w:hint="eastAsia"/>
          <w:color w:val="auto"/>
          <w:sz w:val="24"/>
          <w:szCs w:val="32"/>
          <w:highlight w:val="none"/>
        </w:rPr>
        <w:t>2.落实政府采购政策需满足的资格要求：</w:t>
      </w:r>
    </w:p>
    <w:p w14:paraId="45F54C4F">
      <w:pPr>
        <w:spacing w:line="360" w:lineRule="auto"/>
        <w:rPr>
          <w:color w:val="auto"/>
          <w:sz w:val="24"/>
          <w:szCs w:val="32"/>
          <w:highlight w:val="none"/>
        </w:rPr>
      </w:pPr>
      <w:r>
        <w:rPr>
          <w:rFonts w:hint="eastAsia"/>
          <w:color w:val="auto"/>
          <w:sz w:val="24"/>
          <w:szCs w:val="32"/>
          <w:highlight w:val="none"/>
        </w:rPr>
        <w:t>2.1 中小企业政策</w:t>
      </w:r>
    </w:p>
    <w:p w14:paraId="6C6B4E89">
      <w:pPr>
        <w:spacing w:line="360" w:lineRule="auto"/>
        <w:rPr>
          <w:color w:val="auto"/>
          <w:sz w:val="24"/>
          <w:szCs w:val="32"/>
          <w:highlight w:val="none"/>
        </w:rPr>
      </w:pPr>
      <w:r>
        <w:rPr>
          <w:rFonts w:hint="eastAsia" w:ascii="微软雅黑" w:hAnsi="微软雅黑" w:eastAsia="微软雅黑" w:cs="微软雅黑"/>
          <w:i w:val="0"/>
          <w:iCs w:val="0"/>
          <w:caps w:val="0"/>
          <w:color w:val="auto"/>
          <w:spacing w:val="0"/>
          <w:sz w:val="24"/>
          <w:szCs w:val="24"/>
          <w:highlight w:val="none"/>
          <w:shd w:val="clear" w:fill="FFFFFF"/>
          <w:lang w:eastAsia="zh-CN"/>
        </w:rPr>
        <w:t>□</w:t>
      </w:r>
      <w:r>
        <w:rPr>
          <w:rFonts w:hint="eastAsia"/>
          <w:color w:val="auto"/>
          <w:sz w:val="24"/>
          <w:szCs w:val="32"/>
          <w:highlight w:val="none"/>
        </w:rPr>
        <w:t>本项目不专门面向中小企业预留采购份额。</w:t>
      </w:r>
    </w:p>
    <w:p w14:paraId="214D0B01">
      <w:pPr>
        <w:spacing w:line="360" w:lineRule="auto"/>
        <w:rPr>
          <w:color w:val="auto"/>
          <w:sz w:val="24"/>
          <w:szCs w:val="32"/>
          <w:highlight w:val="none"/>
        </w:rPr>
      </w:pPr>
      <w:r>
        <w:rPr>
          <w:rFonts w:hint="eastAsia" w:ascii="宋体" w:hAnsi="宋体" w:cs="宋体"/>
          <w:color w:val="auto"/>
          <w:sz w:val="24"/>
          <w:szCs w:val="32"/>
          <w:highlight w:val="none"/>
        </w:rPr>
        <w:t>■</w:t>
      </w:r>
      <w:r>
        <w:rPr>
          <w:rFonts w:hint="eastAsia"/>
          <w:color w:val="auto"/>
          <w:sz w:val="24"/>
          <w:szCs w:val="32"/>
          <w:highlight w:val="none"/>
        </w:rPr>
        <w:t xml:space="preserve">本项目专门面向  </w:t>
      </w:r>
      <w:r>
        <w:rPr>
          <w:rFonts w:hint="eastAsia" w:ascii="宋体" w:hAnsi="宋体" w:cs="宋体"/>
          <w:color w:val="auto"/>
          <w:sz w:val="24"/>
          <w:szCs w:val="32"/>
          <w:highlight w:val="none"/>
        </w:rPr>
        <w:t>■</w:t>
      </w:r>
      <w:r>
        <w:rPr>
          <w:rFonts w:hint="eastAsia"/>
          <w:color w:val="auto"/>
          <w:sz w:val="24"/>
          <w:szCs w:val="32"/>
          <w:highlight w:val="none"/>
        </w:rPr>
        <w:t>中小</w:t>
      </w:r>
      <w:r>
        <w:rPr>
          <w:rFonts w:hint="eastAsia"/>
          <w:color w:val="auto"/>
          <w:sz w:val="24"/>
          <w:szCs w:val="32"/>
          <w:highlight w:val="none"/>
          <w:lang w:val="en-US" w:eastAsia="zh-CN"/>
        </w:rPr>
        <w:t xml:space="preserve">  </w:t>
      </w:r>
      <w:r>
        <w:rPr>
          <w:rFonts w:hint="eastAsia" w:ascii="微软雅黑" w:hAnsi="微软雅黑" w:eastAsia="微软雅黑" w:cs="微软雅黑"/>
          <w:i w:val="0"/>
          <w:iCs w:val="0"/>
          <w:caps w:val="0"/>
          <w:color w:val="auto"/>
          <w:spacing w:val="0"/>
          <w:sz w:val="24"/>
          <w:szCs w:val="24"/>
          <w:highlight w:val="none"/>
          <w:shd w:val="clear" w:fill="FFFFFF"/>
          <w:lang w:eastAsia="zh-CN"/>
        </w:rPr>
        <w:t>□</w:t>
      </w:r>
      <w:r>
        <w:rPr>
          <w:rFonts w:hint="eastAsia"/>
          <w:color w:val="auto"/>
          <w:sz w:val="24"/>
          <w:szCs w:val="32"/>
          <w:highlight w:val="none"/>
        </w:rPr>
        <w:t>小微企业  采购。即：提供的货物全部由符合政策要求的中小/小微企业制造、服务全部由符合政策要求的中小/小微企业承接。</w:t>
      </w:r>
    </w:p>
    <w:p w14:paraId="76249E0B">
      <w:pPr>
        <w:spacing w:line="360" w:lineRule="auto"/>
        <w:rPr>
          <w:rFonts w:hint="eastAsia" w:ascii="宋体" w:hAnsi="宋体" w:cs="宋体"/>
          <w:color w:val="auto"/>
          <w:sz w:val="24"/>
          <w:szCs w:val="24"/>
          <w:highlight w:val="none"/>
          <w:u w:val="single"/>
          <w:lang w:val="en-US" w:eastAsia="zh-CN"/>
        </w:rPr>
      </w:pPr>
      <w:r>
        <w:rPr>
          <w:rFonts w:ascii="微软雅黑" w:hAnsi="微软雅黑" w:eastAsia="微软雅黑" w:cs="微软雅黑"/>
          <w:i w:val="0"/>
          <w:iCs w:val="0"/>
          <w:caps w:val="0"/>
          <w:color w:val="auto"/>
          <w:spacing w:val="0"/>
          <w:sz w:val="24"/>
          <w:szCs w:val="24"/>
          <w:highlight w:val="none"/>
          <w:shd w:val="clear" w:fill="FFFFFF"/>
        </w:rPr>
        <w:t>□</w:t>
      </w:r>
      <w:r>
        <w:rPr>
          <w:rFonts w:hint="eastAsia"/>
          <w:color w:val="auto"/>
          <w:sz w:val="24"/>
          <w:szCs w:val="32"/>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color w:val="auto"/>
          <w:sz w:val="24"/>
          <w:szCs w:val="32"/>
          <w:highlight w:val="none"/>
          <w:lang w:val="en-US" w:eastAsia="zh-CN"/>
        </w:rPr>
        <w:t xml:space="preserve"> </w:t>
      </w:r>
      <w:r>
        <w:rPr>
          <w:rFonts w:hint="eastAsia" w:ascii="宋体" w:hAnsi="宋体" w:cs="宋体"/>
          <w:color w:val="auto"/>
          <w:sz w:val="24"/>
          <w:szCs w:val="24"/>
          <w:highlight w:val="none"/>
          <w:u w:val="single"/>
          <w:lang w:val="en-US" w:eastAsia="zh-CN"/>
        </w:rPr>
        <w:t>/</w:t>
      </w:r>
    </w:p>
    <w:p w14:paraId="2ACCE62B">
      <w:pPr>
        <w:spacing w:line="360" w:lineRule="auto"/>
        <w:rPr>
          <w:color w:val="auto"/>
          <w:sz w:val="24"/>
          <w:szCs w:val="32"/>
          <w:highlight w:val="none"/>
        </w:rPr>
      </w:pPr>
      <w:r>
        <w:rPr>
          <w:rFonts w:hint="eastAsia"/>
          <w:color w:val="auto"/>
          <w:sz w:val="24"/>
          <w:szCs w:val="32"/>
          <w:highlight w:val="none"/>
        </w:rPr>
        <w:t>2.2 其它落实政府采购政策的资格要求（如有）：/</w:t>
      </w:r>
    </w:p>
    <w:p w14:paraId="20CCEDA8">
      <w:pPr>
        <w:spacing w:line="360" w:lineRule="auto"/>
        <w:rPr>
          <w:rFonts w:hint="default" w:eastAsia="宋体"/>
          <w:color w:val="auto"/>
          <w:sz w:val="24"/>
          <w:szCs w:val="32"/>
          <w:highlight w:val="none"/>
          <w:lang w:val="en-US" w:eastAsia="zh-CN"/>
        </w:rPr>
      </w:pPr>
      <w:r>
        <w:rPr>
          <w:rFonts w:hint="eastAsia"/>
          <w:color w:val="auto"/>
          <w:sz w:val="24"/>
          <w:szCs w:val="32"/>
          <w:highlight w:val="none"/>
        </w:rPr>
        <w:t>3.本项目的特定资格要求：</w:t>
      </w:r>
    </w:p>
    <w:p w14:paraId="5C81445D">
      <w:pPr>
        <w:spacing w:line="360" w:lineRule="auto"/>
        <w:rPr>
          <w:color w:val="auto"/>
          <w:sz w:val="24"/>
          <w:szCs w:val="32"/>
          <w:highlight w:val="none"/>
        </w:rPr>
      </w:pPr>
      <w:r>
        <w:rPr>
          <w:rFonts w:hint="eastAsia"/>
          <w:color w:val="auto"/>
          <w:sz w:val="24"/>
          <w:szCs w:val="32"/>
          <w:highlight w:val="none"/>
        </w:rPr>
        <w:t>3.1本项目是否属于政府购买服务：</w:t>
      </w:r>
    </w:p>
    <w:p w14:paraId="0D69AD40">
      <w:pPr>
        <w:spacing w:line="360" w:lineRule="auto"/>
        <w:ind w:firstLine="480" w:firstLineChars="200"/>
        <w:rPr>
          <w:color w:val="auto"/>
          <w:sz w:val="24"/>
          <w:szCs w:val="32"/>
          <w:highlight w:val="none"/>
        </w:rPr>
      </w:pPr>
      <w:r>
        <w:rPr>
          <w:rFonts w:hint="eastAsia" w:ascii="宋体" w:hAnsi="宋体" w:cs="宋体"/>
          <w:color w:val="auto"/>
          <w:sz w:val="24"/>
          <w:szCs w:val="32"/>
          <w:highlight w:val="none"/>
        </w:rPr>
        <w:t>■</w:t>
      </w:r>
      <w:r>
        <w:rPr>
          <w:rFonts w:hint="eastAsia"/>
          <w:color w:val="auto"/>
          <w:sz w:val="24"/>
          <w:szCs w:val="32"/>
          <w:highlight w:val="none"/>
        </w:rPr>
        <w:t>否</w:t>
      </w:r>
    </w:p>
    <w:p w14:paraId="3E400804">
      <w:pPr>
        <w:spacing w:line="360" w:lineRule="auto"/>
        <w:ind w:firstLine="480" w:firstLineChars="200"/>
        <w:rPr>
          <w:rFonts w:hint="default" w:eastAsia="宋体"/>
          <w:color w:val="auto"/>
          <w:sz w:val="24"/>
          <w:szCs w:val="32"/>
          <w:highlight w:val="none"/>
          <w:lang w:val="en-US" w:eastAsia="zh-CN"/>
        </w:rPr>
      </w:pPr>
      <w:r>
        <w:rPr>
          <w:rFonts w:ascii="微软雅黑" w:hAnsi="微软雅黑" w:eastAsia="微软雅黑" w:cs="微软雅黑"/>
          <w:i w:val="0"/>
          <w:iCs w:val="0"/>
          <w:caps w:val="0"/>
          <w:color w:val="auto"/>
          <w:spacing w:val="0"/>
          <w:sz w:val="24"/>
          <w:szCs w:val="24"/>
          <w:highlight w:val="none"/>
          <w:shd w:val="clear" w:fill="FFFFFF"/>
        </w:rPr>
        <w:t>□</w:t>
      </w:r>
      <w:r>
        <w:rPr>
          <w:rFonts w:hint="eastAsia"/>
          <w:color w:val="auto"/>
          <w:sz w:val="24"/>
          <w:szCs w:val="32"/>
          <w:highlight w:val="none"/>
        </w:rPr>
        <w:t>是，公益一类事业单位、使用事业编制且由财政拨款保障的群团组织，不得作为承接主体；</w:t>
      </w:r>
    </w:p>
    <w:p w14:paraId="78FF695B">
      <w:pPr>
        <w:pStyle w:val="59"/>
        <w:spacing w:line="360" w:lineRule="auto"/>
        <w:ind w:left="410" w:hanging="410"/>
        <w:rPr>
          <w:rFonts w:hint="eastAsia" w:ascii="宋体" w:eastAsia="宋体" w:cs="宋体"/>
          <w:color w:val="auto"/>
          <w:sz w:val="24"/>
          <w:szCs w:val="32"/>
          <w:highlight w:val="none"/>
          <w:lang w:val="en-US" w:eastAsia="zh-CN"/>
        </w:rPr>
      </w:pPr>
      <w:r>
        <w:rPr>
          <w:rFonts w:hint="eastAsia" w:ascii="Times New Roman" w:hAnsi="Times New Roman" w:eastAsia="宋体" w:cs="Times New Roman"/>
          <w:color w:val="auto"/>
          <w:kern w:val="2"/>
          <w:sz w:val="24"/>
          <w:szCs w:val="32"/>
          <w:highlight w:val="none"/>
          <w:lang w:val="en-US" w:eastAsia="zh-CN" w:bidi="ar-SA"/>
        </w:rPr>
        <w:t>3.2</w:t>
      </w:r>
      <w:r>
        <w:rPr>
          <w:rFonts w:hint="eastAsia"/>
          <w:color w:val="auto"/>
          <w:sz w:val="24"/>
          <w:szCs w:val="32"/>
          <w:highlight w:val="none"/>
        </w:rPr>
        <w:t>其他</w:t>
      </w:r>
      <w:r>
        <w:rPr>
          <w:rFonts w:hint="eastAsia" w:ascii="宋体" w:cs="宋体"/>
          <w:color w:val="auto"/>
          <w:sz w:val="24"/>
          <w:szCs w:val="32"/>
          <w:highlight w:val="none"/>
        </w:rPr>
        <w:t>特定资格要求：</w:t>
      </w:r>
      <w:bookmarkEnd w:id="19"/>
      <w:bookmarkEnd w:id="20"/>
      <w:bookmarkStart w:id="21" w:name="_Toc35393623"/>
      <w:bookmarkStart w:id="22" w:name="_Toc35393792"/>
      <w:r>
        <w:rPr>
          <w:rFonts w:hint="eastAsia" w:ascii="宋体" w:cs="宋体"/>
          <w:color w:val="auto"/>
          <w:sz w:val="24"/>
          <w:szCs w:val="32"/>
          <w:highlight w:val="none"/>
        </w:rPr>
        <w:t>投标人如为经销商须提供《医疗器械经营许可证》所投产品提供医疗器械注册证；投标人如为生产厂家，须提供《医疗器械生产许可证》所投产品提供医疗器械注册证。</w:t>
      </w:r>
    </w:p>
    <w:p w14:paraId="5BF9815D">
      <w:pPr>
        <w:pStyle w:val="59"/>
        <w:spacing w:line="360" w:lineRule="auto"/>
        <w:ind w:left="410" w:hanging="41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三、获取招标文件</w:t>
      </w:r>
      <w:bookmarkEnd w:id="21"/>
      <w:bookmarkEnd w:id="22"/>
    </w:p>
    <w:p w14:paraId="6397EFBF">
      <w:pPr>
        <w:spacing w:line="360" w:lineRule="auto"/>
        <w:ind w:firstLine="480" w:firstLineChars="200"/>
        <w:rPr>
          <w:color w:val="auto"/>
          <w:sz w:val="24"/>
          <w:szCs w:val="32"/>
          <w:highlight w:val="none"/>
        </w:rPr>
      </w:pPr>
      <w:r>
        <w:rPr>
          <w:rFonts w:hint="eastAsia"/>
          <w:color w:val="auto"/>
          <w:sz w:val="24"/>
          <w:szCs w:val="32"/>
          <w:highlight w:val="none"/>
        </w:rPr>
        <w:t>1.时间：202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3</w:t>
      </w:r>
      <w:r>
        <w:rPr>
          <w:rFonts w:hint="eastAsia"/>
          <w:color w:val="auto"/>
          <w:sz w:val="24"/>
          <w:szCs w:val="32"/>
          <w:highlight w:val="none"/>
        </w:rPr>
        <w:t>月</w:t>
      </w:r>
      <w:r>
        <w:rPr>
          <w:rFonts w:hint="eastAsia"/>
          <w:color w:val="auto"/>
          <w:sz w:val="24"/>
          <w:szCs w:val="32"/>
          <w:highlight w:val="none"/>
          <w:lang w:val="en-US" w:eastAsia="zh-CN"/>
        </w:rPr>
        <w:t>23</w:t>
      </w:r>
      <w:r>
        <w:rPr>
          <w:rFonts w:hint="eastAsia"/>
          <w:color w:val="auto"/>
          <w:sz w:val="24"/>
          <w:szCs w:val="32"/>
          <w:highlight w:val="none"/>
        </w:rPr>
        <w:t>日至202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3</w:t>
      </w:r>
      <w:r>
        <w:rPr>
          <w:rFonts w:hint="eastAsia"/>
          <w:color w:val="auto"/>
          <w:sz w:val="24"/>
          <w:szCs w:val="32"/>
          <w:highlight w:val="none"/>
        </w:rPr>
        <w:t>月</w:t>
      </w:r>
      <w:r>
        <w:rPr>
          <w:rFonts w:hint="eastAsia"/>
          <w:color w:val="auto"/>
          <w:sz w:val="24"/>
          <w:szCs w:val="32"/>
          <w:highlight w:val="none"/>
          <w:lang w:val="en-US" w:eastAsia="zh-CN"/>
        </w:rPr>
        <w:t>27</w:t>
      </w:r>
      <w:r>
        <w:rPr>
          <w:rFonts w:hint="eastAsia"/>
          <w:color w:val="auto"/>
          <w:sz w:val="24"/>
          <w:szCs w:val="32"/>
          <w:highlight w:val="none"/>
        </w:rPr>
        <w:t>日，每天上午8：00至12:00，下午12:00至17:00（北京时间，法定节假日除外）。</w:t>
      </w:r>
    </w:p>
    <w:p w14:paraId="3DF675EA">
      <w:pPr>
        <w:wordWrap w:val="0"/>
        <w:spacing w:line="360" w:lineRule="auto"/>
        <w:ind w:firstLine="480" w:firstLineChars="200"/>
        <w:jc w:val="left"/>
        <w:rPr>
          <w:color w:val="auto"/>
          <w:sz w:val="24"/>
          <w:szCs w:val="32"/>
          <w:highlight w:val="none"/>
        </w:rPr>
      </w:pPr>
      <w:r>
        <w:rPr>
          <w:rFonts w:hint="eastAsia"/>
          <w:color w:val="auto"/>
          <w:sz w:val="24"/>
          <w:szCs w:val="32"/>
          <w:highlight w:val="none"/>
        </w:rPr>
        <w:t>2.地点：北京市政府采购电子交易平台（http://zbcg-bjzc.zhongcy.com/bjczj-portal-site/#/home）。</w:t>
      </w:r>
    </w:p>
    <w:p w14:paraId="7C89615B">
      <w:pPr>
        <w:spacing w:line="360" w:lineRule="auto"/>
        <w:ind w:firstLine="480" w:firstLineChars="200"/>
        <w:rPr>
          <w:color w:val="auto"/>
          <w:sz w:val="24"/>
          <w:szCs w:val="32"/>
          <w:highlight w:val="none"/>
        </w:rPr>
      </w:pPr>
      <w:bookmarkStart w:id="23" w:name="_Toc28359082"/>
      <w:bookmarkStart w:id="24" w:name="_Toc28359005"/>
      <w:bookmarkStart w:id="25" w:name="_Toc35393624"/>
      <w:bookmarkStart w:id="26" w:name="_Toc35393793"/>
      <w:r>
        <w:rPr>
          <w:rFonts w:hint="eastAsia"/>
          <w:color w:val="auto"/>
          <w:sz w:val="24"/>
          <w:szCs w:val="32"/>
          <w:highlight w:val="none"/>
        </w:rPr>
        <w:t>3.方式：供应商使用 CA 数字证书或电子营业执照登录北京市政府采购电子交易平台（http://zbcg-bjzc.zhongcy.com/bjczj-portal-site/index.html#/home）获取电子版招标文件。</w:t>
      </w:r>
    </w:p>
    <w:p w14:paraId="21BE9CCC">
      <w:pPr>
        <w:spacing w:line="360" w:lineRule="auto"/>
        <w:ind w:firstLine="480" w:firstLineChars="200"/>
        <w:rPr>
          <w:color w:val="auto"/>
          <w:sz w:val="24"/>
          <w:szCs w:val="32"/>
          <w:highlight w:val="none"/>
        </w:rPr>
      </w:pPr>
      <w:r>
        <w:rPr>
          <w:rFonts w:hint="eastAsia"/>
          <w:color w:val="auto"/>
          <w:sz w:val="24"/>
          <w:szCs w:val="32"/>
          <w:highlight w:val="none"/>
        </w:rPr>
        <w:t>售价：0元。</w:t>
      </w:r>
    </w:p>
    <w:p w14:paraId="6C9FE3B6">
      <w:pPr>
        <w:pStyle w:val="3"/>
        <w:widowControl/>
        <w:spacing w:before="0" w:line="360" w:lineRule="auto"/>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四、提交投标文件</w:t>
      </w:r>
      <w:bookmarkEnd w:id="23"/>
      <w:bookmarkEnd w:id="24"/>
      <w:r>
        <w:rPr>
          <w:rFonts w:hint="eastAsia" w:ascii="宋体" w:hAnsi="宋体" w:eastAsia="宋体" w:cs="宋体"/>
          <w:color w:val="auto"/>
          <w:sz w:val="24"/>
          <w:szCs w:val="24"/>
          <w:highlight w:val="none"/>
        </w:rPr>
        <w:t>截止时间、开标时间和地点</w:t>
      </w:r>
      <w:bookmarkEnd w:id="25"/>
      <w:bookmarkEnd w:id="26"/>
    </w:p>
    <w:p w14:paraId="7B604F79">
      <w:pPr>
        <w:spacing w:line="360" w:lineRule="auto"/>
        <w:ind w:firstLine="480" w:firstLineChars="200"/>
        <w:rPr>
          <w:color w:val="auto"/>
          <w:sz w:val="24"/>
          <w:szCs w:val="32"/>
          <w:highlight w:val="none"/>
        </w:rPr>
      </w:pPr>
      <w:r>
        <w:rPr>
          <w:rFonts w:hint="eastAsia"/>
          <w:color w:val="auto"/>
          <w:sz w:val="24"/>
          <w:szCs w:val="32"/>
          <w:highlight w:val="none"/>
        </w:rPr>
        <w:t>投标截止时间、开标时间：202</w:t>
      </w:r>
      <w:r>
        <w:rPr>
          <w:rFonts w:hint="eastAsia"/>
          <w:color w:val="auto"/>
          <w:sz w:val="24"/>
          <w:szCs w:val="32"/>
          <w:highlight w:val="none"/>
          <w:lang w:val="en-US" w:eastAsia="zh-CN"/>
        </w:rPr>
        <w:t>6</w:t>
      </w:r>
      <w:r>
        <w:rPr>
          <w:rFonts w:hint="eastAsia"/>
          <w:color w:val="auto"/>
          <w:sz w:val="24"/>
          <w:szCs w:val="32"/>
          <w:highlight w:val="none"/>
        </w:rPr>
        <w:t>年</w:t>
      </w:r>
      <w:r>
        <w:rPr>
          <w:rFonts w:hint="eastAsia"/>
          <w:color w:val="auto"/>
          <w:sz w:val="24"/>
          <w:szCs w:val="32"/>
          <w:highlight w:val="none"/>
          <w:lang w:val="en-US" w:eastAsia="zh-CN"/>
        </w:rPr>
        <w:t>4</w:t>
      </w:r>
      <w:r>
        <w:rPr>
          <w:rFonts w:hint="eastAsia"/>
          <w:color w:val="auto"/>
          <w:sz w:val="24"/>
          <w:szCs w:val="32"/>
          <w:highlight w:val="none"/>
        </w:rPr>
        <w:t>月</w:t>
      </w:r>
      <w:r>
        <w:rPr>
          <w:rFonts w:hint="eastAsia"/>
          <w:color w:val="auto"/>
          <w:sz w:val="24"/>
          <w:szCs w:val="32"/>
          <w:highlight w:val="none"/>
          <w:lang w:val="en-US" w:eastAsia="zh-CN"/>
        </w:rPr>
        <w:t>13</w:t>
      </w:r>
      <w:r>
        <w:rPr>
          <w:rFonts w:hint="eastAsia"/>
          <w:color w:val="auto"/>
          <w:sz w:val="24"/>
          <w:szCs w:val="32"/>
          <w:highlight w:val="none"/>
        </w:rPr>
        <w:t>日9点30分（北京时间）。</w:t>
      </w:r>
    </w:p>
    <w:p w14:paraId="3F64DA23">
      <w:pPr>
        <w:spacing w:line="360" w:lineRule="auto"/>
        <w:ind w:firstLine="480" w:firstLineChars="200"/>
        <w:rPr>
          <w:rFonts w:ascii="宋体" w:hAnsi="宋体" w:cs="宋体"/>
          <w:color w:val="auto"/>
          <w:sz w:val="24"/>
          <w:highlight w:val="none"/>
          <w:lang w:val="zh-TW" w:bidi="ar"/>
        </w:rPr>
      </w:pPr>
      <w:r>
        <w:rPr>
          <w:rFonts w:hint="eastAsia" w:ascii="宋体" w:hAnsi="宋体" w:cs="宋体"/>
          <w:color w:val="auto"/>
          <w:sz w:val="24"/>
          <w:highlight w:val="none"/>
          <w:lang w:bidi="ar"/>
        </w:rPr>
        <w:t>地点：北京市顺义区复兴东街3号院顺义区政务服务中心6号电梯厅二层开标区（具体开标室见当日大屏幕）</w:t>
      </w:r>
      <w:r>
        <w:rPr>
          <w:rFonts w:hint="eastAsia" w:ascii="宋体" w:hAnsi="宋体" w:cs="宋体"/>
          <w:color w:val="auto"/>
          <w:sz w:val="24"/>
          <w:highlight w:val="none"/>
          <w:lang w:val="zh-TW" w:bidi="ar"/>
        </w:rPr>
        <w:t>。</w:t>
      </w:r>
    </w:p>
    <w:p w14:paraId="7D09EA7F">
      <w:pPr>
        <w:pStyle w:val="3"/>
        <w:spacing w:before="0" w:line="360" w:lineRule="auto"/>
        <w:jc w:val="left"/>
        <w:rPr>
          <w:rFonts w:ascii="宋体" w:hAnsi="宋体" w:eastAsia="宋体" w:cs="宋体"/>
          <w:color w:val="auto"/>
          <w:sz w:val="24"/>
          <w:szCs w:val="24"/>
          <w:highlight w:val="none"/>
        </w:rPr>
      </w:pPr>
      <w:bookmarkStart w:id="27" w:name="_Toc28359007"/>
      <w:bookmarkStart w:id="28" w:name="_Toc28359084"/>
      <w:bookmarkStart w:id="29" w:name="_Toc35393625"/>
      <w:bookmarkStart w:id="30" w:name="_Toc35393794"/>
      <w:r>
        <w:rPr>
          <w:rFonts w:hint="eastAsia" w:ascii="宋体" w:hAnsi="宋体" w:eastAsia="宋体" w:cs="宋体"/>
          <w:color w:val="auto"/>
          <w:sz w:val="24"/>
          <w:szCs w:val="24"/>
          <w:highlight w:val="none"/>
        </w:rPr>
        <w:t>五、公告期限</w:t>
      </w:r>
      <w:bookmarkEnd w:id="27"/>
      <w:bookmarkEnd w:id="28"/>
      <w:bookmarkEnd w:id="29"/>
      <w:bookmarkEnd w:id="30"/>
    </w:p>
    <w:p w14:paraId="194B026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5AC07E5A">
      <w:pPr>
        <w:pStyle w:val="3"/>
        <w:numPr>
          <w:ilvl w:val="0"/>
          <w:numId w:val="8"/>
        </w:numPr>
        <w:spacing w:before="0" w:line="360" w:lineRule="auto"/>
        <w:jc w:val="left"/>
        <w:rPr>
          <w:rFonts w:ascii="宋体" w:hAnsi="宋体" w:eastAsia="宋体" w:cs="宋体"/>
          <w:color w:val="auto"/>
          <w:highlight w:val="none"/>
        </w:rPr>
      </w:pPr>
      <w:bookmarkStart w:id="31" w:name="_Toc35393626"/>
      <w:bookmarkStart w:id="32" w:name="_Toc35393795"/>
      <w:r>
        <w:rPr>
          <w:rFonts w:hint="eastAsia" w:ascii="宋体" w:hAnsi="宋体" w:eastAsia="宋体" w:cs="宋体"/>
          <w:color w:val="auto"/>
          <w:sz w:val="24"/>
          <w:szCs w:val="24"/>
          <w:highlight w:val="none"/>
        </w:rPr>
        <w:t>其他补充事宜</w:t>
      </w:r>
      <w:bookmarkEnd w:id="31"/>
      <w:bookmarkEnd w:id="32"/>
    </w:p>
    <w:p w14:paraId="6F547600">
      <w:pPr>
        <w:spacing w:line="360" w:lineRule="auto"/>
        <w:ind w:firstLine="482" w:firstLineChars="200"/>
        <w:rPr>
          <w:rFonts w:ascii="宋体" w:hAnsi="宋体" w:cs="宋体"/>
          <w:color w:val="auto"/>
          <w:sz w:val="24"/>
          <w:highlight w:val="none"/>
          <w:lang w:bidi="ar"/>
        </w:rPr>
      </w:pPr>
      <w:bookmarkStart w:id="33" w:name="_Toc35393627"/>
      <w:bookmarkStart w:id="34" w:name="_Toc28359085"/>
      <w:bookmarkStart w:id="35" w:name="_Toc28359008"/>
      <w:bookmarkStart w:id="36" w:name="_Toc35393796"/>
      <w:r>
        <w:rPr>
          <w:rFonts w:hint="eastAsia" w:ascii="宋体" w:hAnsi="宋体" w:cs="宋体"/>
          <w:b/>
          <w:bCs/>
          <w:color w:val="auto"/>
          <w:sz w:val="24"/>
          <w:highlight w:val="none"/>
        </w:rPr>
        <w:t>1、本项目需要落实的政府采购政策：</w:t>
      </w:r>
    </w:p>
    <w:p w14:paraId="18E189A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1）执行《财政部发展改革委关于印发《节能产品政府采购品目清单》的通知》（财库[2019]19号）；</w:t>
      </w:r>
    </w:p>
    <w:p w14:paraId="00CEB1E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2）执行《财政部生态环境部关于印发《环境标志产品政府采购品目清单》的通知（财库[2019]18号）；</w:t>
      </w:r>
    </w:p>
    <w:p w14:paraId="261AD502">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3）执行财政部、工业和信息化部关于印发《政府采购促进中小企业发展管理办法》的通知财库〔2020〕46号；</w:t>
      </w:r>
    </w:p>
    <w:p w14:paraId="7422ABD2">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4）执行《财政部、司法部关于政府采购支持监狱企业发展有关问题的通知》（财库[2014]68号）；</w:t>
      </w:r>
    </w:p>
    <w:p w14:paraId="27E710EF">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5</w:t>
      </w:r>
      <w:r>
        <w:rPr>
          <w:rFonts w:hint="eastAsia"/>
          <w:color w:val="auto"/>
          <w:highlight w:val="none"/>
          <w:shd w:val="clear" w:color="auto" w:fill="FFFFFF"/>
        </w:rPr>
        <w:t>）执行《关于促进残疾人就业政府采购政策的通知》（财库〔2017〕141号）；</w:t>
      </w:r>
    </w:p>
    <w:p w14:paraId="20D218A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6</w:t>
      </w:r>
      <w:r>
        <w:rPr>
          <w:rFonts w:hint="eastAsia"/>
          <w:color w:val="auto"/>
          <w:highlight w:val="none"/>
          <w:shd w:val="clear" w:color="auto" w:fill="FFFFFF"/>
        </w:rPr>
        <w:t>）执行《财政部关于在政府采购活动中查询及使用信用记录有关问题的通知》（财库[2016]125号）等相关政策。</w:t>
      </w:r>
    </w:p>
    <w:p w14:paraId="7A25537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7</w:t>
      </w:r>
      <w:r>
        <w:rPr>
          <w:rFonts w:hint="eastAsia"/>
          <w:color w:val="auto"/>
          <w:highlight w:val="none"/>
          <w:shd w:val="clear" w:color="auto" w:fill="FFFFFF"/>
        </w:rPr>
        <w:t>）执行《北京市财政局关于落实好政府采购支持中小企业发展的通知》（京财〔2022〕1143号）。</w:t>
      </w:r>
    </w:p>
    <w:p w14:paraId="18AB1600">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lang w:val="en-US" w:eastAsia="zh-CN"/>
        </w:rPr>
        <w:t>8</w:t>
      </w:r>
      <w:r>
        <w:rPr>
          <w:rFonts w:hint="eastAsia"/>
          <w:color w:val="auto"/>
          <w:highlight w:val="none"/>
          <w:shd w:val="clear" w:color="auto" w:fill="FFFFFF"/>
        </w:rPr>
        <w:t>）执行《关于进一步加大政府采购支持中小企业力度的通知》（财库〔2022〕19号）。</w:t>
      </w:r>
    </w:p>
    <w:p w14:paraId="20BE0868">
      <w:pPr>
        <w:pStyle w:val="40"/>
        <w:spacing w:before="0" w:beforeAutospacing="0" w:after="0" w:afterAutospacing="0" w:line="360" w:lineRule="auto"/>
        <w:rPr>
          <w:b/>
          <w:color w:val="auto"/>
          <w:highlight w:val="none"/>
          <w:shd w:val="clear" w:color="auto" w:fill="FFFFFF"/>
        </w:rPr>
      </w:pPr>
      <w:r>
        <w:rPr>
          <w:rFonts w:hint="eastAsia"/>
          <w:b/>
          <w:color w:val="auto"/>
          <w:highlight w:val="none"/>
          <w:shd w:val="clear" w:color="auto" w:fill="FFFFFF"/>
        </w:rPr>
        <w:t>2、供应商需递交电子投标文件1份。</w:t>
      </w:r>
    </w:p>
    <w:p w14:paraId="1628C43D">
      <w:pPr>
        <w:pStyle w:val="40"/>
        <w:spacing w:before="0" w:beforeAutospacing="0" w:after="0" w:afterAutospacing="0" w:line="360" w:lineRule="auto"/>
        <w:ind w:firstLine="240" w:firstLineChars="100"/>
        <w:rPr>
          <w:color w:val="auto"/>
          <w:highlight w:val="none"/>
          <w:shd w:val="clear" w:color="auto" w:fill="FFFFFF"/>
        </w:rPr>
      </w:pPr>
      <w:r>
        <w:rPr>
          <w:rFonts w:hint="eastAsia"/>
          <w:color w:val="auto"/>
          <w:highlight w:val="none"/>
          <w:shd w:val="clear" w:color="auto" w:fill="FFFFFF"/>
        </w:rPr>
        <w:t>（1）供应商的法定代表人或其委托代理人，应携带加密电子投标文件相对应的移动数字证书CA，准时到现场参加开标。</w:t>
      </w:r>
    </w:p>
    <w:p w14:paraId="5C64383B">
      <w:pPr>
        <w:pStyle w:val="40"/>
        <w:spacing w:before="0" w:beforeAutospacing="0" w:after="0" w:afterAutospacing="0" w:line="360" w:lineRule="auto"/>
        <w:ind w:firstLine="240" w:firstLineChars="100"/>
        <w:rPr>
          <w:color w:val="auto"/>
          <w:highlight w:val="none"/>
          <w:shd w:val="clear" w:color="auto" w:fill="FFFFFF"/>
        </w:rPr>
      </w:pPr>
      <w:r>
        <w:rPr>
          <w:rFonts w:hint="eastAsia"/>
          <w:color w:val="auto"/>
          <w:highlight w:val="none"/>
          <w:shd w:val="clear" w:color="auto" w:fill="FFFFFF"/>
        </w:rPr>
        <w:t xml:space="preserve">（2）不按照文件要求递交电子投标文件的，采购人及该授权采购代理均不予受理。 </w:t>
      </w:r>
    </w:p>
    <w:p w14:paraId="6174BC22">
      <w:pPr>
        <w:pStyle w:val="40"/>
        <w:spacing w:before="0" w:beforeAutospacing="0" w:after="0" w:afterAutospacing="0" w:line="360" w:lineRule="auto"/>
        <w:rPr>
          <w:b/>
          <w:bCs/>
          <w:color w:val="auto"/>
          <w:highlight w:val="none"/>
          <w:shd w:val="clear" w:color="auto" w:fill="FFFFFF"/>
        </w:rPr>
      </w:pPr>
      <w:r>
        <w:rPr>
          <w:rFonts w:hint="eastAsia"/>
          <w:b/>
          <w:bCs/>
          <w:color w:val="auto"/>
          <w:highlight w:val="none"/>
          <w:shd w:val="clear" w:color="auto" w:fill="FFFFFF"/>
        </w:rPr>
        <w:t>3、电子标相关说明及注意事项</w:t>
      </w:r>
    </w:p>
    <w:p w14:paraId="6F41D6A1">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本项目采用全流程电子化采购方式，请供应商认真学习北京市政府采购电子交易平台发布的相关操作手册（供应商可在交易平台下载相关手册），办理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797A9883">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CA数字证书服务热线010-58511086</w:t>
      </w:r>
    </w:p>
    <w:p w14:paraId="029D4C8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电子营业执照服务热线400-699-7000</w:t>
      </w:r>
    </w:p>
    <w:p w14:paraId="7F309349">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技术支持服务热线010-86483801</w:t>
      </w:r>
    </w:p>
    <w:p w14:paraId="5A285CED">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3.1 办理CA 数字证书或电子营业执照</w:t>
      </w:r>
    </w:p>
    <w:p w14:paraId="0BBAC37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供应商登录北京市政府采购电子交易平台查阅用户指南—操作指南—市场主体CA办理操作流程指引/电子营业执照使用指南，按照程序要求办理。</w:t>
      </w:r>
    </w:p>
    <w:p w14:paraId="179085F0">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3.2 注册</w:t>
      </w:r>
    </w:p>
    <w:p w14:paraId="3C49829F">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供应商登录北京市政府采购电子交易平台用户指南—操作指南—市场主体注册入库操作流程指引进行自助注册绑定。</w:t>
      </w:r>
    </w:p>
    <w:p w14:paraId="28EC709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3.3 驱动、客户端下载</w:t>
      </w:r>
    </w:p>
    <w:p w14:paraId="312AFAD4">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供应商登录北京市政府采购电子交易平台用户指南—工具下载—招标采购系统文件驱动安装包下载相关驱动。</w:t>
      </w:r>
    </w:p>
    <w:p w14:paraId="09B03EF5">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供应商登录北京市政府采购电子交易平台用户指南—工具下载—投标文件编制工具下载相关客户端。</w:t>
      </w:r>
    </w:p>
    <w:p w14:paraId="7BCBBBC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3.4 获取电子招标文件</w:t>
      </w:r>
    </w:p>
    <w:p w14:paraId="452BC067">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供应商使用CA数字证书或电子营业执照登录北京市政府采购电子交易平台获取电子招标文件。</w:t>
      </w:r>
    </w:p>
    <w:p w14:paraId="21D6EC34">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供应商如计划参与多个采购包的投标，应在登录北京市政府采购电子交易平台后，</w:t>
      </w:r>
    </w:p>
    <w:p w14:paraId="4993B691">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在【我的项目】栏目依次选择对应采购包，进入项目工作台招标/采购文件环节分别按</w:t>
      </w:r>
    </w:p>
    <w:p w14:paraId="5456D15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采购包下载招标文件电子版。未在规定期限内按上述操作获取文件的采购包，供应商无</w:t>
      </w:r>
    </w:p>
    <w:p w14:paraId="74FB318F">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法提交相应包的电子投标文件。</w:t>
      </w:r>
    </w:p>
    <w:p w14:paraId="5FE830D0">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3.5 编制电子投标文件</w:t>
      </w:r>
    </w:p>
    <w:p w14:paraId="6628ADE9">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供应商应使用电子投标客户端编制电子投标文件并进行线上投标，供应商电子投标</w:t>
      </w:r>
    </w:p>
    <w:p w14:paraId="30B7EA2F">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文件需要加密并加盖电子签章，如无法按照要求在电子投标文件中加盖电子签章和加密，</w:t>
      </w:r>
    </w:p>
    <w:p w14:paraId="1CF40285">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请及时通过技术支持服务热线联系技术人员。</w:t>
      </w:r>
    </w:p>
    <w:p w14:paraId="3D0413C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3.6 提交电子投标文件</w:t>
      </w:r>
    </w:p>
    <w:p w14:paraId="06A5B78D">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供应商应于投标截止时间前在北京市政府采购电子交易平台提交电子投标文件，上传电子投标文件过程中请保持与互联网的连接畅通。</w:t>
      </w:r>
    </w:p>
    <w:p w14:paraId="16D6B062">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 xml:space="preserve">3.7 电子开标 </w:t>
      </w:r>
    </w:p>
    <w:p w14:paraId="1B812FFB">
      <w:pPr>
        <w:pStyle w:val="40"/>
        <w:spacing w:before="0" w:beforeAutospacing="0" w:after="0" w:afterAutospacing="0" w:line="360" w:lineRule="auto"/>
        <w:ind w:firstLine="482" w:firstLineChars="200"/>
        <w:rPr>
          <w:b/>
          <w:bCs/>
          <w:color w:val="auto"/>
          <w:highlight w:val="none"/>
          <w:shd w:val="clear" w:color="auto" w:fill="FFFFFF"/>
        </w:rPr>
      </w:pPr>
      <w:r>
        <w:rPr>
          <w:rFonts w:hint="eastAsia"/>
          <w:b/>
          <w:bCs/>
          <w:color w:val="auto"/>
          <w:highlight w:val="none"/>
          <w:shd w:val="clear" w:color="auto" w:fill="FFFFFF"/>
        </w:rPr>
        <w:t>（1）供应商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在指定开标地点进行开标。</w:t>
      </w:r>
    </w:p>
    <w:p w14:paraId="43AA6E7A">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（2）在开标当天供应商签到完成且开标时间到达之后对已在系统中递交且完成签到的供应商的投标文件进行解密，解密需使用CA数字证书。</w:t>
      </w:r>
    </w:p>
    <w:p w14:paraId="72AE234B">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3）因供应商忘记数字证书登陆密码、解密数字证书发生故障或用错、故意不在要求时限内完成解密等自身原因，导致投标文件在规定时间内未能解密、解密失败或解密超时，视为供应商放弃投标，由供应商自身承担一切后果。</w:t>
      </w:r>
    </w:p>
    <w:p w14:paraId="2075758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（4）若供应商已申请多把数字证书，请注意使用差别，确保制作的投标文件和开标解密时使用的数字证书一致，造成解密失败的，由供应商负责。</w:t>
      </w:r>
    </w:p>
    <w:p w14:paraId="14AA69CC">
      <w:pPr>
        <w:pStyle w:val="40"/>
        <w:spacing w:before="0" w:beforeAutospacing="0" w:after="0" w:afterAutospacing="0" w:line="360" w:lineRule="auto"/>
        <w:ind w:firstLine="480" w:firstLineChars="200"/>
        <w:rPr>
          <w:color w:val="auto"/>
          <w:highlight w:val="none"/>
          <w:shd w:val="clear" w:color="auto" w:fill="FFFFFF"/>
        </w:rPr>
      </w:pPr>
      <w:r>
        <w:rPr>
          <w:rFonts w:hint="eastAsia"/>
          <w:color w:val="auto"/>
          <w:highlight w:val="none"/>
          <w:shd w:val="clear" w:color="auto" w:fill="FFFFFF"/>
        </w:rPr>
        <w:t>（5）供应商应充分考虑到网络及系统平台可能存在的非正常情况，在投标文件递交截止时间之前完成上传。</w:t>
      </w:r>
    </w:p>
    <w:p w14:paraId="59665841">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4、公告媒体：本公告在中国政府采购网、北京市政府采购网发布。</w:t>
      </w:r>
    </w:p>
    <w:p w14:paraId="591CBA6C">
      <w:pPr>
        <w:pStyle w:val="40"/>
        <w:spacing w:before="0" w:beforeAutospacing="0" w:after="0" w:afterAutospacing="0" w:line="360" w:lineRule="auto"/>
        <w:rPr>
          <w:color w:val="auto"/>
          <w:highlight w:val="none"/>
          <w:shd w:val="clear" w:color="auto" w:fill="FFFFFF"/>
        </w:rPr>
      </w:pPr>
      <w:r>
        <w:rPr>
          <w:rFonts w:hint="eastAsia"/>
          <w:color w:val="auto"/>
          <w:highlight w:val="none"/>
          <w:shd w:val="clear" w:color="auto" w:fill="FFFFFF"/>
        </w:rPr>
        <w:t>5、中标人在领取中标通知书的当日，需提供纸质版投标文件2份。（纸质版响应文件必须与上传电子交易平台的电子文件内容保持一致，可以是上传版电子文件的打印件或复印件）</w:t>
      </w:r>
    </w:p>
    <w:p w14:paraId="587ACF43">
      <w:pPr>
        <w:pStyle w:val="3"/>
        <w:spacing w:before="0" w:line="360" w:lineRule="auto"/>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七、对本次招标提出询问，请按以下方式联系。</w:t>
      </w:r>
      <w:bookmarkEnd w:id="33"/>
      <w:bookmarkEnd w:id="34"/>
      <w:bookmarkEnd w:id="35"/>
      <w:bookmarkEnd w:id="36"/>
    </w:p>
    <w:p w14:paraId="77459915">
      <w:pPr>
        <w:widowControl/>
        <w:spacing w:line="360" w:lineRule="auto"/>
        <w:jc w:val="left"/>
        <w:rPr>
          <w:rFonts w:hint="eastAsia" w:ascii="宋体" w:hAnsi="宋体" w:eastAsia="宋体" w:cs="宋体"/>
          <w:b/>
          <w:color w:val="auto"/>
          <w:sz w:val="24"/>
          <w:highlight w:val="none"/>
        </w:rPr>
      </w:pPr>
      <w:r>
        <w:rPr>
          <w:color w:val="auto"/>
          <w:sz w:val="24"/>
          <w:highlight w:val="none"/>
        </w:rPr>
        <w:t>　　　</w:t>
      </w:r>
      <w:r>
        <w:rPr>
          <w:rFonts w:hint="eastAsia"/>
          <w:color w:val="auto"/>
          <w:sz w:val="24"/>
          <w:highlight w:val="none"/>
          <w:lang w:val="en-US" w:eastAsia="zh-CN"/>
        </w:rPr>
        <w:t xml:space="preserve"> </w:t>
      </w:r>
      <w:r>
        <w:rPr>
          <w:rFonts w:hint="eastAsia" w:ascii="宋体" w:hAnsi="宋体" w:eastAsia="宋体" w:cs="宋体"/>
          <w:b/>
          <w:color w:val="auto"/>
          <w:sz w:val="24"/>
          <w:highlight w:val="none"/>
        </w:rPr>
        <w:t>1.采购人信息</w:t>
      </w:r>
    </w:p>
    <w:p w14:paraId="6AFCAAC1">
      <w:pPr>
        <w:spacing w:line="360" w:lineRule="auto"/>
        <w:ind w:left="1079" w:leftChars="371" w:hanging="300" w:hangingChars="125"/>
        <w:jc w:val="left"/>
        <w:rPr>
          <w:rFonts w:hint="eastAsia" w:ascii="宋体" w:hAnsi="宋体" w:cs="宋体"/>
          <w:color w:val="auto"/>
          <w:sz w:val="24"/>
          <w:highlight w:val="none"/>
          <w:lang w:eastAsia="zh-CN"/>
        </w:rPr>
      </w:pPr>
      <w:bookmarkStart w:id="37" w:name="_Toc28359086"/>
      <w:bookmarkStart w:id="38" w:name="_Toc28359009"/>
      <w:r>
        <w:rPr>
          <w:rFonts w:hint="eastAsia" w:ascii="宋体" w:hAnsi="宋体" w:eastAsia="宋体" w:cs="宋体"/>
          <w:color w:val="auto"/>
          <w:sz w:val="24"/>
          <w:highlight w:val="none"/>
        </w:rPr>
        <w:t>名 称：</w:t>
      </w:r>
      <w:bookmarkEnd w:id="37"/>
      <w:bookmarkEnd w:id="38"/>
      <w:r>
        <w:rPr>
          <w:rFonts w:hint="eastAsia" w:ascii="宋体" w:hAnsi="宋体" w:cs="宋体"/>
          <w:color w:val="auto"/>
          <w:sz w:val="24"/>
          <w:highlight w:val="none"/>
          <w:lang w:eastAsia="zh-CN"/>
        </w:rPr>
        <w:t>北京市顺义区医院</w:t>
      </w:r>
    </w:p>
    <w:p w14:paraId="17A4A9F1">
      <w:pPr>
        <w:spacing w:line="360" w:lineRule="auto"/>
        <w:ind w:left="1079" w:leftChars="371" w:hanging="300" w:hangingChars="125"/>
        <w:jc w:val="left"/>
        <w:rPr>
          <w:rFonts w:hint="eastAsia" w:ascii="宋体" w:hAnsi="宋体" w:eastAsia="宋体" w:cs="宋体"/>
          <w:b w:val="0"/>
          <w:bCs/>
          <w:i w:val="0"/>
          <w:iCs w:val="0"/>
          <w:color w:val="auto"/>
          <w:sz w:val="24"/>
          <w:szCs w:val="24"/>
          <w:highlight w:val="none"/>
          <w:lang w:eastAsia="en-US"/>
        </w:rPr>
      </w:pPr>
      <w:r>
        <w:rPr>
          <w:rFonts w:hint="eastAsia" w:ascii="宋体" w:hAnsi="宋体" w:eastAsia="宋体" w:cs="宋体"/>
          <w:b w:val="0"/>
          <w:bCs/>
          <w:i w:val="0"/>
          <w:iCs w:val="0"/>
          <w:color w:val="auto"/>
          <w:sz w:val="24"/>
          <w:szCs w:val="24"/>
          <w:highlight w:val="none"/>
          <w:lang w:eastAsia="en-US"/>
        </w:rPr>
        <w:t xml:space="preserve">地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址：北京市顺义区光明南街3号</w:t>
      </w:r>
    </w:p>
    <w:p w14:paraId="713730D1">
      <w:pPr>
        <w:spacing w:line="360" w:lineRule="auto"/>
        <w:ind w:left="1079" w:leftChars="371" w:hanging="300" w:hangingChars="125"/>
        <w:jc w:val="left"/>
        <w:rPr>
          <w:rFonts w:hint="default"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联系方式：</w:t>
      </w:r>
      <w:r>
        <w:rPr>
          <w:rFonts w:hint="eastAsia" w:ascii="宋体" w:hAnsi="宋体" w:cs="宋体"/>
          <w:b w:val="0"/>
          <w:bCs/>
          <w:i w:val="0"/>
          <w:iCs w:val="0"/>
          <w:color w:val="auto"/>
          <w:sz w:val="24"/>
          <w:szCs w:val="24"/>
          <w:highlight w:val="none"/>
          <w:lang w:val="en-US" w:eastAsia="zh-CN"/>
        </w:rPr>
        <w:t>张嘉宝/69423220—5863</w:t>
      </w:r>
    </w:p>
    <w:p w14:paraId="41598DB5">
      <w:pPr>
        <w:spacing w:line="360" w:lineRule="auto"/>
        <w:ind w:left="1080" w:leftChars="371" w:hanging="301" w:hangingChars="125"/>
        <w:jc w:val="left"/>
        <w:rPr>
          <w:rFonts w:hint="eastAsia" w:ascii="宋体" w:hAnsi="宋体" w:eastAsia="宋体" w:cs="宋体"/>
          <w:b/>
          <w:bCs w:val="0"/>
          <w:i w:val="0"/>
          <w:iCs w:val="0"/>
          <w:color w:val="auto"/>
          <w:sz w:val="24"/>
          <w:szCs w:val="24"/>
          <w:highlight w:val="none"/>
          <w:lang w:eastAsia="en-US"/>
        </w:rPr>
      </w:pPr>
      <w:r>
        <w:rPr>
          <w:rFonts w:hint="eastAsia" w:ascii="宋体" w:hAnsi="宋体" w:eastAsia="宋体" w:cs="宋体"/>
          <w:b/>
          <w:bCs w:val="0"/>
          <w:i w:val="0"/>
          <w:iCs w:val="0"/>
          <w:color w:val="auto"/>
          <w:sz w:val="24"/>
          <w:szCs w:val="24"/>
          <w:highlight w:val="none"/>
          <w:lang w:eastAsia="en-US"/>
        </w:rPr>
        <w:t>2</w:t>
      </w:r>
      <w:r>
        <w:rPr>
          <w:rFonts w:hint="eastAsia" w:ascii="宋体" w:hAnsi="宋体" w:cs="宋体"/>
          <w:b/>
          <w:bCs w:val="0"/>
          <w:i w:val="0"/>
          <w:iCs w:val="0"/>
          <w:color w:val="auto"/>
          <w:sz w:val="24"/>
          <w:szCs w:val="24"/>
          <w:highlight w:val="none"/>
          <w:lang w:val="en-US" w:eastAsia="zh-CN"/>
        </w:rPr>
        <w:t>.</w:t>
      </w:r>
      <w:r>
        <w:rPr>
          <w:rFonts w:hint="eastAsia" w:ascii="宋体" w:hAnsi="宋体" w:eastAsia="宋体" w:cs="宋体"/>
          <w:b/>
          <w:bCs w:val="0"/>
          <w:i w:val="0"/>
          <w:iCs w:val="0"/>
          <w:color w:val="auto"/>
          <w:sz w:val="24"/>
          <w:szCs w:val="24"/>
          <w:highlight w:val="none"/>
          <w:lang w:eastAsia="en-US"/>
        </w:rPr>
        <w:t>招标代理机构信息</w:t>
      </w:r>
    </w:p>
    <w:p w14:paraId="776AC24C">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eastAsia="zh-CN"/>
        </w:rPr>
      </w:pPr>
      <w:r>
        <w:rPr>
          <w:rFonts w:hint="eastAsia" w:ascii="宋体" w:hAnsi="宋体" w:eastAsia="宋体" w:cs="宋体"/>
          <w:b w:val="0"/>
          <w:bCs/>
          <w:i w:val="0"/>
          <w:iCs w:val="0"/>
          <w:color w:val="auto"/>
          <w:sz w:val="24"/>
          <w:szCs w:val="24"/>
          <w:highlight w:val="none"/>
          <w:lang w:eastAsia="en-US"/>
        </w:rPr>
        <w:t xml:space="preserve">名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称：</w:t>
      </w:r>
      <w:r>
        <w:rPr>
          <w:rFonts w:hint="eastAsia" w:ascii="宋体" w:hAnsi="宋体" w:eastAsia="宋体" w:cs="宋体"/>
          <w:b w:val="0"/>
          <w:bCs/>
          <w:i w:val="0"/>
          <w:iCs w:val="0"/>
          <w:color w:val="auto"/>
          <w:sz w:val="24"/>
          <w:szCs w:val="24"/>
          <w:highlight w:val="none"/>
          <w:lang w:eastAsia="zh-CN"/>
        </w:rPr>
        <w:t>北京中盛宇工程管理有限公司</w:t>
      </w:r>
    </w:p>
    <w:p w14:paraId="45633085">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eastAsia="zh-CN"/>
        </w:rPr>
      </w:pPr>
      <w:r>
        <w:rPr>
          <w:rFonts w:hint="eastAsia" w:ascii="宋体" w:hAnsi="宋体" w:eastAsia="宋体" w:cs="宋体"/>
          <w:b w:val="0"/>
          <w:bCs/>
          <w:i w:val="0"/>
          <w:iCs w:val="0"/>
          <w:color w:val="auto"/>
          <w:sz w:val="24"/>
          <w:szCs w:val="24"/>
          <w:highlight w:val="none"/>
          <w:lang w:eastAsia="en-US"/>
        </w:rPr>
        <w:t xml:space="preserve">地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址：</w:t>
      </w:r>
      <w:r>
        <w:rPr>
          <w:rFonts w:hint="eastAsia" w:ascii="宋体" w:hAnsi="宋体" w:eastAsia="宋体" w:cs="宋体"/>
          <w:b w:val="0"/>
          <w:bCs/>
          <w:i w:val="0"/>
          <w:iCs w:val="0"/>
          <w:color w:val="auto"/>
          <w:sz w:val="24"/>
          <w:szCs w:val="24"/>
          <w:highlight w:val="none"/>
          <w:lang w:eastAsia="zh-CN"/>
        </w:rPr>
        <w:t>北京市顺义区双丰街道顺安南路12号一区26号楼北侧三层</w:t>
      </w:r>
    </w:p>
    <w:p w14:paraId="66F1240B">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联系方式：</w:t>
      </w:r>
      <w:r>
        <w:rPr>
          <w:rFonts w:hint="eastAsia" w:ascii="宋体" w:hAnsi="宋体" w:eastAsia="宋体" w:cs="宋体"/>
          <w:b w:val="0"/>
          <w:bCs/>
          <w:i w:val="0"/>
          <w:iCs w:val="0"/>
          <w:color w:val="auto"/>
          <w:sz w:val="24"/>
          <w:szCs w:val="24"/>
          <w:highlight w:val="none"/>
          <w:lang w:val="en-US" w:eastAsia="zh-CN"/>
        </w:rPr>
        <w:t>王欣艳/69415773</w:t>
      </w:r>
    </w:p>
    <w:p w14:paraId="4C88B4B4">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3" w:firstLineChars="350"/>
        <w:jc w:val="left"/>
        <w:textAlignment w:val="auto"/>
        <w:rPr>
          <w:rFonts w:hint="eastAsia" w:ascii="宋体" w:hAnsi="宋体" w:eastAsia="宋体" w:cs="宋体"/>
          <w:b/>
          <w:bCs w:val="0"/>
          <w:i w:val="0"/>
          <w:iCs w:val="0"/>
          <w:color w:val="auto"/>
          <w:sz w:val="24"/>
          <w:szCs w:val="24"/>
          <w:highlight w:val="none"/>
          <w:lang w:eastAsia="en-US"/>
        </w:rPr>
      </w:pPr>
      <w:r>
        <w:rPr>
          <w:rFonts w:hint="eastAsia" w:ascii="宋体" w:hAnsi="宋体" w:eastAsia="宋体" w:cs="宋体"/>
          <w:b/>
          <w:bCs w:val="0"/>
          <w:i w:val="0"/>
          <w:iCs w:val="0"/>
          <w:color w:val="auto"/>
          <w:sz w:val="24"/>
          <w:szCs w:val="24"/>
          <w:highlight w:val="none"/>
          <w:lang w:eastAsia="en-US"/>
        </w:rPr>
        <w:t>3.项目联系方式</w:t>
      </w:r>
    </w:p>
    <w:p w14:paraId="5C6EB9BF">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b w:val="0"/>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lang w:eastAsia="en-US"/>
        </w:rPr>
        <w:t>项目联系人：</w:t>
      </w:r>
      <w:r>
        <w:rPr>
          <w:rFonts w:hint="eastAsia" w:ascii="宋体" w:hAnsi="宋体" w:eastAsia="宋体" w:cs="宋体"/>
          <w:b w:val="0"/>
          <w:bCs/>
          <w:i w:val="0"/>
          <w:iCs w:val="0"/>
          <w:color w:val="auto"/>
          <w:sz w:val="24"/>
          <w:szCs w:val="24"/>
          <w:highlight w:val="none"/>
          <w:lang w:val="en-US" w:eastAsia="zh-CN"/>
        </w:rPr>
        <w:t>王欣艳</w:t>
      </w:r>
    </w:p>
    <w:p w14:paraId="36425620">
      <w:pPr>
        <w:pStyle w:val="3"/>
        <w:keepNext w:val="0"/>
        <w:keepLines w:val="0"/>
        <w:pageBreakBefore w:val="0"/>
        <w:widowControl w:val="0"/>
        <w:shd w:val="clear"/>
        <w:kinsoku/>
        <w:wordWrap w:val="0"/>
        <w:overflowPunct/>
        <w:topLinePunct/>
        <w:autoSpaceDE/>
        <w:autoSpaceDN/>
        <w:bidi w:val="0"/>
        <w:snapToGrid/>
        <w:spacing w:before="0" w:line="360" w:lineRule="auto"/>
        <w:ind w:left="0" w:leftChars="0" w:firstLine="840" w:firstLineChars="35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i w:val="0"/>
          <w:iCs w:val="0"/>
          <w:color w:val="auto"/>
          <w:sz w:val="24"/>
          <w:szCs w:val="24"/>
          <w:highlight w:val="none"/>
          <w:lang w:eastAsia="en-US"/>
        </w:rPr>
        <w:t xml:space="preserve">电 </w:t>
      </w:r>
      <w:r>
        <w:rPr>
          <w:rFonts w:hint="eastAsia" w:ascii="宋体" w:hAnsi="宋体" w:eastAsia="宋体" w:cs="宋体"/>
          <w:b w:val="0"/>
          <w:bCs/>
          <w:i w:val="0"/>
          <w:iCs w:val="0"/>
          <w:color w:val="auto"/>
          <w:sz w:val="24"/>
          <w:szCs w:val="24"/>
          <w:highlight w:val="none"/>
          <w:lang w:val="en-US" w:eastAsia="zh-CN"/>
        </w:rPr>
        <w:t xml:space="preserve">     </w:t>
      </w:r>
      <w:r>
        <w:rPr>
          <w:rFonts w:hint="eastAsia" w:ascii="宋体" w:hAnsi="宋体" w:eastAsia="宋体" w:cs="宋体"/>
          <w:b w:val="0"/>
          <w:bCs/>
          <w:i w:val="0"/>
          <w:iCs w:val="0"/>
          <w:color w:val="auto"/>
          <w:sz w:val="24"/>
          <w:szCs w:val="24"/>
          <w:highlight w:val="none"/>
          <w:lang w:eastAsia="en-US"/>
        </w:rPr>
        <w:t>话：</w:t>
      </w:r>
      <w:r>
        <w:rPr>
          <w:rFonts w:hint="eastAsia" w:ascii="宋体" w:hAnsi="宋体" w:eastAsia="宋体" w:cs="宋体"/>
          <w:b w:val="0"/>
          <w:bCs/>
          <w:i w:val="0"/>
          <w:iCs w:val="0"/>
          <w:color w:val="auto"/>
          <w:sz w:val="24"/>
          <w:szCs w:val="24"/>
          <w:highlight w:val="none"/>
          <w:lang w:val="en-US" w:eastAsia="zh-CN"/>
        </w:rPr>
        <w:t>69415773</w:t>
      </w:r>
    </w:p>
    <w:p w14:paraId="10D6F5CC">
      <w:pPr>
        <w:spacing w:line="360" w:lineRule="auto"/>
        <w:ind w:firstLine="720" w:firstLineChars="300"/>
        <w:rPr>
          <w:color w:val="auto"/>
          <w:sz w:val="24"/>
          <w:highlight w:val="none"/>
        </w:rPr>
      </w:pPr>
    </w:p>
    <w:p w14:paraId="738C9266">
      <w:pPr>
        <w:spacing w:line="360" w:lineRule="auto"/>
        <w:jc w:val="center"/>
        <w:outlineLvl w:val="0"/>
        <w:rPr>
          <w:b/>
          <w:color w:val="auto"/>
          <w:sz w:val="32"/>
          <w:szCs w:val="32"/>
          <w:highlight w:val="none"/>
        </w:rPr>
      </w:pPr>
      <w:r>
        <w:rPr>
          <w:color w:val="auto"/>
          <w:sz w:val="24"/>
          <w:highlight w:val="none"/>
        </w:rPr>
        <w:br w:type="page"/>
      </w:r>
      <w:bookmarkStart w:id="39" w:name="_Toc353825548"/>
      <w:bookmarkStart w:id="40" w:name="_Toc226965856"/>
      <w:bookmarkStart w:id="41" w:name="_Toc264969275"/>
      <w:bookmarkStart w:id="42" w:name="_Toc265228423"/>
      <w:bookmarkStart w:id="43" w:name="_Toc305158854"/>
      <w:bookmarkStart w:id="44" w:name="_Toc29297"/>
      <w:bookmarkStart w:id="45" w:name="_Toc127151777"/>
      <w:bookmarkStart w:id="46" w:name="_Toc305158928"/>
      <w:bookmarkStart w:id="47" w:name="_Toc127161488"/>
      <w:bookmarkStart w:id="48" w:name="_Toc353873938"/>
      <w:bookmarkStart w:id="49" w:name="_Toc150774783"/>
      <w:bookmarkStart w:id="50" w:name="_Toc195842950"/>
      <w:bookmarkStart w:id="51" w:name="_Toc512937850"/>
      <w:r>
        <w:rPr>
          <w:b/>
          <w:color w:val="auto"/>
          <w:sz w:val="36"/>
          <w:szCs w:val="36"/>
          <w:highlight w:val="none"/>
        </w:rPr>
        <w:t>第二章   投标人须知</w:t>
      </w:r>
      <w:bookmarkEnd w:id="39"/>
      <w:bookmarkEnd w:id="40"/>
      <w:bookmarkEnd w:id="41"/>
      <w:bookmarkEnd w:id="42"/>
      <w:bookmarkEnd w:id="43"/>
      <w:bookmarkEnd w:id="44"/>
      <w:bookmarkEnd w:id="45"/>
      <w:bookmarkEnd w:id="46"/>
      <w:bookmarkEnd w:id="47"/>
      <w:bookmarkEnd w:id="48"/>
      <w:bookmarkEnd w:id="49"/>
      <w:bookmarkEnd w:id="50"/>
      <w:bookmarkEnd w:id="51"/>
    </w:p>
    <w:p w14:paraId="22606A03">
      <w:pPr>
        <w:pStyle w:val="3"/>
        <w:tabs>
          <w:tab w:val="center" w:pos="4592"/>
          <w:tab w:val="left" w:pos="7860"/>
        </w:tabs>
        <w:spacing w:before="0" w:line="360" w:lineRule="auto"/>
        <w:rPr>
          <w:rFonts w:ascii="Times New Roman" w:hAnsi="Times New Roman" w:eastAsia="宋体"/>
          <w:color w:val="auto"/>
          <w:sz w:val="28"/>
          <w:highlight w:val="none"/>
        </w:rPr>
      </w:pPr>
      <w:bookmarkStart w:id="52" w:name="_Toc195842884"/>
      <w:bookmarkStart w:id="53" w:name="_Toc149720812"/>
      <w:bookmarkStart w:id="54" w:name="_Toc150774724"/>
      <w:bookmarkStart w:id="55" w:name="_Toc164229360"/>
      <w:bookmarkStart w:id="56" w:name="_Toc226965709"/>
      <w:bookmarkStart w:id="57" w:name="_Toc151193761"/>
      <w:bookmarkStart w:id="58" w:name="_Toc164229214"/>
      <w:bookmarkStart w:id="59" w:name="_Toc150774619"/>
      <w:bookmarkStart w:id="60" w:name="_Toc151190146"/>
      <w:bookmarkStart w:id="61" w:name="_Toc150480757"/>
      <w:bookmarkStart w:id="62" w:name="_Toc164608633"/>
      <w:bookmarkStart w:id="63" w:name="_Toc127151720"/>
      <w:bookmarkStart w:id="64" w:name="_Toc226965792"/>
      <w:bookmarkStart w:id="65" w:name="_Toc127151519"/>
      <w:bookmarkStart w:id="66" w:name="_Toc226337215"/>
      <w:bookmarkStart w:id="67" w:name="_Toc142311021"/>
      <w:bookmarkStart w:id="68" w:name="_Toc127161433"/>
      <w:bookmarkStart w:id="69" w:name="_Toc151193907"/>
      <w:bookmarkStart w:id="70" w:name="_Toc520356144"/>
      <w:bookmarkStart w:id="71" w:name="_Toc150509270"/>
      <w:bookmarkStart w:id="72" w:name="_Toc151193689"/>
      <w:bookmarkStart w:id="73" w:name="_Toc151193833"/>
      <w:bookmarkStart w:id="74" w:name="_Toc226309763"/>
      <w:bookmarkStart w:id="75" w:name="_Toc164351613"/>
      <w:bookmarkStart w:id="76" w:name="_Toc151193617"/>
      <w:bookmarkStart w:id="77" w:name="_Toc164608788"/>
      <w:r>
        <w:rPr>
          <w:rFonts w:ascii="Times New Roman" w:hAnsi="Times New Roman" w:eastAsia="宋体"/>
          <w:color w:val="auto"/>
          <w:sz w:val="28"/>
          <w:highlight w:val="none"/>
        </w:rPr>
        <w:t>投标人须知资料表</w:t>
      </w:r>
    </w:p>
    <w:p w14:paraId="18751AA4">
      <w:pPr>
        <w:jc w:val="center"/>
        <w:rPr>
          <w:b/>
          <w:color w:val="auto"/>
          <w:sz w:val="28"/>
          <w:szCs w:val="28"/>
          <w:highlight w:val="none"/>
        </w:rPr>
      </w:pPr>
    </w:p>
    <w:p w14:paraId="5AFE2CC8">
      <w:pPr>
        <w:spacing w:line="360" w:lineRule="auto"/>
        <w:ind w:firstLine="480"/>
        <w:rPr>
          <w:color w:val="auto"/>
          <w:sz w:val="24"/>
          <w:highlight w:val="none"/>
        </w:rPr>
      </w:pPr>
      <w:r>
        <w:rPr>
          <w:color w:val="auto"/>
          <w:sz w:val="24"/>
          <w:highlight w:val="none"/>
        </w:rPr>
        <w:t>本表是对投标人须知的具体补充和修改，如有矛盾，均以本资料表为准。标记“</w:t>
      </w:r>
      <w:r>
        <w:rPr>
          <w:b/>
          <w:color w:val="auto"/>
          <w:sz w:val="24"/>
          <w:highlight w:val="none"/>
        </w:rPr>
        <w:t>■</w:t>
      </w:r>
      <w:r>
        <w:rPr>
          <w:color w:val="auto"/>
          <w:sz w:val="24"/>
          <w:highlight w:val="none"/>
        </w:rPr>
        <w:t>”的选项意为适用于本项目，标记“□”的选项意为不适用于本项目。</w:t>
      </w:r>
    </w:p>
    <w:tbl>
      <w:tblPr>
        <w:tblStyle w:val="46"/>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36"/>
        <w:gridCol w:w="7405"/>
      </w:tblGrid>
      <w:tr w14:paraId="4C0D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4119B175">
            <w:pPr>
              <w:jc w:val="center"/>
              <w:rPr>
                <w:rFonts w:ascii="宋体" w:hAnsi="宋体" w:cs="宋体"/>
                <w:b/>
                <w:bCs/>
                <w:color w:val="auto"/>
                <w:sz w:val="24"/>
                <w:highlight w:val="none"/>
              </w:rPr>
            </w:pPr>
            <w:r>
              <w:rPr>
                <w:rFonts w:hint="eastAsia" w:ascii="宋体" w:hAnsi="宋体" w:cs="宋体"/>
                <w:b/>
                <w:color w:val="auto"/>
                <w:sz w:val="24"/>
                <w:highlight w:val="none"/>
              </w:rPr>
              <w:t>条款号</w:t>
            </w:r>
          </w:p>
        </w:tc>
        <w:tc>
          <w:tcPr>
            <w:tcW w:w="1836" w:type="dxa"/>
            <w:vAlign w:val="center"/>
          </w:tcPr>
          <w:p w14:paraId="2BCDF98D">
            <w:pPr>
              <w:jc w:val="center"/>
              <w:rPr>
                <w:rFonts w:ascii="宋体" w:hAnsi="宋体" w:cs="宋体"/>
                <w:b/>
                <w:bCs/>
                <w:color w:val="auto"/>
                <w:sz w:val="24"/>
                <w:highlight w:val="none"/>
              </w:rPr>
            </w:pPr>
            <w:r>
              <w:rPr>
                <w:rFonts w:hint="eastAsia" w:ascii="宋体" w:hAnsi="宋体" w:cs="宋体"/>
                <w:b/>
                <w:bCs/>
                <w:color w:val="auto"/>
                <w:sz w:val="24"/>
                <w:highlight w:val="none"/>
              </w:rPr>
              <w:t>条目</w:t>
            </w:r>
          </w:p>
        </w:tc>
        <w:tc>
          <w:tcPr>
            <w:tcW w:w="7405" w:type="dxa"/>
            <w:vAlign w:val="center"/>
          </w:tcPr>
          <w:p w14:paraId="03987F4F">
            <w:pPr>
              <w:jc w:val="center"/>
              <w:rPr>
                <w:rFonts w:ascii="宋体" w:hAnsi="宋体" w:cs="宋体"/>
                <w:b/>
                <w:bCs/>
                <w:color w:val="auto"/>
                <w:sz w:val="24"/>
                <w:highlight w:val="none"/>
              </w:rPr>
            </w:pPr>
            <w:r>
              <w:rPr>
                <w:rFonts w:hint="eastAsia" w:ascii="宋体" w:hAnsi="宋体" w:cs="宋体"/>
                <w:b/>
                <w:bCs/>
                <w:color w:val="auto"/>
                <w:sz w:val="24"/>
                <w:highlight w:val="none"/>
              </w:rPr>
              <w:t>内容</w:t>
            </w:r>
          </w:p>
        </w:tc>
      </w:tr>
      <w:tr w14:paraId="7BAC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7C4AD9A">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2.2</w:t>
            </w:r>
          </w:p>
        </w:tc>
        <w:tc>
          <w:tcPr>
            <w:tcW w:w="1836" w:type="dxa"/>
            <w:vAlign w:val="center"/>
          </w:tcPr>
          <w:p w14:paraId="334D97C0">
            <w:pPr>
              <w:jc w:val="center"/>
              <w:rPr>
                <w:rFonts w:ascii="宋体" w:hAnsi="宋体" w:cs="宋体"/>
                <w:color w:val="auto"/>
                <w:sz w:val="24"/>
                <w:highlight w:val="none"/>
              </w:rPr>
            </w:pPr>
            <w:r>
              <w:rPr>
                <w:rFonts w:hint="eastAsia" w:ascii="宋体" w:hAnsi="宋体" w:cs="宋体"/>
                <w:color w:val="auto"/>
                <w:sz w:val="24"/>
                <w:highlight w:val="none"/>
              </w:rPr>
              <w:t>项目属性</w:t>
            </w:r>
          </w:p>
        </w:tc>
        <w:tc>
          <w:tcPr>
            <w:tcW w:w="7405" w:type="dxa"/>
            <w:vAlign w:val="center"/>
          </w:tcPr>
          <w:p w14:paraId="0AB70D04">
            <w:pPr>
              <w:jc w:val="left"/>
              <w:rPr>
                <w:rFonts w:ascii="宋体" w:hAnsi="宋体" w:cs="宋体"/>
                <w:color w:val="auto"/>
                <w:sz w:val="24"/>
                <w:highlight w:val="none"/>
              </w:rPr>
            </w:pPr>
            <w:r>
              <w:rPr>
                <w:rFonts w:hint="eastAsia" w:ascii="宋体" w:hAnsi="宋体" w:cs="宋体"/>
                <w:color w:val="auto"/>
                <w:sz w:val="24"/>
                <w:highlight w:val="none"/>
              </w:rPr>
              <w:t>项目属性：</w:t>
            </w:r>
          </w:p>
          <w:p w14:paraId="72BE9DE0">
            <w:pPr>
              <w:jc w:val="left"/>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服务</w:t>
            </w:r>
          </w:p>
          <w:p w14:paraId="5135A90D">
            <w:pPr>
              <w:jc w:val="left"/>
              <w:rPr>
                <w:rFonts w:ascii="宋体" w:hAnsi="宋体" w:cs="宋体"/>
                <w:color w:val="auto"/>
                <w:sz w:val="24"/>
                <w:highlight w:val="none"/>
                <w:u w:val="single"/>
              </w:rPr>
            </w:pPr>
            <w:r>
              <w:rPr>
                <w:rFonts w:hint="eastAsia" w:ascii="宋体" w:hAnsi="宋体" w:cs="宋体"/>
                <w:b/>
                <w:color w:val="auto"/>
                <w:sz w:val="24"/>
                <w:highlight w:val="none"/>
              </w:rPr>
              <w:t>■</w:t>
            </w:r>
            <w:r>
              <w:rPr>
                <w:rFonts w:hint="eastAsia" w:ascii="宋体" w:hAnsi="宋体" w:cs="宋体"/>
                <w:color w:val="auto"/>
                <w:sz w:val="24"/>
                <w:highlight w:val="none"/>
              </w:rPr>
              <w:t>货物</w:t>
            </w:r>
          </w:p>
        </w:tc>
      </w:tr>
      <w:tr w14:paraId="1BB7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71A1197">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2.3</w:t>
            </w:r>
          </w:p>
        </w:tc>
        <w:tc>
          <w:tcPr>
            <w:tcW w:w="1836" w:type="dxa"/>
            <w:vAlign w:val="center"/>
          </w:tcPr>
          <w:p w14:paraId="08B11291">
            <w:pPr>
              <w:jc w:val="center"/>
              <w:rPr>
                <w:rFonts w:ascii="宋体" w:hAnsi="宋体" w:cs="宋体"/>
                <w:color w:val="auto"/>
                <w:sz w:val="24"/>
                <w:highlight w:val="none"/>
              </w:rPr>
            </w:pPr>
            <w:r>
              <w:rPr>
                <w:rFonts w:hint="eastAsia" w:ascii="宋体" w:hAnsi="宋体" w:cs="宋体"/>
                <w:color w:val="auto"/>
                <w:sz w:val="24"/>
                <w:highlight w:val="none"/>
              </w:rPr>
              <w:t>科研仪器设备</w:t>
            </w:r>
          </w:p>
        </w:tc>
        <w:tc>
          <w:tcPr>
            <w:tcW w:w="7405" w:type="dxa"/>
            <w:vAlign w:val="center"/>
          </w:tcPr>
          <w:p w14:paraId="15599E6F">
            <w:pPr>
              <w:jc w:val="left"/>
              <w:rPr>
                <w:rFonts w:ascii="宋体" w:hAnsi="宋体" w:cs="宋体"/>
                <w:color w:val="auto"/>
                <w:sz w:val="24"/>
                <w:highlight w:val="none"/>
              </w:rPr>
            </w:pPr>
            <w:r>
              <w:rPr>
                <w:rFonts w:hint="eastAsia" w:ascii="宋体" w:hAnsi="宋体" w:cs="宋体"/>
                <w:color w:val="auto"/>
                <w:sz w:val="24"/>
                <w:highlight w:val="none"/>
              </w:rPr>
              <w:t>是否属于科研仪器设备采购项目：</w:t>
            </w:r>
          </w:p>
          <w:p w14:paraId="2801B62C">
            <w:pPr>
              <w:jc w:val="left"/>
              <w:rPr>
                <w:rFonts w:ascii="宋体" w:hAnsi="宋体" w:cs="宋体"/>
                <w:color w:val="auto"/>
                <w:sz w:val="24"/>
                <w:highlight w:val="none"/>
              </w:rPr>
            </w:pPr>
            <w:r>
              <w:rPr>
                <w:rFonts w:hint="eastAsia" w:ascii="宋体" w:hAnsi="宋体" w:cs="宋体"/>
                <w:color w:val="auto"/>
                <w:sz w:val="24"/>
                <w:highlight w:val="none"/>
              </w:rPr>
              <w:t>□是</w:t>
            </w:r>
          </w:p>
          <w:p w14:paraId="1646AC68">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否</w:t>
            </w:r>
          </w:p>
        </w:tc>
      </w:tr>
      <w:tr w14:paraId="05D8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C5F3924">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2.4</w:t>
            </w:r>
          </w:p>
        </w:tc>
        <w:tc>
          <w:tcPr>
            <w:tcW w:w="1836" w:type="dxa"/>
            <w:vAlign w:val="center"/>
          </w:tcPr>
          <w:p w14:paraId="378B4201">
            <w:pPr>
              <w:jc w:val="center"/>
              <w:rPr>
                <w:rFonts w:ascii="宋体" w:hAnsi="宋体" w:cs="宋体"/>
                <w:color w:val="auto"/>
                <w:sz w:val="24"/>
                <w:highlight w:val="none"/>
              </w:rPr>
            </w:pPr>
            <w:r>
              <w:rPr>
                <w:rFonts w:hint="eastAsia" w:ascii="宋体" w:hAnsi="宋体" w:cs="宋体"/>
                <w:color w:val="auto"/>
                <w:sz w:val="24"/>
                <w:highlight w:val="none"/>
              </w:rPr>
              <w:t>核心产品</w:t>
            </w:r>
          </w:p>
        </w:tc>
        <w:tc>
          <w:tcPr>
            <w:tcW w:w="7405" w:type="dxa"/>
            <w:vAlign w:val="center"/>
          </w:tcPr>
          <w:p w14:paraId="059D0692">
            <w:pPr>
              <w:pStyle w:val="23"/>
              <w:adjustRightInd w:val="0"/>
              <w:snapToGrid w:val="0"/>
              <w:rPr>
                <w:rFonts w:hint="default" w:hAnsi="宋体" w:cs="宋体"/>
                <w:color w:val="auto"/>
                <w:sz w:val="24"/>
                <w:szCs w:val="24"/>
                <w:highlight w:val="none"/>
              </w:rPr>
            </w:pPr>
            <w:r>
              <w:rPr>
                <w:rFonts w:hint="eastAsia" w:ascii="宋体" w:hAnsi="宋体" w:cs="宋体"/>
                <w:color w:val="auto"/>
                <w:sz w:val="24"/>
                <w:highlight w:val="none"/>
                <w:lang w:eastAsia="zh-CN"/>
              </w:rPr>
              <w:t>□</w:t>
            </w:r>
            <w:r>
              <w:rPr>
                <w:rFonts w:hAnsi="宋体" w:cs="宋体"/>
                <w:color w:val="auto"/>
                <w:sz w:val="24"/>
                <w:szCs w:val="24"/>
                <w:highlight w:val="none"/>
              </w:rPr>
              <w:t>关于核心产品本项目_/_包不适用。</w:t>
            </w:r>
          </w:p>
          <w:p w14:paraId="490F35FE">
            <w:pPr>
              <w:pStyle w:val="23"/>
              <w:adjustRightInd w:val="0"/>
              <w:snapToGrid w:val="0"/>
              <w:rPr>
                <w:rFonts w:hint="default" w:hAnsi="宋体" w:cs="宋体"/>
                <w:color w:val="auto"/>
                <w:sz w:val="24"/>
                <w:szCs w:val="24"/>
                <w:highlight w:val="none"/>
              </w:rPr>
            </w:pPr>
            <w:r>
              <w:rPr>
                <w:rFonts w:hAnsi="宋体" w:cs="宋体"/>
                <w:color w:val="auto"/>
                <w:sz w:val="24"/>
                <w:szCs w:val="24"/>
                <w:highlight w:val="none"/>
              </w:rPr>
              <w:t>■本项目</w:t>
            </w:r>
            <w:r>
              <w:rPr>
                <w:rFonts w:hint="eastAsia" w:hAnsi="宋体" w:cs="宋体"/>
                <w:color w:val="auto"/>
                <w:sz w:val="24"/>
                <w:szCs w:val="24"/>
                <w:highlight w:val="none"/>
                <w:u w:val="single"/>
                <w:lang w:val="en-US" w:eastAsia="zh-CN"/>
              </w:rPr>
              <w:t>01</w:t>
            </w:r>
            <w:r>
              <w:rPr>
                <w:rFonts w:hAnsi="宋体" w:cs="宋体"/>
                <w:color w:val="auto"/>
                <w:sz w:val="24"/>
                <w:szCs w:val="24"/>
                <w:highlight w:val="none"/>
              </w:rPr>
              <w:t>包为单一产品采购项目。</w:t>
            </w:r>
          </w:p>
          <w:p w14:paraId="254D51BA">
            <w:pPr>
              <w:jc w:val="left"/>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本项目_/_包为非单一产品采购项目，核心产品为：__/__。</w:t>
            </w:r>
          </w:p>
        </w:tc>
      </w:tr>
      <w:tr w14:paraId="1CD1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3A59C94">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3.1</w:t>
            </w:r>
          </w:p>
        </w:tc>
        <w:tc>
          <w:tcPr>
            <w:tcW w:w="1836" w:type="dxa"/>
            <w:vAlign w:val="center"/>
          </w:tcPr>
          <w:p w14:paraId="0A6CBDA2">
            <w:pPr>
              <w:jc w:val="center"/>
              <w:rPr>
                <w:rFonts w:ascii="宋体" w:hAnsi="宋体" w:cs="宋体"/>
                <w:color w:val="auto"/>
                <w:sz w:val="24"/>
                <w:highlight w:val="none"/>
              </w:rPr>
            </w:pPr>
            <w:r>
              <w:rPr>
                <w:rFonts w:hint="eastAsia" w:ascii="宋体" w:hAnsi="宋体" w:cs="宋体"/>
                <w:color w:val="auto"/>
                <w:sz w:val="24"/>
                <w:highlight w:val="none"/>
              </w:rPr>
              <w:t>现场考察</w:t>
            </w:r>
          </w:p>
        </w:tc>
        <w:tc>
          <w:tcPr>
            <w:tcW w:w="7405" w:type="dxa"/>
            <w:vAlign w:val="center"/>
          </w:tcPr>
          <w:p w14:paraId="09B75034">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不组织</w:t>
            </w:r>
          </w:p>
          <w:p w14:paraId="3F9725B0">
            <w:pPr>
              <w:jc w:val="left"/>
              <w:rPr>
                <w:rFonts w:ascii="宋体" w:hAnsi="宋体" w:cs="宋体"/>
                <w:bCs/>
                <w:color w:val="auto"/>
                <w:sz w:val="24"/>
                <w:highlight w:val="none"/>
              </w:rPr>
            </w:pPr>
            <w:r>
              <w:rPr>
                <w:rFonts w:hint="eastAsia" w:ascii="宋体" w:hAnsi="宋体" w:cs="宋体"/>
                <w:color w:val="auto"/>
                <w:sz w:val="24"/>
                <w:highlight w:val="none"/>
              </w:rPr>
              <w:t>□组织，考察时间：__年_月_日_</w:t>
            </w:r>
            <w:r>
              <w:rPr>
                <w:rFonts w:hint="eastAsia" w:ascii="宋体" w:hAnsi="宋体" w:cs="宋体"/>
                <w:bCs/>
                <w:color w:val="auto"/>
                <w:sz w:val="24"/>
                <w:highlight w:val="none"/>
              </w:rPr>
              <w:t>点</w:t>
            </w:r>
            <w:r>
              <w:rPr>
                <w:rFonts w:hint="eastAsia" w:ascii="宋体" w:hAnsi="宋体" w:cs="宋体"/>
                <w:color w:val="auto"/>
                <w:sz w:val="24"/>
                <w:highlight w:val="none"/>
              </w:rPr>
              <w:t>_</w:t>
            </w:r>
            <w:r>
              <w:rPr>
                <w:rFonts w:hint="eastAsia" w:ascii="宋体" w:hAnsi="宋体" w:cs="宋体"/>
                <w:bCs/>
                <w:color w:val="auto"/>
                <w:sz w:val="24"/>
                <w:highlight w:val="none"/>
              </w:rPr>
              <w:t>分</w:t>
            </w:r>
          </w:p>
          <w:p w14:paraId="2E6CC2C6">
            <w:pPr>
              <w:pStyle w:val="23"/>
              <w:adjustRightInd w:val="0"/>
              <w:snapToGrid w:val="0"/>
              <w:rPr>
                <w:rFonts w:hint="default" w:hAnsi="宋体" w:cs="宋体"/>
                <w:color w:val="auto"/>
                <w:sz w:val="24"/>
                <w:szCs w:val="24"/>
                <w:highlight w:val="none"/>
              </w:rPr>
            </w:pPr>
            <w:r>
              <w:rPr>
                <w:rFonts w:hAnsi="宋体" w:cs="宋体"/>
                <w:color w:val="auto"/>
                <w:sz w:val="24"/>
                <w:szCs w:val="24"/>
                <w:highlight w:val="none"/>
              </w:rPr>
              <w:t>考察地点：_____/_______。</w:t>
            </w:r>
          </w:p>
        </w:tc>
      </w:tr>
      <w:tr w14:paraId="16A3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0959D8E5">
            <w:pPr>
              <w:pStyle w:val="23"/>
              <w:adjustRightInd w:val="0"/>
              <w:snapToGrid w:val="0"/>
              <w:jc w:val="center"/>
              <w:rPr>
                <w:rFonts w:hint="default" w:hAnsi="宋体" w:cs="宋体"/>
                <w:color w:val="auto"/>
                <w:sz w:val="24"/>
                <w:szCs w:val="24"/>
                <w:highlight w:val="none"/>
              </w:rPr>
            </w:pPr>
          </w:p>
        </w:tc>
        <w:tc>
          <w:tcPr>
            <w:tcW w:w="1836" w:type="dxa"/>
            <w:vAlign w:val="center"/>
          </w:tcPr>
          <w:p w14:paraId="6B556CEA">
            <w:pPr>
              <w:jc w:val="center"/>
              <w:rPr>
                <w:rFonts w:ascii="宋体" w:hAnsi="宋体" w:cs="宋体"/>
                <w:color w:val="auto"/>
                <w:sz w:val="24"/>
                <w:highlight w:val="none"/>
              </w:rPr>
            </w:pPr>
            <w:r>
              <w:rPr>
                <w:rFonts w:hint="eastAsia" w:ascii="宋体" w:hAnsi="宋体" w:cs="宋体"/>
                <w:color w:val="auto"/>
                <w:sz w:val="24"/>
                <w:highlight w:val="none"/>
              </w:rPr>
              <w:t>开标前答疑会</w:t>
            </w:r>
          </w:p>
        </w:tc>
        <w:tc>
          <w:tcPr>
            <w:tcW w:w="7405" w:type="dxa"/>
            <w:vAlign w:val="center"/>
          </w:tcPr>
          <w:p w14:paraId="13739846">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不召开</w:t>
            </w:r>
          </w:p>
          <w:p w14:paraId="2436691D">
            <w:pPr>
              <w:jc w:val="left"/>
              <w:rPr>
                <w:rFonts w:ascii="宋体" w:hAnsi="宋体" w:cs="宋体"/>
                <w:color w:val="auto"/>
                <w:sz w:val="24"/>
                <w:highlight w:val="none"/>
              </w:rPr>
            </w:pPr>
            <w:r>
              <w:rPr>
                <w:rFonts w:hint="eastAsia" w:ascii="宋体" w:hAnsi="宋体" w:cs="宋体"/>
                <w:color w:val="auto"/>
                <w:sz w:val="24"/>
                <w:highlight w:val="none"/>
              </w:rPr>
              <w:t>□召开，召开时间：__年_月_日_</w:t>
            </w:r>
            <w:r>
              <w:rPr>
                <w:rFonts w:hint="eastAsia" w:ascii="宋体" w:hAnsi="宋体" w:cs="宋体"/>
                <w:bCs/>
                <w:color w:val="auto"/>
                <w:sz w:val="24"/>
                <w:highlight w:val="none"/>
              </w:rPr>
              <w:t>点</w:t>
            </w:r>
            <w:r>
              <w:rPr>
                <w:rFonts w:hint="eastAsia" w:ascii="宋体" w:hAnsi="宋体" w:cs="宋体"/>
                <w:color w:val="auto"/>
                <w:sz w:val="24"/>
                <w:highlight w:val="none"/>
              </w:rPr>
              <w:t>_</w:t>
            </w:r>
            <w:r>
              <w:rPr>
                <w:rFonts w:hint="eastAsia" w:ascii="宋体" w:hAnsi="宋体" w:cs="宋体"/>
                <w:bCs/>
                <w:color w:val="auto"/>
                <w:sz w:val="24"/>
                <w:highlight w:val="none"/>
              </w:rPr>
              <w:t>分</w:t>
            </w:r>
          </w:p>
          <w:p w14:paraId="3FD3A36A">
            <w:pPr>
              <w:jc w:val="left"/>
              <w:rPr>
                <w:rFonts w:ascii="宋体" w:hAnsi="宋体" w:cs="宋体"/>
                <w:color w:val="auto"/>
                <w:sz w:val="24"/>
                <w:highlight w:val="none"/>
              </w:rPr>
            </w:pPr>
            <w:r>
              <w:rPr>
                <w:rFonts w:hint="eastAsia" w:ascii="宋体" w:hAnsi="宋体" w:cs="宋体"/>
                <w:color w:val="auto"/>
                <w:sz w:val="24"/>
                <w:highlight w:val="none"/>
              </w:rPr>
              <w:t>召开地点：_____/_______。</w:t>
            </w:r>
          </w:p>
        </w:tc>
      </w:tr>
      <w:tr w14:paraId="15C2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1F294F2">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4.1</w:t>
            </w:r>
          </w:p>
        </w:tc>
        <w:tc>
          <w:tcPr>
            <w:tcW w:w="1836" w:type="dxa"/>
            <w:vAlign w:val="center"/>
          </w:tcPr>
          <w:p w14:paraId="4DA9A15F">
            <w:pPr>
              <w:jc w:val="center"/>
              <w:rPr>
                <w:rFonts w:ascii="宋体" w:hAnsi="宋体" w:cs="宋体"/>
                <w:color w:val="auto"/>
                <w:sz w:val="24"/>
                <w:highlight w:val="none"/>
              </w:rPr>
            </w:pPr>
            <w:r>
              <w:rPr>
                <w:rFonts w:hint="eastAsia" w:ascii="宋体" w:hAnsi="宋体" w:cs="宋体"/>
                <w:color w:val="auto"/>
                <w:sz w:val="24"/>
                <w:highlight w:val="none"/>
              </w:rPr>
              <w:t>样品</w:t>
            </w:r>
          </w:p>
        </w:tc>
        <w:tc>
          <w:tcPr>
            <w:tcW w:w="7405" w:type="dxa"/>
            <w:vAlign w:val="center"/>
          </w:tcPr>
          <w:p w14:paraId="08A58FCE">
            <w:pPr>
              <w:jc w:val="left"/>
              <w:rPr>
                <w:rFonts w:ascii="宋体" w:hAnsi="宋体" w:cs="宋体"/>
                <w:color w:val="auto"/>
                <w:sz w:val="24"/>
                <w:highlight w:val="none"/>
              </w:rPr>
            </w:pPr>
            <w:r>
              <w:rPr>
                <w:rFonts w:hint="eastAsia" w:ascii="宋体" w:hAnsi="宋体" w:cs="宋体"/>
                <w:color w:val="auto"/>
                <w:sz w:val="24"/>
                <w:highlight w:val="none"/>
              </w:rPr>
              <w:t>投标样品递交：</w:t>
            </w:r>
          </w:p>
          <w:p w14:paraId="09B36025">
            <w:pPr>
              <w:jc w:val="left"/>
              <w:rPr>
                <w:rFonts w:ascii="宋体" w:hAnsi="宋体" w:cs="宋体"/>
                <w:color w:val="auto"/>
                <w:sz w:val="24"/>
                <w:highlight w:val="none"/>
              </w:rPr>
            </w:pPr>
            <w:r>
              <w:rPr>
                <w:rFonts w:hint="eastAsia" w:ascii="宋体" w:hAnsi="宋体" w:cs="宋体"/>
                <w:b/>
                <w:color w:val="auto"/>
                <w:sz w:val="24"/>
                <w:highlight w:val="none"/>
              </w:rPr>
              <w:t>■</w:t>
            </w:r>
            <w:r>
              <w:rPr>
                <w:rFonts w:hint="eastAsia" w:ascii="宋体" w:hAnsi="宋体" w:cs="宋体"/>
                <w:color w:val="auto"/>
                <w:sz w:val="24"/>
                <w:highlight w:val="none"/>
              </w:rPr>
              <w:t>不需要</w:t>
            </w:r>
          </w:p>
          <w:p w14:paraId="3C982E0E">
            <w:pPr>
              <w:jc w:val="left"/>
              <w:rPr>
                <w:rFonts w:ascii="宋体" w:hAnsi="宋体" w:cs="宋体"/>
                <w:color w:val="auto"/>
                <w:sz w:val="24"/>
                <w:highlight w:val="none"/>
              </w:rPr>
            </w:pPr>
            <w:r>
              <w:rPr>
                <w:rFonts w:hint="eastAsia" w:ascii="宋体" w:hAnsi="宋体" w:cs="宋体"/>
                <w:color w:val="auto"/>
                <w:sz w:val="24"/>
                <w:highlight w:val="none"/>
              </w:rPr>
              <w:t>□需要，具体要求如下：</w:t>
            </w:r>
          </w:p>
          <w:p w14:paraId="24E75A65">
            <w:pPr>
              <w:jc w:val="left"/>
              <w:rPr>
                <w:rFonts w:ascii="宋体" w:hAnsi="宋体" w:cs="宋体"/>
                <w:color w:val="auto"/>
                <w:sz w:val="24"/>
                <w:highlight w:val="none"/>
                <w:u w:val="single"/>
              </w:rPr>
            </w:pPr>
            <w:r>
              <w:rPr>
                <w:rFonts w:hint="eastAsia" w:ascii="宋体" w:hAnsi="宋体" w:cs="宋体"/>
                <w:color w:val="auto"/>
                <w:sz w:val="24"/>
                <w:highlight w:val="none"/>
              </w:rPr>
              <w:t>（1）样品制作的标准和要求：___/___；</w:t>
            </w:r>
          </w:p>
          <w:p w14:paraId="1B376CF6">
            <w:pPr>
              <w:jc w:val="left"/>
              <w:rPr>
                <w:rFonts w:ascii="宋体" w:hAnsi="宋体" w:cs="宋体"/>
                <w:color w:val="auto"/>
                <w:sz w:val="24"/>
                <w:highlight w:val="none"/>
              </w:rPr>
            </w:pPr>
            <w:r>
              <w:rPr>
                <w:rFonts w:hint="eastAsia" w:ascii="宋体" w:hAnsi="宋体" w:cs="宋体"/>
                <w:color w:val="auto"/>
                <w:sz w:val="24"/>
                <w:highlight w:val="none"/>
              </w:rPr>
              <w:t>（2）是否需要随样品提交相关检测报告：</w:t>
            </w:r>
          </w:p>
          <w:p w14:paraId="76D540BD">
            <w:pPr>
              <w:ind w:firstLine="600" w:firstLineChars="250"/>
              <w:jc w:val="left"/>
              <w:rPr>
                <w:rFonts w:ascii="宋体" w:hAnsi="宋体" w:cs="宋体"/>
                <w:color w:val="auto"/>
                <w:sz w:val="24"/>
                <w:highlight w:val="none"/>
              </w:rPr>
            </w:pPr>
            <w:r>
              <w:rPr>
                <w:rFonts w:hint="eastAsia" w:ascii="宋体" w:hAnsi="宋体" w:cs="宋体"/>
                <w:color w:val="auto"/>
                <w:sz w:val="24"/>
                <w:highlight w:val="none"/>
              </w:rPr>
              <w:t>□不需要</w:t>
            </w:r>
          </w:p>
          <w:p w14:paraId="66B7815C">
            <w:pPr>
              <w:ind w:firstLine="600" w:firstLineChars="250"/>
              <w:jc w:val="left"/>
              <w:rPr>
                <w:rFonts w:ascii="宋体" w:hAnsi="宋体" w:cs="宋体"/>
                <w:color w:val="auto"/>
                <w:sz w:val="24"/>
                <w:highlight w:val="none"/>
              </w:rPr>
            </w:pPr>
            <w:r>
              <w:rPr>
                <w:rFonts w:hint="eastAsia" w:ascii="宋体" w:hAnsi="宋体" w:cs="宋体"/>
                <w:color w:val="auto"/>
                <w:sz w:val="24"/>
                <w:highlight w:val="none"/>
              </w:rPr>
              <w:t>□需要</w:t>
            </w:r>
          </w:p>
          <w:p w14:paraId="1B252560">
            <w:pPr>
              <w:jc w:val="left"/>
              <w:rPr>
                <w:rFonts w:ascii="宋体" w:hAnsi="宋体" w:cs="宋体"/>
                <w:color w:val="auto"/>
                <w:sz w:val="24"/>
                <w:highlight w:val="none"/>
              </w:rPr>
            </w:pPr>
            <w:r>
              <w:rPr>
                <w:rFonts w:hint="eastAsia" w:ascii="宋体" w:hAnsi="宋体" w:cs="宋体"/>
                <w:color w:val="auto"/>
                <w:sz w:val="24"/>
                <w:highlight w:val="none"/>
              </w:rPr>
              <w:t>（3）样品递交要求：__/___；</w:t>
            </w:r>
          </w:p>
          <w:p w14:paraId="41BFE990">
            <w:pPr>
              <w:jc w:val="left"/>
              <w:rPr>
                <w:rFonts w:ascii="宋体" w:hAnsi="宋体" w:cs="宋体"/>
                <w:color w:val="auto"/>
                <w:sz w:val="24"/>
                <w:highlight w:val="none"/>
              </w:rPr>
            </w:pPr>
            <w:r>
              <w:rPr>
                <w:rFonts w:hint="eastAsia" w:ascii="宋体" w:hAnsi="宋体" w:cs="宋体"/>
                <w:color w:val="auto"/>
                <w:sz w:val="24"/>
                <w:highlight w:val="none"/>
              </w:rPr>
              <w:t>（4）未中标人样品退还：___/___；</w:t>
            </w:r>
          </w:p>
          <w:p w14:paraId="23084236">
            <w:pPr>
              <w:jc w:val="left"/>
              <w:rPr>
                <w:rFonts w:ascii="宋体" w:hAnsi="宋体" w:cs="宋体"/>
                <w:color w:val="auto"/>
                <w:sz w:val="24"/>
                <w:highlight w:val="none"/>
                <w:u w:val="single"/>
              </w:rPr>
            </w:pPr>
            <w:r>
              <w:rPr>
                <w:rFonts w:hint="eastAsia" w:ascii="宋体" w:hAnsi="宋体" w:cs="宋体"/>
                <w:color w:val="auto"/>
                <w:sz w:val="24"/>
                <w:highlight w:val="none"/>
              </w:rPr>
              <w:t>（5）中标人样品保管、封存及退还：__/___；</w:t>
            </w:r>
          </w:p>
          <w:p w14:paraId="27C7259F">
            <w:pPr>
              <w:jc w:val="left"/>
              <w:rPr>
                <w:rFonts w:ascii="宋体" w:hAnsi="宋体" w:cs="宋体"/>
                <w:color w:val="auto"/>
                <w:sz w:val="24"/>
                <w:highlight w:val="none"/>
              </w:rPr>
            </w:pPr>
            <w:r>
              <w:rPr>
                <w:rFonts w:hint="eastAsia" w:ascii="宋体" w:hAnsi="宋体" w:cs="宋体"/>
                <w:color w:val="auto"/>
                <w:sz w:val="24"/>
                <w:highlight w:val="none"/>
              </w:rPr>
              <w:t>（6）其他要求（如有）：___/____。</w:t>
            </w:r>
          </w:p>
        </w:tc>
      </w:tr>
      <w:tr w14:paraId="6D2B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shd w:val="clear" w:color="auto" w:fill="auto"/>
            <w:vAlign w:val="center"/>
          </w:tcPr>
          <w:p w14:paraId="450C30F3">
            <w:pPr>
              <w:pStyle w:val="23"/>
              <w:adjustRightInd w:val="0"/>
              <w:snapToGrid w:val="0"/>
              <w:jc w:val="center"/>
              <w:rPr>
                <w:rFonts w:hint="default" w:hAnsi="宋体" w:cs="宋体"/>
                <w:color w:val="auto"/>
                <w:sz w:val="24"/>
                <w:szCs w:val="24"/>
                <w:highlight w:val="none"/>
              </w:rPr>
            </w:pPr>
            <w:r>
              <w:rPr>
                <w:rFonts w:hAnsi="宋体" w:cs="宋体"/>
                <w:color w:val="auto"/>
                <w:sz w:val="24"/>
                <w:szCs w:val="24"/>
                <w:highlight w:val="none"/>
              </w:rPr>
              <w:t>5.2.5</w:t>
            </w:r>
          </w:p>
        </w:tc>
        <w:tc>
          <w:tcPr>
            <w:tcW w:w="1836" w:type="dxa"/>
            <w:shd w:val="clear" w:color="auto" w:fill="auto"/>
            <w:vAlign w:val="center"/>
          </w:tcPr>
          <w:p w14:paraId="6638C310">
            <w:pPr>
              <w:jc w:val="center"/>
              <w:rPr>
                <w:rFonts w:ascii="宋体" w:hAnsi="宋体" w:cs="宋体"/>
                <w:color w:val="auto"/>
                <w:sz w:val="24"/>
                <w:highlight w:val="none"/>
              </w:rPr>
            </w:pPr>
            <w:r>
              <w:rPr>
                <w:rFonts w:hint="eastAsia" w:ascii="宋体" w:hAnsi="宋体" w:cs="宋体"/>
                <w:color w:val="auto"/>
                <w:sz w:val="24"/>
                <w:highlight w:val="none"/>
              </w:rPr>
              <w:t>标的所属行业</w:t>
            </w:r>
          </w:p>
        </w:tc>
        <w:tc>
          <w:tcPr>
            <w:tcW w:w="7405" w:type="dxa"/>
            <w:shd w:val="clear" w:color="auto" w:fill="auto"/>
            <w:vAlign w:val="center"/>
          </w:tcPr>
          <w:p w14:paraId="44138835">
            <w:pPr>
              <w:jc w:val="left"/>
              <w:rPr>
                <w:rFonts w:ascii="宋体" w:hAnsi="宋体" w:cs="宋体"/>
                <w:color w:val="auto"/>
                <w:sz w:val="24"/>
                <w:highlight w:val="none"/>
              </w:rPr>
            </w:pPr>
            <w:r>
              <w:rPr>
                <w:rFonts w:hint="eastAsia" w:ascii="宋体" w:hAnsi="宋体" w:cs="宋体"/>
                <w:color w:val="auto"/>
                <w:sz w:val="24"/>
                <w:highlight w:val="none"/>
              </w:rPr>
              <w:t>本项目采购标的对应的中小企业划分标准所属行业：</w:t>
            </w:r>
          </w:p>
          <w:tbl>
            <w:tblPr>
              <w:tblStyle w:val="46"/>
              <w:tblW w:w="7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3664"/>
            </w:tblGrid>
            <w:tr w14:paraId="046A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650" w:type="dxa"/>
                  <w:tcBorders>
                    <w:top w:val="single" w:color="auto" w:sz="4" w:space="0"/>
                    <w:left w:val="single" w:color="auto" w:sz="4" w:space="0"/>
                    <w:bottom w:val="single" w:color="auto" w:sz="4" w:space="0"/>
                    <w:right w:val="single" w:color="auto" w:sz="4" w:space="0"/>
                  </w:tcBorders>
                  <w:vAlign w:val="center"/>
                </w:tcPr>
                <w:p w14:paraId="30C54542">
                  <w:pPr>
                    <w:jc w:val="center"/>
                    <w:rPr>
                      <w:rFonts w:ascii="宋体" w:hAnsi="宋体" w:cs="宋体"/>
                      <w:bCs/>
                      <w:color w:val="auto"/>
                      <w:sz w:val="24"/>
                      <w:highlight w:val="none"/>
                    </w:rPr>
                  </w:pPr>
                  <w:r>
                    <w:rPr>
                      <w:rFonts w:hint="eastAsia" w:ascii="宋体" w:hAnsi="宋体" w:cs="宋体"/>
                      <w:bCs/>
                      <w:color w:val="auto"/>
                      <w:sz w:val="24"/>
                      <w:highlight w:val="none"/>
                    </w:rPr>
                    <w:t>标的名称</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63111C4D">
                  <w:pPr>
                    <w:jc w:val="center"/>
                    <w:rPr>
                      <w:rFonts w:ascii="宋体" w:hAnsi="宋体" w:cs="宋体"/>
                      <w:color w:val="auto"/>
                      <w:sz w:val="24"/>
                      <w:highlight w:val="none"/>
                    </w:rPr>
                  </w:pPr>
                  <w:r>
                    <w:rPr>
                      <w:rFonts w:hint="eastAsia" w:ascii="宋体" w:hAnsi="宋体" w:cs="宋体"/>
                      <w:color w:val="auto"/>
                      <w:sz w:val="24"/>
                      <w:highlight w:val="none"/>
                    </w:rPr>
                    <w:t>中小企业划分标准所属行业</w:t>
                  </w:r>
                </w:p>
              </w:tc>
            </w:tr>
            <w:tr w14:paraId="43FE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0" w:type="dxa"/>
                  <w:tcBorders>
                    <w:top w:val="single" w:color="auto" w:sz="4" w:space="0"/>
                    <w:left w:val="single" w:color="auto" w:sz="4" w:space="0"/>
                    <w:bottom w:val="single" w:color="auto" w:sz="4" w:space="0"/>
                    <w:right w:val="single" w:color="auto" w:sz="4" w:space="0"/>
                  </w:tcBorders>
                  <w:vAlign w:val="center"/>
                </w:tcPr>
                <w:p w14:paraId="41ADAE09">
                  <w:pPr>
                    <w:jc w:val="center"/>
                    <w:rPr>
                      <w:rFonts w:hint="eastAsia" w:ascii="宋体" w:hAnsi="宋体" w:eastAsia="宋体" w:cs="宋体"/>
                      <w:bCs/>
                      <w:color w:val="auto"/>
                      <w:sz w:val="24"/>
                      <w:highlight w:val="none"/>
                      <w:lang w:eastAsia="zh-CN"/>
                    </w:rPr>
                  </w:pPr>
                  <w:r>
                    <w:rPr>
                      <w:rFonts w:hint="eastAsia" w:ascii="宋体" w:hAnsi="宋体" w:cs="宋体"/>
                      <w:color w:val="auto"/>
                      <w:kern w:val="0"/>
                      <w:sz w:val="24"/>
                      <w:highlight w:val="none"/>
                      <w:lang w:val="en-US" w:eastAsia="zh-CN"/>
                    </w:rPr>
                    <w:t>顺义区医院血液透析设备（血液透析滤过机）采购项目</w:t>
                  </w:r>
                </w:p>
              </w:tc>
              <w:tc>
                <w:tcPr>
                  <w:tcW w:w="3664" w:type="dxa"/>
                  <w:tcBorders>
                    <w:top w:val="single" w:color="auto" w:sz="4" w:space="0"/>
                    <w:left w:val="single" w:color="auto" w:sz="4" w:space="0"/>
                    <w:bottom w:val="single" w:color="auto" w:sz="4" w:space="0"/>
                    <w:right w:val="single" w:color="auto" w:sz="4" w:space="0"/>
                  </w:tcBorders>
                  <w:shd w:val="clear" w:color="auto" w:fill="auto"/>
                  <w:vAlign w:val="center"/>
                </w:tcPr>
                <w:p w14:paraId="4EA3C742">
                  <w:pPr>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工业</w:t>
                  </w:r>
                </w:p>
              </w:tc>
            </w:tr>
          </w:tbl>
          <w:p w14:paraId="15B8E125">
            <w:pPr>
              <w:jc w:val="left"/>
              <w:rPr>
                <w:rFonts w:ascii="宋体" w:hAnsi="宋体" w:cs="宋体"/>
                <w:color w:val="auto"/>
                <w:sz w:val="24"/>
                <w:highlight w:val="none"/>
              </w:rPr>
            </w:pPr>
          </w:p>
        </w:tc>
      </w:tr>
      <w:tr w14:paraId="628E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shd w:val="clear" w:color="auto" w:fill="auto"/>
            <w:vAlign w:val="center"/>
          </w:tcPr>
          <w:p w14:paraId="537851C3">
            <w:pPr>
              <w:pStyle w:val="23"/>
              <w:adjustRightInd w:val="0"/>
              <w:snapToGrid w:val="0"/>
              <w:jc w:val="center"/>
              <w:rPr>
                <w:rFonts w:hint="default" w:ascii="Times New Roman" w:hAnsi="Times New Roman"/>
                <w:color w:val="auto"/>
                <w:sz w:val="24"/>
                <w:szCs w:val="24"/>
                <w:highlight w:val="none"/>
              </w:rPr>
            </w:pPr>
            <w:r>
              <w:rPr>
                <w:rFonts w:ascii="Times New Roman" w:hAnsi="Times New Roman"/>
                <w:color w:val="auto"/>
                <w:sz w:val="24"/>
                <w:szCs w:val="24"/>
                <w:highlight w:val="none"/>
              </w:rPr>
              <w:t>1</w:t>
            </w:r>
            <w:r>
              <w:rPr>
                <w:rFonts w:hint="default" w:ascii="Times New Roman" w:hAnsi="Times New Roman"/>
                <w:color w:val="auto"/>
                <w:sz w:val="24"/>
                <w:szCs w:val="24"/>
                <w:highlight w:val="none"/>
              </w:rPr>
              <w:t>1.2</w:t>
            </w:r>
          </w:p>
        </w:tc>
        <w:tc>
          <w:tcPr>
            <w:tcW w:w="1836" w:type="dxa"/>
            <w:shd w:val="clear" w:color="auto" w:fill="auto"/>
            <w:vAlign w:val="center"/>
          </w:tcPr>
          <w:p w14:paraId="4B4F6810">
            <w:pPr>
              <w:jc w:val="center"/>
              <w:rPr>
                <w:color w:val="auto"/>
                <w:sz w:val="24"/>
                <w:highlight w:val="none"/>
              </w:rPr>
            </w:pPr>
            <w:r>
              <w:rPr>
                <w:rFonts w:hint="eastAsia"/>
                <w:color w:val="auto"/>
                <w:sz w:val="24"/>
                <w:highlight w:val="none"/>
              </w:rPr>
              <w:t>投标报价</w:t>
            </w:r>
          </w:p>
        </w:tc>
        <w:tc>
          <w:tcPr>
            <w:tcW w:w="7405" w:type="dxa"/>
            <w:shd w:val="clear" w:color="auto" w:fill="auto"/>
            <w:vAlign w:val="center"/>
          </w:tcPr>
          <w:p w14:paraId="11689AC3">
            <w:pPr>
              <w:jc w:val="left"/>
              <w:rPr>
                <w:color w:val="auto"/>
                <w:sz w:val="24"/>
                <w:highlight w:val="none"/>
              </w:rPr>
            </w:pPr>
            <w:r>
              <w:rPr>
                <w:rFonts w:hint="eastAsia"/>
                <w:color w:val="auto"/>
                <w:sz w:val="24"/>
                <w:highlight w:val="none"/>
              </w:rPr>
              <w:t>投标报价的特殊规定：</w:t>
            </w:r>
          </w:p>
          <w:p w14:paraId="3A037189">
            <w:pPr>
              <w:jc w:val="left"/>
              <w:rPr>
                <w:color w:val="auto"/>
                <w:sz w:val="24"/>
                <w:highlight w:val="none"/>
              </w:rPr>
            </w:pPr>
            <w:r>
              <w:rPr>
                <w:b/>
                <w:color w:val="auto"/>
                <w:sz w:val="24"/>
                <w:highlight w:val="none"/>
              </w:rPr>
              <w:t>■</w:t>
            </w:r>
            <w:r>
              <w:rPr>
                <w:color w:val="auto"/>
                <w:sz w:val="24"/>
                <w:highlight w:val="none"/>
              </w:rPr>
              <w:t>无</w:t>
            </w:r>
          </w:p>
          <w:p w14:paraId="60B2E865">
            <w:pPr>
              <w:jc w:val="left"/>
              <w:rPr>
                <w:rFonts w:hint="eastAsia" w:eastAsia="宋体"/>
                <w:color w:val="auto"/>
                <w:sz w:val="24"/>
                <w:highlight w:val="none"/>
                <w:lang w:val="en-US" w:eastAsia="zh-CN"/>
              </w:rPr>
            </w:pPr>
            <w:r>
              <w:rPr>
                <w:color w:val="auto"/>
                <w:sz w:val="24"/>
                <w:highlight w:val="none"/>
              </w:rPr>
              <w:t>□有，具体情形：</w:t>
            </w:r>
            <w:r>
              <w:rPr>
                <w:rFonts w:hint="eastAsia"/>
                <w:color w:val="auto"/>
                <w:sz w:val="24"/>
                <w:highlight w:val="none"/>
                <w:lang w:val="en-US" w:eastAsia="zh-CN"/>
              </w:rPr>
              <w:t>/</w:t>
            </w:r>
          </w:p>
        </w:tc>
      </w:tr>
      <w:tr w14:paraId="4E5F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28447A2E">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12.1</w:t>
            </w:r>
          </w:p>
        </w:tc>
        <w:tc>
          <w:tcPr>
            <w:tcW w:w="1836" w:type="dxa"/>
            <w:vMerge w:val="restart"/>
            <w:shd w:val="clear" w:color="auto" w:fill="auto"/>
            <w:vAlign w:val="center"/>
          </w:tcPr>
          <w:p w14:paraId="2B0EB982">
            <w:pPr>
              <w:jc w:val="center"/>
              <w:rPr>
                <w:color w:val="auto"/>
                <w:sz w:val="24"/>
                <w:highlight w:val="none"/>
              </w:rPr>
            </w:pPr>
            <w:r>
              <w:rPr>
                <w:color w:val="auto"/>
                <w:sz w:val="24"/>
                <w:highlight w:val="none"/>
              </w:rPr>
              <w:t>投标保证金</w:t>
            </w:r>
          </w:p>
        </w:tc>
        <w:tc>
          <w:tcPr>
            <w:tcW w:w="7405" w:type="dxa"/>
            <w:shd w:val="clear" w:color="auto" w:fill="auto"/>
            <w:vAlign w:val="center"/>
          </w:tcPr>
          <w:p w14:paraId="72A9AB7A">
            <w:pPr>
              <w:pStyle w:val="44"/>
              <w:ind w:firstLine="0" w:firstLineChars="0"/>
              <w:rPr>
                <w:color w:val="auto"/>
                <w:sz w:val="24"/>
                <w:highlight w:val="none"/>
              </w:rPr>
            </w:pPr>
            <w:r>
              <w:rPr>
                <w:rFonts w:hint="eastAsia"/>
                <w:color w:val="auto"/>
                <w:sz w:val="24"/>
                <w:highlight w:val="none"/>
              </w:rPr>
              <w:t>本项目</w:t>
            </w:r>
            <w:r>
              <w:rPr>
                <w:rFonts w:hint="eastAsia"/>
                <w:color w:val="auto"/>
                <w:sz w:val="24"/>
                <w:highlight w:val="none"/>
                <w:lang w:val="en-US" w:eastAsia="zh-CN"/>
              </w:rPr>
              <w:t xml:space="preserve"> </w:t>
            </w:r>
            <w:r>
              <w:rPr>
                <w:rFonts w:hint="eastAsia" w:ascii="宋体" w:hAnsi="宋体" w:eastAsia="宋体" w:cs="宋体"/>
                <w:color w:val="auto"/>
                <w:sz w:val="24"/>
                <w:highlight w:val="none"/>
                <w:lang w:eastAsia="zh-CN"/>
              </w:rPr>
              <w:t>■</w:t>
            </w:r>
            <w:r>
              <w:rPr>
                <w:rFonts w:hint="eastAsia"/>
                <w:color w:val="auto"/>
                <w:sz w:val="24"/>
                <w:highlight w:val="none"/>
              </w:rPr>
              <w:t xml:space="preserve">收取 </w:t>
            </w:r>
            <w:r>
              <w:rPr>
                <w:color w:val="auto"/>
                <w:sz w:val="24"/>
                <w:highlight w:val="none"/>
              </w:rPr>
              <w:t>□</w:t>
            </w:r>
            <w:r>
              <w:rPr>
                <w:rFonts w:hint="eastAsia"/>
                <w:color w:val="auto"/>
                <w:sz w:val="24"/>
                <w:highlight w:val="none"/>
              </w:rPr>
              <w:t xml:space="preserve">不收取 </w:t>
            </w:r>
            <w:r>
              <w:rPr>
                <w:color w:val="auto"/>
                <w:sz w:val="24"/>
                <w:highlight w:val="none"/>
              </w:rPr>
              <w:t>投标保证金</w:t>
            </w:r>
          </w:p>
          <w:p w14:paraId="43C306FC">
            <w:pPr>
              <w:pStyle w:val="44"/>
              <w:ind w:firstLine="0" w:firstLineChars="0"/>
              <w:rPr>
                <w:color w:val="auto"/>
                <w:sz w:val="24"/>
                <w:highlight w:val="none"/>
              </w:rPr>
            </w:pPr>
            <w:r>
              <w:rPr>
                <w:rFonts w:hint="eastAsia"/>
                <w:color w:val="auto"/>
                <w:sz w:val="24"/>
                <w:highlight w:val="none"/>
              </w:rPr>
              <w:t>投标保证金</w:t>
            </w:r>
            <w:r>
              <w:rPr>
                <w:color w:val="auto"/>
                <w:sz w:val="24"/>
                <w:highlight w:val="none"/>
              </w:rPr>
              <w:t>金额</w:t>
            </w:r>
            <w:r>
              <w:rPr>
                <w:rFonts w:hint="eastAsia"/>
                <w:color w:val="auto"/>
                <w:sz w:val="24"/>
                <w:highlight w:val="none"/>
              </w:rPr>
              <w:t>：</w:t>
            </w:r>
            <w:r>
              <w:rPr>
                <w:rFonts w:hint="eastAsia"/>
                <w:color w:val="auto"/>
                <w:sz w:val="24"/>
                <w:highlight w:val="none"/>
                <w:lang w:val="en-US" w:eastAsia="zh-CN"/>
              </w:rPr>
              <w:t>30000</w:t>
            </w:r>
            <w:r>
              <w:rPr>
                <w:color w:val="auto"/>
                <w:sz w:val="24"/>
                <w:highlight w:val="none"/>
              </w:rPr>
              <w:t>元（大写：</w:t>
            </w:r>
            <w:r>
              <w:rPr>
                <w:rFonts w:hint="eastAsia"/>
                <w:color w:val="auto"/>
                <w:sz w:val="24"/>
                <w:highlight w:val="none"/>
                <w:lang w:val="en-US" w:eastAsia="zh-CN"/>
              </w:rPr>
              <w:t>叁万元整</w:t>
            </w:r>
            <w:r>
              <w:rPr>
                <w:color w:val="auto"/>
                <w:sz w:val="24"/>
                <w:highlight w:val="none"/>
              </w:rPr>
              <w:t>）；</w:t>
            </w:r>
          </w:p>
          <w:p w14:paraId="6047E185">
            <w:pPr>
              <w:pStyle w:val="44"/>
              <w:ind w:firstLine="0" w:firstLineChars="0"/>
              <w:rPr>
                <w:color w:val="auto"/>
                <w:sz w:val="24"/>
                <w:highlight w:val="none"/>
              </w:rPr>
            </w:pPr>
            <w:r>
              <w:rPr>
                <w:rFonts w:hint="eastAsia"/>
                <w:color w:val="auto"/>
                <w:sz w:val="24"/>
                <w:highlight w:val="none"/>
              </w:rPr>
              <w:t>投标保证金形式：</w:t>
            </w:r>
            <w:r>
              <w:rPr>
                <w:rFonts w:hint="eastAsia"/>
                <w:color w:val="auto"/>
                <w:sz w:val="24"/>
                <w:highlight w:val="none"/>
                <w:lang w:val="en-US" w:eastAsia="zh-CN"/>
              </w:rPr>
              <w:t>银行转账</w:t>
            </w:r>
            <w:r>
              <w:rPr>
                <w:rFonts w:hint="eastAsia"/>
                <w:color w:val="auto"/>
                <w:sz w:val="24"/>
                <w:highlight w:val="none"/>
              </w:rPr>
              <w:t>；</w:t>
            </w:r>
          </w:p>
          <w:p w14:paraId="64DBF060">
            <w:pPr>
              <w:pStyle w:val="44"/>
              <w:ind w:firstLine="0" w:firstLineChars="0"/>
              <w:rPr>
                <w:rFonts w:hint="eastAsia"/>
                <w:color w:val="auto"/>
                <w:sz w:val="24"/>
                <w:highlight w:val="none"/>
              </w:rPr>
            </w:pPr>
            <w:r>
              <w:rPr>
                <w:rFonts w:hint="eastAsia"/>
                <w:color w:val="auto"/>
                <w:sz w:val="24"/>
                <w:highlight w:val="none"/>
              </w:rPr>
              <w:t>账户名称：北京中盛宇工程管理有限公司；</w:t>
            </w:r>
          </w:p>
          <w:p w14:paraId="1191E397">
            <w:pPr>
              <w:pStyle w:val="44"/>
              <w:ind w:firstLine="0" w:firstLineChars="0"/>
              <w:rPr>
                <w:rFonts w:hint="eastAsia"/>
                <w:color w:val="auto"/>
                <w:sz w:val="24"/>
                <w:highlight w:val="none"/>
              </w:rPr>
            </w:pPr>
            <w:r>
              <w:rPr>
                <w:rFonts w:hint="eastAsia"/>
                <w:color w:val="auto"/>
                <w:sz w:val="24"/>
                <w:highlight w:val="none"/>
              </w:rPr>
              <w:t>银行账号：1101040160001514602；</w:t>
            </w:r>
          </w:p>
          <w:p w14:paraId="34AC4C4F">
            <w:pPr>
              <w:pStyle w:val="44"/>
              <w:ind w:firstLine="0" w:firstLineChars="0"/>
              <w:rPr>
                <w:rFonts w:hint="eastAsia"/>
                <w:color w:val="auto"/>
                <w:sz w:val="24"/>
                <w:highlight w:val="none"/>
              </w:rPr>
            </w:pPr>
            <w:r>
              <w:rPr>
                <w:rFonts w:hint="eastAsia"/>
                <w:color w:val="auto"/>
                <w:sz w:val="24"/>
                <w:highlight w:val="none"/>
              </w:rPr>
              <w:t>开户行：杭州银行北京顺义支行；</w:t>
            </w:r>
          </w:p>
          <w:p w14:paraId="34FCD328">
            <w:pPr>
              <w:pStyle w:val="44"/>
              <w:ind w:firstLine="0" w:firstLineChars="0"/>
              <w:rPr>
                <w:rFonts w:hint="eastAsia"/>
                <w:color w:val="auto"/>
                <w:sz w:val="24"/>
                <w:highlight w:val="none"/>
              </w:rPr>
            </w:pPr>
            <w:r>
              <w:rPr>
                <w:rFonts w:hint="eastAsia"/>
                <w:color w:val="auto"/>
                <w:sz w:val="24"/>
                <w:highlight w:val="none"/>
              </w:rPr>
              <w:t>投标保证金递交截止时间：与提交投标文件截止时间一致；</w:t>
            </w:r>
          </w:p>
          <w:p w14:paraId="7B436E36">
            <w:pPr>
              <w:pStyle w:val="44"/>
              <w:ind w:firstLine="0" w:firstLineChars="0"/>
              <w:rPr>
                <w:color w:val="auto"/>
                <w:sz w:val="24"/>
                <w:highlight w:val="none"/>
              </w:rPr>
            </w:pPr>
            <w:r>
              <w:rPr>
                <w:rFonts w:hint="eastAsia"/>
                <w:color w:val="auto"/>
                <w:sz w:val="24"/>
                <w:highlight w:val="none"/>
              </w:rPr>
              <w:t>有效期：与投标有效期一致；注：投标保证金必须于投标截止时间以前到达上述指定账户；投标保证金必须为投标人基本账户转出。</w:t>
            </w:r>
          </w:p>
        </w:tc>
      </w:tr>
      <w:tr w14:paraId="34AD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0A03B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12.7.2</w:t>
            </w:r>
          </w:p>
        </w:tc>
        <w:tc>
          <w:tcPr>
            <w:tcW w:w="1836" w:type="dxa"/>
            <w:vMerge w:val="continue"/>
            <w:shd w:val="clear" w:color="auto" w:fill="auto"/>
            <w:vAlign w:val="center"/>
          </w:tcPr>
          <w:p w14:paraId="2646A466">
            <w:pPr>
              <w:jc w:val="center"/>
              <w:rPr>
                <w:color w:val="auto"/>
                <w:sz w:val="24"/>
                <w:highlight w:val="none"/>
              </w:rPr>
            </w:pPr>
          </w:p>
        </w:tc>
        <w:tc>
          <w:tcPr>
            <w:tcW w:w="7405" w:type="dxa"/>
            <w:shd w:val="clear" w:color="auto" w:fill="auto"/>
            <w:vAlign w:val="center"/>
          </w:tcPr>
          <w:p w14:paraId="54FEC835">
            <w:pPr>
              <w:jc w:val="left"/>
              <w:rPr>
                <w:color w:val="auto"/>
                <w:sz w:val="24"/>
                <w:highlight w:val="none"/>
              </w:rPr>
            </w:pPr>
            <w:r>
              <w:rPr>
                <w:color w:val="auto"/>
                <w:sz w:val="24"/>
                <w:highlight w:val="none"/>
              </w:rPr>
              <w:t>投标保证金可以不予退还的其他情形：</w:t>
            </w:r>
          </w:p>
          <w:p w14:paraId="04857FC4">
            <w:pPr>
              <w:jc w:val="left"/>
              <w:rPr>
                <w:color w:val="auto"/>
                <w:sz w:val="24"/>
                <w:highlight w:val="none"/>
              </w:rPr>
            </w:pPr>
            <w:r>
              <w:rPr>
                <w:color w:val="auto"/>
                <w:sz w:val="24"/>
                <w:highlight w:val="none"/>
              </w:rPr>
              <w:t>□无</w:t>
            </w:r>
          </w:p>
          <w:p w14:paraId="7AA33036">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■有，具体情形：</w:t>
            </w:r>
          </w:p>
          <w:p w14:paraId="05C1C56B">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（1）除因不可抗力或招标文件认可的情形以外，中标人放弃中标或者不按本须知的规定与采购人签订合同的；</w:t>
            </w:r>
          </w:p>
          <w:p w14:paraId="7D8429BA">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w:t>
            </w:r>
            <w:r>
              <w:rPr>
                <w:rFonts w:ascii="Times New Roman" w:hAnsi="Times New Roman"/>
                <w:color w:val="auto"/>
                <w:sz w:val="24"/>
                <w:highlight w:val="none"/>
              </w:rPr>
              <w:t>2</w:t>
            </w:r>
            <w:r>
              <w:rPr>
                <w:rFonts w:hint="default" w:ascii="Times New Roman" w:hAnsi="Times New Roman"/>
                <w:color w:val="auto"/>
                <w:sz w:val="24"/>
                <w:highlight w:val="none"/>
              </w:rPr>
              <w:t>）提供虚假材料的；</w:t>
            </w:r>
          </w:p>
          <w:p w14:paraId="589DB9F1">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w:t>
            </w:r>
            <w:r>
              <w:rPr>
                <w:rFonts w:ascii="Times New Roman" w:hAnsi="Times New Roman"/>
                <w:color w:val="auto"/>
                <w:sz w:val="24"/>
                <w:highlight w:val="none"/>
              </w:rPr>
              <w:t>3</w:t>
            </w:r>
            <w:r>
              <w:rPr>
                <w:rFonts w:hint="default" w:ascii="Times New Roman" w:hAnsi="Times New Roman"/>
                <w:color w:val="auto"/>
                <w:sz w:val="24"/>
                <w:highlight w:val="none"/>
              </w:rPr>
              <w:t>）投标人与其他投标人恶意串通的；</w:t>
            </w:r>
          </w:p>
          <w:p w14:paraId="38BEE511">
            <w:pPr>
              <w:pStyle w:val="23"/>
              <w:adjustRightInd w:val="0"/>
              <w:snapToGrid w:val="0"/>
              <w:rPr>
                <w:rFonts w:hint="default" w:ascii="Times New Roman" w:hAnsi="Times New Roman"/>
                <w:color w:val="auto"/>
                <w:sz w:val="24"/>
                <w:highlight w:val="none"/>
                <w:u w:val="single"/>
              </w:rPr>
            </w:pPr>
            <w:r>
              <w:rPr>
                <w:rFonts w:ascii="Times New Roman" w:hAnsi="Times New Roman"/>
                <w:color w:val="auto"/>
                <w:sz w:val="24"/>
                <w:highlight w:val="none"/>
              </w:rPr>
              <w:t>（4）招标文件规定的其他情形。</w:t>
            </w:r>
          </w:p>
        </w:tc>
      </w:tr>
      <w:tr w14:paraId="6E0C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A11D57E">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13.1</w:t>
            </w:r>
          </w:p>
        </w:tc>
        <w:tc>
          <w:tcPr>
            <w:tcW w:w="1836" w:type="dxa"/>
            <w:vAlign w:val="center"/>
          </w:tcPr>
          <w:p w14:paraId="4E0AC480">
            <w:pPr>
              <w:jc w:val="center"/>
              <w:rPr>
                <w:color w:val="auto"/>
                <w:sz w:val="24"/>
                <w:highlight w:val="none"/>
              </w:rPr>
            </w:pPr>
            <w:r>
              <w:rPr>
                <w:color w:val="auto"/>
                <w:sz w:val="24"/>
                <w:highlight w:val="none"/>
              </w:rPr>
              <w:t>投标有效期</w:t>
            </w:r>
          </w:p>
        </w:tc>
        <w:tc>
          <w:tcPr>
            <w:tcW w:w="7405" w:type="dxa"/>
            <w:vAlign w:val="center"/>
          </w:tcPr>
          <w:p w14:paraId="715EF7A4">
            <w:pPr>
              <w:jc w:val="left"/>
              <w:rPr>
                <w:color w:val="auto"/>
                <w:sz w:val="24"/>
                <w:highlight w:val="none"/>
              </w:rPr>
            </w:pPr>
            <w:r>
              <w:rPr>
                <w:color w:val="auto"/>
                <w:sz w:val="24"/>
                <w:highlight w:val="none"/>
              </w:rPr>
              <w:t>自提交投标文件的截止之日起算</w:t>
            </w:r>
            <w:r>
              <w:rPr>
                <w:rFonts w:hint="eastAsia"/>
                <w:color w:val="auto"/>
                <w:sz w:val="24"/>
                <w:highlight w:val="none"/>
                <w:u w:val="single"/>
              </w:rPr>
              <w:t>90</w:t>
            </w:r>
            <w:r>
              <w:rPr>
                <w:color w:val="auto"/>
                <w:sz w:val="24"/>
                <w:highlight w:val="none"/>
              </w:rPr>
              <w:t>日历天。</w:t>
            </w:r>
          </w:p>
        </w:tc>
      </w:tr>
      <w:tr w14:paraId="15DB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697E762A">
            <w:pPr>
              <w:pStyle w:val="23"/>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olor w:val="auto"/>
                <w:sz w:val="24"/>
                <w:szCs w:val="24"/>
                <w:highlight w:val="none"/>
              </w:rPr>
              <w:t>18.2</w:t>
            </w:r>
          </w:p>
        </w:tc>
        <w:tc>
          <w:tcPr>
            <w:tcW w:w="1836" w:type="dxa"/>
            <w:shd w:val="clear" w:color="auto" w:fill="auto"/>
            <w:vAlign w:val="center"/>
          </w:tcPr>
          <w:p w14:paraId="5C420009">
            <w:pPr>
              <w:jc w:val="center"/>
              <w:rPr>
                <w:rFonts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解密时间</w:t>
            </w:r>
          </w:p>
        </w:tc>
        <w:tc>
          <w:tcPr>
            <w:tcW w:w="7405" w:type="dxa"/>
            <w:shd w:val="clear" w:color="auto" w:fill="auto"/>
            <w:vAlign w:val="center"/>
          </w:tcPr>
          <w:p w14:paraId="60B6801C">
            <w:pPr>
              <w:jc w:val="left"/>
              <w:rPr>
                <w:rFonts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解密时间：</w:t>
            </w:r>
            <w:r>
              <w:rPr>
                <w:rFonts w:hint="eastAsia"/>
                <w:color w:val="auto"/>
                <w:sz w:val="24"/>
                <w:highlight w:val="none"/>
                <w:u w:val="single"/>
                <w:lang w:val="en-US" w:eastAsia="zh-CN"/>
              </w:rPr>
              <w:t>90</w:t>
            </w:r>
            <w:r>
              <w:rPr>
                <w:rFonts w:hint="eastAsia"/>
                <w:color w:val="auto"/>
                <w:sz w:val="24"/>
                <w:highlight w:val="none"/>
              </w:rPr>
              <w:t>分钟</w:t>
            </w:r>
          </w:p>
        </w:tc>
      </w:tr>
      <w:tr w14:paraId="7191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E357548">
            <w:pPr>
              <w:pStyle w:val="23"/>
              <w:adjustRightInd w:val="0"/>
              <w:snapToGrid w:val="0"/>
              <w:jc w:val="center"/>
              <w:rPr>
                <w:rFonts w:hint="default" w:ascii="Times New Roman" w:hAnsi="Times New Roman"/>
                <w:color w:val="auto"/>
                <w:sz w:val="24"/>
                <w:szCs w:val="24"/>
                <w:highlight w:val="none"/>
              </w:rPr>
            </w:pPr>
            <w:r>
              <w:rPr>
                <w:rFonts w:ascii="Times New Roman" w:hAnsi="Times New Roman"/>
                <w:color w:val="auto"/>
                <w:sz w:val="24"/>
                <w:szCs w:val="24"/>
                <w:highlight w:val="none"/>
              </w:rPr>
              <w:t>18.2</w:t>
            </w:r>
          </w:p>
        </w:tc>
        <w:tc>
          <w:tcPr>
            <w:tcW w:w="1836" w:type="dxa"/>
            <w:vAlign w:val="center"/>
          </w:tcPr>
          <w:p w14:paraId="232584EF">
            <w:pPr>
              <w:jc w:val="center"/>
              <w:rPr>
                <w:color w:val="auto"/>
                <w:sz w:val="24"/>
                <w:highlight w:val="none"/>
              </w:rPr>
            </w:pPr>
            <w:r>
              <w:rPr>
                <w:rFonts w:hint="eastAsia"/>
                <w:color w:val="auto"/>
                <w:sz w:val="24"/>
                <w:highlight w:val="none"/>
              </w:rPr>
              <w:t>开标会携带资料</w:t>
            </w:r>
          </w:p>
        </w:tc>
        <w:tc>
          <w:tcPr>
            <w:tcW w:w="7405" w:type="dxa"/>
            <w:vAlign w:val="center"/>
          </w:tcPr>
          <w:p w14:paraId="6F9D7221">
            <w:pPr>
              <w:jc w:val="left"/>
              <w:rPr>
                <w:color w:val="auto"/>
                <w:sz w:val="24"/>
                <w:highlight w:val="none"/>
              </w:rPr>
            </w:pPr>
            <w:r>
              <w:rPr>
                <w:rFonts w:hint="eastAsia"/>
                <w:color w:val="auto"/>
                <w:sz w:val="24"/>
                <w:highlight w:val="none"/>
              </w:rPr>
              <w:t>参加开标的投标人代表应确保携带加密电子投标文件相对应的移动数字CA证书，投标人应在规定的时间内对投标文件进行解密，因非系统原因导致的解密失败，视为投标无效。投标人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未提供以上资料或提供资料不符合要求的投标人，代理机构需如实记录，由评标委员会按无效投标处理）。</w:t>
            </w:r>
          </w:p>
        </w:tc>
      </w:tr>
      <w:tr w14:paraId="6635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D87207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22.1</w:t>
            </w:r>
          </w:p>
        </w:tc>
        <w:tc>
          <w:tcPr>
            <w:tcW w:w="1836" w:type="dxa"/>
            <w:vAlign w:val="center"/>
          </w:tcPr>
          <w:p w14:paraId="4AF308A2">
            <w:pPr>
              <w:jc w:val="center"/>
              <w:rPr>
                <w:color w:val="auto"/>
                <w:sz w:val="24"/>
                <w:highlight w:val="none"/>
              </w:rPr>
            </w:pPr>
            <w:r>
              <w:rPr>
                <w:color w:val="auto"/>
                <w:sz w:val="24"/>
                <w:highlight w:val="none"/>
              </w:rPr>
              <w:t>确定中标人</w:t>
            </w:r>
          </w:p>
        </w:tc>
        <w:tc>
          <w:tcPr>
            <w:tcW w:w="7405" w:type="dxa"/>
            <w:vAlign w:val="center"/>
          </w:tcPr>
          <w:p w14:paraId="16E2EDE0">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中标候选人并列的，采购人是否委托评标委员会确定中标人：</w:t>
            </w:r>
          </w:p>
          <w:p w14:paraId="33D3C6A2">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■否</w:t>
            </w:r>
          </w:p>
          <w:p w14:paraId="511822B9">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□是</w:t>
            </w:r>
          </w:p>
          <w:p w14:paraId="77F64F12">
            <w:pPr>
              <w:pStyle w:val="23"/>
              <w:adjustRightInd w:val="0"/>
              <w:snapToGrid w:val="0"/>
              <w:rPr>
                <w:rFonts w:hint="default" w:ascii="Times New Roman" w:hAnsi="Times New Roman"/>
                <w:color w:val="auto"/>
                <w:highlight w:val="none"/>
              </w:rPr>
            </w:pPr>
            <w:r>
              <w:rPr>
                <w:rFonts w:hint="default" w:ascii="Times New Roman" w:hAnsi="Times New Roman"/>
                <w:color w:val="auto"/>
                <w:sz w:val="24"/>
                <w:highlight w:val="none"/>
              </w:rPr>
              <w:t>中标候选人并列的，按照以下方式确定中标人：</w:t>
            </w:r>
            <w:r>
              <w:rPr>
                <w:rFonts w:hint="default" w:ascii="Times New Roman" w:hAnsi="Times New Roman"/>
                <w:color w:val="auto"/>
                <w:highlight w:val="none"/>
              </w:rPr>
              <w:t xml:space="preserve"> </w:t>
            </w:r>
          </w:p>
          <w:p w14:paraId="00E4EF5A">
            <w:pPr>
              <w:pStyle w:val="23"/>
              <w:adjustRightInd w:val="0"/>
              <w:snapToGrid w:val="0"/>
              <w:rPr>
                <w:rFonts w:hint="default" w:ascii="Times New Roman" w:hAnsi="Times New Roman"/>
                <w:color w:val="auto"/>
                <w:sz w:val="24"/>
                <w:highlight w:val="none"/>
              </w:rPr>
            </w:pPr>
            <w:r>
              <w:rPr>
                <w:rFonts w:hint="default" w:ascii="Times New Roman" w:hAnsi="Times New Roman"/>
                <w:color w:val="auto"/>
                <w:sz w:val="24"/>
                <w:highlight w:val="none"/>
              </w:rPr>
              <w:t>■得分且投标报价均相同的，以</w:t>
            </w:r>
            <w:r>
              <w:rPr>
                <w:rFonts w:ascii="Times New Roman" w:hAnsi="Times New Roman"/>
                <w:color w:val="auto"/>
                <w:sz w:val="24"/>
                <w:highlight w:val="none"/>
                <w:u w:val="single"/>
              </w:rPr>
              <w:t>技术评审</w:t>
            </w:r>
            <w:r>
              <w:rPr>
                <w:rFonts w:hint="default" w:ascii="Times New Roman" w:hAnsi="Times New Roman"/>
                <w:color w:val="auto"/>
                <w:sz w:val="24"/>
                <w:highlight w:val="none"/>
              </w:rPr>
              <w:t>得分高者为中标人</w:t>
            </w:r>
          </w:p>
          <w:p w14:paraId="59EA10FE">
            <w:pPr>
              <w:jc w:val="left"/>
              <w:rPr>
                <w:color w:val="auto"/>
                <w:sz w:val="24"/>
                <w:highlight w:val="none"/>
                <w:u w:val="single"/>
              </w:rPr>
            </w:pPr>
            <w:r>
              <w:rPr>
                <w:color w:val="auto"/>
                <w:sz w:val="24"/>
                <w:highlight w:val="none"/>
              </w:rPr>
              <w:t>□随机抽取</w:t>
            </w:r>
          </w:p>
        </w:tc>
      </w:tr>
      <w:tr w14:paraId="2D2A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490EA97">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25.5</w:t>
            </w:r>
          </w:p>
        </w:tc>
        <w:tc>
          <w:tcPr>
            <w:tcW w:w="1836" w:type="dxa"/>
            <w:vAlign w:val="center"/>
          </w:tcPr>
          <w:p w14:paraId="5E479CC7">
            <w:pPr>
              <w:jc w:val="center"/>
              <w:rPr>
                <w:color w:val="auto"/>
                <w:sz w:val="24"/>
                <w:highlight w:val="none"/>
              </w:rPr>
            </w:pPr>
            <w:r>
              <w:rPr>
                <w:color w:val="auto"/>
                <w:sz w:val="24"/>
                <w:highlight w:val="none"/>
              </w:rPr>
              <w:t>分包</w:t>
            </w:r>
          </w:p>
        </w:tc>
        <w:tc>
          <w:tcPr>
            <w:tcW w:w="7405" w:type="dxa"/>
            <w:vAlign w:val="center"/>
          </w:tcPr>
          <w:p w14:paraId="6B44461D">
            <w:pPr>
              <w:jc w:val="left"/>
              <w:rPr>
                <w:color w:val="auto"/>
                <w:sz w:val="24"/>
                <w:highlight w:val="none"/>
              </w:rPr>
            </w:pPr>
            <w:r>
              <w:rPr>
                <w:color w:val="auto"/>
                <w:sz w:val="24"/>
                <w:highlight w:val="none"/>
              </w:rPr>
              <w:t xml:space="preserve">本项目的非主体、非关键性工作是否允许分包： </w:t>
            </w:r>
          </w:p>
          <w:p w14:paraId="55718145">
            <w:pPr>
              <w:jc w:val="left"/>
              <w:rPr>
                <w:color w:val="auto"/>
                <w:sz w:val="24"/>
                <w:highlight w:val="none"/>
              </w:rPr>
            </w:pPr>
            <w:r>
              <w:rPr>
                <w:color w:val="auto"/>
                <w:sz w:val="24"/>
                <w:highlight w:val="none"/>
              </w:rPr>
              <w:t>■不允许</w:t>
            </w:r>
          </w:p>
          <w:p w14:paraId="380844DF">
            <w:pPr>
              <w:jc w:val="left"/>
              <w:rPr>
                <w:color w:val="auto"/>
                <w:sz w:val="24"/>
                <w:highlight w:val="none"/>
              </w:rPr>
            </w:pPr>
            <w:r>
              <w:rPr>
                <w:color w:val="auto"/>
                <w:sz w:val="24"/>
                <w:highlight w:val="none"/>
              </w:rPr>
              <w:t>□允许，具体要求：</w:t>
            </w:r>
          </w:p>
          <w:p w14:paraId="75AD2536">
            <w:pPr>
              <w:jc w:val="left"/>
              <w:rPr>
                <w:color w:val="auto"/>
                <w:sz w:val="24"/>
                <w:highlight w:val="none"/>
              </w:rPr>
            </w:pPr>
            <w:r>
              <w:rPr>
                <w:color w:val="auto"/>
                <w:sz w:val="24"/>
                <w:highlight w:val="none"/>
              </w:rPr>
              <w:t>（1）可以分包履行的具体内容：___</w:t>
            </w:r>
            <w:r>
              <w:rPr>
                <w:rFonts w:hint="eastAsia"/>
                <w:color w:val="auto"/>
                <w:sz w:val="24"/>
                <w:highlight w:val="none"/>
              </w:rPr>
              <w:t>/</w:t>
            </w:r>
            <w:r>
              <w:rPr>
                <w:color w:val="auto"/>
                <w:sz w:val="24"/>
                <w:highlight w:val="none"/>
              </w:rPr>
              <w:t>__；</w:t>
            </w:r>
          </w:p>
          <w:p w14:paraId="1DD25DA5">
            <w:pPr>
              <w:jc w:val="left"/>
              <w:rPr>
                <w:color w:val="auto"/>
                <w:sz w:val="24"/>
                <w:highlight w:val="none"/>
              </w:rPr>
            </w:pPr>
            <w:r>
              <w:rPr>
                <w:color w:val="auto"/>
                <w:sz w:val="24"/>
                <w:highlight w:val="none"/>
              </w:rPr>
              <w:t>（2）允许分包的金额或者比例：___</w:t>
            </w:r>
            <w:r>
              <w:rPr>
                <w:rFonts w:hint="eastAsia"/>
                <w:color w:val="auto"/>
                <w:sz w:val="24"/>
                <w:highlight w:val="none"/>
              </w:rPr>
              <w:t>/</w:t>
            </w:r>
            <w:r>
              <w:rPr>
                <w:color w:val="auto"/>
                <w:sz w:val="24"/>
                <w:highlight w:val="none"/>
              </w:rPr>
              <w:t>__；</w:t>
            </w:r>
          </w:p>
          <w:p w14:paraId="0420C905">
            <w:pPr>
              <w:jc w:val="left"/>
              <w:rPr>
                <w:color w:val="auto"/>
                <w:sz w:val="24"/>
                <w:highlight w:val="none"/>
                <w:u w:val="single"/>
              </w:rPr>
            </w:pPr>
            <w:r>
              <w:rPr>
                <w:color w:val="auto"/>
                <w:sz w:val="24"/>
                <w:highlight w:val="none"/>
              </w:rPr>
              <w:t>（3）其他要求：__</w:t>
            </w:r>
            <w:r>
              <w:rPr>
                <w:rFonts w:hint="eastAsia"/>
                <w:color w:val="auto"/>
                <w:sz w:val="24"/>
                <w:highlight w:val="none"/>
              </w:rPr>
              <w:t>/</w:t>
            </w:r>
            <w:r>
              <w:rPr>
                <w:color w:val="auto"/>
                <w:sz w:val="24"/>
                <w:highlight w:val="none"/>
              </w:rPr>
              <w:t>__。</w:t>
            </w:r>
          </w:p>
        </w:tc>
      </w:tr>
      <w:tr w14:paraId="0729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EA4A234">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25.6</w:t>
            </w:r>
          </w:p>
        </w:tc>
        <w:tc>
          <w:tcPr>
            <w:tcW w:w="1836" w:type="dxa"/>
            <w:vAlign w:val="center"/>
          </w:tcPr>
          <w:p w14:paraId="0C665C04">
            <w:pPr>
              <w:jc w:val="center"/>
              <w:rPr>
                <w:color w:val="auto"/>
                <w:sz w:val="24"/>
                <w:highlight w:val="none"/>
              </w:rPr>
            </w:pPr>
            <w:r>
              <w:rPr>
                <w:rFonts w:hint="eastAsia"/>
                <w:color w:val="auto"/>
                <w:sz w:val="24"/>
                <w:highlight w:val="none"/>
              </w:rPr>
              <w:t>政采贷</w:t>
            </w:r>
          </w:p>
        </w:tc>
        <w:tc>
          <w:tcPr>
            <w:tcW w:w="7405" w:type="dxa"/>
            <w:vAlign w:val="center"/>
          </w:tcPr>
          <w:p w14:paraId="612F2A7C">
            <w:pPr>
              <w:jc w:val="left"/>
              <w:rPr>
                <w:color w:val="auto"/>
                <w:sz w:val="24"/>
                <w:highlight w:val="none"/>
              </w:rPr>
            </w:pPr>
            <w:r>
              <w:rPr>
                <w:rFonts w:hint="eastAsia"/>
                <w:color w:val="auto"/>
                <w:sz w:val="24"/>
                <w:highlight w:val="none"/>
              </w:rPr>
              <w:t>为更大力度激发市场活力和社会创造力，增强发展动力，按照《北京市全面优化营商环境助力企业高质量发展实施方案》（京政办发〔2023〕8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tc>
      </w:tr>
      <w:tr w14:paraId="5369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D7DAE81">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26.1.1</w:t>
            </w:r>
          </w:p>
        </w:tc>
        <w:tc>
          <w:tcPr>
            <w:tcW w:w="1836" w:type="dxa"/>
            <w:vAlign w:val="center"/>
          </w:tcPr>
          <w:p w14:paraId="1342FCC4">
            <w:pPr>
              <w:jc w:val="center"/>
              <w:rPr>
                <w:color w:val="auto"/>
                <w:sz w:val="24"/>
                <w:highlight w:val="none"/>
              </w:rPr>
            </w:pPr>
            <w:r>
              <w:rPr>
                <w:color w:val="auto"/>
                <w:sz w:val="24"/>
                <w:highlight w:val="none"/>
              </w:rPr>
              <w:t>询问</w:t>
            </w:r>
          </w:p>
        </w:tc>
        <w:tc>
          <w:tcPr>
            <w:tcW w:w="7405" w:type="dxa"/>
            <w:vAlign w:val="center"/>
          </w:tcPr>
          <w:p w14:paraId="0873ED47">
            <w:pPr>
              <w:jc w:val="left"/>
              <w:rPr>
                <w:color w:val="auto"/>
                <w:sz w:val="24"/>
                <w:highlight w:val="none"/>
              </w:rPr>
            </w:pPr>
            <w:r>
              <w:rPr>
                <w:rFonts w:hint="eastAsia"/>
                <w:color w:val="auto"/>
                <w:sz w:val="24"/>
                <w:highlight w:val="none"/>
              </w:rPr>
              <w:t>询问提出形式</w:t>
            </w:r>
            <w:r>
              <w:rPr>
                <w:color w:val="auto"/>
                <w:sz w:val="24"/>
                <w:highlight w:val="none"/>
              </w:rPr>
              <w:t>：</w:t>
            </w:r>
            <w:r>
              <w:rPr>
                <w:rFonts w:hint="eastAsia"/>
                <w:color w:val="auto"/>
                <w:sz w:val="24"/>
                <w:highlight w:val="none"/>
              </w:rPr>
              <w:t>纸质</w:t>
            </w:r>
          </w:p>
        </w:tc>
      </w:tr>
      <w:tr w14:paraId="0A74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FA264CA">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26.3</w:t>
            </w:r>
          </w:p>
        </w:tc>
        <w:tc>
          <w:tcPr>
            <w:tcW w:w="1836" w:type="dxa"/>
            <w:vAlign w:val="center"/>
          </w:tcPr>
          <w:p w14:paraId="69EBAFB4">
            <w:pPr>
              <w:jc w:val="center"/>
              <w:rPr>
                <w:color w:val="auto"/>
                <w:sz w:val="24"/>
                <w:highlight w:val="none"/>
              </w:rPr>
            </w:pPr>
            <w:r>
              <w:rPr>
                <w:color w:val="auto"/>
                <w:sz w:val="24"/>
                <w:highlight w:val="none"/>
              </w:rPr>
              <w:t>联系方式</w:t>
            </w:r>
          </w:p>
        </w:tc>
        <w:tc>
          <w:tcPr>
            <w:tcW w:w="7405" w:type="dxa"/>
            <w:vAlign w:val="center"/>
          </w:tcPr>
          <w:p w14:paraId="236F34BE">
            <w:pPr>
              <w:jc w:val="left"/>
              <w:rPr>
                <w:color w:val="auto"/>
                <w:sz w:val="24"/>
                <w:highlight w:val="none"/>
              </w:rPr>
            </w:pPr>
            <w:r>
              <w:rPr>
                <w:color w:val="auto"/>
                <w:sz w:val="24"/>
                <w:highlight w:val="none"/>
              </w:rPr>
              <w:t>接收询问和质疑的联系方式</w:t>
            </w:r>
          </w:p>
          <w:p w14:paraId="486D2FC8">
            <w:pPr>
              <w:jc w:val="left"/>
              <w:rPr>
                <w:color w:val="auto"/>
                <w:sz w:val="24"/>
                <w:highlight w:val="none"/>
              </w:rPr>
            </w:pPr>
            <w:r>
              <w:rPr>
                <w:color w:val="auto"/>
                <w:sz w:val="24"/>
                <w:highlight w:val="none"/>
              </w:rPr>
              <w:t>联系部门：</w:t>
            </w:r>
            <w:r>
              <w:rPr>
                <w:rFonts w:hint="eastAsia" w:ascii="宋体" w:hAnsi="宋体" w:cs="宋体"/>
                <w:color w:val="auto"/>
                <w:sz w:val="24"/>
                <w:highlight w:val="none"/>
                <w:u w:val="single"/>
              </w:rPr>
              <w:t>北京中盛宇工程管理有限公司</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招标部</w:t>
            </w:r>
            <w:r>
              <w:rPr>
                <w:color w:val="auto"/>
                <w:sz w:val="24"/>
                <w:highlight w:val="none"/>
              </w:rPr>
              <w:t>；</w:t>
            </w:r>
          </w:p>
          <w:p w14:paraId="367F9A1A">
            <w:pPr>
              <w:jc w:val="left"/>
              <w:rPr>
                <w:color w:val="auto"/>
                <w:sz w:val="24"/>
                <w:highlight w:val="none"/>
              </w:rPr>
            </w:pPr>
            <w:r>
              <w:rPr>
                <w:color w:val="auto"/>
                <w:sz w:val="24"/>
                <w:highlight w:val="none"/>
              </w:rPr>
              <w:t>联系电话：</w:t>
            </w:r>
            <w:r>
              <w:rPr>
                <w:rFonts w:hint="eastAsia" w:ascii="宋体" w:hAnsi="宋体" w:cs="宋体"/>
                <w:color w:val="auto"/>
                <w:sz w:val="24"/>
                <w:highlight w:val="none"/>
                <w:u w:val="single"/>
              </w:rPr>
              <w:t>69415773</w:t>
            </w:r>
            <w:r>
              <w:rPr>
                <w:color w:val="auto"/>
                <w:sz w:val="24"/>
                <w:highlight w:val="none"/>
              </w:rPr>
              <w:t>；</w:t>
            </w:r>
          </w:p>
          <w:p w14:paraId="5C0DDD79">
            <w:pPr>
              <w:jc w:val="left"/>
              <w:rPr>
                <w:color w:val="auto"/>
                <w:sz w:val="24"/>
                <w:highlight w:val="none"/>
              </w:rPr>
            </w:pPr>
            <w:r>
              <w:rPr>
                <w:color w:val="auto"/>
                <w:sz w:val="24"/>
                <w:highlight w:val="none"/>
              </w:rPr>
              <w:t>通讯地址：</w:t>
            </w:r>
            <w:r>
              <w:rPr>
                <w:rFonts w:hint="eastAsia" w:ascii="宋体" w:hAnsi="宋体" w:cs="宋体"/>
                <w:color w:val="auto"/>
                <w:sz w:val="24"/>
                <w:highlight w:val="none"/>
                <w:u w:val="single"/>
              </w:rPr>
              <w:t>北京市顺义区双丰街道顺安南路12号一区26号楼北侧三层</w:t>
            </w:r>
            <w:r>
              <w:rPr>
                <w:color w:val="auto"/>
                <w:sz w:val="24"/>
                <w:highlight w:val="none"/>
              </w:rPr>
              <w:t>。</w:t>
            </w:r>
          </w:p>
        </w:tc>
      </w:tr>
      <w:tr w14:paraId="23B9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4F966E90">
            <w:pPr>
              <w:pStyle w:val="23"/>
              <w:adjustRightInd w:val="0"/>
              <w:snapToGrid w:val="0"/>
              <w:jc w:val="center"/>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27</w:t>
            </w: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4DA02542">
            <w:pPr>
              <w:jc w:val="center"/>
              <w:rPr>
                <w:color w:val="auto"/>
                <w:sz w:val="24"/>
                <w:highlight w:val="none"/>
              </w:rPr>
            </w:pPr>
            <w:r>
              <w:rPr>
                <w:color w:val="auto"/>
                <w:sz w:val="24"/>
                <w:highlight w:val="none"/>
              </w:rPr>
              <w:t>代理费</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4897C344">
            <w:pPr>
              <w:jc w:val="left"/>
              <w:rPr>
                <w:rFonts w:ascii="宋体" w:hAnsi="宋体" w:cs="宋体"/>
                <w:color w:val="auto"/>
                <w:sz w:val="24"/>
                <w:szCs w:val="32"/>
                <w:highlight w:val="none"/>
              </w:rPr>
            </w:pPr>
            <w:r>
              <w:rPr>
                <w:rFonts w:hint="eastAsia" w:ascii="宋体" w:hAnsi="宋体" w:cs="宋体"/>
                <w:color w:val="auto"/>
                <w:sz w:val="24"/>
                <w:szCs w:val="32"/>
                <w:highlight w:val="none"/>
              </w:rPr>
              <w:t>收费对象：</w:t>
            </w:r>
          </w:p>
          <w:p w14:paraId="082B7AEC">
            <w:pPr>
              <w:jc w:val="left"/>
              <w:rPr>
                <w:rFonts w:ascii="宋体" w:hAnsi="宋体" w:cs="宋体"/>
                <w:color w:val="auto"/>
                <w:sz w:val="24"/>
                <w:szCs w:val="32"/>
                <w:highlight w:val="none"/>
              </w:rPr>
            </w:pPr>
            <w:r>
              <w:rPr>
                <w:rFonts w:hint="eastAsia" w:ascii="宋体" w:hAnsi="宋体" w:cs="宋体"/>
                <w:color w:val="auto"/>
                <w:sz w:val="24"/>
                <w:szCs w:val="32"/>
                <w:highlight w:val="none"/>
              </w:rPr>
              <w:t>□采购人</w:t>
            </w:r>
          </w:p>
          <w:p w14:paraId="3713B228">
            <w:pPr>
              <w:jc w:val="left"/>
              <w:rPr>
                <w:rFonts w:ascii="宋体" w:hAnsi="宋体" w:cs="宋体"/>
                <w:color w:val="auto"/>
                <w:sz w:val="24"/>
                <w:szCs w:val="32"/>
                <w:highlight w:val="none"/>
              </w:rPr>
            </w:pPr>
            <w:r>
              <w:rPr>
                <w:rFonts w:hint="eastAsia" w:ascii="宋体" w:hAnsi="宋体" w:cs="宋体"/>
                <w:color w:val="auto"/>
                <w:sz w:val="24"/>
                <w:szCs w:val="32"/>
                <w:highlight w:val="none"/>
              </w:rPr>
              <w:t>■中标人</w:t>
            </w:r>
          </w:p>
          <w:p w14:paraId="17AEB4FD">
            <w:pPr>
              <w:numPr>
                <w:ilvl w:val="0"/>
                <w:numId w:val="0"/>
              </w:numPr>
              <w:tabs>
                <w:tab w:val="left" w:pos="1560"/>
              </w:tabs>
              <w:spacing w:line="360" w:lineRule="auto"/>
              <w:jc w:val="left"/>
              <w:rPr>
                <w:rFonts w:hint="eastAsia" w:ascii="宋体" w:hAnsi="宋体" w:cs="宋体"/>
                <w:color w:val="auto"/>
                <w:sz w:val="24"/>
                <w:szCs w:val="32"/>
                <w:highlight w:val="none"/>
              </w:rPr>
            </w:pPr>
            <w:r>
              <w:rPr>
                <w:rFonts w:hint="eastAsia" w:ascii="宋体" w:hAnsi="宋体" w:cs="宋体"/>
                <w:color w:val="auto"/>
                <w:sz w:val="24"/>
                <w:szCs w:val="32"/>
                <w:highlight w:val="none"/>
              </w:rPr>
              <w:t>收费标准：</w:t>
            </w:r>
          </w:p>
          <w:p w14:paraId="28122DB7">
            <w:pPr>
              <w:numPr>
                <w:ilvl w:val="0"/>
                <w:numId w:val="0"/>
              </w:numPr>
              <w:tabs>
                <w:tab w:val="left" w:pos="1560"/>
              </w:tabs>
              <w:spacing w:line="360" w:lineRule="auto"/>
              <w:jc w:val="left"/>
              <w:rPr>
                <w:rFonts w:hint="eastAsia" w:ascii="宋体" w:hAnsi="宋体" w:cs="宋体"/>
                <w:color w:val="auto"/>
                <w:sz w:val="24"/>
                <w:szCs w:val="32"/>
                <w:highlight w:val="none"/>
              </w:rPr>
            </w:pPr>
            <w:r>
              <w:rPr>
                <w:rFonts w:hint="eastAsia" w:ascii="宋体" w:hAnsi="宋体" w:eastAsia="宋体" w:cs="宋体"/>
                <w:color w:val="auto"/>
                <w:sz w:val="22"/>
                <w:szCs w:val="22"/>
                <w:highlight w:val="none"/>
                <w:u w:val="single"/>
              </w:rPr>
              <w:t>根据《国家发展改革委关于进一步放开建设项目专业服务价格的通知》“发改价格【2015】299号”文件，按照（附件1）招标代理服务费收费费率，以</w:t>
            </w:r>
            <w:r>
              <w:rPr>
                <w:rFonts w:hint="eastAsia" w:ascii="宋体" w:hAnsi="宋体" w:eastAsia="宋体" w:cs="宋体"/>
                <w:color w:val="auto"/>
                <w:sz w:val="22"/>
                <w:szCs w:val="22"/>
                <w:highlight w:val="none"/>
                <w:u w:val="single"/>
                <w:lang w:val="en-US" w:eastAsia="zh-CN"/>
              </w:rPr>
              <w:t>中标</w:t>
            </w:r>
            <w:r>
              <w:rPr>
                <w:rFonts w:hint="eastAsia" w:ascii="宋体" w:hAnsi="宋体" w:eastAsia="宋体" w:cs="宋体"/>
                <w:color w:val="auto"/>
                <w:sz w:val="22"/>
                <w:szCs w:val="22"/>
                <w:highlight w:val="none"/>
                <w:u w:val="single"/>
              </w:rPr>
              <w:t>为基数，采用差额定率累进法计算</w:t>
            </w:r>
            <w:r>
              <w:rPr>
                <w:rFonts w:hint="eastAsia" w:ascii="宋体" w:hAnsi="宋体" w:cs="宋体"/>
                <w:color w:val="auto"/>
                <w:sz w:val="22"/>
                <w:szCs w:val="22"/>
                <w:highlight w:val="none"/>
                <w:u w:val="single"/>
                <w:lang w:val="en-US" w:eastAsia="zh-CN"/>
              </w:rPr>
              <w:t>并下浮30%计取</w:t>
            </w:r>
            <w:r>
              <w:rPr>
                <w:rFonts w:hint="eastAsia" w:ascii="宋体" w:hAnsi="宋体" w:cs="宋体"/>
                <w:color w:val="auto"/>
                <w:sz w:val="24"/>
                <w:szCs w:val="32"/>
                <w:highlight w:val="none"/>
              </w:rPr>
              <w:t>。</w:t>
            </w:r>
          </w:p>
          <w:p w14:paraId="77BEC64B">
            <w:pPr>
              <w:numPr>
                <w:ilvl w:val="0"/>
                <w:numId w:val="0"/>
              </w:numPr>
              <w:tabs>
                <w:tab w:val="left" w:pos="1560"/>
              </w:tabs>
              <w:spacing w:line="360" w:lineRule="auto"/>
              <w:jc w:val="left"/>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sz w:val="22"/>
                <w:szCs w:val="22"/>
                <w:highlight w:val="none"/>
                <w:u w:val="single"/>
                <w:lang w:val="en-US" w:eastAsia="zh-CN"/>
              </w:rPr>
              <w:t>缴纳时间：在中标人领取中标通知书的当日，将全部代理报酬一次性支付。</w:t>
            </w:r>
          </w:p>
          <w:p w14:paraId="44D87F27">
            <w:pPr>
              <w:pStyle w:val="17"/>
              <w:rPr>
                <w:rFonts w:hint="eastAsia"/>
                <w:lang w:val="en-US" w:eastAsia="zh-CN"/>
              </w:rPr>
            </w:pPr>
          </w:p>
          <w:p w14:paraId="69F18820">
            <w:pPr>
              <w:numPr>
                <w:ilvl w:val="0"/>
                <w:numId w:val="0"/>
              </w:numPr>
              <w:tabs>
                <w:tab w:val="left" w:pos="1560"/>
              </w:tabs>
              <w:spacing w:line="360" w:lineRule="auto"/>
              <w:jc w:val="center"/>
              <w:rPr>
                <w:rFonts w:hint="eastAsia" w:ascii="仿宋_GB2312" w:eastAsia="仿宋_GB2312"/>
                <w:color w:val="auto"/>
                <w:sz w:val="22"/>
                <w:szCs w:val="22"/>
                <w:highlight w:val="none"/>
              </w:rPr>
            </w:pPr>
            <w:r>
              <w:rPr>
                <w:rFonts w:hint="eastAsia" w:ascii="仿宋_GB2312" w:eastAsia="仿宋_GB2312"/>
                <w:color w:val="auto"/>
                <w:sz w:val="22"/>
                <w:szCs w:val="22"/>
                <w:highlight w:val="none"/>
              </w:rPr>
              <w:t>附件1</w:t>
            </w:r>
            <w:r>
              <w:rPr>
                <w:rFonts w:hint="eastAsia" w:ascii="仿宋_GB2312" w:eastAsia="仿宋_GB2312"/>
                <w:color w:val="auto"/>
                <w:sz w:val="22"/>
                <w:szCs w:val="22"/>
                <w:highlight w:val="none"/>
                <w:lang w:eastAsia="zh-CN"/>
              </w:rPr>
              <w:t>：</w:t>
            </w:r>
            <w:r>
              <w:rPr>
                <w:rFonts w:hint="eastAsia" w:ascii="仿宋_GB2312" w:eastAsia="仿宋_GB2312"/>
                <w:color w:val="auto"/>
                <w:sz w:val="22"/>
                <w:szCs w:val="22"/>
                <w:highlight w:val="none"/>
              </w:rPr>
              <w:t>代理服务费收费标准</w:t>
            </w:r>
          </w:p>
          <w:tbl>
            <w:tblPr>
              <w:tblStyle w:val="46"/>
              <w:tblW w:w="619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02"/>
              <w:gridCol w:w="931"/>
              <w:gridCol w:w="931"/>
              <w:gridCol w:w="931"/>
            </w:tblGrid>
            <w:tr w14:paraId="1621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blCellSpacing w:w="0" w:type="dxa"/>
                <w:jc w:val="center"/>
              </w:trPr>
              <w:tc>
                <w:tcPr>
                  <w:tcW w:w="3402" w:type="dxa"/>
                  <w:vMerge w:val="restart"/>
                  <w:tcBorders>
                    <w:tl2br w:val="outset" w:color="auto" w:sz="6" w:space="0"/>
                  </w:tcBorders>
                  <w:vAlign w:val="center"/>
                </w:tcPr>
                <w:p w14:paraId="2DBF44F1">
                  <w:pPr>
                    <w:spacing w:line="360" w:lineRule="auto"/>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 xml:space="preserve">               </w:t>
                  </w:r>
                  <w:r>
                    <w:rPr>
                      <w:rFonts w:hint="eastAsia" w:ascii="仿宋_GB2312" w:hAnsi="华文仿宋" w:eastAsia="仿宋_GB2312"/>
                      <w:color w:val="auto"/>
                      <w:sz w:val="22"/>
                      <w:szCs w:val="22"/>
                      <w:highlight w:val="none"/>
                      <w:lang w:val="en-US" w:eastAsia="zh-CN"/>
                    </w:rPr>
                    <w:t xml:space="preserve">  </w:t>
                  </w:r>
                  <w:r>
                    <w:rPr>
                      <w:rFonts w:hint="eastAsia" w:ascii="仿宋_GB2312" w:hAnsi="华文仿宋" w:eastAsia="仿宋_GB2312"/>
                      <w:color w:val="auto"/>
                      <w:sz w:val="22"/>
                      <w:szCs w:val="22"/>
                      <w:highlight w:val="none"/>
                    </w:rPr>
                    <w:t xml:space="preserve"> </w:t>
                  </w:r>
                  <w:r>
                    <w:rPr>
                      <w:rFonts w:hint="eastAsia" w:ascii="仿宋_GB2312" w:hAnsi="华文仿宋" w:eastAsia="仿宋_GB2312"/>
                      <w:color w:val="auto"/>
                      <w:sz w:val="22"/>
                      <w:szCs w:val="22"/>
                      <w:highlight w:val="none"/>
                      <w:lang w:val="en-US" w:eastAsia="zh-CN"/>
                    </w:rPr>
                    <w:t xml:space="preserve"> </w:t>
                  </w:r>
                  <w:r>
                    <w:rPr>
                      <w:rFonts w:hint="eastAsia" w:ascii="仿宋_GB2312" w:hAnsi="华文仿宋" w:eastAsia="仿宋_GB2312"/>
                      <w:color w:val="auto"/>
                      <w:sz w:val="22"/>
                      <w:szCs w:val="22"/>
                      <w:highlight w:val="none"/>
                    </w:rPr>
                    <w:t xml:space="preserve">  项目类别</w:t>
                  </w:r>
                </w:p>
                <w:p w14:paraId="3E74EF85">
                  <w:pPr>
                    <w:spacing w:line="360" w:lineRule="auto"/>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中标(成交)金额(万元)</w:t>
                  </w:r>
                </w:p>
              </w:tc>
              <w:tc>
                <w:tcPr>
                  <w:tcW w:w="2793" w:type="dxa"/>
                  <w:gridSpan w:val="3"/>
                  <w:vAlign w:val="center"/>
                </w:tcPr>
                <w:p w14:paraId="3352BFE6">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标准费率（%）</w:t>
                  </w:r>
                </w:p>
              </w:tc>
            </w:tr>
            <w:tr w14:paraId="7060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blCellSpacing w:w="0" w:type="dxa"/>
                <w:jc w:val="center"/>
              </w:trPr>
              <w:tc>
                <w:tcPr>
                  <w:tcW w:w="3402" w:type="dxa"/>
                  <w:vMerge w:val="continue"/>
                  <w:tcBorders>
                    <w:tl2br w:val="outset" w:color="auto" w:sz="6" w:space="0"/>
                  </w:tcBorders>
                  <w:vAlign w:val="center"/>
                </w:tcPr>
                <w:p w14:paraId="78B88B67">
                  <w:pPr>
                    <w:spacing w:line="360" w:lineRule="auto"/>
                    <w:rPr>
                      <w:rFonts w:hint="eastAsia" w:ascii="仿宋_GB2312" w:hAnsi="华文仿宋" w:eastAsia="仿宋_GB2312"/>
                      <w:color w:val="auto"/>
                      <w:sz w:val="22"/>
                      <w:szCs w:val="22"/>
                      <w:highlight w:val="none"/>
                    </w:rPr>
                  </w:pPr>
                </w:p>
              </w:tc>
              <w:tc>
                <w:tcPr>
                  <w:tcW w:w="931" w:type="dxa"/>
                  <w:vAlign w:val="center"/>
                </w:tcPr>
                <w:p w14:paraId="665F5B09">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货物</w:t>
                  </w:r>
                </w:p>
              </w:tc>
              <w:tc>
                <w:tcPr>
                  <w:tcW w:w="931" w:type="dxa"/>
                  <w:vAlign w:val="center"/>
                </w:tcPr>
                <w:p w14:paraId="0E4BECEF">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服务</w:t>
                  </w:r>
                </w:p>
              </w:tc>
              <w:tc>
                <w:tcPr>
                  <w:tcW w:w="931" w:type="dxa"/>
                  <w:vAlign w:val="center"/>
                </w:tcPr>
                <w:p w14:paraId="3AB912A7">
                  <w:pPr>
                    <w:spacing w:line="360" w:lineRule="auto"/>
                    <w:jc w:val="center"/>
                    <w:rPr>
                      <w:rFonts w:hint="eastAsia" w:ascii="仿宋_GB2312" w:hAnsi="华文仿宋" w:eastAsia="仿宋_GB2312"/>
                      <w:color w:val="auto"/>
                      <w:sz w:val="22"/>
                      <w:szCs w:val="22"/>
                      <w:highlight w:val="none"/>
                    </w:rPr>
                  </w:pPr>
                  <w:r>
                    <w:rPr>
                      <w:rFonts w:hint="eastAsia" w:ascii="仿宋_GB2312" w:hAnsi="华文仿宋" w:eastAsia="仿宋_GB2312"/>
                      <w:color w:val="auto"/>
                      <w:sz w:val="22"/>
                      <w:szCs w:val="22"/>
                      <w:highlight w:val="none"/>
                    </w:rPr>
                    <w:t>工程</w:t>
                  </w:r>
                </w:p>
              </w:tc>
            </w:tr>
            <w:tr w14:paraId="3595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00B779E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931" w:type="dxa"/>
                  <w:vAlign w:val="center"/>
                </w:tcPr>
                <w:p w14:paraId="2B106274">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31" w:type="dxa"/>
                  <w:vAlign w:val="center"/>
                </w:tcPr>
                <w:p w14:paraId="4FECB95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931" w:type="dxa"/>
                  <w:vAlign w:val="center"/>
                </w:tcPr>
                <w:p w14:paraId="4276A5F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2209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05AD614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931" w:type="dxa"/>
                  <w:vAlign w:val="center"/>
                </w:tcPr>
                <w:p w14:paraId="6ECFE5EA">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931" w:type="dxa"/>
                  <w:vAlign w:val="center"/>
                </w:tcPr>
                <w:p w14:paraId="0646B605">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931" w:type="dxa"/>
                  <w:vAlign w:val="center"/>
                </w:tcPr>
                <w:p w14:paraId="5D7C836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392A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68013F1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931" w:type="dxa"/>
                  <w:vAlign w:val="center"/>
                </w:tcPr>
                <w:p w14:paraId="30C267B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931" w:type="dxa"/>
                  <w:vAlign w:val="center"/>
                </w:tcPr>
                <w:p w14:paraId="377567E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931" w:type="dxa"/>
                  <w:vAlign w:val="center"/>
                </w:tcPr>
                <w:p w14:paraId="0E4C001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1A19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tblCellSpacing w:w="0" w:type="dxa"/>
                <w:jc w:val="center"/>
              </w:trPr>
              <w:tc>
                <w:tcPr>
                  <w:tcW w:w="3402" w:type="dxa"/>
                  <w:vAlign w:val="center"/>
                </w:tcPr>
                <w:p w14:paraId="124BC6C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931" w:type="dxa"/>
                  <w:vAlign w:val="center"/>
                </w:tcPr>
                <w:p w14:paraId="1AB8831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0.5</w:t>
                  </w:r>
                </w:p>
              </w:tc>
              <w:tc>
                <w:tcPr>
                  <w:tcW w:w="931" w:type="dxa"/>
                  <w:vAlign w:val="center"/>
                </w:tcPr>
                <w:p w14:paraId="6FE88525">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0.25</w:t>
                  </w:r>
                </w:p>
              </w:tc>
              <w:tc>
                <w:tcPr>
                  <w:tcW w:w="931" w:type="dxa"/>
                  <w:vAlign w:val="center"/>
                </w:tcPr>
                <w:p w14:paraId="48E236D0">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i w:val="0"/>
                      <w:iCs w:val="0"/>
                      <w:caps w:val="0"/>
                      <w:color w:val="000000"/>
                      <w:spacing w:val="0"/>
                      <w:sz w:val="21"/>
                      <w:szCs w:val="21"/>
                    </w:rPr>
                    <w:t>0.35</w:t>
                  </w:r>
                </w:p>
              </w:tc>
            </w:tr>
          </w:tbl>
          <w:p w14:paraId="08351DDF">
            <w:pPr>
              <w:jc w:val="left"/>
              <w:rPr>
                <w:rFonts w:ascii="宋体" w:hAnsi="宋体" w:cs="宋体"/>
                <w:b/>
                <w:bCs/>
                <w:color w:val="auto"/>
                <w:sz w:val="24"/>
                <w:szCs w:val="32"/>
                <w:highlight w:val="none"/>
              </w:rPr>
            </w:pPr>
          </w:p>
        </w:tc>
      </w:tr>
      <w:tr w14:paraId="4B2A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14:paraId="5F466809">
            <w:pPr>
              <w:pStyle w:val="23"/>
              <w:adjustRightInd w:val="0"/>
              <w:snapToGrid w:val="0"/>
              <w:jc w:val="center"/>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28</w:t>
            </w:r>
          </w:p>
        </w:tc>
        <w:tc>
          <w:tcPr>
            <w:tcW w:w="1836" w:type="dxa"/>
            <w:tcBorders>
              <w:top w:val="single" w:color="auto" w:sz="4" w:space="0"/>
              <w:left w:val="single" w:color="auto" w:sz="4" w:space="0"/>
              <w:bottom w:val="single" w:color="auto" w:sz="4" w:space="0"/>
              <w:right w:val="single" w:color="auto" w:sz="4" w:space="0"/>
            </w:tcBorders>
            <w:shd w:val="clear" w:color="auto" w:fill="auto"/>
            <w:vAlign w:val="center"/>
          </w:tcPr>
          <w:p w14:paraId="6B4E3F90">
            <w:pPr>
              <w:pStyle w:val="23"/>
              <w:adjustRightInd w:val="0"/>
              <w:snapToGrid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其他要求</w:t>
            </w:r>
          </w:p>
        </w:tc>
        <w:tc>
          <w:tcPr>
            <w:tcW w:w="7405" w:type="dxa"/>
            <w:tcBorders>
              <w:top w:val="single" w:color="auto" w:sz="4" w:space="0"/>
              <w:left w:val="single" w:color="auto" w:sz="4" w:space="0"/>
              <w:bottom w:val="single" w:color="auto" w:sz="4" w:space="0"/>
              <w:right w:val="single" w:color="auto" w:sz="4" w:space="0"/>
            </w:tcBorders>
            <w:shd w:val="clear" w:color="auto" w:fill="auto"/>
            <w:vAlign w:val="center"/>
          </w:tcPr>
          <w:p w14:paraId="52C5335A">
            <w:pPr>
              <w:pStyle w:val="23"/>
              <w:adjustRightInd w:val="0"/>
              <w:snapToGrid w:val="0"/>
              <w:jc w:val="left"/>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中标人在领取中标通知书的当日，需提供纸质版投标文件2份。（纸质版响应文件必须与上传电子交易平台的电子文件内容保持一致，可以是上传版电子文件的打印件或复印件）</w:t>
            </w:r>
          </w:p>
        </w:tc>
      </w:tr>
    </w:tbl>
    <w:p w14:paraId="6F9C4C9D">
      <w:pPr>
        <w:tabs>
          <w:tab w:val="left" w:pos="5580"/>
        </w:tabs>
        <w:adjustRightInd w:val="0"/>
        <w:spacing w:line="360" w:lineRule="auto"/>
        <w:jc w:val="distribute"/>
        <w:rPr>
          <w:color w:val="auto"/>
          <w:sz w:val="24"/>
          <w:highlight w:val="none"/>
        </w:rPr>
        <w:sectPr>
          <w:footerReference r:id="rId6" w:type="default"/>
          <w:pgSz w:w="11907" w:h="16840"/>
          <w:pgMar w:top="1418" w:right="946" w:bottom="1418" w:left="1501" w:header="851" w:footer="851" w:gutter="0"/>
          <w:pgBorders w:offsetFrom="page">
            <w:top w:val="none" w:sz="0" w:space="0"/>
            <w:left w:val="none" w:sz="0" w:space="0"/>
            <w:bottom w:val="none" w:sz="0" w:space="0"/>
            <w:right w:val="none" w:sz="0" w:space="0"/>
          </w:pgBorders>
          <w:pgNumType w:fmt="decimal" w:start="1"/>
          <w:cols w:space="720" w:num="1"/>
          <w:docGrid w:linePitch="462" w:charSpace="0"/>
        </w:sectPr>
      </w:pPr>
    </w:p>
    <w:p w14:paraId="4D94D4B1">
      <w:pPr>
        <w:spacing w:before="240" w:beforeLines="100" w:after="240" w:afterLines="100"/>
        <w:jc w:val="center"/>
        <w:rPr>
          <w:b/>
          <w:color w:val="auto"/>
          <w:sz w:val="28"/>
          <w:szCs w:val="28"/>
          <w:highlight w:val="none"/>
        </w:rPr>
      </w:pPr>
      <w:bookmarkStart w:id="78" w:name="_Toc150480755"/>
      <w:bookmarkStart w:id="79" w:name="_Toc195842882"/>
      <w:bookmarkStart w:id="80" w:name="_Toc353873932"/>
      <w:bookmarkStart w:id="81" w:name="_Toc226337213"/>
      <w:bookmarkStart w:id="82" w:name="_Toc264969207"/>
      <w:bookmarkStart w:id="83" w:name="_Toc265228355"/>
      <w:bookmarkStart w:id="84" w:name="_Toc305158785"/>
      <w:bookmarkStart w:id="85" w:name="_Toc305158859"/>
      <w:bookmarkStart w:id="86" w:name="_Toc353873662"/>
      <w:bookmarkStart w:id="87" w:name="_Toc150774722"/>
      <w:bookmarkStart w:id="88" w:name="_Toc127151517"/>
      <w:bookmarkStart w:id="89" w:name="_Toc353825542"/>
      <w:bookmarkStart w:id="90" w:name="_Toc142311019"/>
      <w:bookmarkStart w:id="91" w:name="_Toc226965790"/>
      <w:r>
        <w:rPr>
          <w:b/>
          <w:color w:val="auto"/>
          <w:sz w:val="28"/>
          <w:szCs w:val="28"/>
          <w:highlight w:val="none"/>
        </w:rPr>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22CB058">
      <w:pPr>
        <w:pStyle w:val="3"/>
        <w:tabs>
          <w:tab w:val="center" w:pos="4592"/>
          <w:tab w:val="left" w:pos="7860"/>
        </w:tabs>
        <w:spacing w:before="0" w:line="360" w:lineRule="auto"/>
        <w:jc w:val="left"/>
        <w:rPr>
          <w:rFonts w:ascii="宋体" w:hAnsi="宋体" w:eastAsia="宋体" w:cs="宋体"/>
          <w:color w:val="auto"/>
          <w:sz w:val="28"/>
          <w:highlight w:val="none"/>
        </w:rPr>
      </w:pPr>
      <w:bookmarkStart w:id="92" w:name="_Toc520356143"/>
      <w:bookmarkStart w:id="93" w:name="_Toc127151518"/>
      <w:r>
        <w:rPr>
          <w:rFonts w:ascii="Times New Roman" w:hAnsi="Times New Roman" w:eastAsia="宋体"/>
          <w:color w:val="auto"/>
          <w:sz w:val="28"/>
          <w:highlight w:val="none"/>
        </w:rPr>
        <w:tab/>
      </w:r>
      <w:bookmarkEnd w:id="92"/>
      <w:bookmarkEnd w:id="93"/>
      <w:bookmarkStart w:id="94" w:name="_Toc195842883"/>
      <w:bookmarkStart w:id="95" w:name="_Toc142311020"/>
      <w:bookmarkStart w:id="96" w:name="_Toc151193906"/>
      <w:bookmarkStart w:id="97" w:name="_Toc151193688"/>
      <w:bookmarkStart w:id="98" w:name="_Toc226337214"/>
      <w:bookmarkStart w:id="99" w:name="_Toc264969208"/>
      <w:bookmarkStart w:id="100" w:name="_Toc151193832"/>
      <w:bookmarkStart w:id="101" w:name="_Toc305158860"/>
      <w:bookmarkStart w:id="102" w:name="_Toc226965708"/>
      <w:bookmarkStart w:id="103" w:name="_Toc226965791"/>
      <w:bookmarkStart w:id="104" w:name="_Toc150480756"/>
      <w:bookmarkStart w:id="105" w:name="_Toc150509269"/>
      <w:bookmarkStart w:id="106" w:name="_Toc151193760"/>
      <w:bookmarkStart w:id="107" w:name="_Toc226309762"/>
      <w:bookmarkStart w:id="108" w:name="_Toc265228356"/>
      <w:bookmarkStart w:id="109" w:name="_Toc150774618"/>
      <w:bookmarkStart w:id="110" w:name="_Toc151193616"/>
      <w:bookmarkStart w:id="111" w:name="_Toc151190145"/>
      <w:bookmarkStart w:id="112" w:name="_Toc305158786"/>
      <w:bookmarkStart w:id="113" w:name="_Toc150774723"/>
      <w:r>
        <w:rPr>
          <w:rFonts w:hint="eastAsia" w:ascii="宋体" w:hAnsi="宋体" w:eastAsia="宋体" w:cs="宋体"/>
          <w:color w:val="auto"/>
          <w:sz w:val="28"/>
          <w:highlight w:val="none"/>
        </w:rPr>
        <w:t>一   说  明</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eastAsia" w:ascii="宋体" w:hAnsi="宋体" w:eastAsia="宋体" w:cs="宋体"/>
          <w:color w:val="auto"/>
          <w:sz w:val="28"/>
          <w:highlight w:val="none"/>
        </w:rPr>
        <w:tab/>
      </w:r>
    </w:p>
    <w:p w14:paraId="307DBEFF">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bookmarkStart w:id="114" w:name="_Toc305158861"/>
      <w:bookmarkStart w:id="115" w:name="_Toc305158787"/>
      <w:bookmarkStart w:id="116" w:name="_Toc264969209"/>
      <w:bookmarkStart w:id="117" w:name="_Toc265228357"/>
      <w:r>
        <w:rPr>
          <w:rFonts w:hint="eastAsia" w:ascii="宋体" w:hAnsi="宋体" w:cs="宋体"/>
          <w:color w:val="auto"/>
          <w:sz w:val="24"/>
          <w:highlight w:val="none"/>
        </w:rPr>
        <w:t>采购人、采购代理机构、投标人</w:t>
      </w:r>
      <w:bookmarkEnd w:id="114"/>
      <w:bookmarkEnd w:id="115"/>
      <w:bookmarkEnd w:id="116"/>
      <w:bookmarkEnd w:id="117"/>
      <w:r>
        <w:rPr>
          <w:rFonts w:hint="eastAsia" w:ascii="宋体" w:hAnsi="宋体" w:cs="宋体"/>
          <w:color w:val="auto"/>
          <w:sz w:val="24"/>
          <w:highlight w:val="none"/>
        </w:rPr>
        <w:t>、联合体</w:t>
      </w:r>
    </w:p>
    <w:p w14:paraId="0572CADF">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采购人、采购代理机构：指依法进行政府采购的国家机关、事业单位、团体组织，及其委托的采购代理机构。本项目采购人、采购代理机构见第一章《投标邀请》。</w:t>
      </w:r>
    </w:p>
    <w:p w14:paraId="0F33BB23">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投标人（也称“供应商”、“申请人”）：指向采购人提供货物、工程或者服务的法人、其他组织或者自然人。</w:t>
      </w:r>
    </w:p>
    <w:p w14:paraId="604B6201">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联合体：指两个以上的自然人、法人或者其他组织组成一个联合体，以一个供应商的身份共同参加政府采购。</w:t>
      </w:r>
    </w:p>
    <w:p w14:paraId="4B98640E">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bookmarkStart w:id="118" w:name="_Toc150509271"/>
      <w:bookmarkStart w:id="119" w:name="_Toc127151520"/>
      <w:bookmarkStart w:id="120" w:name="_Toc164608789"/>
      <w:bookmarkStart w:id="121" w:name="_Toc164351614"/>
      <w:bookmarkStart w:id="122" w:name="_Toc164229361"/>
      <w:bookmarkStart w:id="123" w:name="_Toc150774620"/>
      <w:bookmarkStart w:id="124" w:name="_Toc142311022"/>
      <w:bookmarkStart w:id="125" w:name="_Toc164229215"/>
      <w:bookmarkStart w:id="126" w:name="_Toc226965793"/>
      <w:bookmarkStart w:id="127" w:name="_Toc127161434"/>
      <w:bookmarkStart w:id="128" w:name="_Toc151193762"/>
      <w:bookmarkStart w:id="129" w:name="_Toc151193908"/>
      <w:bookmarkStart w:id="130" w:name="_Toc150774725"/>
      <w:bookmarkStart w:id="131" w:name="_Toc151190147"/>
      <w:bookmarkStart w:id="132" w:name="_Toc149720813"/>
      <w:bookmarkStart w:id="133" w:name="_Toc150480758"/>
      <w:bookmarkStart w:id="134" w:name="_Toc226337216"/>
      <w:bookmarkStart w:id="135" w:name="_Toc226965710"/>
      <w:bookmarkStart w:id="136" w:name="_Toc164608634"/>
      <w:bookmarkStart w:id="137" w:name="_Toc151193834"/>
      <w:bookmarkStart w:id="138" w:name="_Toc226309764"/>
      <w:bookmarkStart w:id="139" w:name="_Toc195842885"/>
      <w:bookmarkStart w:id="140" w:name="_Toc265228358"/>
      <w:bookmarkStart w:id="141" w:name="_Toc264969210"/>
      <w:bookmarkStart w:id="142" w:name="_Toc305158788"/>
      <w:bookmarkStart w:id="143" w:name="_Toc127151721"/>
      <w:bookmarkStart w:id="144" w:name="_Toc305158862"/>
      <w:bookmarkStart w:id="145" w:name="_Toc151193618"/>
      <w:bookmarkStart w:id="146" w:name="_Toc151193690"/>
      <w:r>
        <w:rPr>
          <w:rFonts w:hint="eastAsia" w:ascii="宋体" w:hAnsi="宋体" w:cs="宋体"/>
          <w:color w:val="auto"/>
          <w:sz w:val="24"/>
          <w:highlight w:val="none"/>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Fonts w:hint="eastAsia" w:ascii="宋体" w:hAnsi="宋体" w:cs="宋体"/>
          <w:color w:val="auto"/>
          <w:sz w:val="24"/>
          <w:highlight w:val="none"/>
        </w:rPr>
        <w:t>、项目属性、科研仪器设备采购、核心产品</w:t>
      </w:r>
    </w:p>
    <w:p w14:paraId="21E14F2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资金来源为财政性资金和/或本项目采购中无法与财政性资金分割的非财政性资金。</w:t>
      </w:r>
    </w:p>
    <w:p w14:paraId="6B765B80">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项目属性见《投标人须知资料表》。</w:t>
      </w:r>
    </w:p>
    <w:p w14:paraId="76650748">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是否属于科研仪器设备采购见《投标人须知资料表》。</w:t>
      </w:r>
    </w:p>
    <w:p w14:paraId="30220C87">
      <w:pPr>
        <w:numPr>
          <w:ilvl w:val="1"/>
          <w:numId w:val="9"/>
        </w:numPr>
        <w:tabs>
          <w:tab w:val="left" w:pos="1080"/>
          <w:tab w:val="left" w:pos="2014"/>
          <w:tab w:val="left" w:pos="5521"/>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核心产品见《投标人须知资料表》。</w:t>
      </w:r>
    </w:p>
    <w:p w14:paraId="587B6DC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现场考察、开标前答疑会</w:t>
      </w:r>
    </w:p>
    <w:p w14:paraId="7C59C423">
      <w:pPr>
        <w:numPr>
          <w:ilvl w:val="1"/>
          <w:numId w:val="9"/>
        </w:numPr>
        <w:tabs>
          <w:tab w:val="left" w:pos="1080"/>
          <w:tab w:val="left" w:pos="2014"/>
        </w:tabs>
        <w:snapToGrid w:val="0"/>
        <w:spacing w:line="360" w:lineRule="auto"/>
        <w:ind w:left="1353" w:hanging="720"/>
        <w:rPr>
          <w:rFonts w:ascii="宋体" w:hAnsi="宋体" w:cs="宋体"/>
          <w:color w:val="auto"/>
          <w:sz w:val="28"/>
          <w:highlight w:val="none"/>
        </w:rPr>
      </w:pPr>
      <w:r>
        <w:rPr>
          <w:rFonts w:hint="eastAsia" w:ascii="宋体" w:hAnsi="宋体" w:cs="宋体"/>
          <w:color w:val="auto"/>
          <w:sz w:val="24"/>
          <w:highlight w:val="none"/>
        </w:rPr>
        <w:t>若《投标人须知资料表》中规定了组织现场考察、召开开标前答疑会，则投标人应按要求在规定的时间和地点参加。</w:t>
      </w:r>
      <w:bookmarkStart w:id="147" w:name="_Toc520356146"/>
      <w:bookmarkStart w:id="148" w:name="_Toc265228360"/>
      <w:bookmarkStart w:id="149" w:name="_Toc150774622"/>
      <w:bookmarkStart w:id="150" w:name="_Toc142311024"/>
      <w:bookmarkStart w:id="151" w:name="_Toc151193910"/>
      <w:bookmarkStart w:id="152" w:name="_Toc151193764"/>
      <w:bookmarkStart w:id="153" w:name="_Toc150480760"/>
      <w:bookmarkStart w:id="154" w:name="_Toc226337218"/>
      <w:bookmarkStart w:id="155" w:name="_Toc226965795"/>
      <w:bookmarkStart w:id="156" w:name="_Toc226309766"/>
      <w:bookmarkStart w:id="157" w:name="_Toc151193836"/>
      <w:bookmarkStart w:id="158" w:name="_Toc127151522"/>
      <w:bookmarkStart w:id="159" w:name="_Toc305158790"/>
      <w:bookmarkStart w:id="160" w:name="_Toc151193692"/>
      <w:bookmarkStart w:id="161" w:name="_Toc151190149"/>
      <w:bookmarkStart w:id="162" w:name="_Toc264969212"/>
      <w:bookmarkStart w:id="163" w:name="_Toc305158864"/>
      <w:bookmarkStart w:id="164" w:name="_Toc226965712"/>
      <w:bookmarkStart w:id="165" w:name="_Toc151193620"/>
      <w:bookmarkStart w:id="166" w:name="_Toc150509273"/>
      <w:bookmarkStart w:id="167" w:name="_Toc150774727"/>
      <w:bookmarkStart w:id="168" w:name="_Toc195842887"/>
    </w:p>
    <w:p w14:paraId="264BDD6B">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由于未参加现场考察或开标前答疑会而导致对项目实际情况不了解，影响投标文件编制、投标报价准确性、综合因素响应不全面等问题的，由投标人自行承担不利评审后果。</w:t>
      </w:r>
    </w:p>
    <w:p w14:paraId="377EE34E">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样品</w:t>
      </w:r>
    </w:p>
    <w:p w14:paraId="333F36DB">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本项目是否要求投标人提供样品，以及样品制作的标准和要求、是否需要随样品提交相关检测报告、样品的递交与退还等要求见《投标人须知资料表》。</w:t>
      </w:r>
    </w:p>
    <w:p w14:paraId="7C82D2F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样品的评审方法以及评审标准等内容见第四章《</w:t>
      </w:r>
      <w:r>
        <w:rPr>
          <w:rFonts w:hint="eastAsia" w:ascii="宋体" w:hAnsi="宋体" w:cs="宋体"/>
          <w:color w:val="auto"/>
          <w:sz w:val="24"/>
          <w:highlight w:val="none"/>
          <w:lang w:eastAsia="zh-CN"/>
        </w:rPr>
        <w:t>评标程序、评标方法和评标标准</w:t>
      </w:r>
      <w:r>
        <w:rPr>
          <w:rFonts w:hint="eastAsia" w:ascii="宋体" w:hAnsi="宋体" w:cs="宋体"/>
          <w:color w:val="auto"/>
          <w:sz w:val="24"/>
          <w:highlight w:val="none"/>
        </w:rPr>
        <w:t>》。</w:t>
      </w:r>
    </w:p>
    <w:p w14:paraId="2E990905">
      <w:pPr>
        <w:numPr>
          <w:ilvl w:val="0"/>
          <w:numId w:val="9"/>
        </w:numPr>
        <w:tabs>
          <w:tab w:val="left" w:pos="360"/>
          <w:tab w:val="clear" w:pos="90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政府采购政策（包括但不限于下列具体政策要求）</w:t>
      </w:r>
    </w:p>
    <w:p w14:paraId="4A8AA6C2">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color w:val="auto"/>
          <w:spacing w:val="1"/>
          <w:sz w:val="24"/>
          <w:highlight w:val="none"/>
        </w:rPr>
        <w:t>采购本国货物、工程和服务</w:t>
      </w:r>
    </w:p>
    <w:p w14:paraId="0B5DEF70">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政府采购应当采购本国货物、工程和服务。但有《</w:t>
      </w:r>
      <w:r>
        <w:rPr>
          <w:rFonts w:hint="eastAsia" w:ascii="宋体" w:hAnsi="宋体" w:cs="宋体"/>
          <w:b/>
          <w:bCs/>
          <w:color w:val="auto"/>
          <w:sz w:val="24"/>
          <w:highlight w:val="none"/>
        </w:rPr>
        <w:t>中华人民共和国政府采购法</w:t>
      </w:r>
      <w:r>
        <w:rPr>
          <w:rFonts w:hint="eastAsia" w:ascii="宋体" w:hAnsi="宋体" w:cs="宋体"/>
          <w:color w:val="auto"/>
          <w:sz w:val="24"/>
          <w:highlight w:val="none"/>
        </w:rPr>
        <w:t>》第十条规定情形的除外。</w:t>
      </w:r>
    </w:p>
    <w:p w14:paraId="1E257B54">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本项目如接受非本国货物、工程、服务参与投标， 则具体要求见第四章《采购需求》。</w:t>
      </w:r>
    </w:p>
    <w:p w14:paraId="610F2172">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353EFDD9">
      <w:pPr>
        <w:numPr>
          <w:ilvl w:val="1"/>
          <w:numId w:val="9"/>
        </w:numPr>
        <w:tabs>
          <w:tab w:val="left" w:pos="1080"/>
          <w:tab w:val="left" w:pos="2014"/>
        </w:tabs>
        <w:snapToGrid w:val="0"/>
        <w:spacing w:line="360" w:lineRule="auto"/>
        <w:ind w:left="1080" w:hanging="720"/>
        <w:rPr>
          <w:sz w:val="24"/>
        </w:rPr>
      </w:pPr>
      <w:r>
        <w:rPr>
          <w:rFonts w:hint="eastAsia"/>
          <w:sz w:val="24"/>
        </w:rPr>
        <w:t>本国产品</w:t>
      </w:r>
    </w:p>
    <w:p w14:paraId="488CD633">
      <w:pPr>
        <w:tabs>
          <w:tab w:val="left" w:pos="900"/>
          <w:tab w:val="left" w:pos="1080"/>
          <w:tab w:val="left" w:pos="1589"/>
        </w:tabs>
        <w:snapToGrid w:val="0"/>
        <w:spacing w:line="360" w:lineRule="auto"/>
        <w:ind w:left="1080"/>
        <w:rPr>
          <w:sz w:val="24"/>
        </w:rPr>
      </w:pPr>
      <w:bookmarkStart w:id="169" w:name="_Hlk217316762"/>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w:t>
      </w:r>
      <w:bookmarkEnd w:id="169"/>
      <w:r>
        <w:rPr>
          <w:rFonts w:hint="eastAsia"/>
          <w:sz w:val="24"/>
        </w:rPr>
        <w:t>，落实本国产品</w:t>
      </w:r>
      <w:r>
        <w:rPr>
          <w:rFonts w:hint="eastAsia"/>
          <w:sz w:val="24"/>
          <w:lang w:eastAsia="zh-CN"/>
        </w:rPr>
        <w:t>标准</w:t>
      </w:r>
      <w:r>
        <w:rPr>
          <w:rFonts w:hint="eastAsia"/>
          <w:sz w:val="24"/>
        </w:rPr>
        <w:t>。</w:t>
      </w:r>
    </w:p>
    <w:p w14:paraId="6F153CF7">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中小企业、监狱企业及残疾人福利性单位</w:t>
      </w:r>
    </w:p>
    <w:p w14:paraId="310CD3C6">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中小企业定义：</w:t>
      </w:r>
    </w:p>
    <w:p w14:paraId="077555F9">
      <w:pPr>
        <w:numPr>
          <w:ilvl w:val="3"/>
          <w:numId w:val="9"/>
        </w:numPr>
        <w:snapToGrid w:val="0"/>
        <w:spacing w:line="360" w:lineRule="auto"/>
        <w:ind w:left="900" w:leftChars="0" w:hanging="900" w:firstLineChars="0"/>
        <w:rPr>
          <w:rFonts w:ascii="宋体" w:hAnsi="宋体" w:cs="宋体"/>
          <w:color w:val="auto"/>
          <w:sz w:val="24"/>
          <w:highlight w:val="none"/>
        </w:rPr>
      </w:pPr>
      <w:r>
        <w:rPr>
          <w:rFonts w:hint="eastAsia" w:ascii="宋体" w:hAnsi="宋体" w:cs="宋体"/>
          <w:color w:val="auto"/>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宋体" w:hAnsi="宋体" w:cs="宋体"/>
          <w:color w:val="auto"/>
          <w:sz w:val="24"/>
          <w:highlight w:val="none"/>
          <w:lang w:eastAsia="zh-CN"/>
        </w:rPr>
        <w:t>、</w:t>
      </w:r>
      <w:r>
        <w:rPr>
          <w:rFonts w:ascii="宋体" w:hAnsi="宋体" w:eastAsia="宋体" w:cs="宋体"/>
          <w:sz w:val="24"/>
          <w:szCs w:val="24"/>
        </w:rPr>
        <w:t>《金融业企业划型标准规定》（〔2015〕309 号）等国务院批准的中小企业划分标准执行。</w:t>
      </w:r>
    </w:p>
    <w:p w14:paraId="2D1DA67C">
      <w:pPr>
        <w:numPr>
          <w:ilvl w:val="3"/>
          <w:numId w:val="9"/>
        </w:numPr>
        <w:snapToGrid w:val="0"/>
        <w:spacing w:line="360" w:lineRule="auto"/>
        <w:ind w:left="900" w:leftChars="0" w:hanging="900" w:firstLineChars="0"/>
        <w:rPr>
          <w:rFonts w:hint="eastAsia" w:ascii="宋体" w:hAnsi="宋体" w:cs="宋体"/>
          <w:color w:val="auto"/>
          <w:sz w:val="24"/>
          <w:highlight w:val="none"/>
        </w:rPr>
      </w:pPr>
      <w:r>
        <w:rPr>
          <w:rFonts w:hint="eastAsia" w:ascii="宋体" w:hAnsi="宋体" w:cs="宋体"/>
          <w:color w:val="auto"/>
          <w:sz w:val="24"/>
          <w:highlight w:val="none"/>
        </w:rPr>
        <w:t>供应商提供的货物、工程或者服务符合下列情形的，享受中小企业扶持政策：</w:t>
      </w:r>
    </w:p>
    <w:p w14:paraId="0013FCB0">
      <w:pPr>
        <w:tabs>
          <w:tab w:val="left" w:pos="19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（1）在货物采购项目中，货物由中小企业制造，即货物由中小企业生产且使用该中小企业商号或者注册商标；</w:t>
      </w:r>
    </w:p>
    <w:p w14:paraId="50C84583">
      <w:pPr>
        <w:tabs>
          <w:tab w:val="left" w:pos="19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（2）在工程采购项目中，工程由中小企业承建，即工程施工单位为中小企业；</w:t>
      </w:r>
    </w:p>
    <w:p w14:paraId="20404630">
      <w:pPr>
        <w:tabs>
          <w:tab w:val="left" w:pos="1980"/>
        </w:tabs>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（3）在服务采购项目中，服务由中小企业承接，即提供服务的人员为中小企业依照《中华人民共和国劳动合同法》订立劳动合同的从业人员。</w:t>
      </w:r>
    </w:p>
    <w:p w14:paraId="58A84859">
      <w:pPr>
        <w:numPr>
          <w:ilvl w:val="3"/>
          <w:numId w:val="9"/>
        </w:numPr>
        <w:snapToGrid w:val="0"/>
        <w:spacing w:line="360" w:lineRule="auto"/>
        <w:ind w:left="900" w:leftChars="0" w:hanging="900" w:firstLineChars="0"/>
        <w:rPr>
          <w:rFonts w:hint="eastAsia" w:ascii="宋体" w:hAnsi="宋体" w:cs="宋体"/>
          <w:color w:val="auto"/>
          <w:sz w:val="24"/>
          <w:highlight w:val="none"/>
        </w:rPr>
      </w:pPr>
      <w:r>
        <w:rPr>
          <w:rFonts w:hint="eastAsia" w:ascii="宋体" w:hAnsi="宋体" w:cs="宋体"/>
          <w:color w:val="auto"/>
          <w:sz w:val="24"/>
          <w:highlight w:val="none"/>
        </w:rPr>
        <w:t>在货物采购项目中，供应商提供的货物既有中小企业制造货物，也有大型企业制造货物的，不享受中小企业扶持政策。</w:t>
      </w:r>
    </w:p>
    <w:p w14:paraId="69B900E5">
      <w:pPr>
        <w:numPr>
          <w:ilvl w:val="3"/>
          <w:numId w:val="9"/>
        </w:numPr>
        <w:snapToGrid w:val="0"/>
        <w:spacing w:line="360" w:lineRule="auto"/>
        <w:ind w:left="900" w:leftChars="0" w:hanging="900" w:firstLineChars="0"/>
        <w:rPr>
          <w:rFonts w:hint="eastAsia" w:ascii="宋体" w:hAnsi="宋体" w:cs="宋体"/>
          <w:color w:val="auto"/>
          <w:sz w:val="24"/>
          <w:highlight w:val="none"/>
        </w:rPr>
      </w:pPr>
      <w:r>
        <w:rPr>
          <w:rFonts w:hint="eastAsia" w:ascii="宋体" w:hAnsi="宋体" w:cs="宋体"/>
          <w:color w:val="auto"/>
          <w:sz w:val="24"/>
          <w:highlight w:val="none"/>
        </w:rPr>
        <w:t>以联合体形式参加政府采购活动，联合体各方均为中小企业的，联合体视同中小企业。其中，联合体各方均为小微企业的，联合体视同小微企业。</w:t>
      </w:r>
    </w:p>
    <w:p w14:paraId="545820A2">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BBED127">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BD31FC9">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5.2.3.1 安置的残疾人占本单位在职职工人数的比例不低于25%（含25%），并且安置的残疾人人数不少于10人（含10人）；</w:t>
      </w:r>
    </w:p>
    <w:p w14:paraId="534614B4">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5.2.3.2 依法与安置的每位残疾人签订了一年以上（含一年）的劳动合同或服务协议；</w:t>
      </w:r>
    </w:p>
    <w:p w14:paraId="60CDDD44">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5.2.3.3 为安置的每位残疾人按月足额缴纳了基本养老保险、基本医疗保险、失业保险、工伤保险和生育保险等社会保险费；</w:t>
      </w:r>
    </w:p>
    <w:p w14:paraId="48F31CF9">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5.2.3.4 通过银行等金融机构向安置的每位残疾人，按月支付了不低于单位所在区县适用的经省级人民政府批准的月最低工资标准的工资；</w:t>
      </w:r>
    </w:p>
    <w:p w14:paraId="712EF2F7">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5.2.3.5 提供本单位制造的货物、承担的工程或者服务（以下简称产品），或者提供其他残疾人福利性单位制造的货物（不包括使用非残疾人福利性单位注册商标的货物）；</w:t>
      </w:r>
    </w:p>
    <w:p w14:paraId="69345588">
      <w:pPr>
        <w:tabs>
          <w:tab w:val="left" w:pos="840"/>
          <w:tab w:val="left" w:pos="2035"/>
        </w:tabs>
        <w:snapToGrid w:val="0"/>
        <w:spacing w:line="360" w:lineRule="auto"/>
        <w:ind w:left="1080"/>
        <w:jc w:val="left"/>
        <w:rPr>
          <w:rFonts w:ascii="宋体" w:hAnsi="宋体" w:cs="宋体"/>
          <w:color w:val="auto"/>
          <w:sz w:val="24"/>
          <w:highlight w:val="none"/>
        </w:rPr>
      </w:pPr>
      <w:r>
        <w:rPr>
          <w:rFonts w:hint="eastAsia" w:ascii="宋体" w:hAnsi="宋体" w:cs="宋体"/>
          <w:color w:val="auto"/>
          <w:sz w:val="24"/>
          <w:highlight w:val="none"/>
        </w:rPr>
        <w:t>5.2.3.6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7BEB6AF">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本项目是否专门面向中小企业预留采购份额见第一章《投标邀请》。</w:t>
      </w:r>
    </w:p>
    <w:p w14:paraId="788E7F9B">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采购标的对应的中小企业划分标准所属行业见《投标人须知资料表》。</w:t>
      </w:r>
    </w:p>
    <w:p w14:paraId="65720A90">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小微企业价格评审优惠的政策调整：见第四章《评标程序、评标方法和评标标准》。</w:t>
      </w:r>
    </w:p>
    <w:p w14:paraId="3DBFD199">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政府采购节能产品、环境标志产品</w:t>
      </w:r>
    </w:p>
    <w:p w14:paraId="34B6661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220D1C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7F78E238">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sz w:val="24"/>
          <w:highlight w:val="none"/>
        </w:rPr>
        <w:t>；</w:t>
      </w:r>
    </w:p>
    <w:p w14:paraId="3224664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非政府强制采购的节能产品或环境标志产品，依据品目清单和认证证书实施政府优先采购。优先采购的具体规定见第四章《</w:t>
      </w:r>
      <w:r>
        <w:rPr>
          <w:rFonts w:ascii="宋体" w:hAnsi="宋体" w:eastAsia="宋体" w:cs="宋体"/>
          <w:sz w:val="24"/>
          <w:szCs w:val="24"/>
        </w:rPr>
        <w:t>评标程序、评标方法和评标标准</w:t>
      </w:r>
      <w:r>
        <w:rPr>
          <w:rFonts w:hint="eastAsia" w:ascii="宋体" w:hAnsi="宋体" w:cs="宋体"/>
          <w:color w:val="auto"/>
          <w:sz w:val="24"/>
          <w:highlight w:val="none"/>
        </w:rPr>
        <w:t>》（如涉及）。</w:t>
      </w:r>
    </w:p>
    <w:p w14:paraId="6F76D8CC">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正版软件</w:t>
      </w:r>
    </w:p>
    <w:p w14:paraId="1C6B6CFE">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各级政府部门在购置计算机办公设备时，必须采购预装正版操作系统</w:t>
      </w:r>
    </w:p>
    <w:p w14:paraId="4A3F1644">
      <w:pPr>
        <w:numPr>
          <w:ilvl w:val="0"/>
          <w:numId w:val="0"/>
        </w:numPr>
        <w:snapToGrid w:val="0"/>
        <w:spacing w:line="360" w:lineRule="auto"/>
        <w:ind w:left="1080" w:leftChars="0"/>
        <w:rPr>
          <w:rFonts w:ascii="宋体" w:hAnsi="宋体" w:cs="宋体"/>
          <w:color w:val="auto"/>
          <w:sz w:val="24"/>
          <w:highlight w:val="none"/>
        </w:rPr>
      </w:pPr>
      <w:r>
        <w:rPr>
          <w:rFonts w:hint="eastAsia" w:ascii="宋体" w:hAnsi="宋体" w:cs="宋体"/>
          <w:color w:val="auto"/>
          <w:sz w:val="24"/>
          <w:highlight w:val="none"/>
        </w:rPr>
        <w:t>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1D595FC5">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lang w:val="en-US" w:eastAsia="zh-CN"/>
        </w:rPr>
        <w:t>网络</w:t>
      </w:r>
      <w:r>
        <w:rPr>
          <w:rFonts w:hint="eastAsia" w:ascii="宋体" w:hAnsi="宋体" w:cs="宋体"/>
          <w:color w:val="auto"/>
          <w:sz w:val="24"/>
          <w:highlight w:val="none"/>
        </w:rPr>
        <w:t>安全</w:t>
      </w:r>
      <w:r>
        <w:rPr>
          <w:rFonts w:hint="eastAsia" w:ascii="宋体" w:hAnsi="宋体" w:cs="宋体"/>
          <w:color w:val="auto"/>
          <w:sz w:val="24"/>
          <w:highlight w:val="none"/>
          <w:lang w:val="en-US" w:eastAsia="zh-CN"/>
        </w:rPr>
        <w:t>专用</w:t>
      </w:r>
      <w:r>
        <w:rPr>
          <w:rFonts w:hint="eastAsia" w:ascii="宋体" w:hAnsi="宋体" w:cs="宋体"/>
          <w:color w:val="auto"/>
          <w:sz w:val="24"/>
          <w:highlight w:val="none"/>
        </w:rPr>
        <w:t>产品</w:t>
      </w:r>
    </w:p>
    <w:p w14:paraId="38D51CA4">
      <w:pPr>
        <w:numPr>
          <w:ilvl w:val="2"/>
          <w:numId w:val="9"/>
        </w:numPr>
        <w:tabs>
          <w:tab w:val="left" w:pos="1080"/>
          <w:tab w:val="left" w:pos="2014"/>
          <w:tab w:val="clear" w:pos="1980"/>
        </w:tabs>
        <w:snapToGrid w:val="0"/>
        <w:spacing w:line="360" w:lineRule="auto"/>
        <w:ind w:left="1980" w:leftChars="0" w:hanging="900" w:firstLineChars="0"/>
        <w:rPr>
          <w:rFonts w:ascii="宋体" w:hAnsi="宋体" w:cs="宋体"/>
          <w:color w:val="auto"/>
          <w:sz w:val="24"/>
          <w:highlight w:val="none"/>
        </w:rPr>
      </w:pPr>
      <w:r>
        <w:rPr>
          <w:rFonts w:hint="eastAsia" w:ascii="宋体" w:hAnsi="宋体" w:cs="宋体"/>
          <w:color w:val="auto"/>
          <w:sz w:val="24"/>
          <w:highlight w:val="none"/>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33B69E9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推广使用低挥发性有机化合物（VOCs）</w:t>
      </w:r>
    </w:p>
    <w:p w14:paraId="29E6861F">
      <w:pPr>
        <w:numPr>
          <w:ilvl w:val="2"/>
          <w:numId w:val="9"/>
        </w:numPr>
        <w:tabs>
          <w:tab w:val="left" w:pos="2014"/>
        </w:tabs>
        <w:snapToGrid w:val="0"/>
        <w:spacing w:line="360" w:lineRule="auto"/>
        <w:rPr>
          <w:rFonts w:ascii="宋体" w:hAnsi="宋体" w:cs="宋体"/>
          <w:color w:val="auto"/>
          <w:sz w:val="24"/>
          <w:highlight w:val="none"/>
        </w:rPr>
      </w:pPr>
      <w:r>
        <w:rPr>
          <w:rFonts w:hint="eastAsia" w:ascii="宋体" w:hAnsi="宋体" w:cs="宋体"/>
          <w:color w:val="auto"/>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属于强制性标准的，供应商应执行符合本市和国家的VOCs含量限制标准（具体标准见第五章《采购需求》），</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sz w:val="24"/>
          <w:highlight w:val="none"/>
        </w:rPr>
        <w:t>；属于推荐性标准的，优先采购，具体见第四章《</w:t>
      </w:r>
      <w:r>
        <w:rPr>
          <w:rFonts w:ascii="宋体" w:hAnsi="宋体" w:eastAsia="宋体" w:cs="宋体"/>
          <w:sz w:val="24"/>
          <w:szCs w:val="24"/>
        </w:rPr>
        <w:t>评标程序、评标方法和评标标准</w:t>
      </w:r>
      <w:r>
        <w:rPr>
          <w:rFonts w:hint="eastAsia" w:ascii="宋体" w:hAnsi="宋体" w:cs="宋体"/>
          <w:color w:val="auto"/>
          <w:sz w:val="24"/>
          <w:highlight w:val="none"/>
        </w:rPr>
        <w:t>》。</w:t>
      </w:r>
    </w:p>
    <w:p w14:paraId="0A622205">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采购需求标准</w:t>
      </w:r>
    </w:p>
    <w:p w14:paraId="7AF6DA37">
      <w:pPr>
        <w:tabs>
          <w:tab w:val="left" w:pos="1080"/>
          <w:tab w:val="left" w:pos="2014"/>
        </w:tabs>
        <w:snapToGrid w:val="0"/>
        <w:spacing w:line="360" w:lineRule="auto"/>
        <w:ind w:left="633" w:firstLine="480" w:firstLineChars="200"/>
        <w:rPr>
          <w:rFonts w:ascii="宋体" w:hAnsi="宋体" w:cs="宋体"/>
          <w:color w:val="auto"/>
          <w:sz w:val="24"/>
          <w:highlight w:val="none"/>
        </w:rPr>
      </w:pPr>
      <w:r>
        <w:rPr>
          <w:rFonts w:hint="eastAsia" w:ascii="宋体" w:hAnsi="宋体" w:cs="宋体"/>
          <w:color w:val="auto"/>
          <w:sz w:val="24"/>
          <w:highlight w:val="none"/>
        </w:rPr>
        <w:t>5.7.1 商品包装、快递包装政府采购需求标准（试行）</w:t>
      </w:r>
    </w:p>
    <w:p w14:paraId="644DAEC0">
      <w:pPr>
        <w:tabs>
          <w:tab w:val="left" w:pos="1080"/>
          <w:tab w:val="left" w:pos="2014"/>
        </w:tabs>
        <w:snapToGrid w:val="0"/>
        <w:spacing w:line="360" w:lineRule="auto"/>
        <w:ind w:left="1829" w:leftChars="871"/>
        <w:rPr>
          <w:rFonts w:ascii="宋体" w:hAnsi="宋体" w:cs="宋体"/>
          <w:color w:val="auto"/>
          <w:sz w:val="24"/>
          <w:highlight w:val="none"/>
        </w:rPr>
      </w:pPr>
      <w:r>
        <w:rPr>
          <w:rFonts w:hint="eastAsia" w:ascii="宋体" w:hAnsi="宋体" w:cs="宋体"/>
          <w:color w:val="auto"/>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408B771">
      <w:pPr>
        <w:tabs>
          <w:tab w:val="left" w:pos="1080"/>
          <w:tab w:val="left" w:pos="2014"/>
        </w:tabs>
        <w:snapToGrid w:val="0"/>
        <w:spacing w:line="360" w:lineRule="auto"/>
        <w:ind w:left="633" w:firstLine="480" w:firstLineChars="200"/>
        <w:rPr>
          <w:rFonts w:ascii="宋体" w:hAnsi="宋体" w:cs="宋体"/>
          <w:color w:val="auto"/>
          <w:sz w:val="24"/>
          <w:highlight w:val="none"/>
        </w:rPr>
      </w:pPr>
      <w:r>
        <w:rPr>
          <w:rFonts w:hint="eastAsia" w:ascii="宋体" w:hAnsi="宋体" w:cs="宋体"/>
          <w:color w:val="auto"/>
          <w:sz w:val="24"/>
          <w:highlight w:val="none"/>
        </w:rPr>
        <w:t>5.7.2其他政府采购需求标准</w:t>
      </w:r>
    </w:p>
    <w:p w14:paraId="58982AC5">
      <w:pPr>
        <w:tabs>
          <w:tab w:val="left" w:pos="1080"/>
          <w:tab w:val="left" w:pos="2014"/>
        </w:tabs>
        <w:snapToGrid w:val="0"/>
        <w:spacing w:line="360" w:lineRule="auto"/>
        <w:ind w:left="1829" w:leftChars="871"/>
        <w:rPr>
          <w:rFonts w:ascii="宋体" w:hAnsi="宋体" w:cs="宋体"/>
          <w:color w:val="auto"/>
          <w:sz w:val="24"/>
          <w:highlight w:val="none"/>
        </w:rPr>
      </w:pPr>
      <w:r>
        <w:rPr>
          <w:rFonts w:hint="eastAsia" w:ascii="宋体" w:hAnsi="宋体" w:cs="宋体"/>
          <w:color w:val="auto"/>
          <w:sz w:val="24"/>
          <w:highlight w:val="none"/>
        </w:rPr>
        <w:t>为贯彻落实《深化政府采购制度改革方案》有关要求，推动政府采购需求标准建设，财政部门会同有关部门制定发布的其他政府采购需求标准，本项目如涉及，则具体要求见第五章《采购需求》。</w:t>
      </w:r>
    </w:p>
    <w:p w14:paraId="3267A68F">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投标费用</w:t>
      </w:r>
    </w:p>
    <w:p w14:paraId="278FF05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投标人应自行承担所有与准备和参加投标有关的费用，无论投标的结果如何，采购人或采购代理机构在任何情况下均无承担这些费用的义务和责任。</w:t>
      </w:r>
    </w:p>
    <w:p w14:paraId="73ADC186">
      <w:pPr>
        <w:tabs>
          <w:tab w:val="left" w:pos="1080"/>
        </w:tabs>
        <w:snapToGrid w:val="0"/>
        <w:spacing w:line="360" w:lineRule="auto"/>
        <w:ind w:left="1080"/>
        <w:rPr>
          <w:rFonts w:ascii="宋体" w:hAnsi="宋体" w:cs="宋体"/>
          <w:color w:val="auto"/>
          <w:sz w:val="28"/>
          <w:highlight w:val="none"/>
        </w:rPr>
      </w:pPr>
      <w:bookmarkStart w:id="170" w:name="_1.8_计量单位"/>
      <w:bookmarkEnd w:id="170"/>
    </w:p>
    <w:p w14:paraId="3D5746D3">
      <w:pPr>
        <w:pStyle w:val="3"/>
        <w:spacing w:before="0" w:line="360" w:lineRule="auto"/>
        <w:rPr>
          <w:rFonts w:ascii="宋体" w:hAnsi="宋体" w:eastAsia="宋体" w:cs="宋体"/>
          <w:color w:val="auto"/>
          <w:sz w:val="28"/>
          <w:highlight w:val="none"/>
        </w:rPr>
      </w:pPr>
      <w:r>
        <w:rPr>
          <w:rFonts w:hint="eastAsia" w:ascii="宋体" w:hAnsi="宋体" w:eastAsia="宋体" w:cs="宋体"/>
          <w:color w:val="auto"/>
          <w:sz w:val="28"/>
          <w:highlight w:val="none"/>
        </w:rPr>
        <w:t>二   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77B8218">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171" w:name="_Toc151193693"/>
      <w:bookmarkStart w:id="172" w:name="_Toc150774728"/>
      <w:bookmarkStart w:id="173" w:name="_Toc150480761"/>
      <w:bookmarkStart w:id="174" w:name="_Toc151193911"/>
      <w:bookmarkStart w:id="175" w:name="_Toc164351617"/>
      <w:bookmarkStart w:id="176" w:name="_Toc305158791"/>
      <w:bookmarkStart w:id="177" w:name="_Toc520356147"/>
      <w:bookmarkStart w:id="178" w:name="_Toc151190150"/>
      <w:bookmarkStart w:id="179" w:name="_Toc150509274"/>
      <w:bookmarkStart w:id="180" w:name="_Toc164229218"/>
      <w:bookmarkStart w:id="181" w:name="_Toc151193837"/>
      <w:bookmarkStart w:id="182" w:name="_Toc127151523"/>
      <w:bookmarkStart w:id="183" w:name="_Toc164608637"/>
      <w:bookmarkStart w:id="184" w:name="_Toc127161437"/>
      <w:bookmarkStart w:id="185" w:name="_Toc226965796"/>
      <w:bookmarkStart w:id="186" w:name="_Toc151193621"/>
      <w:bookmarkStart w:id="187" w:name="_Toc149720816"/>
      <w:bookmarkStart w:id="188" w:name="_Toc164608792"/>
      <w:bookmarkStart w:id="189" w:name="_Toc305158865"/>
      <w:bookmarkStart w:id="190" w:name="_Toc226309767"/>
      <w:bookmarkStart w:id="191" w:name="_Toc142311025"/>
      <w:bookmarkStart w:id="192" w:name="_Toc151193765"/>
      <w:bookmarkStart w:id="193" w:name="_Toc164229364"/>
      <w:bookmarkStart w:id="194" w:name="_Toc264969213"/>
      <w:bookmarkStart w:id="195" w:name="_Toc127151724"/>
      <w:bookmarkStart w:id="196" w:name="_Toc226965713"/>
      <w:bookmarkStart w:id="197" w:name="_Toc226337219"/>
      <w:bookmarkStart w:id="198" w:name="_Toc195842888"/>
      <w:bookmarkStart w:id="199" w:name="_Toc150774623"/>
      <w:bookmarkStart w:id="200" w:name="_Toc265228361"/>
      <w:r>
        <w:rPr>
          <w:rFonts w:hint="eastAsia" w:ascii="宋体" w:hAnsi="宋体" w:cs="宋体"/>
          <w:color w:val="auto"/>
          <w:sz w:val="24"/>
          <w:highlight w:val="none"/>
        </w:rPr>
        <w:t>招标文件构</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eastAsia" w:ascii="宋体" w:hAnsi="宋体" w:cs="宋体"/>
          <w:color w:val="auto"/>
          <w:sz w:val="24"/>
          <w:highlight w:val="none"/>
        </w:rPr>
        <w:t>成</w:t>
      </w:r>
    </w:p>
    <w:p w14:paraId="198688CE">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招标文件包括以下部分：</w:t>
      </w:r>
    </w:p>
    <w:p w14:paraId="5839C9D1">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投标邀请</w:t>
      </w:r>
    </w:p>
    <w:p w14:paraId="751BCFCA">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投标人须知</w:t>
      </w:r>
    </w:p>
    <w:p w14:paraId="519471E3">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资格审查</w:t>
      </w:r>
    </w:p>
    <w:p w14:paraId="3BD43623">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评标程序、评标方法和评标标准</w:t>
      </w:r>
    </w:p>
    <w:p w14:paraId="23A3AAE7">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采购需求</w:t>
      </w:r>
    </w:p>
    <w:p w14:paraId="5EE000DF">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拟签订的合同文本</w:t>
      </w:r>
    </w:p>
    <w:p w14:paraId="003EAB74">
      <w:pPr>
        <w:numPr>
          <w:ilvl w:val="0"/>
          <w:numId w:val="10"/>
        </w:numPr>
        <w:tabs>
          <w:tab w:val="left" w:pos="1980"/>
          <w:tab w:val="left" w:pos="2520"/>
        </w:tabs>
        <w:snapToGrid w:val="0"/>
        <w:spacing w:line="360" w:lineRule="auto"/>
        <w:ind w:left="1440" w:firstLine="5"/>
        <w:rPr>
          <w:rFonts w:ascii="宋体" w:hAnsi="宋体" w:cs="宋体"/>
          <w:color w:val="auto"/>
          <w:sz w:val="24"/>
          <w:highlight w:val="none"/>
        </w:rPr>
      </w:pPr>
      <w:r>
        <w:rPr>
          <w:rFonts w:hint="eastAsia" w:ascii="宋体" w:hAnsi="宋体" w:cs="宋体"/>
          <w:color w:val="auto"/>
          <w:sz w:val="24"/>
          <w:highlight w:val="none"/>
        </w:rPr>
        <w:t>投标文件格式</w:t>
      </w:r>
    </w:p>
    <w:p w14:paraId="5032789D">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auto"/>
          <w:sz w:val="24"/>
          <w:highlight w:val="none"/>
        </w:rPr>
        <w:t>投标无效</w:t>
      </w:r>
      <w:r>
        <w:rPr>
          <w:rFonts w:hint="eastAsia" w:ascii="宋体" w:hAnsi="宋体" w:cs="宋体"/>
          <w:color w:val="auto"/>
          <w:sz w:val="24"/>
          <w:highlight w:val="none"/>
        </w:rPr>
        <w:t>。</w:t>
      </w:r>
    </w:p>
    <w:p w14:paraId="4B94448F">
      <w:pPr>
        <w:numPr>
          <w:ilvl w:val="0"/>
          <w:numId w:val="9"/>
        </w:numPr>
        <w:tabs>
          <w:tab w:val="left" w:pos="1080"/>
          <w:tab w:val="left" w:pos="2014"/>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对招标文件的澄清或修改</w:t>
      </w:r>
    </w:p>
    <w:p w14:paraId="217B63A7">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采购人或采购代理机构对已发出的招标文件进行必要澄清或者修改的，将在原公告发布媒体上发布更正公告，并以书面形式通知所有获取招标文件的潜在投标人。</w:t>
      </w:r>
    </w:p>
    <w:p w14:paraId="23401A9F">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上述书面通知，按照获取招标文件的潜在投标人提供的联系方式发出，因提供的信息有误导致通知延迟或无法通知的，采购人或采购代理机构不承担责任。</w:t>
      </w:r>
    </w:p>
    <w:p w14:paraId="5BABF473">
      <w:pPr>
        <w:numPr>
          <w:ilvl w:val="1"/>
          <w:numId w:val="9"/>
        </w:numPr>
        <w:tabs>
          <w:tab w:val="left" w:pos="1080"/>
          <w:tab w:val="left" w:pos="1561"/>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44F1DFB1">
      <w:pPr>
        <w:pStyle w:val="3"/>
        <w:spacing w:before="0" w:line="360" w:lineRule="auto"/>
        <w:rPr>
          <w:rFonts w:ascii="宋体" w:hAnsi="宋体" w:eastAsia="宋体" w:cs="宋体"/>
          <w:color w:val="auto"/>
          <w:sz w:val="28"/>
          <w:highlight w:val="none"/>
        </w:rPr>
      </w:pPr>
      <w:bookmarkStart w:id="201" w:name="_Toc516367020"/>
      <w:bookmarkStart w:id="202" w:name="_Toc151190153"/>
      <w:bookmarkStart w:id="203" w:name="_Toc305158868"/>
      <w:bookmarkStart w:id="204" w:name="_Toc127151526"/>
      <w:bookmarkStart w:id="205" w:name="_Toc226965716"/>
      <w:bookmarkStart w:id="206" w:name="_Toc226309770"/>
      <w:bookmarkStart w:id="207" w:name="_Toc264969216"/>
      <w:bookmarkStart w:id="208" w:name="_Toc265228364"/>
      <w:bookmarkStart w:id="209" w:name="_Toc151193840"/>
      <w:bookmarkStart w:id="210" w:name="_Toc150480764"/>
      <w:bookmarkStart w:id="211" w:name="_Toc226965799"/>
      <w:bookmarkStart w:id="212" w:name="_Toc150774731"/>
      <w:bookmarkStart w:id="213" w:name="_Toc151193696"/>
      <w:bookmarkStart w:id="214" w:name="_Toc142311028"/>
      <w:bookmarkStart w:id="215" w:name="_Toc150509277"/>
      <w:bookmarkStart w:id="216" w:name="_Toc150774626"/>
      <w:bookmarkStart w:id="217" w:name="_Toc305158794"/>
      <w:bookmarkStart w:id="218" w:name="_Toc195842891"/>
      <w:bookmarkStart w:id="219" w:name="_Toc151193768"/>
      <w:bookmarkStart w:id="220" w:name="_Toc151193914"/>
      <w:bookmarkStart w:id="221" w:name="_Toc520356150"/>
      <w:bookmarkStart w:id="222" w:name="_Toc226337222"/>
      <w:bookmarkStart w:id="223" w:name="_Toc151193624"/>
      <w:r>
        <w:rPr>
          <w:rFonts w:hint="eastAsia" w:ascii="宋体" w:hAnsi="宋体" w:eastAsia="宋体" w:cs="宋体"/>
          <w:color w:val="auto"/>
          <w:sz w:val="28"/>
          <w:highlight w:val="none"/>
        </w:rPr>
        <w:t>三   投标文件</w:t>
      </w:r>
      <w:bookmarkEnd w:id="201"/>
      <w:r>
        <w:rPr>
          <w:rFonts w:hint="eastAsia" w:ascii="宋体" w:hAnsi="宋体" w:eastAsia="宋体" w:cs="宋体"/>
          <w:color w:val="auto"/>
          <w:sz w:val="28"/>
          <w:highlight w:val="none"/>
        </w:rPr>
        <w:t>的编制</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86445F9">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24" w:name="_Toc151190154"/>
      <w:bookmarkStart w:id="225" w:name="_Toc151193769"/>
      <w:bookmarkStart w:id="226" w:name="_Toc164229222"/>
      <w:bookmarkStart w:id="227" w:name="_Toc151193697"/>
      <w:bookmarkStart w:id="228" w:name="_Toc305158795"/>
      <w:bookmarkStart w:id="229" w:name="_Toc520356151"/>
      <w:bookmarkStart w:id="230" w:name="_Toc151193841"/>
      <w:bookmarkStart w:id="231" w:name="_Toc127161441"/>
      <w:bookmarkStart w:id="232" w:name="_Toc265228365"/>
      <w:bookmarkStart w:id="233" w:name="_Toc164608796"/>
      <w:bookmarkStart w:id="234" w:name="_Toc226309771"/>
      <w:bookmarkStart w:id="235" w:name="_Toc127151728"/>
      <w:bookmarkStart w:id="236" w:name="_Toc150774732"/>
      <w:bookmarkStart w:id="237" w:name="_Toc150774627"/>
      <w:bookmarkStart w:id="238" w:name="_Toc195842892"/>
      <w:bookmarkStart w:id="239" w:name="_Toc164608641"/>
      <w:bookmarkStart w:id="240" w:name="_Toc127151527"/>
      <w:bookmarkStart w:id="241" w:name="_Toc164351621"/>
      <w:bookmarkStart w:id="242" w:name="_Toc226965800"/>
      <w:bookmarkStart w:id="243" w:name="_Toc142311029"/>
      <w:bookmarkStart w:id="244" w:name="_Toc305158869"/>
      <w:bookmarkStart w:id="245" w:name="_Toc149720820"/>
      <w:bookmarkStart w:id="246" w:name="_Toc516367021"/>
      <w:bookmarkStart w:id="247" w:name="_Toc151193625"/>
      <w:bookmarkStart w:id="248" w:name="_Toc164229368"/>
      <w:bookmarkStart w:id="249" w:name="_Toc226337223"/>
      <w:bookmarkStart w:id="250" w:name="_Toc150480765"/>
      <w:bookmarkStart w:id="251" w:name="_Toc151193915"/>
      <w:bookmarkStart w:id="252" w:name="_Toc264969217"/>
      <w:bookmarkStart w:id="253" w:name="_Toc226965717"/>
      <w:bookmarkStart w:id="254" w:name="_Toc150509278"/>
      <w:r>
        <w:rPr>
          <w:rFonts w:hint="eastAsia" w:ascii="宋体" w:hAnsi="宋体" w:cs="宋体"/>
          <w:color w:val="auto"/>
          <w:sz w:val="24"/>
          <w:highlight w:val="none"/>
        </w:rPr>
        <w:t>投标范围、投标文件中计量单位的使用</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ascii="宋体" w:hAnsi="宋体" w:cs="宋体"/>
          <w:color w:val="auto"/>
          <w:sz w:val="24"/>
          <w:highlight w:val="none"/>
        </w:rPr>
        <w:t>及投标语言</w:t>
      </w:r>
    </w:p>
    <w:p w14:paraId="40EFF2BC">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auto"/>
          <w:sz w:val="24"/>
          <w:highlight w:val="none"/>
        </w:rPr>
        <w:t>无效投标</w:t>
      </w:r>
      <w:r>
        <w:rPr>
          <w:rFonts w:hint="eastAsia" w:ascii="宋体" w:hAnsi="宋体" w:cs="宋体"/>
          <w:color w:val="auto"/>
          <w:sz w:val="24"/>
          <w:highlight w:val="none"/>
        </w:rPr>
        <w:t>。</w:t>
      </w:r>
    </w:p>
    <w:p w14:paraId="7E9BF6C5">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除招标文件有特殊要求外，本项目投标所使用的计量单位，应采用中华人民共和国法定计量单位。</w:t>
      </w:r>
    </w:p>
    <w:p w14:paraId="54097F96">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B373177">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55" w:name="_Toc516367022"/>
      <w:bookmarkStart w:id="256" w:name="_Ref467306195"/>
      <w:bookmarkStart w:id="257" w:name="_Ref467306676"/>
      <w:bookmarkStart w:id="258" w:name="_Toc151193842"/>
      <w:bookmarkStart w:id="259" w:name="_Toc151193698"/>
      <w:bookmarkStart w:id="260" w:name="_Toc264969218"/>
      <w:bookmarkStart w:id="261" w:name="_Toc150774628"/>
      <w:bookmarkStart w:id="262" w:name="_Toc226965718"/>
      <w:bookmarkStart w:id="263" w:name="_Toc164229369"/>
      <w:bookmarkStart w:id="264" w:name="_Toc265228366"/>
      <w:bookmarkStart w:id="265" w:name="_Toc151193770"/>
      <w:bookmarkStart w:id="266" w:name="_Toc149720821"/>
      <w:bookmarkStart w:id="267" w:name="_Toc150774733"/>
      <w:bookmarkStart w:id="268" w:name="_Toc150480766"/>
      <w:bookmarkStart w:id="269" w:name="_Toc226965801"/>
      <w:bookmarkStart w:id="270" w:name="_Toc195842893"/>
      <w:bookmarkStart w:id="271" w:name="_Toc151193916"/>
      <w:bookmarkStart w:id="272" w:name="_Toc305158796"/>
      <w:bookmarkStart w:id="273" w:name="_Toc164608642"/>
      <w:bookmarkStart w:id="274" w:name="_Toc127161442"/>
      <w:bookmarkStart w:id="275" w:name="_Toc226309772"/>
      <w:bookmarkStart w:id="276" w:name="_Toc164608797"/>
      <w:bookmarkStart w:id="277" w:name="_Toc226337224"/>
      <w:bookmarkStart w:id="278" w:name="_Toc305158870"/>
      <w:bookmarkStart w:id="279" w:name="_Toc142311030"/>
      <w:bookmarkStart w:id="280" w:name="_Toc127151528"/>
      <w:bookmarkStart w:id="281" w:name="_Toc164229223"/>
      <w:bookmarkStart w:id="282" w:name="_Toc151190155"/>
      <w:bookmarkStart w:id="283" w:name="_Toc150509279"/>
      <w:bookmarkStart w:id="284" w:name="_Toc127151729"/>
      <w:bookmarkStart w:id="285" w:name="_Toc520356152"/>
      <w:bookmarkStart w:id="286" w:name="_Toc151193626"/>
      <w:bookmarkStart w:id="287" w:name="_Toc164351622"/>
      <w:r>
        <w:rPr>
          <w:rFonts w:hint="eastAsia" w:ascii="宋体" w:hAnsi="宋体" w:cs="宋体"/>
          <w:color w:val="auto"/>
          <w:sz w:val="24"/>
          <w:highlight w:val="none"/>
        </w:rPr>
        <w:t>投标文件</w:t>
      </w:r>
      <w:bookmarkEnd w:id="255"/>
      <w:bookmarkEnd w:id="256"/>
      <w:bookmarkEnd w:id="257"/>
      <w:r>
        <w:rPr>
          <w:rFonts w:hint="eastAsia" w:ascii="宋体" w:hAnsi="宋体" w:cs="宋体"/>
          <w:color w:val="auto"/>
          <w:sz w:val="24"/>
          <w:highlight w:val="none"/>
        </w:rPr>
        <w:t>构成</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20C1008D">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bookmarkStart w:id="288" w:name="_Ref467052588"/>
      <w:r>
        <w:rPr>
          <w:rFonts w:hint="eastAsia" w:ascii="宋体" w:hAnsi="宋体" w:cs="宋体"/>
          <w:color w:val="auto"/>
          <w:sz w:val="24"/>
          <w:highlight w:val="none"/>
        </w:rPr>
        <w:t>投标人应当按照招标文件的要求编制投标文件。投标文件应由《资格证明文件》、《商务技术文件》两部分构成。投标文件的部分格式要求，见第七章《投标文件格式》。</w:t>
      </w:r>
    </w:p>
    <w:p w14:paraId="344CF71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kern w:val="0"/>
          <w:sz w:val="24"/>
          <w:highlight w:val="none"/>
        </w:rPr>
        <w:t>对于招标文件中标记了“实质性格式”文件的，</w:t>
      </w:r>
      <w:r>
        <w:rPr>
          <w:rFonts w:hint="eastAsia" w:ascii="宋体" w:hAnsi="宋体" w:cs="宋体"/>
          <w:color w:val="auto"/>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auto"/>
          <w:kern w:val="0"/>
          <w:sz w:val="24"/>
          <w:highlight w:val="none"/>
        </w:rPr>
        <w:t>否则</w:t>
      </w:r>
      <w:r>
        <w:rPr>
          <w:rFonts w:hint="eastAsia" w:ascii="宋体" w:hAnsi="宋体" w:cs="宋体"/>
          <w:b/>
          <w:color w:val="auto"/>
          <w:kern w:val="0"/>
          <w:sz w:val="24"/>
          <w:highlight w:val="none"/>
        </w:rPr>
        <w:t>投标无效</w:t>
      </w:r>
      <w:r>
        <w:rPr>
          <w:rFonts w:hint="eastAsia" w:ascii="宋体" w:hAnsi="宋体" w:cs="宋体"/>
          <w:color w:val="auto"/>
          <w:kern w:val="0"/>
          <w:sz w:val="24"/>
          <w:highlight w:val="none"/>
        </w:rPr>
        <w:t>。未标记“实质性格式”的文件和招标文件未提供格式的内容，可由投标人自行编写。</w:t>
      </w:r>
    </w:p>
    <w:p w14:paraId="5FFB81E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第四章《评标程序、评标方法和评标标准》中涉及的证明文件。</w:t>
      </w:r>
    </w:p>
    <w:p w14:paraId="717ED2F9">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1645988A">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投标人认为应附的其他材料。</w:t>
      </w:r>
      <w:bookmarkEnd w:id="288"/>
    </w:p>
    <w:p w14:paraId="53FAB06B">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289" w:name="_Toc164351624"/>
      <w:bookmarkStart w:id="290" w:name="_Toc520356155"/>
      <w:bookmarkStart w:id="291" w:name="_Toc127151530"/>
      <w:bookmarkStart w:id="292" w:name="_Toc127151731"/>
      <w:bookmarkStart w:id="293" w:name="_Toc164229371"/>
      <w:bookmarkStart w:id="294" w:name="_Toc164608644"/>
      <w:bookmarkStart w:id="295" w:name="_Toc151193772"/>
      <w:bookmarkStart w:id="296" w:name="_Toc150774630"/>
      <w:bookmarkStart w:id="297" w:name="_Toc151193700"/>
      <w:bookmarkStart w:id="298" w:name="_Toc150774735"/>
      <w:bookmarkStart w:id="299" w:name="_Toc142311032"/>
      <w:bookmarkStart w:id="300" w:name="_Toc151193628"/>
      <w:bookmarkStart w:id="301" w:name="_Toc164229225"/>
      <w:bookmarkStart w:id="302" w:name="_Toc151193918"/>
      <w:bookmarkStart w:id="303" w:name="_Toc150509281"/>
      <w:bookmarkStart w:id="304" w:name="_Toc195842895"/>
      <w:bookmarkStart w:id="305" w:name="_Toc151193844"/>
      <w:bookmarkStart w:id="306" w:name="_Toc164608799"/>
      <w:bookmarkStart w:id="307" w:name="_Toc151190157"/>
      <w:bookmarkStart w:id="308" w:name="_Toc149720823"/>
      <w:bookmarkStart w:id="309" w:name="_Toc150480768"/>
      <w:bookmarkStart w:id="310" w:name="_Toc127161444"/>
      <w:r>
        <w:rPr>
          <w:rFonts w:hint="eastAsia" w:ascii="宋体" w:hAnsi="宋体" w:cs="宋体"/>
          <w:color w:val="auto"/>
          <w:sz w:val="24"/>
          <w:highlight w:val="none"/>
        </w:rPr>
        <w:t>投标报价</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5C3DA8DB">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所有投标均以人民币为计价货币。</w:t>
      </w:r>
    </w:p>
    <w:p w14:paraId="0716C9B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投标人的报价应包括为完成本项目所发生的一切费用和税费，招标人将不再支付报价以外的任何费用。投标人的报价应包括但不限于下列内容，《投标人须知资料表》中有特殊规定的，从其规定。</w:t>
      </w:r>
    </w:p>
    <w:p w14:paraId="646CCFAB">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88AB42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按照招标文件要求完成本项目的全部相关服务费用。</w:t>
      </w:r>
    </w:p>
    <w:p w14:paraId="2ADCF513">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采购人不得向供应商索要或者接受其给予的赠品、回扣或者与采购无关的其他商品、服务。</w:t>
      </w:r>
    </w:p>
    <w:p w14:paraId="6B57D864">
      <w:pPr>
        <w:numPr>
          <w:ilvl w:val="1"/>
          <w:numId w:val="9"/>
        </w:numPr>
        <w:tabs>
          <w:tab w:val="left" w:pos="1080"/>
          <w:tab w:val="left" w:pos="2014"/>
        </w:tabs>
        <w:snapToGrid w:val="0"/>
        <w:spacing w:line="360" w:lineRule="auto"/>
        <w:ind w:left="1353" w:hanging="720"/>
        <w:rPr>
          <w:rFonts w:ascii="宋体" w:hAnsi="宋体" w:cs="宋体"/>
          <w:color w:val="auto"/>
          <w:sz w:val="24"/>
          <w:highlight w:val="none"/>
        </w:rPr>
      </w:pPr>
      <w:r>
        <w:rPr>
          <w:rFonts w:hint="eastAsia" w:ascii="宋体" w:hAnsi="宋体" w:cs="宋体"/>
          <w:color w:val="auto"/>
          <w:sz w:val="24"/>
          <w:highlight w:val="none"/>
        </w:rPr>
        <w:t>投标人不能提供任何有选择性或可调整的报价（招标文件另有规定的除外），否则其</w:t>
      </w:r>
      <w:r>
        <w:rPr>
          <w:rFonts w:hint="eastAsia" w:ascii="宋体" w:hAnsi="宋体" w:cs="宋体"/>
          <w:b/>
          <w:color w:val="auto"/>
          <w:sz w:val="24"/>
          <w:highlight w:val="none"/>
        </w:rPr>
        <w:t>投标无效</w:t>
      </w:r>
      <w:r>
        <w:rPr>
          <w:rFonts w:hint="eastAsia" w:ascii="宋体" w:hAnsi="宋体" w:cs="宋体"/>
          <w:color w:val="auto"/>
          <w:sz w:val="24"/>
          <w:highlight w:val="none"/>
        </w:rPr>
        <w:t>。</w:t>
      </w:r>
    </w:p>
    <w:p w14:paraId="2EBBDF8A">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311" w:name="_Toc127161445"/>
      <w:bookmarkStart w:id="312" w:name="_Toc164608645"/>
      <w:bookmarkStart w:id="313" w:name="_Toc149720824"/>
      <w:bookmarkStart w:id="314" w:name="_Toc151193773"/>
      <w:bookmarkStart w:id="315" w:name="_Toc164229226"/>
      <w:bookmarkStart w:id="316" w:name="_Toc151193629"/>
      <w:bookmarkStart w:id="317" w:name="_Ref467306513"/>
      <w:bookmarkStart w:id="318" w:name="_Toc305158799"/>
      <w:bookmarkStart w:id="319" w:name="_Toc195842896"/>
      <w:bookmarkStart w:id="320" w:name="_Toc164608800"/>
      <w:bookmarkStart w:id="321" w:name="_Toc226965721"/>
      <w:bookmarkStart w:id="322" w:name="_Toc164351625"/>
      <w:bookmarkStart w:id="323" w:name="_Toc305158873"/>
      <w:bookmarkStart w:id="324" w:name="_Toc265228369"/>
      <w:bookmarkStart w:id="325" w:name="_Toc142311033"/>
      <w:bookmarkStart w:id="326" w:name="_Toc150774736"/>
      <w:bookmarkStart w:id="327" w:name="_Toc164229372"/>
      <w:bookmarkStart w:id="328" w:name="_Toc150480769"/>
      <w:bookmarkStart w:id="329" w:name="_Toc520356156"/>
      <w:bookmarkStart w:id="330" w:name="_Toc127151732"/>
      <w:bookmarkStart w:id="331" w:name="_Toc127151531"/>
      <w:bookmarkStart w:id="332" w:name="_Toc150509282"/>
      <w:bookmarkStart w:id="333" w:name="_Toc226309775"/>
      <w:bookmarkStart w:id="334" w:name="_Toc151193845"/>
      <w:bookmarkStart w:id="335" w:name="_Toc151193701"/>
      <w:bookmarkStart w:id="336" w:name="_Toc226965804"/>
      <w:bookmarkStart w:id="337" w:name="_Toc151193919"/>
      <w:bookmarkStart w:id="338" w:name="_Toc264969221"/>
      <w:bookmarkStart w:id="339" w:name="_Toc151190158"/>
      <w:bookmarkStart w:id="340" w:name="_Toc226337227"/>
      <w:bookmarkStart w:id="341" w:name="_Toc150774631"/>
      <w:r>
        <w:rPr>
          <w:rFonts w:hint="eastAsia" w:ascii="宋体" w:hAnsi="宋体" w:cs="宋体"/>
          <w:color w:val="auto"/>
          <w:sz w:val="24"/>
          <w:highlight w:val="none"/>
        </w:rPr>
        <w:t>投标保证金</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43CECD9E">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bookmarkStart w:id="342" w:name="_Toc305158800"/>
      <w:bookmarkStart w:id="343" w:name="_Toc150480770"/>
      <w:bookmarkStart w:id="344" w:name="_Toc150774737"/>
      <w:bookmarkStart w:id="345" w:name="_Toc264969222"/>
      <w:bookmarkStart w:id="346" w:name="_Toc150509283"/>
      <w:bookmarkStart w:id="347" w:name="_Toc164351626"/>
      <w:bookmarkStart w:id="348" w:name="_Toc195842897"/>
      <w:bookmarkStart w:id="349" w:name="_Toc151193630"/>
      <w:bookmarkStart w:id="350" w:name="_Toc305158874"/>
      <w:bookmarkStart w:id="351" w:name="_Toc164608646"/>
      <w:bookmarkStart w:id="352" w:name="_Toc151193846"/>
      <w:bookmarkStart w:id="353" w:name="_Toc151193920"/>
      <w:bookmarkStart w:id="354" w:name="_Toc226337228"/>
      <w:bookmarkStart w:id="355" w:name="_Toc164229227"/>
      <w:bookmarkStart w:id="356" w:name="_Toc127151733"/>
      <w:bookmarkStart w:id="357" w:name="_Toc151190159"/>
      <w:bookmarkStart w:id="358" w:name="_Toc226309776"/>
      <w:bookmarkStart w:id="359" w:name="_Toc520356157"/>
      <w:bookmarkStart w:id="360" w:name="_Toc265228370"/>
      <w:bookmarkStart w:id="361" w:name="_Toc151193702"/>
      <w:bookmarkStart w:id="362" w:name="_Toc151193774"/>
      <w:bookmarkStart w:id="363" w:name="_Toc142311034"/>
      <w:bookmarkStart w:id="364" w:name="_Toc164608801"/>
      <w:bookmarkStart w:id="365" w:name="_Toc127161446"/>
      <w:bookmarkStart w:id="366" w:name="_Toc226965805"/>
      <w:bookmarkStart w:id="367" w:name="_Toc164229373"/>
      <w:bookmarkStart w:id="368" w:name="_Toc226965722"/>
      <w:bookmarkStart w:id="369" w:name="_Toc149720825"/>
      <w:bookmarkStart w:id="370" w:name="_Toc150774632"/>
      <w:bookmarkStart w:id="371" w:name="_Toc127151532"/>
      <w:r>
        <w:rPr>
          <w:rFonts w:hint="eastAsia" w:ascii="宋体" w:hAnsi="宋体" w:cs="宋体"/>
          <w:color w:val="auto"/>
          <w:sz w:val="24"/>
          <w:highlight w:val="none"/>
        </w:rPr>
        <w:t>投标人应按《投标人须知资料表》中规定的金额及要求交纳投标保证金。投标人自愿超额缴纳投标保证金的，投标文件不做无效处理。</w:t>
      </w:r>
    </w:p>
    <w:p w14:paraId="731A34A2">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交纳投标保证金可采用的形式：政府采购法律法规接受的支票、汇票、本票、网上银行支付或者金融机构、担保机构出具的保函等非现金形式。</w:t>
      </w:r>
    </w:p>
    <w:p w14:paraId="50331A7D">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以电子保函形式提交投标保证金的，应在投标截止时间前通过北京市政府采购电子交易平台完成电子保函在线办理。未按上述要求缴纳投标保证金的，其投标无效。</w:t>
      </w:r>
    </w:p>
    <w:p w14:paraId="12443E11">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投标人除需在投标文件中提供“投标保证金凭证/交款单据电子件”，还需在投标截止时间前，通过电子交易平台上传“投标保证金凭证/交款单据电子件”。</w:t>
      </w:r>
    </w:p>
    <w:p w14:paraId="30B769EC">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投标保证金有效期同投标有效期。</w:t>
      </w:r>
    </w:p>
    <w:p w14:paraId="1FB5EAD7">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投标人为联合体的，可以由联合体中的一方或者多方共同交纳投标保证金，其交纳的投标保证金对联合体各方均具有约束力。</w:t>
      </w:r>
    </w:p>
    <w:p w14:paraId="450A0C03">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72C1F333">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1投标人在投标截止时间前撤回已提交的投标文件的，自收到投标人书面撤回通知之日起 5 个工作日内退还已收取的投标保证金；</w:t>
      </w:r>
    </w:p>
    <w:p w14:paraId="4A41DE20">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中标人的投标保证金，自采购合同签订之日起 5 个工作日内退还中标人；</w:t>
      </w:r>
    </w:p>
    <w:p w14:paraId="57D8DC6C">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未中标投标人的投标保证金，自中标通知书发出之日起 5 个工作日内退还未中标人；</w:t>
      </w:r>
    </w:p>
    <w:p w14:paraId="747B64E6">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终止招标项目已经收取投标保证金的，自终止采购活动后 5 个工作日内退还已收取的投标保证金及其在银行产生的孳息。</w:t>
      </w:r>
    </w:p>
    <w:p w14:paraId="77F529E6">
      <w:pPr>
        <w:numPr>
          <w:ilvl w:val="1"/>
          <w:numId w:val="9"/>
        </w:numPr>
        <w:tabs>
          <w:tab w:val="left" w:pos="1080"/>
          <w:tab w:val="left" w:pos="2014"/>
        </w:tabs>
        <w:snapToGrid w:val="0"/>
        <w:spacing w:line="360" w:lineRule="auto"/>
        <w:ind w:left="1350" w:hanging="720"/>
        <w:rPr>
          <w:rFonts w:hint="eastAsia" w:ascii="宋体" w:hAnsi="宋体" w:cs="宋体"/>
          <w:color w:val="auto"/>
          <w:sz w:val="24"/>
          <w:highlight w:val="none"/>
        </w:rPr>
      </w:pPr>
      <w:r>
        <w:rPr>
          <w:rFonts w:hint="eastAsia" w:ascii="宋体" w:hAnsi="宋体" w:cs="宋体"/>
          <w:color w:val="auto"/>
          <w:sz w:val="24"/>
          <w:highlight w:val="none"/>
        </w:rPr>
        <w:t>有下列情形之一的，采购人或采购代理机构可以不予退还投标保证金</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14:paraId="348276B9">
      <w:pPr>
        <w:numPr>
          <w:ilvl w:val="2"/>
          <w:numId w:val="9"/>
        </w:numPr>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投标有效期内投标人撤销投标文件的；</w:t>
      </w:r>
    </w:p>
    <w:p w14:paraId="1B25B1C8">
      <w:pPr>
        <w:numPr>
          <w:ilvl w:val="2"/>
          <w:numId w:val="9"/>
        </w:numPr>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《投标人须知资料表》中规定的其他情形。</w:t>
      </w:r>
    </w:p>
    <w:p w14:paraId="1C859E69">
      <w:pPr>
        <w:numPr>
          <w:ilvl w:val="0"/>
          <w:numId w:val="9"/>
        </w:numPr>
        <w:tabs>
          <w:tab w:val="left" w:pos="360"/>
        </w:tabs>
        <w:snapToGrid w:val="0"/>
        <w:spacing w:line="360" w:lineRule="auto"/>
        <w:ind w:left="357" w:hanging="357"/>
        <w:outlineLvl w:val="1"/>
        <w:rPr>
          <w:rFonts w:hint="eastAsia" w:ascii="宋体" w:hAnsi="宋体" w:cs="宋体"/>
          <w:color w:val="auto"/>
          <w:sz w:val="24"/>
          <w:highlight w:val="none"/>
        </w:rPr>
      </w:pPr>
      <w:r>
        <w:rPr>
          <w:rFonts w:hint="eastAsia" w:ascii="宋体" w:hAnsi="宋体" w:cs="宋体"/>
          <w:color w:val="auto"/>
          <w:sz w:val="24"/>
          <w:highlight w:val="none"/>
        </w:rPr>
        <w:t>投标有效期</w:t>
      </w:r>
    </w:p>
    <w:p w14:paraId="5F099175">
      <w:pPr>
        <w:numPr>
          <w:ilvl w:val="0"/>
          <w:numId w:val="0"/>
        </w:numPr>
        <w:tabs>
          <w:tab w:val="left" w:pos="360"/>
        </w:tabs>
        <w:snapToGrid w:val="0"/>
        <w:spacing w:line="360" w:lineRule="auto"/>
        <w:ind w:leftChars="0"/>
        <w:outlineLvl w:val="1"/>
        <w:rPr>
          <w:rFonts w:hint="eastAsia" w:ascii="宋体" w:hAnsi="宋体" w:cs="宋体"/>
          <w:color w:val="auto"/>
          <w:sz w:val="24"/>
          <w:highlight w:val="none"/>
        </w:rPr>
      </w:pPr>
      <w:r>
        <w:rPr>
          <w:rFonts w:hint="eastAsia" w:ascii="宋体" w:hAnsi="宋体" w:cs="宋体"/>
          <w:color w:val="auto"/>
          <w:sz w:val="24"/>
          <w:highlight w:val="none"/>
        </w:rPr>
        <w:t>13.1 投标文件应在本招标文件《投标人须知资料表》中规定的投标有效期内保持有效，投标有效期少于招标文件规定期限的，其</w:t>
      </w:r>
      <w:r>
        <w:rPr>
          <w:rFonts w:hint="eastAsia" w:ascii="宋体" w:hAnsi="宋体" w:cs="宋体"/>
          <w:b/>
          <w:bCs/>
          <w:color w:val="auto"/>
          <w:sz w:val="24"/>
          <w:highlight w:val="none"/>
        </w:rPr>
        <w:t>投标无效。</w:t>
      </w:r>
    </w:p>
    <w:p w14:paraId="72068845">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372" w:name="_Toc151190160"/>
      <w:bookmarkStart w:id="373" w:name="_Toc164351627"/>
      <w:bookmarkStart w:id="374" w:name="_Toc164608647"/>
      <w:bookmarkStart w:id="375" w:name="_Toc226337229"/>
      <w:bookmarkStart w:id="376" w:name="_Toc127161447"/>
      <w:bookmarkStart w:id="377" w:name="_Toc226965806"/>
      <w:bookmarkStart w:id="378" w:name="_Toc150480771"/>
      <w:bookmarkStart w:id="379" w:name="_Toc151193775"/>
      <w:bookmarkStart w:id="380" w:name="_Toc150774738"/>
      <w:bookmarkStart w:id="381" w:name="_Toc151193631"/>
      <w:bookmarkStart w:id="382" w:name="_Toc226965723"/>
      <w:bookmarkStart w:id="383" w:name="_Toc149720826"/>
      <w:bookmarkStart w:id="384" w:name="_Toc127151533"/>
      <w:bookmarkStart w:id="385" w:name="_Toc150774633"/>
      <w:bookmarkStart w:id="386" w:name="_Toc164608802"/>
      <w:bookmarkStart w:id="387" w:name="_Toc195842898"/>
      <w:bookmarkStart w:id="388" w:name="_Toc305158875"/>
      <w:bookmarkStart w:id="389" w:name="_Toc151193847"/>
      <w:bookmarkStart w:id="390" w:name="_Toc151193921"/>
      <w:bookmarkStart w:id="391" w:name="_Toc164229228"/>
      <w:bookmarkStart w:id="392" w:name="_Toc520356158"/>
      <w:bookmarkStart w:id="393" w:name="_Toc150509284"/>
      <w:bookmarkStart w:id="394" w:name="_Toc142311035"/>
      <w:bookmarkStart w:id="395" w:name="_Toc151193703"/>
      <w:bookmarkStart w:id="396" w:name="_Toc265228371"/>
      <w:bookmarkStart w:id="397" w:name="_Toc164229374"/>
      <w:bookmarkStart w:id="398" w:name="_Toc127151734"/>
      <w:bookmarkStart w:id="399" w:name="_Toc226309777"/>
      <w:bookmarkStart w:id="400" w:name="_Toc305158801"/>
      <w:bookmarkStart w:id="401" w:name="_Toc264969223"/>
      <w:r>
        <w:rPr>
          <w:rFonts w:hint="eastAsia" w:ascii="宋体" w:hAnsi="宋体" w:cs="宋体"/>
          <w:color w:val="auto"/>
          <w:sz w:val="24"/>
          <w:highlight w:val="none"/>
        </w:rPr>
        <w:t>投标文件的签署</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hint="eastAsia" w:ascii="宋体" w:hAnsi="宋体" w:cs="宋体"/>
          <w:color w:val="auto"/>
          <w:sz w:val="24"/>
          <w:highlight w:val="none"/>
        </w:rPr>
        <w:t>、盖章</w:t>
      </w:r>
    </w:p>
    <w:p w14:paraId="5040EB1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bookmarkStart w:id="402" w:name="_Toc151193848"/>
      <w:bookmarkStart w:id="403" w:name="_Toc151193632"/>
      <w:bookmarkStart w:id="404" w:name="_Toc151193704"/>
      <w:bookmarkStart w:id="405" w:name="_Toc226337230"/>
      <w:bookmarkStart w:id="406" w:name="_Toc264969224"/>
      <w:bookmarkStart w:id="407" w:name="_Toc265228372"/>
      <w:bookmarkStart w:id="408" w:name="_Toc150774739"/>
      <w:bookmarkStart w:id="409" w:name="_Toc150480772"/>
      <w:bookmarkStart w:id="410" w:name="_Toc151190161"/>
      <w:bookmarkStart w:id="411" w:name="_Toc305158876"/>
      <w:bookmarkStart w:id="412" w:name="_Toc150509285"/>
      <w:bookmarkStart w:id="413" w:name="_Toc226309778"/>
      <w:bookmarkStart w:id="414" w:name="_Toc127151534"/>
      <w:bookmarkStart w:id="415" w:name="_Toc142311036"/>
      <w:bookmarkStart w:id="416" w:name="_Toc520356159"/>
      <w:bookmarkStart w:id="417" w:name="_Toc195842899"/>
      <w:bookmarkStart w:id="418" w:name="_Toc151193922"/>
      <w:bookmarkStart w:id="419" w:name="_Toc151193776"/>
      <w:bookmarkStart w:id="420" w:name="_Toc305158802"/>
      <w:bookmarkStart w:id="421" w:name="_Toc226965807"/>
      <w:bookmarkStart w:id="422" w:name="_Toc226965724"/>
      <w:bookmarkStart w:id="423" w:name="_Toc150774634"/>
      <w:r>
        <w:rPr>
          <w:rFonts w:hint="eastAsia" w:ascii="宋体" w:hAnsi="宋体" w:cs="宋体"/>
          <w:color w:val="auto"/>
          <w:sz w:val="24"/>
          <w:highlight w:val="none"/>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51BDDDF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招标文件要求盖章的内容，一般通过投标文件编制工具加盖电子签章。</w:t>
      </w:r>
    </w:p>
    <w:p w14:paraId="0E692493">
      <w:pPr>
        <w:tabs>
          <w:tab w:val="left" w:pos="900"/>
          <w:tab w:val="left" w:pos="1080"/>
        </w:tabs>
        <w:snapToGrid w:val="0"/>
        <w:spacing w:line="360" w:lineRule="auto"/>
        <w:ind w:left="357"/>
        <w:rPr>
          <w:rFonts w:ascii="宋体" w:hAnsi="宋体" w:cs="宋体"/>
          <w:color w:val="auto"/>
          <w:highlight w:val="none"/>
        </w:rPr>
      </w:pPr>
    </w:p>
    <w:p w14:paraId="51C1F884">
      <w:pPr>
        <w:pStyle w:val="3"/>
        <w:spacing w:before="0" w:line="360" w:lineRule="auto"/>
        <w:rPr>
          <w:rFonts w:ascii="宋体" w:hAnsi="宋体" w:eastAsia="宋体" w:cs="宋体"/>
          <w:color w:val="auto"/>
          <w:sz w:val="28"/>
          <w:highlight w:val="none"/>
        </w:rPr>
      </w:pPr>
      <w:r>
        <w:rPr>
          <w:rFonts w:hint="eastAsia" w:ascii="宋体" w:hAnsi="宋体" w:eastAsia="宋体" w:cs="宋体"/>
          <w:color w:val="auto"/>
          <w:sz w:val="28"/>
          <w:highlight w:val="none"/>
        </w:rPr>
        <w:t>四   投标文件的提交</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DE15481">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424" w:name="_Toc305158803"/>
      <w:bookmarkStart w:id="425" w:name="_Toc226337231"/>
      <w:bookmarkStart w:id="426" w:name="_Toc164229230"/>
      <w:bookmarkStart w:id="427" w:name="_Toc127151736"/>
      <w:bookmarkStart w:id="428" w:name="_Toc150774740"/>
      <w:bookmarkStart w:id="429" w:name="_Toc142311037"/>
      <w:bookmarkStart w:id="430" w:name="_Toc164229376"/>
      <w:bookmarkStart w:id="431" w:name="_Toc151190162"/>
      <w:bookmarkStart w:id="432" w:name="_Toc520356160"/>
      <w:bookmarkStart w:id="433" w:name="_Toc164351629"/>
      <w:bookmarkStart w:id="434" w:name="_Toc226965808"/>
      <w:bookmarkStart w:id="435" w:name="_Toc127151535"/>
      <w:bookmarkStart w:id="436" w:name="_Toc150509286"/>
      <w:bookmarkStart w:id="437" w:name="_Toc127161449"/>
      <w:bookmarkStart w:id="438" w:name="_Toc305158877"/>
      <w:bookmarkStart w:id="439" w:name="_Toc264969225"/>
      <w:bookmarkStart w:id="440" w:name="_Toc149720828"/>
      <w:bookmarkStart w:id="441" w:name="_Toc151193705"/>
      <w:bookmarkStart w:id="442" w:name="_Toc151193777"/>
      <w:bookmarkStart w:id="443" w:name="_Toc164608649"/>
      <w:bookmarkStart w:id="444" w:name="_Toc226309779"/>
      <w:bookmarkStart w:id="445" w:name="_Toc164608804"/>
      <w:bookmarkStart w:id="446" w:name="_Toc151193849"/>
      <w:bookmarkStart w:id="447" w:name="_Toc265228373"/>
      <w:bookmarkStart w:id="448" w:name="_Toc151193633"/>
      <w:bookmarkStart w:id="449" w:name="_Toc150774635"/>
      <w:bookmarkStart w:id="450" w:name="_Toc195842900"/>
      <w:bookmarkStart w:id="451" w:name="_Toc226965725"/>
      <w:bookmarkStart w:id="452" w:name="_Toc151193923"/>
      <w:bookmarkStart w:id="453" w:name="_Toc150480773"/>
      <w:r>
        <w:rPr>
          <w:rFonts w:hint="eastAsia" w:ascii="宋体" w:hAnsi="宋体" w:cs="宋体"/>
          <w:color w:val="auto"/>
          <w:sz w:val="24"/>
          <w:highlight w:val="none"/>
        </w:rPr>
        <w:t>投标文件的</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eastAsia" w:ascii="宋体" w:hAnsi="宋体" w:cs="宋体"/>
          <w:color w:val="auto"/>
          <w:sz w:val="24"/>
          <w:highlight w:val="none"/>
        </w:rPr>
        <w:t>提交</w:t>
      </w:r>
    </w:p>
    <w:p w14:paraId="5A4EBBE3">
      <w:pPr>
        <w:wordWrap w:val="0"/>
        <w:spacing w:line="360" w:lineRule="auto"/>
        <w:ind w:left="638" w:leftChars="304"/>
        <w:rPr>
          <w:rFonts w:ascii="宋体" w:hAnsi="宋体" w:cs="宋体"/>
          <w:color w:val="auto"/>
          <w:sz w:val="24"/>
          <w:highlight w:val="none"/>
        </w:rPr>
      </w:pPr>
      <w:bookmarkStart w:id="454" w:name="_Toc195842902"/>
      <w:bookmarkStart w:id="455" w:name="_Toc151193707"/>
      <w:bookmarkStart w:id="456" w:name="_Toc151190164"/>
      <w:bookmarkStart w:id="457" w:name="_Toc164351631"/>
      <w:bookmarkStart w:id="458" w:name="_Toc127161451"/>
      <w:bookmarkStart w:id="459" w:name="_Toc164229378"/>
      <w:bookmarkStart w:id="460" w:name="_Toc127151537"/>
      <w:bookmarkStart w:id="461" w:name="_Toc164608651"/>
      <w:bookmarkStart w:id="462" w:name="_Toc127151738"/>
      <w:bookmarkStart w:id="463" w:name="_Toc150509288"/>
      <w:bookmarkStart w:id="464" w:name="_Toc226337233"/>
      <w:bookmarkStart w:id="465" w:name="_Toc520356162"/>
      <w:bookmarkStart w:id="466" w:name="_Toc150774637"/>
      <w:bookmarkStart w:id="467" w:name="_Toc164229232"/>
      <w:bookmarkStart w:id="468" w:name="_Toc164608806"/>
      <w:bookmarkStart w:id="469" w:name="_Toc265228375"/>
      <w:bookmarkStart w:id="470" w:name="_Toc150774742"/>
      <w:bookmarkStart w:id="471" w:name="_Toc226309781"/>
      <w:bookmarkStart w:id="472" w:name="_Toc264969227"/>
      <w:bookmarkStart w:id="473" w:name="_Toc305158879"/>
      <w:bookmarkStart w:id="474" w:name="_Toc151193851"/>
      <w:bookmarkStart w:id="475" w:name="_Toc305158805"/>
      <w:bookmarkStart w:id="476" w:name="_Toc226965810"/>
      <w:bookmarkStart w:id="477" w:name="_Toc226965727"/>
      <w:bookmarkStart w:id="478" w:name="_Toc151193779"/>
      <w:bookmarkStart w:id="479" w:name="_Toc142311039"/>
      <w:bookmarkStart w:id="480" w:name="_Toc149720830"/>
      <w:bookmarkStart w:id="481" w:name="_Toc150480775"/>
      <w:bookmarkStart w:id="482" w:name="_Toc151193635"/>
      <w:bookmarkStart w:id="483" w:name="_Toc151193925"/>
      <w:r>
        <w:rPr>
          <w:rFonts w:hint="eastAsia" w:ascii="宋体" w:hAnsi="宋体" w:cs="宋体"/>
          <w:color w:val="auto"/>
          <w:sz w:val="24"/>
          <w:highlight w:val="none"/>
        </w:rPr>
        <w:t>15.1本项目使用北京市政府采购电子交易平台。投标人根据招标文件及电子交易平台供应商操作手册要求编制、生成并提交电子投标文件。</w:t>
      </w:r>
    </w:p>
    <w:p w14:paraId="035B704D">
      <w:pPr>
        <w:wordWrap w:val="0"/>
        <w:spacing w:line="360" w:lineRule="auto"/>
        <w:ind w:left="638" w:leftChars="304"/>
        <w:rPr>
          <w:rFonts w:ascii="宋体" w:hAnsi="宋体" w:cs="宋体"/>
          <w:color w:val="auto"/>
          <w:sz w:val="24"/>
          <w:highlight w:val="none"/>
        </w:rPr>
      </w:pPr>
      <w:r>
        <w:rPr>
          <w:rFonts w:hint="eastAsia" w:ascii="宋体" w:hAnsi="宋体" w:cs="宋体"/>
          <w:color w:val="auto"/>
          <w:sz w:val="24"/>
          <w:highlight w:val="none"/>
        </w:rPr>
        <w:t>15.2 采购人及采购代理机构拒绝接受通过电子交易平台以外任何形式提交的投标文件，投标保证金除外。</w:t>
      </w:r>
    </w:p>
    <w:p w14:paraId="2AE0AD3C">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484" w:name="_Toc150509287"/>
      <w:bookmarkStart w:id="485" w:name="_Toc226337232"/>
      <w:bookmarkStart w:id="486" w:name="_Toc164229231"/>
      <w:bookmarkStart w:id="487" w:name="_Toc164229377"/>
      <w:bookmarkStart w:id="488" w:name="_Toc226965726"/>
      <w:bookmarkStart w:id="489" w:name="_Toc164608805"/>
      <w:bookmarkStart w:id="490" w:name="_Toc150774636"/>
      <w:bookmarkStart w:id="491" w:name="_Toc164608650"/>
      <w:bookmarkStart w:id="492" w:name="_Toc151193850"/>
      <w:bookmarkStart w:id="493" w:name="_Toc149720829"/>
      <w:bookmarkStart w:id="494" w:name="_Toc305158804"/>
      <w:bookmarkStart w:id="495" w:name="_Toc151193706"/>
      <w:bookmarkStart w:id="496" w:name="_Toc226309780"/>
      <w:bookmarkStart w:id="497" w:name="_Toc151193924"/>
      <w:bookmarkStart w:id="498" w:name="_Toc164351630"/>
      <w:bookmarkStart w:id="499" w:name="_Toc226965809"/>
      <w:bookmarkStart w:id="500" w:name="_Toc150480774"/>
      <w:bookmarkStart w:id="501" w:name="_Toc151193634"/>
      <w:bookmarkStart w:id="502" w:name="_Toc127151737"/>
      <w:bookmarkStart w:id="503" w:name="_Toc265228374"/>
      <w:bookmarkStart w:id="504" w:name="_Toc264969226"/>
      <w:bookmarkStart w:id="505" w:name="_Toc151193778"/>
      <w:bookmarkStart w:id="506" w:name="_Toc195842901"/>
      <w:bookmarkStart w:id="507" w:name="_Toc150774741"/>
      <w:bookmarkStart w:id="508" w:name="_Toc151190163"/>
      <w:bookmarkStart w:id="509" w:name="_Toc142311038"/>
      <w:bookmarkStart w:id="510" w:name="_Toc127161450"/>
      <w:bookmarkStart w:id="511" w:name="_Toc127151536"/>
      <w:bookmarkStart w:id="512" w:name="_Toc305158878"/>
      <w:r>
        <w:rPr>
          <w:rFonts w:hint="eastAsia" w:ascii="宋体" w:hAnsi="宋体" w:cs="宋体"/>
          <w:color w:val="auto"/>
          <w:sz w:val="24"/>
          <w:highlight w:val="none"/>
        </w:rPr>
        <w:t>投标截止</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Pr>
          <w:rFonts w:hint="eastAsia" w:ascii="宋体" w:hAnsi="宋体" w:cs="宋体"/>
          <w:color w:val="auto"/>
          <w:sz w:val="24"/>
          <w:highlight w:val="none"/>
        </w:rPr>
        <w:t>时间</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14:paraId="361F58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16.1投标人应在招标文件要求提交投标文件截止时间前，将电子投标文件提交至电子交易平台。</w:t>
      </w:r>
    </w:p>
    <w:p w14:paraId="5A2AE329">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投标文件的修改与撤回</w:t>
      </w:r>
    </w:p>
    <w:p w14:paraId="328AD28F">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62A6D7E7">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投标人对投标文件的补充、修改的内容应当按照招标文件要求签署、盖章，作为投标文件的组成部分。</w:t>
      </w:r>
    </w:p>
    <w:p w14:paraId="35778175">
      <w:pPr>
        <w:pStyle w:val="3"/>
        <w:spacing w:before="0" w:line="360" w:lineRule="auto"/>
        <w:rPr>
          <w:rFonts w:ascii="宋体" w:hAnsi="宋体" w:eastAsia="宋体" w:cs="宋体"/>
          <w:color w:val="auto"/>
          <w:sz w:val="28"/>
          <w:highlight w:val="none"/>
        </w:rPr>
      </w:pPr>
      <w:bookmarkStart w:id="513" w:name="_Toc151193636"/>
      <w:bookmarkStart w:id="514" w:name="_Toc151193852"/>
      <w:bookmarkStart w:id="515" w:name="_Toc142311040"/>
      <w:bookmarkStart w:id="516" w:name="_Toc520356163"/>
      <w:bookmarkStart w:id="517" w:name="_Toc150509289"/>
      <w:bookmarkStart w:id="518" w:name="_Toc264969228"/>
      <w:bookmarkStart w:id="519" w:name="_Toc150774743"/>
      <w:bookmarkStart w:id="520" w:name="_Toc151190165"/>
      <w:bookmarkStart w:id="521" w:name="_Toc151193708"/>
      <w:bookmarkStart w:id="522" w:name="_Toc151193780"/>
      <w:bookmarkStart w:id="523" w:name="_Toc127151538"/>
      <w:bookmarkStart w:id="524" w:name="_Toc195842903"/>
      <w:bookmarkStart w:id="525" w:name="_Toc226309782"/>
      <w:bookmarkStart w:id="526" w:name="_Toc265228376"/>
      <w:bookmarkStart w:id="527" w:name="_Toc226337234"/>
      <w:bookmarkStart w:id="528" w:name="_Toc151193926"/>
      <w:bookmarkStart w:id="529" w:name="_Toc305158880"/>
      <w:bookmarkStart w:id="530" w:name="_Toc305158806"/>
      <w:bookmarkStart w:id="531" w:name="_Toc150480776"/>
      <w:bookmarkStart w:id="532" w:name="_Toc226965811"/>
      <w:bookmarkStart w:id="533" w:name="_Toc226965728"/>
      <w:bookmarkStart w:id="534" w:name="_Toc150774638"/>
      <w:r>
        <w:rPr>
          <w:rFonts w:hint="eastAsia" w:ascii="宋体" w:hAnsi="宋体" w:eastAsia="宋体" w:cs="宋体"/>
          <w:color w:val="auto"/>
          <w:sz w:val="28"/>
          <w:highlight w:val="none"/>
        </w:rPr>
        <w:t>五   开标、资格审查及评标</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A888FDB">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535" w:name="_Toc151193637"/>
      <w:bookmarkStart w:id="536" w:name="_Toc150509290"/>
      <w:bookmarkStart w:id="537" w:name="_Toc226965729"/>
      <w:bookmarkStart w:id="538" w:name="_Toc142311041"/>
      <w:bookmarkStart w:id="539" w:name="_Toc149720832"/>
      <w:bookmarkStart w:id="540" w:name="_Toc164608653"/>
      <w:bookmarkStart w:id="541" w:name="_Toc264969229"/>
      <w:bookmarkStart w:id="542" w:name="_Toc226965812"/>
      <w:bookmarkStart w:id="543" w:name="_Toc150480777"/>
      <w:bookmarkStart w:id="544" w:name="_Toc195842904"/>
      <w:bookmarkStart w:id="545" w:name="_Toc151193781"/>
      <w:bookmarkStart w:id="546" w:name="_Toc226337235"/>
      <w:bookmarkStart w:id="547" w:name="_Toc150774744"/>
      <w:bookmarkStart w:id="548" w:name="_Toc305158807"/>
      <w:bookmarkStart w:id="549" w:name="_Toc265228377"/>
      <w:bookmarkStart w:id="550" w:name="_Toc127161453"/>
      <w:bookmarkStart w:id="551" w:name="_Toc151193709"/>
      <w:bookmarkStart w:id="552" w:name="_Toc151190166"/>
      <w:bookmarkStart w:id="553" w:name="_Toc150774639"/>
      <w:bookmarkStart w:id="554" w:name="_Toc164351633"/>
      <w:bookmarkStart w:id="555" w:name="_Toc127151740"/>
      <w:bookmarkStart w:id="556" w:name="_Toc164229380"/>
      <w:bookmarkStart w:id="557" w:name="_Toc151193927"/>
      <w:bookmarkStart w:id="558" w:name="_Toc164608808"/>
      <w:bookmarkStart w:id="559" w:name="_Toc226309783"/>
      <w:bookmarkStart w:id="560" w:name="_Toc305158881"/>
      <w:bookmarkStart w:id="561" w:name="_Toc520356164"/>
      <w:bookmarkStart w:id="562" w:name="_Toc151193853"/>
      <w:bookmarkStart w:id="563" w:name="_Toc164229234"/>
      <w:bookmarkStart w:id="564" w:name="_Toc127151539"/>
      <w:r>
        <w:rPr>
          <w:rFonts w:hint="eastAsia" w:ascii="宋体" w:hAnsi="宋体" w:cs="宋体"/>
          <w:color w:val="auto"/>
          <w:sz w:val="24"/>
          <w:highlight w:val="none"/>
        </w:rPr>
        <w:t>开标</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Start w:id="565" w:name="_Toc520356169"/>
    </w:p>
    <w:p w14:paraId="7BEDF90E">
      <w:pPr>
        <w:numPr>
          <w:ilvl w:val="1"/>
          <w:numId w:val="9"/>
        </w:numPr>
        <w:tabs>
          <w:tab w:val="left" w:pos="360"/>
          <w:tab w:val="clear" w:pos="1589"/>
        </w:tabs>
        <w:snapToGrid w:val="0"/>
        <w:spacing w:line="360" w:lineRule="auto"/>
        <w:ind w:left="1741" w:leftChars="0" w:hanging="1321" w:firstLineChars="0"/>
        <w:outlineLvl w:val="1"/>
        <w:rPr>
          <w:rFonts w:ascii="宋体" w:hAnsi="宋体" w:cs="宋体"/>
          <w:color w:val="auto"/>
          <w:sz w:val="24"/>
          <w:highlight w:val="none"/>
        </w:rPr>
      </w:pPr>
      <w:r>
        <w:rPr>
          <w:rFonts w:hint="eastAsia" w:ascii="宋体" w:hAnsi="宋体" w:cs="宋体"/>
          <w:color w:val="auto"/>
          <w:sz w:val="24"/>
          <w:highlight w:val="none"/>
        </w:rPr>
        <w:t>采购人或采购代理机构将按招标文件的规定，在投标截止时间的同一时间和招标文件预先确定的地点组织开标。</w:t>
      </w:r>
    </w:p>
    <w:p w14:paraId="75EF66DD">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参加开标的投标人代表应确保携带加密电子投标文件相对应的移动数字CA证书，</w:t>
      </w:r>
      <w:r>
        <w:rPr>
          <w:rFonts w:ascii="宋体" w:hAnsi="宋体" w:eastAsia="宋体" w:cs="宋体"/>
          <w:sz w:val="24"/>
          <w:szCs w:val="24"/>
        </w:rPr>
        <w:t>投标人应在《投标人须知资料表》规定的时间内对投标文件进行解密，因非系统原因导致的解密失败，视为</w:t>
      </w:r>
      <w:r>
        <w:rPr>
          <w:rFonts w:ascii="宋体" w:hAnsi="宋体" w:eastAsia="宋体" w:cs="宋体"/>
          <w:b/>
          <w:bCs/>
          <w:sz w:val="24"/>
          <w:szCs w:val="24"/>
        </w:rPr>
        <w:t>投标无效。</w:t>
      </w:r>
      <w:r>
        <w:rPr>
          <w:rFonts w:hint="eastAsia" w:ascii="宋体" w:hAnsi="宋体" w:cs="宋体"/>
          <w:color w:val="auto"/>
          <w:sz w:val="24"/>
          <w:highlight w:val="none"/>
        </w:rPr>
        <w:t>投标人代表参加开标会议的授权委托人必须携带“授权委托书（加盖公章）”和身份证原件和复印件（加盖公章），该委托书应当由投标人委派参加开标会的投标人代表随身携带，单独提交一份。如法定代表人本人参加开标会的，必须携带法定代表人身份证明（加盖公章）及身份证原件和复印件（加盖公章）。（未提供以上资料或提供资料不符合要求的投标人，代理机构需如实记录，由评标委员会按无效投标处理）。</w:t>
      </w:r>
    </w:p>
    <w:p w14:paraId="25CDCCAD">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开标过程将使用电子系统宣布投标人名称、投标价格和招标文件规定的需要宣布的其他内容并进行记录，并由参加开标的各投标人代表确认</w:t>
      </w:r>
      <w:bookmarkStart w:id="566" w:name="_Toc520356165"/>
      <w:r>
        <w:rPr>
          <w:rFonts w:hint="eastAsia" w:ascii="宋体" w:hAnsi="宋体" w:cs="宋体"/>
          <w:color w:val="auto"/>
          <w:sz w:val="24"/>
          <w:highlight w:val="none"/>
        </w:rPr>
        <w:t>。投标人未在规定时间内提出疑义或确认一览表的，视同认可开标结果。</w:t>
      </w:r>
    </w:p>
    <w:p w14:paraId="78351567">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投标人对开标过程和开标记录有</w:t>
      </w:r>
      <w:r>
        <w:rPr>
          <w:rFonts w:hint="eastAsia" w:ascii="宋体" w:hAnsi="宋体" w:cs="宋体"/>
          <w:color w:val="auto"/>
          <w:sz w:val="24"/>
          <w:highlight w:val="none"/>
          <w:lang w:val="en-US" w:eastAsia="zh-CN"/>
        </w:rPr>
        <w:t>疑义</w:t>
      </w:r>
      <w:r>
        <w:rPr>
          <w:rFonts w:hint="eastAsia" w:ascii="宋体" w:hAnsi="宋体" w:cs="宋体"/>
          <w:color w:val="auto"/>
          <w:sz w:val="24"/>
          <w:highlight w:val="none"/>
        </w:rPr>
        <w:t>，以及认为采购人、采购代理机构相关工作人员有需要回避的情形的，应当场提出询问或者回避申请。采购人、采购代理机构对投标人代表提出的询问或者回避申请将及时处理。</w:t>
      </w:r>
    </w:p>
    <w:p w14:paraId="28DAFAA8">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投标人不足3家的，不予开标。</w:t>
      </w:r>
    </w:p>
    <w:p w14:paraId="01044AF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资格审查</w:t>
      </w:r>
    </w:p>
    <w:p w14:paraId="508ECDA5">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见第三章《资格审查》。</w:t>
      </w:r>
    </w:p>
    <w:bookmarkEnd w:id="566"/>
    <w:p w14:paraId="100EAA78">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567" w:name="_Toc226309784"/>
      <w:bookmarkStart w:id="568" w:name="_Toc151193928"/>
      <w:bookmarkStart w:id="569" w:name="_Toc151193710"/>
      <w:bookmarkStart w:id="570" w:name="_Toc150774745"/>
      <w:bookmarkStart w:id="571" w:name="_Toc226965813"/>
      <w:bookmarkStart w:id="572" w:name="_Toc150774640"/>
      <w:bookmarkStart w:id="573" w:name="_Toc164229235"/>
      <w:bookmarkStart w:id="574" w:name="_Toc305158882"/>
      <w:bookmarkStart w:id="575" w:name="_Toc195842905"/>
      <w:bookmarkStart w:id="576" w:name="_Toc164351634"/>
      <w:bookmarkStart w:id="577" w:name="_Toc127151540"/>
      <w:bookmarkStart w:id="578" w:name="_Toc150480778"/>
      <w:bookmarkStart w:id="579" w:name="_Toc127161454"/>
      <w:bookmarkStart w:id="580" w:name="_Toc264969230"/>
      <w:bookmarkStart w:id="581" w:name="_Toc265228378"/>
      <w:bookmarkStart w:id="582" w:name="_Toc226337236"/>
      <w:bookmarkStart w:id="583" w:name="_Toc151190167"/>
      <w:bookmarkStart w:id="584" w:name="_Toc151193638"/>
      <w:bookmarkStart w:id="585" w:name="_Toc142311042"/>
      <w:bookmarkStart w:id="586" w:name="_Toc151193782"/>
      <w:bookmarkStart w:id="587" w:name="_Toc226965730"/>
      <w:bookmarkStart w:id="588" w:name="_Toc151193854"/>
      <w:bookmarkStart w:id="589" w:name="_Toc164608654"/>
      <w:bookmarkStart w:id="590" w:name="_Toc150509291"/>
      <w:bookmarkStart w:id="591" w:name="_Toc164608809"/>
      <w:bookmarkStart w:id="592" w:name="_Toc149720833"/>
      <w:bookmarkStart w:id="593" w:name="_Toc127151741"/>
      <w:bookmarkStart w:id="594" w:name="_Toc164229381"/>
      <w:bookmarkStart w:id="595" w:name="_Toc305158808"/>
      <w:r>
        <w:rPr>
          <w:rFonts w:hint="eastAsia" w:ascii="宋体" w:hAnsi="宋体" w:cs="宋体"/>
          <w:color w:val="auto"/>
          <w:sz w:val="24"/>
          <w:highlight w:val="none"/>
        </w:rPr>
        <w:t>评标委员会</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0E7404B9">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评标委员会根据政府采购有关规定和本次招标采购项目的特点进行组建，并负责具体评标事务，独立履行职责。</w:t>
      </w:r>
      <w:bookmarkStart w:id="596" w:name="_Toc520356166"/>
    </w:p>
    <w:p w14:paraId="03313834">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6"/>
    </w:p>
    <w:p w14:paraId="75CC06B4">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评标程序、评标方法和评标标准</w:t>
      </w:r>
    </w:p>
    <w:p w14:paraId="5D86F1F2">
      <w:pPr>
        <w:numPr>
          <w:ilvl w:val="1"/>
          <w:numId w:val="9"/>
        </w:numPr>
        <w:tabs>
          <w:tab w:val="left" w:pos="1080"/>
          <w:tab w:val="left" w:pos="2014"/>
        </w:tabs>
        <w:snapToGrid w:val="0"/>
        <w:spacing w:line="360" w:lineRule="auto"/>
        <w:ind w:left="1077" w:hanging="720"/>
        <w:rPr>
          <w:rFonts w:ascii="宋体" w:hAnsi="宋体" w:cs="宋体"/>
          <w:color w:val="auto"/>
          <w:sz w:val="24"/>
          <w:highlight w:val="none"/>
        </w:rPr>
      </w:pPr>
      <w:r>
        <w:rPr>
          <w:rFonts w:hint="eastAsia" w:ascii="宋体" w:hAnsi="宋体" w:cs="宋体"/>
          <w:color w:val="auto"/>
          <w:sz w:val="24"/>
          <w:highlight w:val="none"/>
        </w:rPr>
        <w:t>见第四章《评标程序、评标方法和评标标准》。</w:t>
      </w:r>
    </w:p>
    <w:p w14:paraId="559260DB">
      <w:pPr>
        <w:tabs>
          <w:tab w:val="left" w:pos="360"/>
          <w:tab w:val="left" w:pos="1080"/>
        </w:tabs>
        <w:snapToGrid w:val="0"/>
        <w:spacing w:line="360" w:lineRule="auto"/>
        <w:ind w:left="1080"/>
        <w:rPr>
          <w:rFonts w:ascii="宋体" w:hAnsi="宋体" w:cs="宋体"/>
          <w:color w:val="auto"/>
          <w:sz w:val="24"/>
          <w:highlight w:val="none"/>
        </w:rPr>
      </w:pPr>
    </w:p>
    <w:p w14:paraId="36DCE2D9">
      <w:pPr>
        <w:pStyle w:val="3"/>
        <w:spacing w:before="0" w:line="360" w:lineRule="auto"/>
        <w:rPr>
          <w:rFonts w:ascii="宋体" w:hAnsi="宋体" w:eastAsia="宋体" w:cs="宋体"/>
          <w:color w:val="auto"/>
          <w:sz w:val="28"/>
          <w:highlight w:val="none"/>
        </w:rPr>
      </w:pPr>
      <w:bookmarkStart w:id="597" w:name="_Toc265228383"/>
      <w:bookmarkStart w:id="598" w:name="_Toc226965818"/>
      <w:bookmarkStart w:id="599" w:name="_Toc151193715"/>
      <w:bookmarkStart w:id="600" w:name="_Toc226965735"/>
      <w:bookmarkStart w:id="601" w:name="_Toc151193643"/>
      <w:bookmarkStart w:id="602" w:name="_Toc151193859"/>
      <w:bookmarkStart w:id="603" w:name="_Toc150509296"/>
      <w:bookmarkStart w:id="604" w:name="_Toc150480783"/>
      <w:bookmarkStart w:id="605" w:name="_Toc142311047"/>
      <w:bookmarkStart w:id="606" w:name="_Toc195842910"/>
      <w:bookmarkStart w:id="607" w:name="_Toc305158887"/>
      <w:bookmarkStart w:id="608" w:name="_Toc151193933"/>
      <w:bookmarkStart w:id="609" w:name="_Toc150774750"/>
      <w:bookmarkStart w:id="610" w:name="_Toc226309789"/>
      <w:bookmarkStart w:id="611" w:name="_Toc151193787"/>
      <w:bookmarkStart w:id="612" w:name="_Toc226337241"/>
      <w:bookmarkStart w:id="613" w:name="_Toc127151545"/>
      <w:bookmarkStart w:id="614" w:name="_Toc264969235"/>
      <w:bookmarkStart w:id="615" w:name="_Toc305158813"/>
      <w:bookmarkStart w:id="616" w:name="_Toc150774645"/>
      <w:bookmarkStart w:id="617" w:name="_Toc151190172"/>
      <w:r>
        <w:rPr>
          <w:rFonts w:hint="eastAsia" w:ascii="宋体" w:hAnsi="宋体" w:eastAsia="宋体" w:cs="宋体"/>
          <w:color w:val="auto"/>
          <w:sz w:val="28"/>
          <w:highlight w:val="none"/>
        </w:rPr>
        <w:t xml:space="preserve">六   </w:t>
      </w:r>
      <w:bookmarkEnd w:id="565"/>
      <w:r>
        <w:rPr>
          <w:rFonts w:hint="eastAsia" w:ascii="宋体" w:hAnsi="宋体" w:eastAsia="宋体" w:cs="宋体"/>
          <w:color w:val="auto"/>
          <w:sz w:val="28"/>
          <w:highlight w:val="none"/>
        </w:rPr>
        <w:t>确定中标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18" w:name="_Toc150480785"/>
      <w:bookmarkStart w:id="619" w:name="_Toc305158815"/>
      <w:bookmarkStart w:id="620" w:name="_Toc226309791"/>
      <w:bookmarkStart w:id="621" w:name="_Toc164608816"/>
      <w:bookmarkStart w:id="622" w:name="_Toc226965820"/>
      <w:bookmarkStart w:id="623" w:name="_Toc127151748"/>
      <w:bookmarkStart w:id="624" w:name="_Toc127161461"/>
      <w:bookmarkStart w:id="625" w:name="_Toc151190174"/>
      <w:bookmarkStart w:id="626" w:name="_Toc164229242"/>
      <w:bookmarkStart w:id="627" w:name="_Toc151193935"/>
      <w:bookmarkStart w:id="628" w:name="_Toc149720840"/>
      <w:bookmarkStart w:id="629" w:name="_Toc226337243"/>
      <w:bookmarkStart w:id="630" w:name="_Toc150509298"/>
      <w:bookmarkStart w:id="631" w:name="_Toc305158889"/>
      <w:bookmarkStart w:id="632" w:name="_Toc264969237"/>
      <w:bookmarkStart w:id="633" w:name="_Toc150774752"/>
      <w:bookmarkStart w:id="634" w:name="_Toc142311049"/>
      <w:bookmarkStart w:id="635" w:name="_Toc151193789"/>
      <w:bookmarkStart w:id="636" w:name="_Toc164351641"/>
      <w:bookmarkStart w:id="637" w:name="_Toc226965737"/>
      <w:bookmarkStart w:id="638" w:name="_Toc195842912"/>
      <w:bookmarkStart w:id="639" w:name="_Toc151193861"/>
      <w:bookmarkStart w:id="640" w:name="_Toc151193645"/>
      <w:bookmarkStart w:id="641" w:name="_Toc151193717"/>
      <w:bookmarkStart w:id="642" w:name="_Toc164608661"/>
      <w:bookmarkStart w:id="643" w:name="_Toc265228385"/>
      <w:bookmarkStart w:id="644" w:name="_Toc127151547"/>
      <w:bookmarkStart w:id="645" w:name="_Toc150774647"/>
      <w:bookmarkStart w:id="646" w:name="_Toc164229388"/>
    </w:p>
    <w:p w14:paraId="3B88075E">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确定中标人</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1C62587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3BF0F792">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647" w:name="_Toc305158817"/>
      <w:bookmarkStart w:id="648" w:name="_Toc305158891"/>
      <w:bookmarkStart w:id="649" w:name="_Toc150774649"/>
      <w:bookmarkStart w:id="650" w:name="_Toc164608663"/>
      <w:bookmarkStart w:id="651" w:name="_Toc150509300"/>
      <w:bookmarkStart w:id="652" w:name="_Toc195842914"/>
      <w:bookmarkStart w:id="653" w:name="_Toc127161463"/>
      <w:bookmarkStart w:id="654" w:name="_Toc226965739"/>
      <w:bookmarkStart w:id="655" w:name="_Toc150480787"/>
      <w:bookmarkStart w:id="656" w:name="_Toc151193937"/>
      <w:bookmarkStart w:id="657" w:name="_Toc164351643"/>
      <w:bookmarkStart w:id="658" w:name="_Toc151193863"/>
      <w:bookmarkStart w:id="659" w:name="_Toc164608818"/>
      <w:bookmarkStart w:id="660" w:name="_Toc151193791"/>
      <w:bookmarkStart w:id="661" w:name="_Toc151190176"/>
      <w:bookmarkStart w:id="662" w:name="_Toc127151549"/>
      <w:bookmarkStart w:id="663" w:name="_Toc265228387"/>
      <w:bookmarkStart w:id="664" w:name="_Toc151193719"/>
      <w:bookmarkStart w:id="665" w:name="_Toc149720842"/>
      <w:bookmarkStart w:id="666" w:name="_Toc164229390"/>
      <w:bookmarkStart w:id="667" w:name="_Toc142311051"/>
      <w:bookmarkStart w:id="668" w:name="_Toc226337245"/>
      <w:bookmarkStart w:id="669" w:name="_Toc151193647"/>
      <w:bookmarkStart w:id="670" w:name="_Toc150774754"/>
      <w:bookmarkStart w:id="671" w:name="_Toc127151750"/>
      <w:bookmarkStart w:id="672" w:name="_Toc164229244"/>
      <w:bookmarkStart w:id="673" w:name="_Toc226965822"/>
      <w:bookmarkStart w:id="674" w:name="_Toc264969239"/>
      <w:bookmarkStart w:id="675" w:name="_Toc226309793"/>
      <w:bookmarkStart w:id="676" w:name="_Ref467306425"/>
      <w:bookmarkStart w:id="677" w:name="_Ref467307090"/>
      <w:bookmarkStart w:id="678" w:name="_Toc520356176"/>
      <w:r>
        <w:rPr>
          <w:rFonts w:hint="eastAsia" w:ascii="宋体" w:hAnsi="宋体" w:cs="宋体"/>
          <w:color w:val="auto"/>
          <w:sz w:val="24"/>
          <w:highlight w:val="none"/>
        </w:rPr>
        <w:t>中标公告与中标通知书</w:t>
      </w:r>
      <w:bookmarkEnd w:id="647"/>
      <w:bookmarkEnd w:id="648"/>
    </w:p>
    <w:p w14:paraId="3767C71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采购人或采购代理机构自中标人确定之日起2个工作日内，</w:t>
      </w:r>
      <w:r>
        <w:rPr>
          <w:rFonts w:hint="eastAsia" w:ascii="宋体" w:hAnsi="宋体" w:cs="宋体"/>
          <w:color w:val="auto"/>
          <w:kern w:val="0"/>
          <w:sz w:val="24"/>
          <w:highlight w:val="none"/>
        </w:rPr>
        <w:t>在北京市政府采购网、中国政府采购网公告中标结果</w:t>
      </w:r>
      <w:r>
        <w:rPr>
          <w:rFonts w:hint="eastAsia" w:ascii="宋体" w:hAnsi="宋体" w:cs="宋体"/>
          <w:color w:val="auto"/>
          <w:sz w:val="24"/>
          <w:highlight w:val="none"/>
        </w:rPr>
        <w:t>，同时向中标人发出中标通知书，中标公告期限为1个工作日。</w:t>
      </w:r>
    </w:p>
    <w:p w14:paraId="099C915E">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中标通知书对采购人和中标供应商均具有法律效力。中标通知书发出后，采购人改变中标结果的，或者中标供应商放弃中标项目的，应当依法承担法律责任。</w:t>
      </w:r>
    </w:p>
    <w:p w14:paraId="0DA1159F">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废标</w:t>
      </w:r>
    </w:p>
    <w:p w14:paraId="2F1DB13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在招标采购中，出现下列情形之一的，应予废标：</w:t>
      </w:r>
    </w:p>
    <w:p w14:paraId="379E0402">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符合专业条件的供应商或者对招标文件作实质响应的供应商不足三家的；</w:t>
      </w:r>
    </w:p>
    <w:p w14:paraId="46C42DDD">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出现影响采购公正的违法、违规行为的；</w:t>
      </w:r>
    </w:p>
    <w:p w14:paraId="6B74F850">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投标人的报价均超过了采购预算，采购人不能支付的；</w:t>
      </w:r>
    </w:p>
    <w:p w14:paraId="1BEDC881">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因重大变故，采购任务取消的。</w:t>
      </w:r>
    </w:p>
    <w:p w14:paraId="5A9E6CE6">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废标后，采购人将废标理由通知所有投标人。</w:t>
      </w:r>
    </w:p>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14:paraId="01DA0860">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bookmarkStart w:id="679" w:name="_Toc127161464"/>
      <w:bookmarkStart w:id="680" w:name="_Toc150480788"/>
      <w:bookmarkStart w:id="681" w:name="_Toc226309794"/>
      <w:bookmarkStart w:id="682" w:name="_Toc195842915"/>
      <w:bookmarkStart w:id="683" w:name="_Toc164229391"/>
      <w:bookmarkStart w:id="684" w:name="_Toc127151751"/>
      <w:bookmarkStart w:id="685" w:name="_Ref467306978"/>
      <w:bookmarkStart w:id="686" w:name="_Toc151193938"/>
      <w:bookmarkStart w:id="687" w:name="_Ref467307204"/>
      <w:bookmarkStart w:id="688" w:name="_Toc305158892"/>
      <w:bookmarkStart w:id="689" w:name="_Toc264969240"/>
      <w:bookmarkStart w:id="690" w:name="_Toc151190177"/>
      <w:bookmarkStart w:id="691" w:name="_Toc150509301"/>
      <w:bookmarkStart w:id="692" w:name="_Toc151193720"/>
      <w:bookmarkStart w:id="693" w:name="_Ref467306377"/>
      <w:bookmarkStart w:id="694" w:name="_Toc151193792"/>
      <w:bookmarkStart w:id="695" w:name="_Toc150774650"/>
      <w:bookmarkStart w:id="696" w:name="_Toc226337246"/>
      <w:bookmarkStart w:id="697" w:name="_Ref467307062"/>
      <w:bookmarkStart w:id="698" w:name="_Toc164608664"/>
      <w:bookmarkStart w:id="699" w:name="_Toc226965823"/>
      <w:bookmarkStart w:id="700" w:name="_Toc149720843"/>
      <w:bookmarkStart w:id="701" w:name="_Toc164608819"/>
      <w:bookmarkStart w:id="702" w:name="_Toc127151550"/>
      <w:bookmarkStart w:id="703" w:name="_Toc164229245"/>
      <w:bookmarkStart w:id="704" w:name="_Toc265228388"/>
      <w:bookmarkStart w:id="705" w:name="_Toc305158818"/>
      <w:bookmarkStart w:id="706" w:name="_Toc164351644"/>
      <w:bookmarkStart w:id="707" w:name="_Toc151193648"/>
      <w:bookmarkStart w:id="708" w:name="_Toc142311052"/>
      <w:bookmarkStart w:id="709" w:name="_Toc520356175"/>
      <w:bookmarkStart w:id="710" w:name="_Toc150774755"/>
      <w:bookmarkStart w:id="711" w:name="_Toc151193864"/>
      <w:bookmarkStart w:id="712" w:name="_Toc226965740"/>
      <w:r>
        <w:rPr>
          <w:rFonts w:hint="eastAsia" w:ascii="宋体" w:hAnsi="宋体" w:cs="宋体"/>
          <w:color w:val="auto"/>
          <w:sz w:val="24"/>
          <w:highlight w:val="none"/>
        </w:rPr>
        <w:t>签订合同</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2DC118A7">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中标人、采购人应当自中标通知书发出之日起30日内，按照招标文件和中标人投标文件的规定签订书面合同。所签订的合同不得对招标文件确定的事项和中标人投标文件作实质性修改。</w:t>
      </w:r>
    </w:p>
    <w:p w14:paraId="21B91AD1">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中标人拒绝与采购人签订合同的，采购人可以按照评标报告推荐的中标候选人名单排序，确定下一候选人为中标人，也可以重新开展政府采购活动。</w:t>
      </w:r>
    </w:p>
    <w:p w14:paraId="77E2D829">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联合体中标的，联合体各方应当共同与采购人签订合同，就中标项目向采购人承担连带责任。</w:t>
      </w:r>
    </w:p>
    <w:p w14:paraId="6F5AD4BC">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政府采购合同不能转包。</w:t>
      </w:r>
    </w:p>
    <w:p w14:paraId="1D5595F5">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auto"/>
          <w:sz w:val="24"/>
          <w:highlight w:val="none"/>
        </w:rPr>
        <w:t>，</w:t>
      </w:r>
      <w:r>
        <w:rPr>
          <w:rFonts w:hint="eastAsia" w:ascii="宋体" w:hAnsi="宋体" w:cs="宋体"/>
          <w:color w:val="auto"/>
          <w:sz w:val="24"/>
          <w:highlight w:val="none"/>
        </w:rPr>
        <w:t>否则</w:t>
      </w:r>
      <w:r>
        <w:rPr>
          <w:rFonts w:hint="eastAsia" w:ascii="宋体" w:hAnsi="宋体" w:cs="宋体"/>
          <w:b/>
          <w:color w:val="auto"/>
          <w:sz w:val="24"/>
          <w:highlight w:val="none"/>
        </w:rPr>
        <w:t>投标无效</w:t>
      </w:r>
      <w:r>
        <w:rPr>
          <w:rFonts w:hint="eastAsia" w:ascii="宋体" w:hAnsi="宋体" w:cs="宋体"/>
          <w:color w:val="auto"/>
          <w:sz w:val="24"/>
          <w:highlight w:val="none"/>
        </w:rPr>
        <w:t>。中标人就采购项目和分包项目向采购人负责，分包供应商就分包项目承担责任。</w:t>
      </w:r>
    </w:p>
    <w:p w14:paraId="00A8B2FA">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“政采贷”融资指引：详见《投标人须知资料表》。</w:t>
      </w:r>
    </w:p>
    <w:bookmarkEnd w:id="676"/>
    <w:bookmarkEnd w:id="677"/>
    <w:bookmarkEnd w:id="678"/>
    <w:p w14:paraId="0447BC14">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询问与质疑</w:t>
      </w:r>
    </w:p>
    <w:p w14:paraId="74F5A43F">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询问</w:t>
      </w:r>
    </w:p>
    <w:p w14:paraId="61BB9735">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投标人对政府采购活动事项有疑问的，可依法向采购人或采购代理机构提出询问，提出形式见《投标人须知资料表》</w:t>
      </w:r>
    </w:p>
    <w:p w14:paraId="0003DF6E">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采购人或采购代理机构对供应商依法提出的询问，在3个工作日内作出答复，但答复的内容不得涉及商业秘密。</w:t>
      </w:r>
    </w:p>
    <w:p w14:paraId="29BF2648">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质疑</w:t>
      </w:r>
    </w:p>
    <w:p w14:paraId="60CFD51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64165E2F">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质疑函须使用财政部制定的范本文件。投标人为自然人的，质疑函应当由本人签字；投标人为法人或者其他组织的，质疑函应当由法定代表人、主要负责人，或者其授权代表签字或者盖章，并加盖公章。</w:t>
      </w:r>
    </w:p>
    <w:p w14:paraId="5C4586F4">
      <w:pPr>
        <w:numPr>
          <w:ilvl w:val="2"/>
          <w:numId w:val="9"/>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C602C17">
      <w:pPr>
        <w:numPr>
          <w:ilvl w:val="2"/>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投标人应在法定质疑期内一次性提出针对同一采购程序环节的质疑，法定质疑期内针对同一采购程序环节再次提出的质疑，采购人、采购代理机构有权不予答复。</w:t>
      </w:r>
    </w:p>
    <w:p w14:paraId="38EF5073">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接收询问和质疑的联系部门、联系电话和通讯地址见《投标人须知资料表》。</w:t>
      </w:r>
    </w:p>
    <w:p w14:paraId="3EC8BB53">
      <w:pPr>
        <w:numPr>
          <w:ilvl w:val="0"/>
          <w:numId w:val="9"/>
        </w:numPr>
        <w:tabs>
          <w:tab w:val="left" w:pos="360"/>
        </w:tabs>
        <w:snapToGrid w:val="0"/>
        <w:spacing w:line="360" w:lineRule="auto"/>
        <w:ind w:left="357" w:hanging="357"/>
        <w:outlineLvl w:val="1"/>
        <w:rPr>
          <w:rFonts w:ascii="宋体" w:hAnsi="宋体" w:cs="宋体"/>
          <w:color w:val="auto"/>
          <w:sz w:val="24"/>
          <w:highlight w:val="none"/>
        </w:rPr>
      </w:pPr>
      <w:r>
        <w:rPr>
          <w:rFonts w:hint="eastAsia" w:ascii="宋体" w:hAnsi="宋体" w:cs="宋体"/>
          <w:color w:val="auto"/>
          <w:sz w:val="24"/>
          <w:highlight w:val="none"/>
        </w:rPr>
        <w:t>代理费</w:t>
      </w:r>
    </w:p>
    <w:p w14:paraId="33382552">
      <w:pPr>
        <w:numPr>
          <w:ilvl w:val="1"/>
          <w:numId w:val="9"/>
        </w:numPr>
        <w:tabs>
          <w:tab w:val="left" w:pos="1080"/>
          <w:tab w:val="left" w:pos="2014"/>
        </w:tabs>
        <w:snapToGrid w:val="0"/>
        <w:spacing w:line="360" w:lineRule="auto"/>
        <w:ind w:left="1350" w:hanging="720"/>
        <w:rPr>
          <w:rFonts w:ascii="宋体" w:hAnsi="宋体" w:cs="宋体"/>
          <w:color w:val="auto"/>
          <w:sz w:val="24"/>
          <w:highlight w:val="none"/>
        </w:rPr>
      </w:pPr>
      <w:r>
        <w:rPr>
          <w:rFonts w:hint="eastAsia" w:ascii="宋体" w:hAnsi="宋体" w:cs="宋体"/>
          <w:color w:val="auto"/>
          <w:sz w:val="24"/>
          <w:highlight w:val="none"/>
        </w:rPr>
        <w:t>收费对象、收费标准及缴纳时间见《投标人须知资料表》。由中标人支付的，中标人须一次性向采购代理机构缴纳代理费，投标报价应包含代理费用。</w:t>
      </w:r>
    </w:p>
    <w:p w14:paraId="0935D319">
      <w:pPr>
        <w:numPr>
          <w:ilvl w:val="0"/>
          <w:numId w:val="0"/>
        </w:numPr>
        <w:tabs>
          <w:tab w:val="left" w:pos="1080"/>
          <w:tab w:val="left" w:pos="2014"/>
        </w:tabs>
        <w:snapToGrid w:val="0"/>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28其他要求</w:t>
      </w:r>
      <w:r>
        <w:rPr>
          <w:rFonts w:hint="eastAsia" w:ascii="宋体" w:hAnsi="宋体" w:cs="宋体"/>
          <w:color w:val="auto"/>
          <w:sz w:val="24"/>
          <w:highlight w:val="none"/>
          <w:lang w:val="en-US" w:eastAsia="zh-CN"/>
        </w:rPr>
        <w:tab/>
      </w:r>
    </w:p>
    <w:p w14:paraId="2248EE0C">
      <w:pPr>
        <w:numPr>
          <w:ilvl w:val="0"/>
          <w:numId w:val="0"/>
        </w:numPr>
        <w:tabs>
          <w:tab w:val="left" w:pos="1080"/>
          <w:tab w:val="left" w:pos="2014"/>
        </w:tabs>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28.1   中标人在领取中标通知书的当日，需提供纸质版投标文件2份。（纸质版响应文件必须与上传电子交易平台的电子文件内容保持一致，可以是上传版电子文件的打印件或复印件）</w:t>
      </w:r>
    </w:p>
    <w:p w14:paraId="56DF5271">
      <w:pPr>
        <w:tabs>
          <w:tab w:val="left" w:pos="1080"/>
          <w:tab w:val="left" w:pos="2014"/>
        </w:tabs>
        <w:snapToGrid w:val="0"/>
        <w:spacing w:line="360" w:lineRule="auto"/>
        <w:ind w:left="630"/>
        <w:rPr>
          <w:color w:val="auto"/>
          <w:sz w:val="24"/>
          <w:highlight w:val="none"/>
        </w:rPr>
      </w:pPr>
    </w:p>
    <w:p w14:paraId="3974B1C7">
      <w:pPr>
        <w:tabs>
          <w:tab w:val="left" w:pos="900"/>
          <w:tab w:val="left" w:pos="1080"/>
          <w:tab w:val="left" w:pos="1589"/>
        </w:tabs>
        <w:snapToGrid w:val="0"/>
        <w:spacing w:line="360" w:lineRule="auto"/>
        <w:rPr>
          <w:color w:val="auto"/>
          <w:sz w:val="24"/>
          <w:highlight w:val="none"/>
        </w:rPr>
      </w:pPr>
    </w:p>
    <w:p w14:paraId="31718D3A">
      <w:pPr>
        <w:tabs>
          <w:tab w:val="left" w:pos="360"/>
          <w:tab w:val="left" w:pos="1080"/>
        </w:tabs>
        <w:snapToGrid w:val="0"/>
        <w:spacing w:line="360" w:lineRule="auto"/>
        <w:ind w:left="360"/>
        <w:rPr>
          <w:color w:val="auto"/>
          <w:sz w:val="24"/>
          <w:highlight w:val="none"/>
        </w:rPr>
      </w:pPr>
    </w:p>
    <w:p w14:paraId="02760B01">
      <w:pPr>
        <w:spacing w:line="360" w:lineRule="auto"/>
        <w:jc w:val="center"/>
        <w:outlineLvl w:val="0"/>
        <w:rPr>
          <w:b/>
          <w:color w:val="auto"/>
          <w:sz w:val="36"/>
          <w:szCs w:val="36"/>
          <w:highlight w:val="none"/>
        </w:rPr>
      </w:pPr>
      <w:bookmarkStart w:id="713" w:name="_Toc353873664"/>
      <w:bookmarkStart w:id="714" w:name="_Toc353873934"/>
      <w:bookmarkStart w:id="715" w:name="_Toc353825544"/>
      <w:bookmarkStart w:id="716" w:name="_Toc142311056"/>
      <w:bookmarkStart w:id="717" w:name="_Toc265228392"/>
      <w:bookmarkStart w:id="718" w:name="_Toc150480792"/>
      <w:bookmarkStart w:id="719" w:name="_Toc226965827"/>
      <w:bookmarkStart w:id="720" w:name="_Toc150774759"/>
      <w:bookmarkStart w:id="721" w:name="_Toc305158896"/>
      <w:bookmarkStart w:id="722" w:name="_Toc305158822"/>
      <w:bookmarkStart w:id="723" w:name="_Toc226337250"/>
      <w:bookmarkStart w:id="724" w:name="_Toc127151554"/>
      <w:bookmarkStart w:id="725" w:name="_Toc264969244"/>
      <w:r>
        <w:rPr>
          <w:color w:val="auto"/>
          <w:sz w:val="24"/>
          <w:highlight w:val="none"/>
        </w:rPr>
        <w:br w:type="page"/>
      </w:r>
      <w:bookmarkStart w:id="726" w:name="_Toc24397"/>
      <w:r>
        <w:rPr>
          <w:b/>
          <w:color w:val="auto"/>
          <w:sz w:val="36"/>
          <w:szCs w:val="36"/>
          <w:highlight w:val="none"/>
        </w:rPr>
        <w:t xml:space="preserve">第三章   </w:t>
      </w:r>
      <w:bookmarkEnd w:id="713"/>
      <w:bookmarkEnd w:id="714"/>
      <w:bookmarkEnd w:id="715"/>
      <w:bookmarkEnd w:id="716"/>
      <w:bookmarkEnd w:id="717"/>
      <w:bookmarkEnd w:id="718"/>
      <w:bookmarkEnd w:id="719"/>
      <w:bookmarkEnd w:id="720"/>
      <w:bookmarkEnd w:id="721"/>
      <w:bookmarkEnd w:id="722"/>
      <w:bookmarkEnd w:id="723"/>
      <w:bookmarkEnd w:id="724"/>
      <w:bookmarkEnd w:id="725"/>
      <w:r>
        <w:rPr>
          <w:b/>
          <w:color w:val="auto"/>
          <w:sz w:val="36"/>
          <w:szCs w:val="36"/>
          <w:highlight w:val="none"/>
        </w:rPr>
        <w:t>资格审查</w:t>
      </w:r>
      <w:bookmarkEnd w:id="726"/>
      <w:bookmarkStart w:id="727" w:name="_Toc487900382"/>
    </w:p>
    <w:p w14:paraId="052A358C">
      <w:pPr>
        <w:tabs>
          <w:tab w:val="left" w:pos="360"/>
          <w:tab w:val="left" w:pos="900"/>
        </w:tabs>
        <w:snapToGrid w:val="0"/>
        <w:spacing w:line="360" w:lineRule="auto"/>
        <w:jc w:val="center"/>
        <w:outlineLvl w:val="1"/>
        <w:rPr>
          <w:b/>
          <w:color w:val="auto"/>
          <w:sz w:val="24"/>
          <w:highlight w:val="none"/>
        </w:rPr>
      </w:pPr>
      <w:bookmarkStart w:id="728" w:name="_Toc99301422"/>
      <w:r>
        <w:rPr>
          <w:b/>
          <w:color w:val="auto"/>
          <w:sz w:val="24"/>
          <w:highlight w:val="none"/>
        </w:rPr>
        <w:t>一、资格审查程序</w:t>
      </w:r>
      <w:bookmarkEnd w:id="728"/>
    </w:p>
    <w:p w14:paraId="4E6887A2">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开标结束后，采购人或采购代理机构将根据《资格审查要求》中的规定，对投标人进行资格审查，并形成资格审查结果。</w:t>
      </w:r>
    </w:p>
    <w:p w14:paraId="688C5A70">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《资格审查要求》中对格式有要求的，除招标文件另有规定外，均为“实质性格式”文件。</w:t>
      </w:r>
    </w:p>
    <w:p w14:paraId="012D5C4F">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投标人《资格证明文件》有任何一项不符合《资格审查要求》的，资格审查不合格，其</w:t>
      </w:r>
      <w:r>
        <w:rPr>
          <w:b/>
          <w:color w:val="auto"/>
          <w:sz w:val="24"/>
          <w:highlight w:val="none"/>
        </w:rPr>
        <w:t>投标无效</w:t>
      </w:r>
      <w:r>
        <w:rPr>
          <w:color w:val="auto"/>
          <w:sz w:val="24"/>
          <w:highlight w:val="none"/>
        </w:rPr>
        <w:t>。</w:t>
      </w:r>
    </w:p>
    <w:p w14:paraId="113428CA">
      <w:pPr>
        <w:numPr>
          <w:ilvl w:val="0"/>
          <w:numId w:val="11"/>
        </w:numPr>
        <w:tabs>
          <w:tab w:val="left" w:pos="426"/>
          <w:tab w:val="left" w:pos="851"/>
          <w:tab w:val="clear" w:pos="900"/>
        </w:tabs>
        <w:snapToGrid w:val="0"/>
        <w:spacing w:line="360" w:lineRule="auto"/>
        <w:ind w:left="426" w:hanging="426"/>
        <w:outlineLvl w:val="1"/>
        <w:rPr>
          <w:color w:val="auto"/>
          <w:sz w:val="24"/>
          <w:highlight w:val="none"/>
        </w:rPr>
      </w:pPr>
      <w:r>
        <w:rPr>
          <w:color w:val="auto"/>
          <w:sz w:val="24"/>
          <w:highlight w:val="none"/>
        </w:rPr>
        <w:t>资格审查合格的投标人不足3家的，不进行评标。</w:t>
      </w:r>
    </w:p>
    <w:p w14:paraId="2DED44A8">
      <w:pPr>
        <w:widowControl/>
        <w:jc w:val="left"/>
        <w:rPr>
          <w:color w:val="auto"/>
          <w:sz w:val="24"/>
          <w:highlight w:val="none"/>
        </w:rPr>
      </w:pPr>
    </w:p>
    <w:p w14:paraId="594FB222">
      <w:pPr>
        <w:tabs>
          <w:tab w:val="left" w:pos="360"/>
          <w:tab w:val="left" w:pos="900"/>
        </w:tabs>
        <w:snapToGrid w:val="0"/>
        <w:spacing w:line="360" w:lineRule="auto"/>
        <w:jc w:val="center"/>
        <w:outlineLvl w:val="1"/>
        <w:rPr>
          <w:b/>
          <w:color w:val="auto"/>
          <w:sz w:val="24"/>
          <w:highlight w:val="none"/>
        </w:rPr>
      </w:pPr>
      <w:r>
        <w:rPr>
          <w:b/>
          <w:color w:val="auto"/>
          <w:sz w:val="24"/>
          <w:highlight w:val="none"/>
        </w:rPr>
        <w:t>二、资格审查要求</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27"/>
    <w:tbl>
      <w:tblPr>
        <w:tblStyle w:val="46"/>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5"/>
        <w:gridCol w:w="1982"/>
        <w:gridCol w:w="4822"/>
        <w:gridCol w:w="1639"/>
      </w:tblGrid>
      <w:tr w14:paraId="4A941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45" w:type="dxa"/>
            <w:vAlign w:val="center"/>
          </w:tcPr>
          <w:p w14:paraId="4F245D50">
            <w:pPr>
              <w:tabs>
                <w:tab w:val="left" w:pos="1080"/>
              </w:tabs>
              <w:snapToGrid w:val="0"/>
              <w:jc w:val="center"/>
              <w:rPr>
                <w:rFonts w:ascii="Times New Roman" w:hAnsi="Times New Roman" w:eastAsia="宋体" w:cs="Times New Roman"/>
                <w:b/>
                <w:color w:val="auto"/>
                <w:sz w:val="24"/>
                <w:highlight w:val="none"/>
              </w:rPr>
            </w:pPr>
            <w:bookmarkStart w:id="729" w:name="_Hlt487972895"/>
            <w:bookmarkEnd w:id="729"/>
            <w:bookmarkStart w:id="730" w:name="_Hlk143693460"/>
            <w:bookmarkStart w:id="731" w:name="_Toc353873940"/>
            <w:bookmarkStart w:id="732" w:name="_Toc127151779"/>
            <w:bookmarkStart w:id="733" w:name="_Toc226965858"/>
            <w:bookmarkStart w:id="734" w:name="_Toc353825550"/>
            <w:bookmarkStart w:id="735" w:name="_Toc127161490"/>
            <w:r>
              <w:rPr>
                <w:rFonts w:ascii="Times New Roman" w:hAnsi="Times New Roman" w:eastAsia="宋体" w:cs="Times New Roman"/>
                <w:b/>
                <w:color w:val="auto"/>
                <w:sz w:val="24"/>
                <w:highlight w:val="none"/>
              </w:rPr>
              <w:t>序号</w:t>
            </w:r>
          </w:p>
        </w:tc>
        <w:tc>
          <w:tcPr>
            <w:tcW w:w="1982" w:type="dxa"/>
            <w:vAlign w:val="center"/>
          </w:tcPr>
          <w:p w14:paraId="668453D0">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审查因素</w:t>
            </w:r>
          </w:p>
        </w:tc>
        <w:tc>
          <w:tcPr>
            <w:tcW w:w="4822" w:type="dxa"/>
            <w:vAlign w:val="center"/>
          </w:tcPr>
          <w:p w14:paraId="08B8A186">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审查内容</w:t>
            </w:r>
          </w:p>
        </w:tc>
        <w:tc>
          <w:tcPr>
            <w:tcW w:w="1639" w:type="dxa"/>
            <w:vAlign w:val="center"/>
          </w:tcPr>
          <w:p w14:paraId="28779AA3">
            <w:pPr>
              <w:tabs>
                <w:tab w:val="left" w:pos="1080"/>
              </w:tabs>
              <w:snapToGrid w:val="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格式要求</w:t>
            </w:r>
          </w:p>
        </w:tc>
      </w:tr>
      <w:tr w14:paraId="00DE9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57FDAF0">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w:t>
            </w:r>
          </w:p>
        </w:tc>
        <w:tc>
          <w:tcPr>
            <w:tcW w:w="1982" w:type="dxa"/>
            <w:vAlign w:val="center"/>
          </w:tcPr>
          <w:p w14:paraId="20755549">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满足《中华人民共和国政府采购法》第二十二条规定</w:t>
            </w:r>
          </w:p>
        </w:tc>
        <w:tc>
          <w:tcPr>
            <w:tcW w:w="4822" w:type="dxa"/>
            <w:vAlign w:val="center"/>
          </w:tcPr>
          <w:p w14:paraId="31EAA0F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具体规定见第一章《投标邀请》</w:t>
            </w:r>
          </w:p>
        </w:tc>
        <w:tc>
          <w:tcPr>
            <w:tcW w:w="1639" w:type="dxa"/>
            <w:vAlign w:val="center"/>
          </w:tcPr>
          <w:p w14:paraId="275540F0">
            <w:pPr>
              <w:tabs>
                <w:tab w:val="left" w:pos="1080"/>
              </w:tabs>
              <w:snapToGrid w:val="0"/>
              <w:rPr>
                <w:rFonts w:ascii="Times New Roman" w:hAnsi="Times New Roman" w:eastAsia="宋体" w:cs="Times New Roman"/>
                <w:color w:val="auto"/>
                <w:sz w:val="24"/>
                <w:highlight w:val="none"/>
              </w:rPr>
            </w:pPr>
          </w:p>
        </w:tc>
      </w:tr>
      <w:tr w14:paraId="49FDF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93451F6">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1-1</w:t>
            </w:r>
          </w:p>
        </w:tc>
        <w:tc>
          <w:tcPr>
            <w:tcW w:w="1982" w:type="dxa"/>
            <w:vAlign w:val="center"/>
          </w:tcPr>
          <w:p w14:paraId="0BB170E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营业执照等证明文件</w:t>
            </w:r>
          </w:p>
        </w:tc>
        <w:tc>
          <w:tcPr>
            <w:tcW w:w="4822" w:type="dxa"/>
            <w:vAlign w:val="center"/>
          </w:tcPr>
          <w:p w14:paraId="0EADEE61">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投标人为企业（包括合伙企业）的，应提供有效的“营业执照”；</w:t>
            </w:r>
          </w:p>
          <w:p w14:paraId="42555E9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投标人为事业单位的，应提供有效的“事业单位法人证书”；</w:t>
            </w:r>
          </w:p>
          <w:p w14:paraId="50722F3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投标人是非企业机构的，应提供有效的“执业许可证”、“登记证书”等证明文件；</w:t>
            </w:r>
          </w:p>
          <w:p w14:paraId="51FB523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投标人是个体工商户的，应提供有效的“个体工商户营业执照”；</w:t>
            </w:r>
          </w:p>
          <w:p w14:paraId="7EAECCF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投标人是自然人的，应提供有效的自然人身份证明。</w:t>
            </w:r>
          </w:p>
          <w:p w14:paraId="0372926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分支机构参加投标的，应提供该分支机构或其所属法人</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其他组织的相应证明文件；同时还应提供其所属法人/其他组织出具的授权其参与本项目的授权书（格式自拟，须加盖其所属法人/其他组织的公章）；对于</w:t>
            </w:r>
            <w:r>
              <w:rPr>
                <w:rFonts w:ascii="Times New Roman" w:hAnsi="Times New Roman" w:eastAsia="宋体" w:cs="Times New Roman"/>
                <w:iCs/>
                <w:color w:val="auto"/>
                <w:sz w:val="24"/>
                <w:highlight w:val="none"/>
              </w:rPr>
              <w:t>银行、保险、石油石化、电力、电信等行业的分支机构，可以提供上述</w:t>
            </w:r>
            <w:r>
              <w:rPr>
                <w:rFonts w:ascii="Times New Roman" w:hAnsi="Times New Roman" w:eastAsia="宋体" w:cs="Times New Roman"/>
                <w:color w:val="auto"/>
                <w:sz w:val="24"/>
                <w:highlight w:val="none"/>
              </w:rPr>
              <w:t>授权，也可以提供其所属法人/其他组织的有关文件或制度等能够证明授权其独立开展业务的证明材料。</w:t>
            </w:r>
          </w:p>
        </w:tc>
        <w:tc>
          <w:tcPr>
            <w:tcW w:w="1639" w:type="dxa"/>
            <w:vAlign w:val="center"/>
          </w:tcPr>
          <w:p w14:paraId="2B16AB0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提供证明文件的电子件或电子证照</w:t>
            </w:r>
          </w:p>
        </w:tc>
      </w:tr>
      <w:tr w14:paraId="1D78A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36462EDF">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1-2</w:t>
            </w:r>
          </w:p>
        </w:tc>
        <w:tc>
          <w:tcPr>
            <w:tcW w:w="1982" w:type="dxa"/>
            <w:vAlign w:val="center"/>
          </w:tcPr>
          <w:p w14:paraId="3C57AC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投标人资格声明书</w:t>
            </w:r>
          </w:p>
        </w:tc>
        <w:tc>
          <w:tcPr>
            <w:tcW w:w="4822" w:type="dxa"/>
            <w:vAlign w:val="center"/>
          </w:tcPr>
          <w:p w14:paraId="4B93148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提供了符合招标文件要求的《投标人资格声明书》。</w:t>
            </w:r>
          </w:p>
        </w:tc>
        <w:tc>
          <w:tcPr>
            <w:tcW w:w="1639" w:type="dxa"/>
            <w:vAlign w:val="center"/>
          </w:tcPr>
          <w:p w14:paraId="43B09A0F">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格式见《投标文件格式》</w:t>
            </w:r>
          </w:p>
        </w:tc>
      </w:tr>
      <w:tr w14:paraId="1640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053" w:hRule="atLeast"/>
        </w:trPr>
        <w:tc>
          <w:tcPr>
            <w:tcW w:w="845" w:type="dxa"/>
            <w:vAlign w:val="center"/>
          </w:tcPr>
          <w:p w14:paraId="67335C0B">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1-3</w:t>
            </w:r>
          </w:p>
        </w:tc>
        <w:tc>
          <w:tcPr>
            <w:tcW w:w="1982" w:type="dxa"/>
            <w:vAlign w:val="center"/>
          </w:tcPr>
          <w:p w14:paraId="631A781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投标人信用记录</w:t>
            </w:r>
          </w:p>
        </w:tc>
        <w:tc>
          <w:tcPr>
            <w:tcW w:w="4822" w:type="dxa"/>
            <w:vAlign w:val="center"/>
          </w:tcPr>
          <w:p w14:paraId="5205C0E3">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查询渠道：信用中国网站和中国政府采购网（</w:t>
            </w:r>
            <w:r>
              <w:rPr>
                <w:rFonts w:ascii="Times New Roman" w:hAnsi="Times New Roman" w:eastAsia="宋体" w:cs="Times New Roman"/>
                <w:color w:val="auto"/>
                <w:highlight w:val="none"/>
              </w:rPr>
              <w:t>www.creditchina.gov.cn</w:t>
            </w:r>
            <w:r>
              <w:rPr>
                <w:rFonts w:ascii="Times New Roman" w:hAnsi="Times New Roman" w:eastAsia="宋体" w:cs="Times New Roman"/>
                <w:color w:val="auto"/>
                <w:sz w:val="24"/>
                <w:highlight w:val="none"/>
              </w:rPr>
              <w:t>、</w:t>
            </w:r>
            <w:r>
              <w:rPr>
                <w:rFonts w:ascii="Times New Roman" w:hAnsi="Times New Roman" w:eastAsia="宋体" w:cs="Times New Roman"/>
                <w:color w:val="auto"/>
                <w:highlight w:val="none"/>
              </w:rPr>
              <w:t>www.ccgp.gov.cn</w:t>
            </w:r>
            <w:r>
              <w:rPr>
                <w:rFonts w:ascii="Times New Roman" w:hAnsi="Times New Roman" w:eastAsia="宋体" w:cs="Times New Roman"/>
                <w:color w:val="auto"/>
                <w:sz w:val="24"/>
                <w:highlight w:val="none"/>
              </w:rPr>
              <w:t>）；</w:t>
            </w:r>
          </w:p>
          <w:p w14:paraId="6414A634">
            <w:pPr>
              <w:tabs>
                <w:tab w:val="left" w:pos="900"/>
                <w:tab w:val="left" w:pos="19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截止时点：投标截止时间以后、资格审查阶段采购人或采购代理机构的实际查询时间；</w:t>
            </w:r>
          </w:p>
          <w:p w14:paraId="7E985E09">
            <w:pPr>
              <w:tabs>
                <w:tab w:val="left" w:pos="900"/>
                <w:tab w:val="left" w:pos="19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信用信息查询记录和证据留存具体方式：查询结果网页打印页作为查询记录和证据，与其他采购文件一并保存；</w:t>
            </w:r>
          </w:p>
          <w:p w14:paraId="1DC6557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信用信息的使用原则：经认定的被列入失信被执行人、重大税收违法案件当事人名单、政府采购严重违法失信行为记录名单的投标人，其</w:t>
            </w:r>
            <w:r>
              <w:rPr>
                <w:rFonts w:ascii="Times New Roman" w:hAnsi="Times New Roman" w:eastAsia="宋体" w:cs="Times New Roman"/>
                <w:b/>
                <w:color w:val="auto"/>
                <w:sz w:val="24"/>
                <w:highlight w:val="none"/>
              </w:rPr>
              <w:t>投标无效</w:t>
            </w:r>
            <w:r>
              <w:rPr>
                <w:rFonts w:ascii="Times New Roman" w:hAnsi="Times New Roman" w:eastAsia="宋体" w:cs="Times New Roman"/>
                <w:color w:val="auto"/>
                <w:sz w:val="24"/>
                <w:highlight w:val="none"/>
              </w:rPr>
              <w:t>。联合体形式投标的，联合体成员存在不良信用记录，视同联合体存在不良信用记录。</w:t>
            </w:r>
          </w:p>
        </w:tc>
        <w:tc>
          <w:tcPr>
            <w:tcW w:w="1639" w:type="dxa"/>
            <w:vAlign w:val="center"/>
          </w:tcPr>
          <w:p w14:paraId="645674A5">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无须投标人提供，由采购人或采购代理机构查询。</w:t>
            </w:r>
          </w:p>
        </w:tc>
      </w:tr>
      <w:tr w14:paraId="267A1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1E374164">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1-4</w:t>
            </w:r>
          </w:p>
        </w:tc>
        <w:tc>
          <w:tcPr>
            <w:tcW w:w="1982" w:type="dxa"/>
            <w:vAlign w:val="center"/>
          </w:tcPr>
          <w:p w14:paraId="0CC01AD8">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法律、行政法规规定的其他条件</w:t>
            </w:r>
          </w:p>
        </w:tc>
        <w:tc>
          <w:tcPr>
            <w:tcW w:w="4822" w:type="dxa"/>
            <w:vAlign w:val="center"/>
          </w:tcPr>
          <w:p w14:paraId="58A9C385">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法律、行政法规规定的其他条件</w:t>
            </w:r>
          </w:p>
        </w:tc>
        <w:tc>
          <w:tcPr>
            <w:tcW w:w="1639" w:type="dxa"/>
            <w:vAlign w:val="center"/>
          </w:tcPr>
          <w:p w14:paraId="522DA839">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w:t>
            </w:r>
          </w:p>
        </w:tc>
      </w:tr>
      <w:tr w14:paraId="4FAC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0B075D66">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w:t>
            </w:r>
          </w:p>
        </w:tc>
        <w:tc>
          <w:tcPr>
            <w:tcW w:w="1982" w:type="dxa"/>
            <w:vAlign w:val="center"/>
          </w:tcPr>
          <w:p w14:paraId="5D54A16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落实政府采购政策需满足的资格要求</w:t>
            </w:r>
          </w:p>
        </w:tc>
        <w:tc>
          <w:tcPr>
            <w:tcW w:w="4822" w:type="dxa"/>
            <w:vAlign w:val="center"/>
          </w:tcPr>
          <w:p w14:paraId="17A8C692">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具体要求见第一章《投标邀请》</w:t>
            </w:r>
          </w:p>
        </w:tc>
        <w:tc>
          <w:tcPr>
            <w:tcW w:w="1639" w:type="dxa"/>
            <w:vAlign w:val="center"/>
          </w:tcPr>
          <w:p w14:paraId="1467EE50">
            <w:pPr>
              <w:tabs>
                <w:tab w:val="left" w:pos="1080"/>
              </w:tabs>
              <w:snapToGrid w:val="0"/>
              <w:rPr>
                <w:rFonts w:ascii="Times New Roman" w:hAnsi="Times New Roman" w:eastAsia="宋体" w:cs="Times New Roman"/>
                <w:color w:val="auto"/>
                <w:sz w:val="24"/>
                <w:highlight w:val="none"/>
              </w:rPr>
            </w:pPr>
          </w:p>
        </w:tc>
      </w:tr>
      <w:tr w14:paraId="506A1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shd w:val="clear" w:color="auto" w:fill="auto"/>
            <w:vAlign w:val="center"/>
          </w:tcPr>
          <w:p w14:paraId="0152AFEB">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2-1</w:t>
            </w:r>
          </w:p>
        </w:tc>
        <w:tc>
          <w:tcPr>
            <w:tcW w:w="1982" w:type="dxa"/>
            <w:shd w:val="clear" w:color="auto" w:fill="auto"/>
            <w:vAlign w:val="center"/>
          </w:tcPr>
          <w:p w14:paraId="7F13B5D6">
            <w:pPr>
              <w:tabs>
                <w:tab w:val="left" w:pos="1080"/>
              </w:tabs>
              <w:snapToGrid w:val="0"/>
              <w:rPr>
                <w:rFonts w:ascii="Times New Roman" w:hAnsi="Times New Roman" w:eastAsia="宋体" w:cs="Times New Roman"/>
                <w:color w:val="auto"/>
                <w:sz w:val="24"/>
                <w:highlight w:val="none"/>
              </w:rPr>
            </w:pPr>
            <w:r>
              <w:rPr>
                <w:rFonts w:ascii="宋体" w:hAnsi="宋体" w:eastAsia="宋体" w:cs="宋体"/>
                <w:sz w:val="24"/>
                <w:szCs w:val="24"/>
              </w:rPr>
              <w:t>中小企业政策证明文件</w:t>
            </w:r>
          </w:p>
        </w:tc>
        <w:tc>
          <w:tcPr>
            <w:tcW w:w="4822" w:type="dxa"/>
            <w:shd w:val="clear" w:color="auto" w:fill="auto"/>
            <w:vAlign w:val="center"/>
          </w:tcPr>
          <w:p w14:paraId="4619407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具体要求见第一章《投标邀请》</w:t>
            </w:r>
          </w:p>
        </w:tc>
        <w:tc>
          <w:tcPr>
            <w:tcW w:w="1639" w:type="dxa"/>
            <w:shd w:val="clear" w:color="auto" w:fill="auto"/>
            <w:vAlign w:val="center"/>
          </w:tcPr>
          <w:p w14:paraId="48B96D34">
            <w:pPr>
              <w:tabs>
                <w:tab w:val="left" w:pos="1080"/>
              </w:tabs>
              <w:snapToGrid w:val="0"/>
              <w:rPr>
                <w:rFonts w:ascii="Times New Roman" w:hAnsi="Times New Roman" w:eastAsia="宋体" w:cs="Times New Roman"/>
                <w:color w:val="auto"/>
                <w:sz w:val="24"/>
                <w:highlight w:val="none"/>
              </w:rPr>
            </w:pPr>
          </w:p>
        </w:tc>
      </w:tr>
      <w:tr w14:paraId="2FC99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shd w:val="clear" w:color="auto" w:fill="auto"/>
            <w:vAlign w:val="center"/>
          </w:tcPr>
          <w:p w14:paraId="00F4CAF0">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2-1-1</w:t>
            </w:r>
          </w:p>
        </w:tc>
        <w:tc>
          <w:tcPr>
            <w:tcW w:w="1982" w:type="dxa"/>
            <w:shd w:val="clear" w:color="auto" w:fill="auto"/>
            <w:vAlign w:val="center"/>
          </w:tcPr>
          <w:p w14:paraId="4CBB0B0E">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中小企业证明文件</w:t>
            </w:r>
          </w:p>
        </w:tc>
        <w:tc>
          <w:tcPr>
            <w:tcW w:w="4822" w:type="dxa"/>
            <w:shd w:val="clear" w:color="auto" w:fill="auto"/>
            <w:vAlign w:val="center"/>
          </w:tcPr>
          <w:p w14:paraId="643445F3">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当本项目（包）涉及预留份额专门面向中小企业采购，此时建议在《资格证明文件》中提供。</w:t>
            </w:r>
          </w:p>
          <w:p w14:paraId="09A5470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1、投标人单独投标的，应提供《中小企业声明函》或《残疾人福利性单位声明函》或由省级以上监狱管理局、戒毒管理局（含新疆生产建设兵团）出具的属于监狱企业的证明文件。</w:t>
            </w:r>
          </w:p>
          <w:p w14:paraId="697F7C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639" w:type="dxa"/>
            <w:shd w:val="clear" w:color="auto" w:fill="auto"/>
            <w:vAlign w:val="center"/>
          </w:tcPr>
          <w:p w14:paraId="422DFA74">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格式见《投标文件格式》</w:t>
            </w:r>
          </w:p>
        </w:tc>
      </w:tr>
      <w:tr w14:paraId="45B6A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7E4CC91D">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2-2</w:t>
            </w:r>
          </w:p>
        </w:tc>
        <w:tc>
          <w:tcPr>
            <w:tcW w:w="1982" w:type="dxa"/>
            <w:vAlign w:val="center"/>
          </w:tcPr>
          <w:p w14:paraId="3C55DB32">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其它落实政府采购政策的资格要求</w:t>
            </w:r>
          </w:p>
        </w:tc>
        <w:tc>
          <w:tcPr>
            <w:tcW w:w="4822" w:type="dxa"/>
            <w:vAlign w:val="center"/>
          </w:tcPr>
          <w:p w14:paraId="2532ECE9">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如有，见第一章《投标邀请》</w:t>
            </w:r>
          </w:p>
        </w:tc>
        <w:tc>
          <w:tcPr>
            <w:tcW w:w="1639" w:type="dxa"/>
            <w:vAlign w:val="center"/>
          </w:tcPr>
          <w:p w14:paraId="0E605347">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提供证明文件的电子件或电子证照</w:t>
            </w:r>
          </w:p>
        </w:tc>
      </w:tr>
      <w:tr w14:paraId="115E1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0" w:hRule="atLeast"/>
        </w:trPr>
        <w:tc>
          <w:tcPr>
            <w:tcW w:w="845" w:type="dxa"/>
            <w:vAlign w:val="center"/>
          </w:tcPr>
          <w:p w14:paraId="4A920698">
            <w:pPr>
              <w:tabs>
                <w:tab w:val="left" w:pos="1080"/>
              </w:tabs>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w:t>
            </w:r>
          </w:p>
        </w:tc>
        <w:tc>
          <w:tcPr>
            <w:tcW w:w="1982" w:type="dxa"/>
            <w:vAlign w:val="center"/>
          </w:tcPr>
          <w:p w14:paraId="5F18CCF8">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本项目的特定资格要求</w:t>
            </w:r>
          </w:p>
        </w:tc>
        <w:tc>
          <w:tcPr>
            <w:tcW w:w="4822" w:type="dxa"/>
            <w:vAlign w:val="center"/>
          </w:tcPr>
          <w:p w14:paraId="5611DF26">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如有，见第一章《投标邀请》</w:t>
            </w:r>
          </w:p>
        </w:tc>
        <w:tc>
          <w:tcPr>
            <w:tcW w:w="1639" w:type="dxa"/>
            <w:vAlign w:val="center"/>
          </w:tcPr>
          <w:p w14:paraId="61E2C323">
            <w:pPr>
              <w:tabs>
                <w:tab w:val="left" w:pos="1080"/>
              </w:tabs>
              <w:snapToGrid w:val="0"/>
              <w:rPr>
                <w:rFonts w:ascii="Times New Roman" w:hAnsi="Times New Roman" w:eastAsia="宋体" w:cs="Times New Roman"/>
                <w:color w:val="auto"/>
                <w:sz w:val="24"/>
                <w:highlight w:val="none"/>
              </w:rPr>
            </w:pPr>
          </w:p>
        </w:tc>
      </w:tr>
      <w:tr w14:paraId="1375D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45" w:type="dxa"/>
            <w:vAlign w:val="center"/>
          </w:tcPr>
          <w:p w14:paraId="7AE1ABEC">
            <w:pPr>
              <w:tabs>
                <w:tab w:val="left" w:pos="1080"/>
              </w:tabs>
              <w:snapToGrid w:val="0"/>
              <w:jc w:val="center"/>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1</w:t>
            </w:r>
          </w:p>
        </w:tc>
        <w:tc>
          <w:tcPr>
            <w:tcW w:w="1982" w:type="dxa"/>
            <w:vAlign w:val="center"/>
          </w:tcPr>
          <w:p w14:paraId="0670B6E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政府购买服务承接主体的要求</w:t>
            </w:r>
          </w:p>
        </w:tc>
        <w:tc>
          <w:tcPr>
            <w:tcW w:w="4822" w:type="dxa"/>
            <w:vAlign w:val="center"/>
          </w:tcPr>
          <w:p w14:paraId="77690BD0">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如本项目属于政府购买服务，投标人不属于公益一类事业单位、使用事业编制且由财政拨款保障的群团组织。</w:t>
            </w:r>
          </w:p>
        </w:tc>
        <w:tc>
          <w:tcPr>
            <w:tcW w:w="1639" w:type="dxa"/>
            <w:vAlign w:val="center"/>
          </w:tcPr>
          <w:p w14:paraId="566F209F">
            <w:pPr>
              <w:tabs>
                <w:tab w:val="left" w:pos="1080"/>
              </w:tabs>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格式见《投标文件格式》“1-2投标人资格声明书”</w:t>
            </w:r>
          </w:p>
        </w:tc>
      </w:tr>
      <w:tr w14:paraId="3524B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05" w:hRule="atLeast"/>
        </w:trPr>
        <w:tc>
          <w:tcPr>
            <w:tcW w:w="845" w:type="dxa"/>
            <w:vAlign w:val="center"/>
          </w:tcPr>
          <w:p w14:paraId="62D41BF4">
            <w:pPr>
              <w:tabs>
                <w:tab w:val="left" w:pos="1080"/>
              </w:tabs>
              <w:snapToGrid w:val="0"/>
              <w:jc w:val="center"/>
              <w:rPr>
                <w:rFonts w:hint="eastAsia" w:ascii="Times New Roman" w:hAnsi="Times New Roman" w:eastAsia="宋体" w:cs="Times New Roman"/>
                <w:color w:val="auto"/>
                <w:sz w:val="24"/>
                <w:highlight w:val="none"/>
                <w:lang w:eastAsia="zh-CN"/>
              </w:rPr>
            </w:pPr>
            <w:r>
              <w:rPr>
                <w:rFonts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2</w:t>
            </w:r>
          </w:p>
        </w:tc>
        <w:tc>
          <w:tcPr>
            <w:tcW w:w="1982" w:type="dxa"/>
            <w:vAlign w:val="center"/>
          </w:tcPr>
          <w:p w14:paraId="3463B4DC">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其他特定资格要求</w:t>
            </w:r>
          </w:p>
        </w:tc>
        <w:tc>
          <w:tcPr>
            <w:tcW w:w="4822" w:type="dxa"/>
            <w:vAlign w:val="center"/>
          </w:tcPr>
          <w:p w14:paraId="13162BF6">
            <w:pPr>
              <w:tabs>
                <w:tab w:val="left" w:pos="1080"/>
              </w:tabs>
              <w:snapToGrid w:val="0"/>
              <w:rPr>
                <w:rFonts w:hint="eastAsia" w:ascii="Times New Roman" w:hAnsi="Times New Roman" w:eastAsia="宋体" w:cs="Times New Roman"/>
                <w:color w:val="auto"/>
                <w:sz w:val="24"/>
                <w:highlight w:val="none"/>
                <w:lang w:eastAsia="zh-CN"/>
              </w:rPr>
            </w:pPr>
            <w:r>
              <w:rPr>
                <w:rFonts w:hint="eastAsia" w:ascii="宋体" w:cs="宋体"/>
                <w:color w:val="auto"/>
                <w:sz w:val="24"/>
                <w:szCs w:val="32"/>
                <w:highlight w:val="none"/>
              </w:rPr>
              <w:t>投标人如为经销商须提供《医疗器械经营许可证》所投产品提供医疗器械注册证；投标人如为生产厂家，须提供《医疗器械生产许可证》所投产品提供医疗器械注册证。</w:t>
            </w:r>
          </w:p>
        </w:tc>
        <w:tc>
          <w:tcPr>
            <w:tcW w:w="1639" w:type="dxa"/>
            <w:vAlign w:val="center"/>
          </w:tcPr>
          <w:p w14:paraId="7C9C1E6A">
            <w:pPr>
              <w:tabs>
                <w:tab w:val="left" w:pos="1080"/>
              </w:tabs>
              <w:snapToGrid w:val="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提供证明文件的电子件</w:t>
            </w:r>
          </w:p>
        </w:tc>
      </w:tr>
      <w:tr w14:paraId="55FB1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5" w:type="dxa"/>
            <w:vAlign w:val="center"/>
          </w:tcPr>
          <w:p w14:paraId="6C97A4F9">
            <w:pPr>
              <w:tabs>
                <w:tab w:val="left" w:pos="1080"/>
              </w:tabs>
              <w:snapToGrid w:val="0"/>
              <w:jc w:val="center"/>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w:t>
            </w:r>
          </w:p>
        </w:tc>
        <w:tc>
          <w:tcPr>
            <w:tcW w:w="1982" w:type="dxa"/>
            <w:vAlign w:val="center"/>
          </w:tcPr>
          <w:p w14:paraId="7F8DB89C">
            <w:pPr>
              <w:keepNext w:val="0"/>
              <w:keepLines w:val="0"/>
              <w:widowControl/>
              <w:suppressLineNumbers w:val="0"/>
              <w:jc w:val="left"/>
              <w:rPr>
                <w:rFonts w:ascii="Times New Roman" w:hAnsi="Times New Roman" w:eastAsia="宋体" w:cs="Times New Roman"/>
                <w:color w:val="auto"/>
                <w:sz w:val="24"/>
                <w:highlight w:val="none"/>
              </w:rPr>
            </w:pPr>
            <w:r>
              <w:rPr>
                <w:rFonts w:ascii="FZShuSong-Z01" w:hAnsi="FZShuSong-Z01" w:eastAsia="FZShuSong-Z01" w:cs="FZShuSong-Z01"/>
                <w:color w:val="auto"/>
                <w:kern w:val="0"/>
                <w:sz w:val="24"/>
                <w:szCs w:val="24"/>
                <w:highlight w:val="none"/>
                <w:lang w:val="en-US" w:eastAsia="zh-CN" w:bidi="ar"/>
              </w:rPr>
              <w:t>获取招标文件</w:t>
            </w:r>
          </w:p>
        </w:tc>
        <w:tc>
          <w:tcPr>
            <w:tcW w:w="4822" w:type="dxa"/>
            <w:vAlign w:val="center"/>
          </w:tcPr>
          <w:p w14:paraId="18777F07">
            <w:pPr>
              <w:keepNext w:val="0"/>
              <w:keepLines w:val="0"/>
              <w:widowControl/>
              <w:suppressLineNumbers w:val="0"/>
              <w:jc w:val="left"/>
              <w:rPr>
                <w:rFonts w:hint="eastAsia" w:ascii="宋体" w:cs="宋体"/>
                <w:color w:val="auto"/>
                <w:sz w:val="24"/>
                <w:szCs w:val="32"/>
                <w:highlight w:val="none"/>
              </w:rPr>
            </w:pPr>
            <w:r>
              <w:rPr>
                <w:rFonts w:ascii="FZShuSong-Z01" w:hAnsi="FZShuSong-Z01" w:eastAsia="FZShuSong-Z01" w:cs="FZShuSong-Z01"/>
                <w:color w:val="auto"/>
                <w:kern w:val="0"/>
                <w:sz w:val="24"/>
                <w:szCs w:val="24"/>
                <w:highlight w:val="none"/>
                <w:lang w:val="en-US" w:eastAsia="zh-CN" w:bidi="ar"/>
              </w:rPr>
              <w:t>在规定期限内通过北京市政府采购电子交易</w:t>
            </w:r>
            <w:r>
              <w:rPr>
                <w:rFonts w:hint="default" w:ascii="FZShuSong-Z01" w:hAnsi="FZShuSong-Z01" w:eastAsia="FZShuSong-Z01" w:cs="FZShuSong-Z01"/>
                <w:color w:val="auto"/>
                <w:kern w:val="0"/>
                <w:sz w:val="24"/>
                <w:szCs w:val="24"/>
                <w:highlight w:val="none"/>
                <w:lang w:val="en-US" w:eastAsia="zh-CN" w:bidi="ar"/>
              </w:rPr>
              <w:t>平台获取所参与包的招标文件。注：如本项目接受联合体，且供应商为联合体时，联合体中任一成员获取文件即视为满足要求。</w:t>
            </w:r>
          </w:p>
        </w:tc>
        <w:tc>
          <w:tcPr>
            <w:tcW w:w="1639" w:type="dxa"/>
            <w:vAlign w:val="center"/>
          </w:tcPr>
          <w:p w14:paraId="7E2F1978">
            <w:pPr>
              <w:tabs>
                <w:tab w:val="left" w:pos="1080"/>
              </w:tabs>
              <w:snapToGrid w:val="0"/>
              <w:rPr>
                <w:rFonts w:ascii="Times New Roman" w:hAnsi="Times New Roman" w:eastAsia="宋体" w:cs="Times New Roman"/>
                <w:color w:val="auto"/>
                <w:sz w:val="24"/>
                <w:highlight w:val="none"/>
              </w:rPr>
            </w:pPr>
          </w:p>
        </w:tc>
      </w:tr>
      <w:tr w14:paraId="5C16A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845" w:type="dxa"/>
            <w:vAlign w:val="center"/>
          </w:tcPr>
          <w:p w14:paraId="4BAD5511">
            <w:pPr>
              <w:tabs>
                <w:tab w:val="left" w:pos="1080"/>
              </w:tabs>
              <w:snapToGrid w:val="0"/>
              <w:jc w:val="center"/>
              <w:rPr>
                <w:rFonts w:hint="default" w:cs="Times New Roman"/>
                <w:color w:val="auto"/>
                <w:sz w:val="24"/>
                <w:highlight w:val="none"/>
                <w:lang w:val="en-US" w:eastAsia="zh-CN"/>
              </w:rPr>
            </w:pPr>
            <w:r>
              <w:rPr>
                <w:rFonts w:hint="eastAsia" w:cs="Times New Roman"/>
                <w:color w:val="auto"/>
                <w:sz w:val="24"/>
                <w:highlight w:val="none"/>
                <w:lang w:val="en-US" w:eastAsia="zh-CN"/>
              </w:rPr>
              <w:t>5</w:t>
            </w:r>
          </w:p>
        </w:tc>
        <w:tc>
          <w:tcPr>
            <w:tcW w:w="1982" w:type="dxa"/>
            <w:vAlign w:val="center"/>
          </w:tcPr>
          <w:p w14:paraId="61B42154">
            <w:pPr>
              <w:keepNext w:val="0"/>
              <w:keepLines w:val="0"/>
              <w:widowControl/>
              <w:suppressLineNumbers w:val="0"/>
              <w:jc w:val="left"/>
              <w:rPr>
                <w:rFonts w:hint="default" w:ascii="FZShuSong-Z01" w:hAnsi="FZShuSong-Z01" w:eastAsia="FZShuSong-Z01" w:cs="FZShuSong-Z01"/>
                <w:color w:val="auto"/>
                <w:kern w:val="0"/>
                <w:sz w:val="24"/>
                <w:szCs w:val="24"/>
                <w:highlight w:val="none"/>
                <w:lang w:val="en-US" w:eastAsia="zh-CN" w:bidi="ar"/>
              </w:rPr>
            </w:pPr>
            <w:r>
              <w:rPr>
                <w:rFonts w:hint="eastAsia" w:ascii="FZShuSong-Z01" w:hAnsi="FZShuSong-Z01" w:eastAsia="FZShuSong-Z01" w:cs="FZShuSong-Z01"/>
                <w:color w:val="auto"/>
                <w:kern w:val="0"/>
                <w:sz w:val="24"/>
                <w:szCs w:val="24"/>
                <w:highlight w:val="none"/>
                <w:lang w:val="en-US" w:eastAsia="zh-CN" w:bidi="ar"/>
              </w:rPr>
              <w:t>投标保证金</w:t>
            </w:r>
          </w:p>
        </w:tc>
        <w:tc>
          <w:tcPr>
            <w:tcW w:w="4822" w:type="dxa"/>
            <w:vAlign w:val="center"/>
          </w:tcPr>
          <w:p w14:paraId="71EC78B3">
            <w:pPr>
              <w:keepNext w:val="0"/>
              <w:keepLines w:val="0"/>
              <w:widowControl/>
              <w:suppressLineNumbers w:val="0"/>
              <w:jc w:val="left"/>
              <w:rPr>
                <w:rFonts w:hint="default" w:ascii="FZShuSong-Z01" w:hAnsi="FZShuSong-Z01" w:eastAsia="FZShuSong-Z01" w:cs="FZShuSong-Z01"/>
                <w:color w:val="auto"/>
                <w:kern w:val="0"/>
                <w:sz w:val="24"/>
                <w:szCs w:val="24"/>
                <w:highlight w:val="none"/>
                <w:lang w:val="en-US" w:eastAsia="zh-CN" w:bidi="ar"/>
              </w:rPr>
            </w:pPr>
            <w:r>
              <w:rPr>
                <w:rFonts w:hint="default" w:ascii="FZShuSong-Z01" w:hAnsi="FZShuSong-Z01" w:eastAsia="FZShuSong-Z01" w:cs="FZShuSong-Z01"/>
                <w:color w:val="auto"/>
                <w:kern w:val="0"/>
                <w:sz w:val="24"/>
                <w:szCs w:val="24"/>
                <w:highlight w:val="none"/>
                <w:lang w:val="en-US" w:eastAsia="zh-CN" w:bidi="ar"/>
              </w:rPr>
              <w:t>按照招标文件的规定提交投标保证金。</w:t>
            </w:r>
          </w:p>
        </w:tc>
        <w:tc>
          <w:tcPr>
            <w:tcW w:w="1639" w:type="dxa"/>
            <w:vAlign w:val="center"/>
          </w:tcPr>
          <w:p w14:paraId="39ED2695">
            <w:pPr>
              <w:tabs>
                <w:tab w:val="left" w:pos="1080"/>
              </w:tabs>
              <w:snapToGrid w:val="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提供凭证</w:t>
            </w:r>
          </w:p>
        </w:tc>
      </w:tr>
      <w:bookmarkEnd w:id="730"/>
    </w:tbl>
    <w:p w14:paraId="31D2717D">
      <w:pPr>
        <w:widowControl/>
        <w:jc w:val="left"/>
        <w:rPr>
          <w:color w:val="auto"/>
          <w:sz w:val="24"/>
          <w:highlight w:val="none"/>
        </w:rPr>
      </w:pPr>
      <w:r>
        <w:rPr>
          <w:color w:val="auto"/>
          <w:sz w:val="24"/>
          <w:highlight w:val="none"/>
        </w:rPr>
        <w:br w:type="page"/>
      </w:r>
    </w:p>
    <w:p w14:paraId="3E1E1438">
      <w:pPr>
        <w:spacing w:line="360" w:lineRule="auto"/>
        <w:jc w:val="center"/>
        <w:outlineLvl w:val="0"/>
        <w:rPr>
          <w:b/>
          <w:color w:val="auto"/>
          <w:sz w:val="36"/>
          <w:szCs w:val="36"/>
          <w:highlight w:val="none"/>
        </w:rPr>
      </w:pPr>
      <w:bookmarkStart w:id="736" w:name="_Toc9730"/>
      <w:r>
        <w:rPr>
          <w:b/>
          <w:color w:val="auto"/>
          <w:sz w:val="36"/>
          <w:szCs w:val="36"/>
          <w:highlight w:val="none"/>
        </w:rPr>
        <w:t xml:space="preserve">第四章   </w:t>
      </w:r>
      <w:bookmarkEnd w:id="731"/>
      <w:bookmarkEnd w:id="732"/>
      <w:bookmarkEnd w:id="733"/>
      <w:bookmarkEnd w:id="734"/>
      <w:bookmarkEnd w:id="735"/>
      <w:bookmarkStart w:id="737" w:name="_Hlt164229061"/>
      <w:bookmarkEnd w:id="737"/>
      <w:r>
        <w:rPr>
          <w:b/>
          <w:color w:val="auto"/>
          <w:sz w:val="36"/>
          <w:szCs w:val="36"/>
          <w:highlight w:val="none"/>
        </w:rPr>
        <w:t>评标程序、评标方法和评标标准</w:t>
      </w:r>
      <w:bookmarkEnd w:id="736"/>
    </w:p>
    <w:p w14:paraId="29E8C04B">
      <w:pPr>
        <w:tabs>
          <w:tab w:val="left" w:pos="360"/>
          <w:tab w:val="left" w:pos="900"/>
        </w:tabs>
        <w:snapToGrid w:val="0"/>
        <w:spacing w:line="360" w:lineRule="auto"/>
        <w:jc w:val="center"/>
        <w:outlineLvl w:val="1"/>
        <w:rPr>
          <w:b/>
          <w:color w:val="auto"/>
          <w:highlight w:val="none"/>
        </w:rPr>
      </w:pPr>
      <w:r>
        <w:rPr>
          <w:b/>
          <w:color w:val="auto"/>
          <w:sz w:val="24"/>
          <w:highlight w:val="none"/>
        </w:rPr>
        <w:t>一、评标方法</w:t>
      </w:r>
    </w:p>
    <w:p w14:paraId="00433684">
      <w:pPr>
        <w:numPr>
          <w:ilvl w:val="0"/>
          <w:numId w:val="12"/>
        </w:numPr>
        <w:tabs>
          <w:tab w:val="left" w:pos="360"/>
        </w:tabs>
        <w:snapToGrid w:val="0"/>
        <w:spacing w:line="360" w:lineRule="auto"/>
        <w:outlineLvl w:val="1"/>
        <w:rPr>
          <w:color w:val="auto"/>
          <w:sz w:val="24"/>
          <w:highlight w:val="none"/>
        </w:rPr>
      </w:pPr>
      <w:bookmarkStart w:id="738" w:name="_Toc127161455"/>
      <w:bookmarkStart w:id="739" w:name="_Toc164351635"/>
      <w:bookmarkStart w:id="740" w:name="_Toc164608655"/>
      <w:bookmarkStart w:id="741" w:name="_Toc164608810"/>
      <w:bookmarkStart w:id="742" w:name="_Toc195842906"/>
      <w:bookmarkStart w:id="743" w:name="_Toc150774746"/>
      <w:bookmarkStart w:id="744" w:name="_Toc265228379"/>
      <w:bookmarkStart w:id="745" w:name="_Toc151193929"/>
      <w:bookmarkStart w:id="746" w:name="_Toc142311043"/>
      <w:bookmarkStart w:id="747" w:name="_Toc150480779"/>
      <w:bookmarkStart w:id="748" w:name="_Toc150509292"/>
      <w:bookmarkStart w:id="749" w:name="_Toc151190168"/>
      <w:bookmarkStart w:id="750" w:name="_Toc305158883"/>
      <w:bookmarkStart w:id="751" w:name="_Toc151193783"/>
      <w:bookmarkStart w:id="752" w:name="_Toc305158809"/>
      <w:bookmarkStart w:id="753" w:name="_Toc226309785"/>
      <w:bookmarkStart w:id="754" w:name="_Toc150774641"/>
      <w:bookmarkStart w:id="755" w:name="_Toc226337237"/>
      <w:bookmarkStart w:id="756" w:name="_Toc127151742"/>
      <w:bookmarkStart w:id="757" w:name="_Toc226965814"/>
      <w:bookmarkStart w:id="758" w:name="_Toc151193639"/>
      <w:bookmarkStart w:id="759" w:name="_Toc151193711"/>
      <w:bookmarkStart w:id="760" w:name="_Toc226965731"/>
      <w:bookmarkStart w:id="761" w:name="_Toc151193855"/>
      <w:bookmarkStart w:id="762" w:name="_Toc164229236"/>
      <w:bookmarkStart w:id="763" w:name="_Toc264969231"/>
      <w:bookmarkStart w:id="764" w:name="_Toc149720834"/>
      <w:bookmarkStart w:id="765" w:name="_Toc164229382"/>
      <w:bookmarkStart w:id="766" w:name="_Toc127151541"/>
      <w:bookmarkStart w:id="767" w:name="_Toc353825551"/>
      <w:bookmarkStart w:id="768" w:name="_Toc353873941"/>
      <w:bookmarkStart w:id="769" w:name="_Toc127151555"/>
      <w:bookmarkStart w:id="770" w:name="_Toc264969245"/>
      <w:bookmarkStart w:id="771" w:name="_Toc353825545"/>
      <w:bookmarkStart w:id="772" w:name="_Toc265228393"/>
      <w:bookmarkStart w:id="773" w:name="_Toc353873935"/>
      <w:bookmarkStart w:id="774" w:name="_Toc353873665"/>
      <w:bookmarkStart w:id="775" w:name="_Toc305158897"/>
      <w:bookmarkStart w:id="776" w:name="_Toc226337251"/>
      <w:bookmarkStart w:id="777" w:name="_Toc226965828"/>
      <w:bookmarkStart w:id="778" w:name="_Toc150480793"/>
      <w:bookmarkStart w:id="779" w:name="_Toc305158823"/>
      <w:bookmarkStart w:id="780" w:name="_Toc195842920"/>
      <w:bookmarkStart w:id="781" w:name="_Toc150774760"/>
      <w:bookmarkStart w:id="782" w:name="_Toc142311057"/>
      <w:r>
        <w:rPr>
          <w:color w:val="auto"/>
          <w:sz w:val="24"/>
          <w:highlight w:val="none"/>
        </w:rPr>
        <w:t>投标文件的符合性审查</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0854878">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评标委员会对资格审查合格的投标人的投标文件进行符合性审查，以确定其是否满足招标文件的实质性要求。</w:t>
      </w:r>
      <w:bookmarkStart w:id="783" w:name="_Toc520356167"/>
    </w:p>
    <w:p w14:paraId="3B1D423E">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评标委员会根据《符合性审查</w:t>
      </w:r>
      <w:r>
        <w:rPr>
          <w:rFonts w:hint="eastAsia"/>
          <w:color w:val="auto"/>
          <w:sz w:val="24"/>
          <w:highlight w:val="none"/>
        </w:rPr>
        <w:t>要求</w:t>
      </w:r>
      <w:r>
        <w:rPr>
          <w:color w:val="auto"/>
          <w:sz w:val="24"/>
          <w:highlight w:val="none"/>
        </w:rPr>
        <w:t>》中规定的审查因素和审查内容，对投标人的投标文件是否实质上响应招标文件进行符合性审查，并形成符合性审查评审结果。</w:t>
      </w:r>
      <w:r>
        <w:rPr>
          <w:rFonts w:hint="eastAsia"/>
          <w:color w:val="auto"/>
          <w:sz w:val="24"/>
          <w:highlight w:val="none"/>
        </w:rPr>
        <w:t>投标人《商务技术文件》有任何一项不符合</w:t>
      </w:r>
      <w:r>
        <w:rPr>
          <w:color w:val="auto"/>
          <w:sz w:val="24"/>
          <w:highlight w:val="none"/>
        </w:rPr>
        <w:t>《符合性审查</w:t>
      </w:r>
      <w:r>
        <w:rPr>
          <w:rFonts w:hint="eastAsia"/>
          <w:color w:val="auto"/>
          <w:sz w:val="24"/>
          <w:highlight w:val="none"/>
        </w:rPr>
        <w:t>要求</w:t>
      </w:r>
      <w:r>
        <w:rPr>
          <w:color w:val="auto"/>
          <w:sz w:val="24"/>
          <w:highlight w:val="none"/>
        </w:rPr>
        <w:t>》</w:t>
      </w:r>
      <w:bookmarkEnd w:id="783"/>
      <w:r>
        <w:rPr>
          <w:rFonts w:hint="eastAsia"/>
          <w:color w:val="auto"/>
          <w:sz w:val="24"/>
          <w:highlight w:val="none"/>
        </w:rPr>
        <w:t>要求的，</w:t>
      </w:r>
      <w:r>
        <w:rPr>
          <w:rFonts w:hint="eastAsia"/>
          <w:b/>
          <w:color w:val="auto"/>
          <w:sz w:val="24"/>
          <w:highlight w:val="none"/>
        </w:rPr>
        <w:t>投标无效</w:t>
      </w:r>
      <w:r>
        <w:rPr>
          <w:rFonts w:hint="eastAsia"/>
          <w:color w:val="auto"/>
          <w:sz w:val="24"/>
          <w:highlight w:val="none"/>
        </w:rPr>
        <w:t>。</w:t>
      </w:r>
    </w:p>
    <w:p w14:paraId="37B3F238">
      <w:pPr>
        <w:tabs>
          <w:tab w:val="left" w:pos="900"/>
          <w:tab w:val="left" w:pos="1080"/>
          <w:tab w:val="left" w:pos="1589"/>
        </w:tabs>
        <w:snapToGrid w:val="0"/>
        <w:spacing w:line="360" w:lineRule="auto"/>
        <w:ind w:leftChars="-170" w:hanging="357" w:hangingChars="148"/>
        <w:jc w:val="center"/>
        <w:rPr>
          <w:b/>
          <w:color w:val="auto"/>
          <w:sz w:val="24"/>
          <w:highlight w:val="none"/>
        </w:rPr>
      </w:pPr>
      <w:r>
        <w:rPr>
          <w:b/>
          <w:color w:val="auto"/>
          <w:sz w:val="24"/>
          <w:highlight w:val="none"/>
        </w:rPr>
        <w:t>符合性审查</w:t>
      </w:r>
      <w:r>
        <w:rPr>
          <w:rFonts w:hint="eastAsia"/>
          <w:b/>
          <w:color w:val="auto"/>
          <w:sz w:val="24"/>
          <w:highlight w:val="none"/>
        </w:rPr>
        <w:t>要求</w:t>
      </w:r>
    </w:p>
    <w:tbl>
      <w:tblPr>
        <w:tblStyle w:val="4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014"/>
        <w:gridCol w:w="6527"/>
      </w:tblGrid>
      <w:tr w14:paraId="150A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Align w:val="center"/>
          </w:tcPr>
          <w:p w14:paraId="19CBDAC5">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2014" w:type="dxa"/>
            <w:vAlign w:val="center"/>
          </w:tcPr>
          <w:p w14:paraId="4A6974FC">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审查因素</w:t>
            </w:r>
          </w:p>
        </w:tc>
        <w:tc>
          <w:tcPr>
            <w:tcW w:w="6527" w:type="dxa"/>
            <w:vAlign w:val="center"/>
          </w:tcPr>
          <w:p w14:paraId="66C4DB11">
            <w:pPr>
              <w:widowControl/>
              <w:jc w:val="center"/>
              <w:rPr>
                <w:rFonts w:ascii="宋体" w:hAnsi="宋体" w:cs="宋体"/>
                <w:b/>
                <w:color w:val="auto"/>
                <w:kern w:val="0"/>
                <w:sz w:val="24"/>
                <w:highlight w:val="none"/>
              </w:rPr>
            </w:pPr>
            <w:r>
              <w:rPr>
                <w:rFonts w:hint="eastAsia" w:ascii="宋体" w:hAnsi="宋体" w:cs="宋体"/>
                <w:b/>
                <w:color w:val="auto"/>
                <w:kern w:val="0"/>
                <w:sz w:val="24"/>
                <w:highlight w:val="none"/>
              </w:rPr>
              <w:t>审查内容</w:t>
            </w:r>
          </w:p>
        </w:tc>
      </w:tr>
      <w:tr w14:paraId="2D14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D7132F4">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014" w:type="dxa"/>
            <w:vAlign w:val="center"/>
          </w:tcPr>
          <w:p w14:paraId="324E4C6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授权委托书</w:t>
            </w:r>
          </w:p>
        </w:tc>
        <w:tc>
          <w:tcPr>
            <w:tcW w:w="6527" w:type="dxa"/>
            <w:vAlign w:val="center"/>
          </w:tcPr>
          <w:p w14:paraId="1BC1622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按招标文件要求提供授权委托书。</w:t>
            </w:r>
          </w:p>
        </w:tc>
      </w:tr>
      <w:tr w14:paraId="2EC0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AB74A6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014" w:type="dxa"/>
            <w:vAlign w:val="center"/>
          </w:tcPr>
          <w:p w14:paraId="33EF271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投标完整性</w:t>
            </w:r>
          </w:p>
        </w:tc>
        <w:tc>
          <w:tcPr>
            <w:tcW w:w="6527" w:type="dxa"/>
            <w:vAlign w:val="center"/>
          </w:tcPr>
          <w:p w14:paraId="34580FCF">
            <w:pPr>
              <w:widowControl/>
              <w:jc w:val="left"/>
              <w:rPr>
                <w:rFonts w:ascii="宋体" w:hAnsi="宋体" w:cs="宋体"/>
                <w:color w:val="auto"/>
                <w:kern w:val="0"/>
                <w:sz w:val="24"/>
                <w:highlight w:val="none"/>
              </w:rPr>
            </w:pPr>
            <w:r>
              <w:rPr>
                <w:rFonts w:hint="eastAsia" w:ascii="宋体" w:hAnsi="宋体" w:cs="宋体"/>
                <w:color w:val="auto"/>
                <w:sz w:val="24"/>
                <w:highlight w:val="none"/>
              </w:rPr>
              <w:t>未将一个采购包中的内容拆开投标。</w:t>
            </w:r>
          </w:p>
        </w:tc>
      </w:tr>
      <w:tr w14:paraId="389F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04A8C2A">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014" w:type="dxa"/>
            <w:vAlign w:val="center"/>
          </w:tcPr>
          <w:p w14:paraId="5B2D9F5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投标报价</w:t>
            </w:r>
          </w:p>
        </w:tc>
        <w:tc>
          <w:tcPr>
            <w:tcW w:w="6527" w:type="dxa"/>
            <w:vAlign w:val="center"/>
          </w:tcPr>
          <w:p w14:paraId="2B35AC5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投标报价未</w:t>
            </w:r>
            <w:r>
              <w:rPr>
                <w:rFonts w:hint="eastAsia" w:ascii="宋体" w:hAnsi="宋体" w:cs="宋体"/>
                <w:color w:val="auto"/>
                <w:sz w:val="24"/>
                <w:highlight w:val="none"/>
              </w:rPr>
              <w:t>超过招标文件中规定的项目/采购包预算金额</w:t>
            </w:r>
            <w:r>
              <w:rPr>
                <w:rFonts w:hint="eastAsia" w:ascii="宋体" w:hAnsi="宋体" w:cs="宋体"/>
                <w:color w:val="auto"/>
                <w:sz w:val="24"/>
                <w:highlight w:val="none"/>
                <w:lang w:val="en-US" w:eastAsia="zh-CN"/>
              </w:rPr>
              <w:t>及</w:t>
            </w:r>
            <w:r>
              <w:rPr>
                <w:rFonts w:hint="eastAsia" w:ascii="宋体" w:hAnsi="宋体" w:cs="宋体"/>
                <w:color w:val="auto"/>
                <w:sz w:val="24"/>
                <w:highlight w:val="none"/>
              </w:rPr>
              <w:t>者项目/采购包最高限价</w:t>
            </w:r>
            <w:r>
              <w:rPr>
                <w:rFonts w:hint="eastAsia" w:ascii="宋体" w:hAnsi="宋体" w:cs="宋体"/>
                <w:color w:val="auto"/>
                <w:kern w:val="0"/>
                <w:sz w:val="24"/>
                <w:highlight w:val="none"/>
              </w:rPr>
              <w:t>。</w:t>
            </w:r>
          </w:p>
        </w:tc>
      </w:tr>
      <w:tr w14:paraId="7DFD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C5890B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2014" w:type="dxa"/>
            <w:vAlign w:val="center"/>
          </w:tcPr>
          <w:p w14:paraId="21DF293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报价唯一性</w:t>
            </w:r>
          </w:p>
        </w:tc>
        <w:tc>
          <w:tcPr>
            <w:tcW w:w="6527" w:type="dxa"/>
            <w:vAlign w:val="center"/>
          </w:tcPr>
          <w:p w14:paraId="42DC287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投标文件未</w:t>
            </w:r>
            <w:r>
              <w:rPr>
                <w:rFonts w:hint="eastAsia" w:ascii="宋体" w:hAnsi="宋体" w:cs="宋体"/>
                <w:color w:val="auto"/>
                <w:sz w:val="24"/>
                <w:highlight w:val="none"/>
              </w:rPr>
              <w:t>出现可选择性或可调整的报价（招标文件另有规定的除外）</w:t>
            </w:r>
            <w:r>
              <w:rPr>
                <w:rFonts w:hint="eastAsia" w:ascii="宋体" w:hAnsi="宋体" w:cs="宋体"/>
                <w:color w:val="auto"/>
                <w:kern w:val="0"/>
                <w:sz w:val="24"/>
                <w:highlight w:val="none"/>
              </w:rPr>
              <w:t>。</w:t>
            </w:r>
          </w:p>
        </w:tc>
      </w:tr>
      <w:tr w14:paraId="1AC4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1872D5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2014" w:type="dxa"/>
            <w:vAlign w:val="center"/>
          </w:tcPr>
          <w:p w14:paraId="1CD9509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投标有效期</w:t>
            </w:r>
          </w:p>
        </w:tc>
        <w:tc>
          <w:tcPr>
            <w:tcW w:w="6527" w:type="dxa"/>
            <w:vAlign w:val="center"/>
          </w:tcPr>
          <w:p w14:paraId="24753D0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投标文件中承诺的投标有效期满足招标文件中载明的投标有效期的。</w:t>
            </w:r>
          </w:p>
        </w:tc>
      </w:tr>
      <w:tr w14:paraId="3CD1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239A64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2014" w:type="dxa"/>
            <w:vAlign w:val="center"/>
          </w:tcPr>
          <w:p w14:paraId="6180579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实质性格式</w:t>
            </w:r>
          </w:p>
        </w:tc>
        <w:tc>
          <w:tcPr>
            <w:tcW w:w="6527" w:type="dxa"/>
            <w:vAlign w:val="center"/>
          </w:tcPr>
          <w:p w14:paraId="256AFCF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标记为实质性格式的文件均按招标文件要求提供且签署、盖章的。</w:t>
            </w:r>
          </w:p>
        </w:tc>
      </w:tr>
      <w:tr w14:paraId="0EE1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7EBA22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2014" w:type="dxa"/>
            <w:vAlign w:val="center"/>
          </w:tcPr>
          <w:p w14:paraId="327A6FD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★号条款响应</w:t>
            </w:r>
          </w:p>
        </w:tc>
        <w:tc>
          <w:tcPr>
            <w:tcW w:w="6527" w:type="dxa"/>
            <w:vAlign w:val="center"/>
          </w:tcPr>
          <w:p w14:paraId="5538EA6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投标文件满足招标文件</w:t>
            </w:r>
            <w:r>
              <w:rPr>
                <w:rFonts w:hint="eastAsia" w:ascii="宋体" w:hAnsi="宋体" w:cs="宋体"/>
                <w:color w:val="auto"/>
                <w:sz w:val="24"/>
                <w:highlight w:val="none"/>
              </w:rPr>
              <w:t>第五章《采购需求》</w:t>
            </w:r>
            <w:r>
              <w:rPr>
                <w:rFonts w:hint="eastAsia" w:ascii="宋体" w:hAnsi="宋体" w:cs="宋体"/>
                <w:color w:val="auto"/>
                <w:kern w:val="0"/>
                <w:sz w:val="24"/>
                <w:highlight w:val="none"/>
              </w:rPr>
              <w:t>中★号条款要求的。</w:t>
            </w:r>
          </w:p>
        </w:tc>
      </w:tr>
      <w:tr w14:paraId="5340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B1FD5A0">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2014" w:type="dxa"/>
            <w:vAlign w:val="center"/>
          </w:tcPr>
          <w:p w14:paraId="5E39366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拟分包情况说明（如有）</w:t>
            </w:r>
          </w:p>
        </w:tc>
        <w:tc>
          <w:tcPr>
            <w:tcW w:w="6527" w:type="dxa"/>
            <w:vAlign w:val="center"/>
          </w:tcPr>
          <w:p w14:paraId="490D944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如本项目（包）非因“落实政府采购政策”亦允许分包，且供应商拟进行分包时，必须提供；否则无须提供。</w:t>
            </w:r>
          </w:p>
        </w:tc>
      </w:tr>
      <w:tr w14:paraId="79B9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DCBEC7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2014" w:type="dxa"/>
            <w:vAlign w:val="center"/>
          </w:tcPr>
          <w:p w14:paraId="5AEDED7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分包其他要求（如有）</w:t>
            </w:r>
          </w:p>
        </w:tc>
        <w:tc>
          <w:tcPr>
            <w:tcW w:w="6527" w:type="dxa"/>
            <w:vAlign w:val="center"/>
          </w:tcPr>
          <w:p w14:paraId="0257CB2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分包履行的内容、金额或者比例未超出《投标人须知资料表》</w:t>
            </w:r>
          </w:p>
          <w:p w14:paraId="7EB5A19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中的规定；</w:t>
            </w:r>
          </w:p>
          <w:p w14:paraId="0F32EA2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分包承担主体具备《投标人须知资料表》载明的资质条件且提供了资质证书电子件。（如有）</w:t>
            </w:r>
          </w:p>
        </w:tc>
      </w:tr>
      <w:tr w14:paraId="2531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7155EB3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2014" w:type="dxa"/>
            <w:vAlign w:val="center"/>
          </w:tcPr>
          <w:p w14:paraId="72B3EA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报价的修正（如有）</w:t>
            </w:r>
          </w:p>
        </w:tc>
        <w:tc>
          <w:tcPr>
            <w:tcW w:w="6527" w:type="dxa"/>
            <w:vAlign w:val="center"/>
          </w:tcPr>
          <w:p w14:paraId="2714B7B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不涉及报价修正，或投标文件报价出现前后不一致时，投标人对修正后的报价予以确认。（如有）</w:t>
            </w:r>
          </w:p>
        </w:tc>
      </w:tr>
      <w:tr w14:paraId="22B1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6A2BDD22">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2014" w:type="dxa"/>
            <w:vAlign w:val="center"/>
          </w:tcPr>
          <w:p w14:paraId="5838395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报价合理性</w:t>
            </w:r>
          </w:p>
        </w:tc>
        <w:tc>
          <w:tcPr>
            <w:tcW w:w="6527" w:type="dxa"/>
            <w:vAlign w:val="center"/>
          </w:tcPr>
          <w:p w14:paraId="7F3AAA8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报价合理，或</w:t>
            </w:r>
            <w:r>
              <w:rPr>
                <w:rFonts w:hint="eastAsia" w:ascii="宋体" w:hAnsi="宋体" w:cs="宋体"/>
                <w:color w:val="auto"/>
                <w:sz w:val="24"/>
                <w:highlight w:val="none"/>
              </w:rPr>
              <w:t>投标人的报价明显低于其他通过符合性审查投标人的报价，有可能影响产品质量或者不能诚信履约的，能够应评标委员会要求在规定时间内证明其报价合理性的</w:t>
            </w:r>
            <w:r>
              <w:rPr>
                <w:rFonts w:hint="eastAsia" w:ascii="宋体" w:hAnsi="宋体" w:cs="宋体"/>
                <w:color w:val="auto"/>
                <w:kern w:val="0"/>
                <w:sz w:val="24"/>
                <w:highlight w:val="none"/>
              </w:rPr>
              <w:t>。</w:t>
            </w:r>
          </w:p>
        </w:tc>
      </w:tr>
      <w:tr w14:paraId="73AF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0E7173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2014" w:type="dxa"/>
            <w:vAlign w:val="center"/>
          </w:tcPr>
          <w:p w14:paraId="37259CE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进口产品</w:t>
            </w:r>
          </w:p>
          <w:p w14:paraId="2B2177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（如有）</w:t>
            </w:r>
          </w:p>
        </w:tc>
        <w:tc>
          <w:tcPr>
            <w:tcW w:w="6527" w:type="dxa"/>
            <w:vAlign w:val="center"/>
          </w:tcPr>
          <w:p w14:paraId="76555E87">
            <w:pPr>
              <w:widowControl/>
              <w:jc w:val="left"/>
              <w:rPr>
                <w:rFonts w:ascii="宋体" w:hAnsi="宋体" w:cs="宋体"/>
                <w:color w:val="auto"/>
                <w:kern w:val="0"/>
                <w:sz w:val="24"/>
                <w:highlight w:val="none"/>
              </w:rPr>
            </w:pPr>
            <w:r>
              <w:rPr>
                <w:rFonts w:hint="eastAsia" w:ascii="宋体" w:hAnsi="宋体" w:cs="宋体"/>
                <w:color w:val="auto"/>
                <w:sz w:val="24"/>
                <w:highlight w:val="none"/>
              </w:rPr>
              <w:t>招标文件不接受进口产品投标的内容时，投标人所投产品非进口产品的。</w:t>
            </w:r>
          </w:p>
        </w:tc>
      </w:tr>
      <w:tr w14:paraId="0F79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297A55B">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2014" w:type="dxa"/>
            <w:vAlign w:val="center"/>
          </w:tcPr>
          <w:p w14:paraId="57F5CFB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国家有关部门对投标人的投标产品有强制性规定或要求的</w:t>
            </w:r>
          </w:p>
        </w:tc>
        <w:tc>
          <w:tcPr>
            <w:tcW w:w="6527" w:type="dxa"/>
            <w:vAlign w:val="center"/>
          </w:tcPr>
          <w:p w14:paraId="4CE4379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国家有关部门对投标人的投标产品有强制性规定或要求的（如相应技术、安全、节能和环保等），投标人的投标产品应符合相应规定或要求，并提供证明文件电子件：1）采购的产品若属于《节能产品政府采购品目清单》范围中政府强制采购产品，则投标人所报产品必须获得国家确定的认证机构出具的、处于有效期之内的节能产品认证证书；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3）项目中涉及涂料、胶黏剂、油墨、清洗剂等挥发性有机物产品，且属于强制性标准的，供应商应执行符合本市和国家的VOCs 含量限制标准。</w:t>
            </w:r>
          </w:p>
        </w:tc>
      </w:tr>
      <w:tr w14:paraId="74D8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4DA406D5">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2014" w:type="dxa"/>
            <w:vAlign w:val="center"/>
          </w:tcPr>
          <w:p w14:paraId="3EC5E71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公平竞争</w:t>
            </w:r>
          </w:p>
        </w:tc>
        <w:tc>
          <w:tcPr>
            <w:tcW w:w="6527" w:type="dxa"/>
            <w:vAlign w:val="center"/>
          </w:tcPr>
          <w:p w14:paraId="79CD979B">
            <w:pPr>
              <w:widowControl/>
              <w:jc w:val="left"/>
              <w:rPr>
                <w:rFonts w:ascii="宋体" w:hAnsi="宋体" w:cs="宋体"/>
                <w:color w:val="auto"/>
                <w:kern w:val="0"/>
                <w:sz w:val="24"/>
                <w:highlight w:val="none"/>
              </w:rPr>
            </w:pPr>
            <w:r>
              <w:rPr>
                <w:rFonts w:hint="eastAsia" w:ascii="宋体" w:hAnsi="宋体" w:cs="宋体"/>
                <w:color w:val="auto"/>
                <w:sz w:val="24"/>
                <w:highlight w:val="none"/>
              </w:rPr>
              <w:t>投标人遵循公平竞争的原则，不存在恶意串通，妨碍其他投标人的竞争行为，不存在损害采购人或者其他投标人的合法权益情形的。</w:t>
            </w:r>
          </w:p>
        </w:tc>
      </w:tr>
      <w:tr w14:paraId="15BD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3688913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2014" w:type="dxa"/>
            <w:vAlign w:val="center"/>
          </w:tcPr>
          <w:p w14:paraId="177E5B6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串通投标</w:t>
            </w:r>
          </w:p>
        </w:tc>
        <w:tc>
          <w:tcPr>
            <w:tcW w:w="6527" w:type="dxa"/>
            <w:vAlign w:val="center"/>
          </w:tcPr>
          <w:p w14:paraId="7BCEFD6E">
            <w:pPr>
              <w:widowControl/>
              <w:jc w:val="left"/>
              <w:rPr>
                <w:rFonts w:ascii="宋体" w:hAnsi="宋体" w:cs="宋体"/>
                <w:color w:val="auto"/>
                <w:kern w:val="0"/>
                <w:sz w:val="24"/>
                <w:highlight w:val="none"/>
              </w:rPr>
            </w:pPr>
            <w:r>
              <w:rPr>
                <w:rFonts w:hint="eastAsia" w:ascii="宋体" w:hAnsi="宋体" w:cs="宋体"/>
                <w:color w:val="auto"/>
                <w:sz w:val="24"/>
                <w:highlight w:val="none"/>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062D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04C27A7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2014" w:type="dxa"/>
            <w:vAlign w:val="center"/>
          </w:tcPr>
          <w:p w14:paraId="1BACF9D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附加条件</w:t>
            </w:r>
          </w:p>
        </w:tc>
        <w:tc>
          <w:tcPr>
            <w:tcW w:w="6527" w:type="dxa"/>
            <w:vAlign w:val="center"/>
          </w:tcPr>
          <w:p w14:paraId="74F294B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投标文件未含有采购人不能接受的附加条件的。</w:t>
            </w:r>
          </w:p>
        </w:tc>
      </w:tr>
      <w:tr w14:paraId="6CC4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vAlign w:val="center"/>
          </w:tcPr>
          <w:p w14:paraId="5A0FB8BC">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2014" w:type="dxa"/>
            <w:vAlign w:val="center"/>
          </w:tcPr>
          <w:p w14:paraId="3339CB4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其他无效情形</w:t>
            </w:r>
          </w:p>
        </w:tc>
        <w:tc>
          <w:tcPr>
            <w:tcW w:w="6527" w:type="dxa"/>
            <w:vAlign w:val="center"/>
          </w:tcPr>
          <w:p w14:paraId="36551F4C">
            <w:pPr>
              <w:widowControl/>
              <w:jc w:val="left"/>
              <w:rPr>
                <w:rFonts w:ascii="宋体" w:hAnsi="宋体" w:cs="宋体"/>
                <w:color w:val="auto"/>
                <w:kern w:val="0"/>
                <w:sz w:val="24"/>
                <w:highlight w:val="none"/>
              </w:rPr>
            </w:pPr>
            <w:r>
              <w:rPr>
                <w:rFonts w:hint="eastAsia" w:ascii="宋体" w:hAnsi="宋体" w:cs="宋体"/>
                <w:color w:val="auto"/>
                <w:sz w:val="24"/>
                <w:highlight w:val="none"/>
              </w:rPr>
              <w:t>投标人、投标文件不存在不符合法律、法规和招标文件规定的其他无效情形。</w:t>
            </w:r>
          </w:p>
        </w:tc>
      </w:tr>
      <w:tr w14:paraId="1563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shd w:val="clear" w:color="auto" w:fill="auto"/>
            <w:vAlign w:val="center"/>
          </w:tcPr>
          <w:p w14:paraId="27B18585">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18</w:t>
            </w:r>
          </w:p>
        </w:tc>
        <w:tc>
          <w:tcPr>
            <w:tcW w:w="2014" w:type="dxa"/>
            <w:shd w:val="clear" w:color="auto" w:fill="auto"/>
            <w:vAlign w:val="center"/>
          </w:tcPr>
          <w:p w14:paraId="2D4616E0">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招标代理服务费承诺书</w:t>
            </w:r>
          </w:p>
        </w:tc>
        <w:tc>
          <w:tcPr>
            <w:tcW w:w="6527" w:type="dxa"/>
            <w:shd w:val="clear" w:color="auto" w:fill="auto"/>
            <w:vAlign w:val="center"/>
          </w:tcPr>
          <w:p w14:paraId="5FDC9A8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按照招标文件格式要求提供招标代理服务费承诺书。</w:t>
            </w:r>
          </w:p>
        </w:tc>
      </w:tr>
    </w:tbl>
    <w:p w14:paraId="6CFEFD73">
      <w:pPr>
        <w:numPr>
          <w:ilvl w:val="0"/>
          <w:numId w:val="13"/>
        </w:numPr>
        <w:tabs>
          <w:tab w:val="left" w:pos="1080"/>
          <w:tab w:val="left" w:pos="1589"/>
        </w:tabs>
        <w:snapToGrid w:val="0"/>
        <w:spacing w:line="360" w:lineRule="auto"/>
        <w:rPr>
          <w:color w:val="auto"/>
          <w:sz w:val="24"/>
          <w:highlight w:val="none"/>
        </w:rPr>
        <w:sectPr>
          <w:headerReference r:id="rId8" w:type="first"/>
          <w:footerReference r:id="rId10" w:type="first"/>
          <w:headerReference r:id="rId7" w:type="even"/>
          <w:footerReference r:id="rId9" w:type="even"/>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bookmarkEnd w:id="767"/>
    <w:bookmarkEnd w:id="768"/>
    <w:p w14:paraId="7433056C">
      <w:pPr>
        <w:numPr>
          <w:ilvl w:val="0"/>
          <w:numId w:val="12"/>
        </w:numPr>
        <w:tabs>
          <w:tab w:val="left" w:pos="360"/>
        </w:tabs>
        <w:snapToGrid w:val="0"/>
        <w:spacing w:line="360" w:lineRule="auto"/>
        <w:outlineLvl w:val="1"/>
        <w:rPr>
          <w:color w:val="auto"/>
          <w:sz w:val="24"/>
          <w:highlight w:val="none"/>
        </w:rPr>
      </w:pPr>
      <w:r>
        <w:rPr>
          <w:color w:val="auto"/>
          <w:sz w:val="24"/>
          <w:highlight w:val="none"/>
        </w:rPr>
        <w:t>投标文件有关事项的澄清或者说明</w:t>
      </w:r>
    </w:p>
    <w:p w14:paraId="11AED12F">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color w:val="auto"/>
          <w:sz w:val="24"/>
          <w:highlight w:val="none"/>
        </w:rPr>
        <w:t>（</w:t>
      </w:r>
      <w:bookmarkStart w:id="784" w:name="_Hlk144225607"/>
      <w:r>
        <w:rPr>
          <w:color w:val="auto"/>
          <w:sz w:val="24"/>
          <w:szCs w:val="20"/>
          <w:highlight w:val="none"/>
        </w:rPr>
        <w:t>若</w:t>
      </w:r>
      <w:r>
        <w:rPr>
          <w:rFonts w:hint="eastAsia"/>
          <w:color w:val="auto"/>
          <w:sz w:val="24"/>
          <w:szCs w:val="20"/>
          <w:highlight w:val="none"/>
        </w:rPr>
        <w:t>投标人</w:t>
      </w:r>
      <w:r>
        <w:rPr>
          <w:color w:val="auto"/>
          <w:sz w:val="24"/>
          <w:szCs w:val="20"/>
          <w:highlight w:val="none"/>
        </w:rPr>
        <w:t>为事业单位或其他组织或分支机构，可为单位负责人</w:t>
      </w:r>
      <w:bookmarkEnd w:id="784"/>
      <w:r>
        <w:rPr>
          <w:rFonts w:hint="eastAsia"/>
          <w:color w:val="auto"/>
          <w:sz w:val="24"/>
          <w:highlight w:val="none"/>
        </w:rPr>
        <w:t>）</w:t>
      </w:r>
      <w:r>
        <w:rPr>
          <w:color w:val="auto"/>
          <w:sz w:val="24"/>
          <w:highlight w:val="none"/>
        </w:rPr>
        <w:t>或其授权的代表签字。投标人的澄清、说明或者补正不得超出投标文件的范围或者改变投标文件的实质性内容。澄清文件将作为投标文件内容的一部分。</w:t>
      </w:r>
    </w:p>
    <w:p w14:paraId="08986166">
      <w:pPr>
        <w:numPr>
          <w:ilvl w:val="1"/>
          <w:numId w:val="12"/>
        </w:numPr>
        <w:tabs>
          <w:tab w:val="left" w:pos="1080"/>
        </w:tabs>
        <w:snapToGrid w:val="0"/>
        <w:spacing w:line="360" w:lineRule="auto"/>
        <w:ind w:left="1077" w:hanging="720"/>
        <w:rPr>
          <w:sz w:val="24"/>
        </w:rPr>
      </w:pPr>
      <w:r>
        <w:rPr>
          <w:rFonts w:hint="eastAsia"/>
          <w:sz w:val="24"/>
        </w:rPr>
        <w:t>异常低价处理</w:t>
      </w:r>
    </w:p>
    <w:p w14:paraId="3EACE243">
      <w:pPr>
        <w:numPr>
          <w:ilvl w:val="2"/>
          <w:numId w:val="12"/>
        </w:numPr>
        <w:tabs>
          <w:tab w:val="left" w:pos="1080"/>
          <w:tab w:val="clear" w:pos="1980"/>
        </w:tabs>
        <w:snapToGrid w:val="0"/>
        <w:spacing w:line="360" w:lineRule="auto"/>
        <w:ind w:left="1980" w:leftChars="0" w:hanging="900" w:firstLineChars="0"/>
        <w:rPr>
          <w:color w:val="auto"/>
          <w:sz w:val="24"/>
          <w:highlight w:val="none"/>
        </w:rPr>
      </w:pPr>
      <w:r>
        <w:rPr>
          <w:rFonts w:hint="eastAsia"/>
          <w:sz w:val="24"/>
        </w:rPr>
        <w:t>政府采购评审中出现下列情形之一的，评审委员会应当启动异常低价投标（响应）审查程序：</w:t>
      </w:r>
    </w:p>
    <w:p w14:paraId="64437A5A">
      <w:pPr>
        <w:numPr>
          <w:ilvl w:val="0"/>
          <w:numId w:val="0"/>
        </w:numPr>
        <w:tabs>
          <w:tab w:val="left" w:pos="1080"/>
        </w:tabs>
        <w:snapToGrid w:val="0"/>
        <w:spacing w:line="360" w:lineRule="auto"/>
        <w:ind w:left="357" w:leftChars="0"/>
        <w:rPr>
          <w:rFonts w:hint="eastAsia"/>
          <w:color w:val="auto"/>
          <w:sz w:val="24"/>
          <w:highlight w:val="none"/>
        </w:rPr>
      </w:pPr>
      <w:r>
        <w:rPr>
          <w:rFonts w:hint="eastAsia" w:cs="Times New Roman"/>
          <w:color w:val="auto"/>
          <w:kern w:val="2"/>
          <w:sz w:val="24"/>
          <w:szCs w:val="24"/>
          <w:highlight w:val="none"/>
          <w:lang w:val="en-US" w:eastAsia="zh-CN" w:bidi="ar-SA"/>
        </w:rPr>
        <w:t>①</w:t>
      </w:r>
      <w:r>
        <w:rPr>
          <w:rFonts w:hint="eastAsia"/>
          <w:color w:val="auto"/>
          <w:sz w:val="24"/>
          <w:highlight w:val="none"/>
        </w:rPr>
        <w:t>投标（响应）报价低于全部通过符合性审查供应商投标（响应）报价平均值50%的，即投标（响应）报价&lt;全部通过符合性审查供应商投标（响应）报价平均值×50%；</w:t>
      </w:r>
    </w:p>
    <w:p w14:paraId="3A4E8F65">
      <w:pPr>
        <w:numPr>
          <w:ilvl w:val="0"/>
          <w:numId w:val="0"/>
        </w:numPr>
        <w:tabs>
          <w:tab w:val="left" w:pos="1080"/>
        </w:tabs>
        <w:snapToGrid w:val="0"/>
        <w:spacing w:line="360" w:lineRule="auto"/>
        <w:ind w:left="357" w:leftChars="0"/>
        <w:rPr>
          <w:color w:val="auto"/>
          <w:sz w:val="24"/>
          <w:highlight w:val="none"/>
        </w:rPr>
      </w:pPr>
      <w:r>
        <w:rPr>
          <w:rFonts w:hint="eastAsia" w:cs="Times New Roman"/>
          <w:color w:val="auto"/>
          <w:kern w:val="2"/>
          <w:sz w:val="24"/>
          <w:szCs w:val="24"/>
          <w:highlight w:val="none"/>
          <w:lang w:val="en-US" w:eastAsia="zh-CN" w:bidi="ar-SA"/>
        </w:rPr>
        <w:t>②</w:t>
      </w:r>
      <w:r>
        <w:rPr>
          <w:rFonts w:hint="eastAsia"/>
          <w:color w:val="auto"/>
          <w:sz w:val="24"/>
          <w:highlight w:val="none"/>
        </w:rPr>
        <w:t xml:space="preserve">投标（响应）报价低于通过符合性审查的次低报价供应商投标（响应）报价50%的，即投标（响应）报价&lt;通过符合性审查的次低报价供应商投标（响应）报价×50%； </w:t>
      </w:r>
    </w:p>
    <w:p w14:paraId="07C21CE1">
      <w:pPr>
        <w:numPr>
          <w:ilvl w:val="0"/>
          <w:numId w:val="0"/>
        </w:numPr>
        <w:tabs>
          <w:tab w:val="left" w:pos="1080"/>
        </w:tabs>
        <w:snapToGrid w:val="0"/>
        <w:spacing w:line="360" w:lineRule="auto"/>
        <w:ind w:left="357" w:leftChars="0"/>
        <w:rPr>
          <w:color w:val="auto"/>
          <w:sz w:val="24"/>
          <w:highlight w:val="none"/>
        </w:rPr>
      </w:pPr>
      <w:r>
        <w:rPr>
          <w:rFonts w:hint="eastAsia" w:cs="Times New Roman"/>
          <w:color w:val="auto"/>
          <w:kern w:val="2"/>
          <w:sz w:val="24"/>
          <w:szCs w:val="24"/>
          <w:highlight w:val="none"/>
          <w:lang w:val="en-US" w:eastAsia="zh-CN" w:bidi="ar-SA"/>
        </w:rPr>
        <w:t>③</w:t>
      </w:r>
      <w:r>
        <w:rPr>
          <w:rFonts w:hint="eastAsia"/>
          <w:color w:val="auto"/>
          <w:sz w:val="24"/>
          <w:highlight w:val="none"/>
        </w:rPr>
        <w:t>投标（响应）报价低于采购项目最高限价45%的，即投标（响应）报价&lt;采购项目最高限价×45%；</w:t>
      </w:r>
    </w:p>
    <w:p w14:paraId="48167F2D">
      <w:pPr>
        <w:numPr>
          <w:ilvl w:val="0"/>
          <w:numId w:val="0"/>
        </w:numPr>
        <w:tabs>
          <w:tab w:val="left" w:pos="1080"/>
        </w:tabs>
        <w:snapToGrid w:val="0"/>
        <w:spacing w:line="360" w:lineRule="auto"/>
        <w:ind w:left="357" w:leftChars="0"/>
        <w:rPr>
          <w:rFonts w:hint="eastAsia"/>
          <w:color w:val="auto"/>
          <w:sz w:val="24"/>
          <w:highlight w:val="none"/>
        </w:rPr>
      </w:pPr>
      <w:r>
        <w:rPr>
          <w:rFonts w:hint="eastAsia"/>
          <w:color w:val="auto"/>
          <w:sz w:val="24"/>
          <w:highlight w:val="none"/>
          <w:lang w:val="en-US" w:eastAsia="zh-CN"/>
        </w:rPr>
        <w:t>④</w:t>
      </w:r>
      <w:r>
        <w:rPr>
          <w:rFonts w:hint="eastAsia"/>
          <w:color w:val="auto"/>
          <w:sz w:val="24"/>
          <w:highlight w:val="none"/>
        </w:rPr>
        <w:t>评审委员会基于专业判断，认为供应商报价过低，有可能影响产品质量或者不能诚信履约的其他情形。</w:t>
      </w:r>
    </w:p>
    <w:p w14:paraId="032F528E">
      <w:pPr>
        <w:numPr>
          <w:ilvl w:val="2"/>
          <w:numId w:val="12"/>
        </w:numPr>
        <w:tabs>
          <w:tab w:val="left" w:pos="1080"/>
          <w:tab w:val="clear" w:pos="1980"/>
        </w:tabs>
        <w:snapToGrid w:val="0"/>
        <w:spacing w:line="360" w:lineRule="auto"/>
        <w:ind w:left="1980" w:leftChars="0" w:hanging="900" w:firstLineChars="0"/>
        <w:rPr>
          <w:rFonts w:hint="eastAsia"/>
          <w:sz w:val="24"/>
        </w:rPr>
      </w:pPr>
      <w:r>
        <w:rPr>
          <w:rFonts w:hint="eastAsia"/>
          <w:sz w:val="24"/>
          <w:lang w:val="en-US" w:eastAsia="zh-CN"/>
        </w:rPr>
        <w:t>评审委员会启动异常低价投标（响应）审查后，属于前述第①项至第④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响应）文件一并提交相关书面说明及必要的证明材料的，在评审现场可不再重复提交。</w:t>
      </w:r>
    </w:p>
    <w:p w14:paraId="0FF810AF">
      <w:pPr>
        <w:numPr>
          <w:ilvl w:val="2"/>
          <w:numId w:val="12"/>
        </w:numPr>
        <w:tabs>
          <w:tab w:val="left" w:pos="1080"/>
          <w:tab w:val="clear" w:pos="1980"/>
        </w:tabs>
        <w:snapToGrid w:val="0"/>
        <w:spacing w:line="360" w:lineRule="auto"/>
        <w:ind w:left="1980" w:leftChars="0" w:hanging="900" w:firstLineChars="0"/>
        <w:rPr>
          <w:rFonts w:hint="default"/>
          <w:sz w:val="24"/>
          <w:lang w:val="en-US" w:eastAsia="zh-CN"/>
        </w:rPr>
      </w:pPr>
      <w:r>
        <w:rPr>
          <w:rFonts w:hint="eastAsia"/>
          <w:sz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rFonts w:hint="eastAsia"/>
          <w:b/>
          <w:bCs/>
          <w:sz w:val="24"/>
          <w:lang w:val="en-US" w:eastAsia="zh-CN"/>
        </w:rPr>
        <w:t>无效投标（响应）处理。</w:t>
      </w:r>
    </w:p>
    <w:p w14:paraId="7766872C">
      <w:pPr>
        <w:numPr>
          <w:ilvl w:val="2"/>
          <w:numId w:val="12"/>
        </w:numPr>
        <w:tabs>
          <w:tab w:val="left" w:pos="1080"/>
          <w:tab w:val="clear" w:pos="1980"/>
        </w:tabs>
        <w:snapToGrid w:val="0"/>
        <w:spacing w:line="360" w:lineRule="auto"/>
        <w:ind w:left="1980" w:leftChars="0" w:hanging="900" w:firstLineChars="0"/>
        <w:rPr>
          <w:rFonts w:hint="default" w:ascii="宋体" w:hAnsi="宋体" w:eastAsia="宋体" w:cs="宋体"/>
          <w:i w:val="0"/>
          <w:iCs w:val="0"/>
          <w:caps w:val="0"/>
          <w:color w:val="000000"/>
          <w:spacing w:val="0"/>
          <w:kern w:val="0"/>
          <w:sz w:val="24"/>
          <w:szCs w:val="24"/>
          <w:highlight w:val="none"/>
          <w:shd w:val="clear" w:fill="FFFFFF"/>
          <w:vertAlign w:val="baseline"/>
          <w:lang w:val="en-US" w:eastAsia="zh-CN" w:bidi="ar"/>
        </w:rPr>
      </w:pPr>
      <w:r>
        <w:rPr>
          <w:rFonts w:hint="eastAsia"/>
          <w:sz w:val="24"/>
        </w:rPr>
        <w:t>上述投标（响应）报价指按照本章2.4修正后的报价。</w:t>
      </w:r>
    </w:p>
    <w:p w14:paraId="2D1A2FD2">
      <w:pPr>
        <w:numPr>
          <w:ilvl w:val="1"/>
          <w:numId w:val="12"/>
        </w:numPr>
        <w:tabs>
          <w:tab w:val="left" w:pos="1080"/>
        </w:tabs>
        <w:snapToGrid w:val="0"/>
        <w:spacing w:line="480" w:lineRule="auto"/>
        <w:ind w:left="1077" w:hanging="720"/>
        <w:rPr>
          <w:color w:val="auto"/>
          <w:sz w:val="24"/>
          <w:highlight w:val="none"/>
        </w:rPr>
      </w:pPr>
      <w:r>
        <w:rPr>
          <w:color w:val="auto"/>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color w:val="auto"/>
          <w:sz w:val="24"/>
          <w:highlight w:val="none"/>
        </w:rPr>
        <w:t>投标无效</w:t>
      </w:r>
      <w:r>
        <w:rPr>
          <w:color w:val="auto"/>
          <w:sz w:val="24"/>
          <w:highlight w:val="none"/>
        </w:rPr>
        <w:t>。</w:t>
      </w:r>
    </w:p>
    <w:p w14:paraId="7096AE45">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投标文件报价出现前后不一致的，按照下列规定修正：</w:t>
      </w:r>
    </w:p>
    <w:p w14:paraId="14565601">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招标文件对于报价修正是否另有规定：</w:t>
      </w:r>
    </w:p>
    <w:p w14:paraId="33AE00AF">
      <w:pPr>
        <w:tabs>
          <w:tab w:val="left" w:pos="1080"/>
          <w:tab w:val="left" w:pos="1589"/>
          <w:tab w:val="left" w:pos="2035"/>
          <w:tab w:val="left" w:pos="2114"/>
        </w:tabs>
        <w:snapToGrid w:val="0"/>
        <w:spacing w:line="360" w:lineRule="auto"/>
        <w:ind w:left="2035"/>
        <w:rPr>
          <w:color w:val="auto"/>
          <w:sz w:val="24"/>
          <w:highlight w:val="none"/>
          <w:u w:val="single"/>
        </w:rPr>
      </w:pPr>
      <w:r>
        <w:rPr>
          <w:rFonts w:hint="eastAsia"/>
          <w:color w:val="auto"/>
          <w:sz w:val="24"/>
          <w:highlight w:val="none"/>
          <w:lang w:eastAsia="zh-CN"/>
        </w:rPr>
        <w:t>□</w:t>
      </w:r>
      <w:r>
        <w:rPr>
          <w:color w:val="auto"/>
          <w:sz w:val="24"/>
          <w:highlight w:val="none"/>
        </w:rPr>
        <w:t>有，具体规定为：______________</w:t>
      </w:r>
    </w:p>
    <w:p w14:paraId="1C395D1E">
      <w:pPr>
        <w:tabs>
          <w:tab w:val="left" w:pos="1080"/>
          <w:tab w:val="left" w:pos="1589"/>
          <w:tab w:val="left" w:pos="2035"/>
          <w:tab w:val="left" w:pos="2114"/>
        </w:tabs>
        <w:snapToGrid w:val="0"/>
        <w:spacing w:line="360" w:lineRule="auto"/>
        <w:ind w:left="2035"/>
        <w:rPr>
          <w:color w:val="auto"/>
          <w:sz w:val="24"/>
          <w:highlight w:val="none"/>
        </w:rPr>
      </w:pPr>
      <w:r>
        <w:rPr>
          <w:rFonts w:hint="eastAsia" w:ascii="宋体" w:hAnsi="宋体" w:cs="宋体"/>
          <w:color w:val="auto"/>
          <w:sz w:val="24"/>
          <w:szCs w:val="32"/>
          <w:highlight w:val="none"/>
        </w:rPr>
        <w:t>■</w:t>
      </w:r>
      <w:r>
        <w:rPr>
          <w:color w:val="auto"/>
          <w:sz w:val="24"/>
          <w:highlight w:val="none"/>
        </w:rPr>
        <w:t>无，按下述2.4.2-2.4.7项规定修正。</w:t>
      </w:r>
    </w:p>
    <w:p w14:paraId="214DCCD0">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单独递交的开标一览表（报价表）与投标文件中开标一览表（报价表）内容不一致的，以单独递交的开标一览表（报价表）为准；</w:t>
      </w:r>
    </w:p>
    <w:p w14:paraId="490D1240">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投标文件中开标一览表（报价表）内容与投标文件中相应内容不一致的，以开标一览表（报价表）为准；</w:t>
      </w:r>
    </w:p>
    <w:p w14:paraId="10BB83F2">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大写金额和小写金额不一致的，以大写金额为准；</w:t>
      </w:r>
    </w:p>
    <w:p w14:paraId="731D9F62">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单价金额小数点或者百分比有明显错位的，以开标一览表的总价为准，并修改单价；</w:t>
      </w:r>
    </w:p>
    <w:p w14:paraId="17BD0E36">
      <w:pPr>
        <w:numPr>
          <w:ilvl w:val="2"/>
          <w:numId w:val="12"/>
        </w:numPr>
        <w:tabs>
          <w:tab w:val="left" w:pos="2035"/>
          <w:tab w:val="left" w:pos="2114"/>
          <w:tab w:val="left" w:pos="2977"/>
        </w:tabs>
        <w:snapToGrid w:val="0"/>
        <w:spacing w:line="360" w:lineRule="auto"/>
        <w:ind w:left="2035"/>
        <w:rPr>
          <w:color w:val="auto"/>
          <w:sz w:val="24"/>
          <w:highlight w:val="none"/>
        </w:rPr>
      </w:pPr>
      <w:r>
        <w:rPr>
          <w:color w:val="auto"/>
          <w:sz w:val="24"/>
          <w:highlight w:val="none"/>
        </w:rPr>
        <w:t>总价金额与按单价汇总金额不一致的，以单价金额计算结果为准。</w:t>
      </w:r>
    </w:p>
    <w:p w14:paraId="57CFC445">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同时出现两种以上不一致的，按照前款规定的顺序修正。</w:t>
      </w:r>
    </w:p>
    <w:p w14:paraId="18F00547">
      <w:pPr>
        <w:numPr>
          <w:ilvl w:val="2"/>
          <w:numId w:val="12"/>
        </w:numPr>
        <w:tabs>
          <w:tab w:val="left" w:pos="1080"/>
          <w:tab w:val="left" w:pos="1589"/>
          <w:tab w:val="left" w:pos="2035"/>
          <w:tab w:val="left" w:pos="2114"/>
        </w:tabs>
        <w:snapToGrid w:val="0"/>
        <w:spacing w:line="360" w:lineRule="auto"/>
        <w:ind w:left="2035"/>
        <w:rPr>
          <w:color w:val="auto"/>
          <w:sz w:val="24"/>
          <w:highlight w:val="none"/>
        </w:rPr>
      </w:pPr>
      <w:r>
        <w:rPr>
          <w:color w:val="auto"/>
          <w:sz w:val="24"/>
          <w:highlight w:val="none"/>
        </w:rPr>
        <w:t>修正后的报价经投标人书面确认后产生约束力，投标人不确认的，其</w:t>
      </w:r>
      <w:r>
        <w:rPr>
          <w:b/>
          <w:color w:val="auto"/>
          <w:sz w:val="24"/>
          <w:highlight w:val="none"/>
        </w:rPr>
        <w:t>投标无效</w:t>
      </w:r>
      <w:r>
        <w:rPr>
          <w:color w:val="auto"/>
          <w:sz w:val="24"/>
          <w:highlight w:val="none"/>
        </w:rPr>
        <w:t>。</w:t>
      </w:r>
    </w:p>
    <w:p w14:paraId="40373B76">
      <w:pPr>
        <w:numPr>
          <w:ilvl w:val="1"/>
          <w:numId w:val="12"/>
        </w:numPr>
        <w:tabs>
          <w:tab w:val="left" w:pos="1080"/>
        </w:tabs>
        <w:snapToGrid w:val="0"/>
        <w:spacing w:line="360" w:lineRule="auto"/>
        <w:ind w:left="1077" w:hanging="720"/>
        <w:rPr>
          <w:color w:val="auto"/>
          <w:sz w:val="24"/>
          <w:highlight w:val="none"/>
        </w:rPr>
      </w:pPr>
      <w:r>
        <w:rPr>
          <w:rFonts w:hint="eastAsia"/>
          <w:color w:val="auto"/>
          <w:sz w:val="24"/>
          <w:highlight w:val="none"/>
        </w:rPr>
        <w:t>支持中小企业政府采购政策的价格调整：只有符合第二章《投标人须知》5.3条规定情形的，可以享受中小企业扶持政策，用扣除后的价格参加评审；否则，评标时价格不予扣除。</w:t>
      </w:r>
    </w:p>
    <w:p w14:paraId="0FB99D85">
      <w:pPr>
        <w:numPr>
          <w:ilvl w:val="2"/>
          <w:numId w:val="12"/>
        </w:numPr>
        <w:tabs>
          <w:tab w:val="left" w:pos="1080"/>
          <w:tab w:val="left" w:pos="1589"/>
          <w:tab w:val="left" w:pos="2035"/>
        </w:tabs>
        <w:snapToGrid w:val="0"/>
        <w:spacing w:line="360" w:lineRule="auto"/>
        <w:ind w:left="2035"/>
        <w:rPr>
          <w:b/>
          <w:bCs/>
          <w:color w:val="auto"/>
          <w:sz w:val="24"/>
          <w:highlight w:val="none"/>
        </w:rPr>
      </w:pPr>
      <w:r>
        <w:rPr>
          <w:b/>
          <w:bCs/>
          <w:color w:val="auto"/>
          <w:sz w:val="24"/>
          <w:highlight w:val="none"/>
        </w:rPr>
        <w:t>对于未预留份额专门面向中小企业采购的采购项目，以及预留份额项目中的非预留部分采购包，对小微企业报价给予</w:t>
      </w:r>
      <w:r>
        <w:rPr>
          <w:rFonts w:hint="eastAsia"/>
          <w:b/>
          <w:bCs/>
          <w:color w:val="auto"/>
          <w:sz w:val="24"/>
          <w:highlight w:val="none"/>
          <w:u w:val="single"/>
          <w:lang w:val="en-US" w:eastAsia="zh-CN"/>
        </w:rPr>
        <w:t>10</w:t>
      </w:r>
      <w:r>
        <w:rPr>
          <w:b/>
          <w:bCs/>
          <w:color w:val="auto"/>
          <w:sz w:val="24"/>
          <w:highlight w:val="none"/>
        </w:rPr>
        <w:t>%的扣除，用扣除后的价格参加评审。</w:t>
      </w:r>
    </w:p>
    <w:p w14:paraId="1ED8914A">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color w:val="auto"/>
          <w:sz w:val="24"/>
          <w:highlight w:val="none"/>
          <w:u w:val="single"/>
          <w:lang w:val="en-US" w:eastAsia="zh-CN"/>
        </w:rPr>
        <w:t>4</w:t>
      </w:r>
      <w:r>
        <w:rPr>
          <w:color w:val="auto"/>
          <w:sz w:val="24"/>
          <w:highlight w:val="none"/>
        </w:rPr>
        <w:t>的扣除，用扣除后的价格参加评审。</w:t>
      </w:r>
    </w:p>
    <w:p w14:paraId="4AB9C9C8">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组成联合体或者接受分包的小微企业与联合体内其他企业、分包企业之间存在直接控股、管理关系的，不享受价格扣除优惠政策。</w:t>
      </w:r>
    </w:p>
    <w:p w14:paraId="3E5D8EF3">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价格扣除比例对小型企业和微型企业同等对待，不作区分。</w:t>
      </w:r>
    </w:p>
    <w:p w14:paraId="3E20A3EF">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中小企业参加政府采购活动，应当按照招标文件给定的格式出具《中小企业声明函》，否则不得享受相关中小企业扶持政策。</w:t>
      </w:r>
    </w:p>
    <w:p w14:paraId="5F093929">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监狱企业提供了由省级以上监狱管理局、戒毒管理局（含新疆生产建设兵团）出具的属于监狱企业的证明文件的，视同小微企业。</w:t>
      </w:r>
    </w:p>
    <w:p w14:paraId="63429D80">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残疾人福利性单位按招标文件要求提供了《残疾人福利性单位声明函》的，视同小微企业。</w:t>
      </w:r>
    </w:p>
    <w:p w14:paraId="57AB5296">
      <w:pPr>
        <w:numPr>
          <w:ilvl w:val="2"/>
          <w:numId w:val="12"/>
        </w:numPr>
        <w:tabs>
          <w:tab w:val="left" w:pos="1080"/>
          <w:tab w:val="left" w:pos="1589"/>
          <w:tab w:val="left" w:pos="2014"/>
          <w:tab w:val="clear" w:pos="1980"/>
        </w:tabs>
        <w:snapToGrid w:val="0"/>
        <w:spacing w:line="360" w:lineRule="auto"/>
        <w:ind w:left="2035"/>
        <w:rPr>
          <w:color w:val="auto"/>
          <w:sz w:val="24"/>
          <w:highlight w:val="none"/>
        </w:rPr>
      </w:pPr>
      <w:r>
        <w:rPr>
          <w:color w:val="auto"/>
          <w:sz w:val="24"/>
          <w:highlight w:val="none"/>
        </w:rPr>
        <w:t>若投标人同时属于小型或微型企业、监狱企业、残疾人福利性单位中的两种及以上，将不重复享受小微企业价格扣减的优惠政策。</w:t>
      </w:r>
    </w:p>
    <w:p w14:paraId="49DE10FA">
      <w:pPr>
        <w:numPr>
          <w:ilvl w:val="1"/>
          <w:numId w:val="12"/>
        </w:numPr>
        <w:tabs>
          <w:tab w:val="left" w:pos="1080"/>
          <w:tab w:val="left" w:pos="2014"/>
        </w:tabs>
        <w:snapToGrid w:val="0"/>
        <w:spacing w:line="360" w:lineRule="auto"/>
        <w:ind w:left="1468" w:leftChars="0" w:hanging="900" w:firstLineChars="0"/>
        <w:rPr>
          <w:color w:val="auto"/>
          <w:sz w:val="24"/>
          <w:highlight w:val="none"/>
        </w:rPr>
      </w:pPr>
      <w:r>
        <w:rPr>
          <w:rFonts w:hint="eastAsia"/>
          <w:sz w:val="24"/>
        </w:rPr>
        <w:t>支持本国产品政府采购</w:t>
      </w:r>
      <w:r>
        <w:rPr>
          <w:sz w:val="24"/>
        </w:rPr>
        <w:t>的价格调整：只有符合第二章《投标人须知》5.2条规定情形的，可以享受</w:t>
      </w:r>
      <w:r>
        <w:rPr>
          <w:rFonts w:hint="eastAsia"/>
          <w:sz w:val="24"/>
        </w:rPr>
        <w:t>本国产品支持</w:t>
      </w:r>
      <w:r>
        <w:rPr>
          <w:sz w:val="24"/>
        </w:rPr>
        <w:t>政策，用扣除后的价格参加评审；否则，评标时价格不予扣除。</w:t>
      </w:r>
    </w:p>
    <w:p w14:paraId="4AE6D991">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394725BC">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C182F28">
      <w:pPr>
        <w:numPr>
          <w:ilvl w:val="2"/>
          <w:numId w:val="12"/>
        </w:numPr>
        <w:tabs>
          <w:tab w:val="left" w:pos="1080"/>
          <w:tab w:val="left" w:pos="1589"/>
          <w:tab w:val="left" w:pos="2014"/>
          <w:tab w:val="clear" w:pos="1980"/>
        </w:tabs>
        <w:snapToGrid w:val="0"/>
        <w:spacing w:line="360" w:lineRule="auto"/>
        <w:ind w:left="2035"/>
        <w:rPr>
          <w:color w:val="auto"/>
          <w:sz w:val="24"/>
          <w:highlight w:val="none"/>
        </w:rPr>
      </w:pPr>
      <w:r>
        <w:rPr>
          <w:rFonts w:hint="eastAsia"/>
          <w:sz w:val="24"/>
        </w:rPr>
        <w:t>供应商提供本国产品参加政府采购活动的，</w:t>
      </w:r>
      <w:r>
        <w:rPr>
          <w:sz w:val="24"/>
        </w:rPr>
        <w:t>应当按照招标文件给定的格式出具《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14:paraId="33D4E0C6">
      <w:pPr>
        <w:numPr>
          <w:ilvl w:val="0"/>
          <w:numId w:val="12"/>
        </w:numPr>
        <w:tabs>
          <w:tab w:val="left" w:pos="360"/>
        </w:tabs>
        <w:snapToGrid w:val="0"/>
        <w:spacing w:line="360" w:lineRule="auto"/>
        <w:outlineLvl w:val="1"/>
        <w:rPr>
          <w:color w:val="auto"/>
          <w:sz w:val="24"/>
          <w:highlight w:val="none"/>
        </w:rPr>
      </w:pPr>
      <w:r>
        <w:rPr>
          <w:color w:val="auto"/>
          <w:sz w:val="24"/>
          <w:highlight w:val="none"/>
        </w:rPr>
        <w:t>投标文件的比较和评价</w:t>
      </w:r>
    </w:p>
    <w:p w14:paraId="3D7911B0">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评标委员会将按照招标文件中规定的评标方法和标准，对符合性审查合格的投标文件进行商务和技术评估，综合比较与评价；未通过符合性审查的投标文件不得进入比较与评价。</w:t>
      </w:r>
    </w:p>
    <w:p w14:paraId="615C444B">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评标方法和评标标准</w:t>
      </w:r>
    </w:p>
    <w:p w14:paraId="5BE2CB3C">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本项目采用的评标方法为：</w:t>
      </w:r>
    </w:p>
    <w:p w14:paraId="35E06C0C">
      <w:pPr>
        <w:tabs>
          <w:tab w:val="left" w:pos="900"/>
          <w:tab w:val="left" w:pos="1589"/>
          <w:tab w:val="left" w:pos="1701"/>
        </w:tabs>
        <w:snapToGrid w:val="0"/>
        <w:spacing w:line="360" w:lineRule="auto"/>
        <w:ind w:left="1985"/>
        <w:rPr>
          <w:color w:val="auto"/>
          <w:sz w:val="24"/>
          <w:highlight w:val="none"/>
        </w:rPr>
      </w:pPr>
      <w:r>
        <w:rPr>
          <w:rFonts w:hint="eastAsia" w:ascii="宋体" w:hAnsi="宋体" w:cs="宋体"/>
          <w:color w:val="auto"/>
          <w:sz w:val="24"/>
          <w:szCs w:val="32"/>
          <w:highlight w:val="none"/>
        </w:rPr>
        <w:t>■</w:t>
      </w:r>
      <w:r>
        <w:rPr>
          <w:color w:val="auto"/>
          <w:sz w:val="24"/>
          <w:highlight w:val="none"/>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30B019AD">
      <w:pPr>
        <w:tabs>
          <w:tab w:val="left" w:pos="900"/>
          <w:tab w:val="left" w:pos="1589"/>
          <w:tab w:val="left" w:pos="1701"/>
        </w:tabs>
        <w:snapToGrid w:val="0"/>
        <w:spacing w:line="360" w:lineRule="auto"/>
        <w:ind w:left="1985"/>
        <w:rPr>
          <w:color w:val="auto"/>
          <w:sz w:val="24"/>
          <w:highlight w:val="none"/>
        </w:rPr>
      </w:pPr>
      <w:r>
        <w:rPr>
          <w:color w:val="auto"/>
          <w:sz w:val="24"/>
          <w:highlight w:val="none"/>
        </w:rPr>
        <w:t>□最低评标价法，指投标文件满足招标文件全部实质性要求，且投标报价最低的投标人为中标候选人的评标方法。</w:t>
      </w:r>
    </w:p>
    <w:p w14:paraId="4E88EE2A">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color w:val="auto"/>
          <w:sz w:val="24"/>
          <w:highlight w:val="none"/>
        </w:rPr>
        <w:t>投标无效</w:t>
      </w:r>
      <w:r>
        <w:rPr>
          <w:color w:val="auto"/>
          <w:sz w:val="24"/>
          <w:highlight w:val="none"/>
        </w:rPr>
        <w:t>。</w:t>
      </w:r>
    </w:p>
    <w:p w14:paraId="615E9EB3">
      <w:pPr>
        <w:tabs>
          <w:tab w:val="left" w:pos="1080"/>
          <w:tab w:val="left" w:pos="1589"/>
          <w:tab w:val="left" w:pos="2035"/>
        </w:tabs>
        <w:snapToGrid w:val="0"/>
        <w:spacing w:line="360" w:lineRule="auto"/>
        <w:ind w:left="2035"/>
        <w:rPr>
          <w:color w:val="auto"/>
          <w:sz w:val="24"/>
          <w:highlight w:val="none"/>
        </w:rPr>
      </w:pPr>
      <w:r>
        <w:rPr>
          <w:color w:val="auto"/>
          <w:sz w:val="24"/>
          <w:highlight w:val="none"/>
        </w:rPr>
        <w:t>□随机抽取</w:t>
      </w:r>
    </w:p>
    <w:p w14:paraId="6B3CAF32">
      <w:pPr>
        <w:tabs>
          <w:tab w:val="left" w:pos="1080"/>
          <w:tab w:val="left" w:pos="1589"/>
          <w:tab w:val="left" w:pos="2035"/>
        </w:tabs>
        <w:snapToGrid w:val="0"/>
        <w:spacing w:line="360" w:lineRule="auto"/>
        <w:ind w:left="2035"/>
        <w:rPr>
          <w:color w:val="auto"/>
          <w:sz w:val="24"/>
          <w:highlight w:val="none"/>
          <w:u w:val="single"/>
        </w:rPr>
      </w:pPr>
      <w:r>
        <w:rPr>
          <w:color w:val="auto"/>
          <w:sz w:val="24"/>
          <w:highlight w:val="none"/>
        </w:rPr>
        <w:t>□其他方式，具体要求：_____</w:t>
      </w:r>
    </w:p>
    <w:p w14:paraId="0972DDC2">
      <w:pPr>
        <w:numPr>
          <w:ilvl w:val="2"/>
          <w:numId w:val="12"/>
        </w:numPr>
        <w:tabs>
          <w:tab w:val="left" w:pos="1080"/>
          <w:tab w:val="left" w:pos="1589"/>
          <w:tab w:val="left" w:pos="2035"/>
        </w:tabs>
        <w:snapToGrid w:val="0"/>
        <w:spacing w:line="360" w:lineRule="auto"/>
        <w:ind w:left="2035"/>
        <w:rPr>
          <w:color w:val="auto"/>
          <w:sz w:val="24"/>
          <w:highlight w:val="none"/>
        </w:rPr>
      </w:pPr>
      <w:r>
        <w:rPr>
          <w:color w:val="auto"/>
          <w:sz w:val="24"/>
          <w:highlight w:val="none"/>
        </w:rPr>
        <w:t>非政府强制采购的节能产品或环境标志产品，依据品目清单和认证证书实施政府优先采购。优先采购的具体规定（如涉及）___</w:t>
      </w:r>
      <w:r>
        <w:rPr>
          <w:rFonts w:hint="eastAsia"/>
          <w:color w:val="auto"/>
          <w:sz w:val="24"/>
          <w:highlight w:val="none"/>
          <w:lang w:val="en-US" w:eastAsia="zh-CN"/>
        </w:rPr>
        <w:t>/</w:t>
      </w:r>
      <w:r>
        <w:rPr>
          <w:color w:val="auto"/>
          <w:sz w:val="24"/>
          <w:highlight w:val="none"/>
        </w:rPr>
        <w:t>。</w:t>
      </w:r>
    </w:p>
    <w:p w14:paraId="27CD0879">
      <w:pPr>
        <w:numPr>
          <w:ilvl w:val="0"/>
          <w:numId w:val="12"/>
        </w:numPr>
        <w:tabs>
          <w:tab w:val="left" w:pos="360"/>
        </w:tabs>
        <w:snapToGrid w:val="0"/>
        <w:spacing w:line="360" w:lineRule="auto"/>
        <w:outlineLvl w:val="1"/>
        <w:rPr>
          <w:color w:val="auto"/>
          <w:sz w:val="24"/>
          <w:highlight w:val="none"/>
        </w:rPr>
      </w:pPr>
      <w:r>
        <w:rPr>
          <w:color w:val="auto"/>
          <w:sz w:val="24"/>
          <w:highlight w:val="none"/>
        </w:rPr>
        <w:t>确定</w:t>
      </w:r>
      <w:bookmarkStart w:id="785" w:name="_Toc164229241"/>
      <w:bookmarkStart w:id="786" w:name="_Toc226965819"/>
      <w:bookmarkStart w:id="787" w:name="_Toc520356170"/>
      <w:bookmarkStart w:id="788" w:name="_Toc164229387"/>
      <w:bookmarkStart w:id="789" w:name="_Toc226965736"/>
      <w:bookmarkStart w:id="790" w:name="_Toc151193860"/>
      <w:bookmarkStart w:id="791" w:name="_Ref467307010"/>
      <w:bookmarkStart w:id="792" w:name="_Toc164608660"/>
      <w:bookmarkStart w:id="793" w:name="_Toc305158888"/>
      <w:bookmarkStart w:id="794" w:name="_Toc150774751"/>
      <w:bookmarkStart w:id="795" w:name="_Toc195842911"/>
      <w:bookmarkStart w:id="796" w:name="_Toc151193788"/>
      <w:bookmarkStart w:id="797" w:name="_Toc127151747"/>
      <w:bookmarkStart w:id="798" w:name="_Toc164351640"/>
      <w:bookmarkStart w:id="799" w:name="_Toc151193644"/>
      <w:bookmarkStart w:id="800" w:name="_Toc226309790"/>
      <w:bookmarkStart w:id="801" w:name="_Toc150509297"/>
      <w:bookmarkStart w:id="802" w:name="_Toc305158814"/>
      <w:bookmarkStart w:id="803" w:name="_Toc142311048"/>
      <w:bookmarkStart w:id="804" w:name="_Toc151193934"/>
      <w:bookmarkStart w:id="805" w:name="_Toc127161460"/>
      <w:bookmarkStart w:id="806" w:name="_Toc265228384"/>
      <w:bookmarkStart w:id="807" w:name="_Toc226337242"/>
      <w:bookmarkStart w:id="808" w:name="_Toc150480784"/>
      <w:bookmarkStart w:id="809" w:name="_Toc264969236"/>
      <w:bookmarkStart w:id="810" w:name="_Toc149720839"/>
      <w:bookmarkStart w:id="811" w:name="_Toc164608815"/>
      <w:bookmarkStart w:id="812" w:name="_Toc151193716"/>
      <w:bookmarkStart w:id="813" w:name="_Toc150774646"/>
      <w:bookmarkStart w:id="814" w:name="_Toc151190173"/>
      <w:bookmarkStart w:id="815" w:name="_Toc127151546"/>
      <w:r>
        <w:rPr>
          <w:color w:val="auto"/>
          <w:sz w:val="24"/>
          <w:highlight w:val="none"/>
        </w:rPr>
        <w:t>中标候选人名单</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2120F5DE">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A0C9493">
      <w:pPr>
        <w:pStyle w:val="23"/>
        <w:tabs>
          <w:tab w:val="left" w:pos="900"/>
          <w:tab w:val="left" w:pos="2127"/>
        </w:tabs>
        <w:adjustRightInd w:val="0"/>
        <w:snapToGrid w:val="0"/>
        <w:spacing w:line="360" w:lineRule="auto"/>
        <w:ind w:left="993" w:firstLine="136" w:firstLineChars="57"/>
        <w:rPr>
          <w:rFonts w:hint="default" w:ascii="Times New Roman" w:hAnsi="Times New Roman"/>
          <w:color w:val="auto"/>
          <w:sz w:val="24"/>
          <w:szCs w:val="24"/>
          <w:highlight w:val="none"/>
        </w:rPr>
      </w:pPr>
      <w:r>
        <w:rPr>
          <w:rFonts w:hint="default" w:ascii="Times New Roman" w:hAnsi="Times New Roman"/>
          <w:color w:val="auto"/>
          <w:sz w:val="24"/>
          <w:szCs w:val="24"/>
          <w:highlight w:val="none"/>
        </w:rPr>
        <w:t>□随机抽取</w:t>
      </w:r>
    </w:p>
    <w:p w14:paraId="4F6599F7">
      <w:pPr>
        <w:pStyle w:val="23"/>
        <w:tabs>
          <w:tab w:val="left" w:pos="900"/>
          <w:tab w:val="left" w:pos="2127"/>
        </w:tabs>
        <w:adjustRightInd w:val="0"/>
        <w:snapToGrid w:val="0"/>
        <w:spacing w:line="360" w:lineRule="auto"/>
        <w:ind w:left="993" w:firstLine="136" w:firstLineChars="57"/>
        <w:rPr>
          <w:rFonts w:hint="default" w:ascii="Times New Roman" w:hAnsi="Times New Roman" w:eastAsia="宋体"/>
          <w:color w:val="auto"/>
          <w:sz w:val="24"/>
          <w:szCs w:val="24"/>
          <w:highlight w:val="none"/>
          <w:u w:val="single"/>
          <w:lang w:val="en-US" w:eastAsia="zh-CN"/>
        </w:rPr>
      </w:pPr>
      <w:r>
        <w:rPr>
          <w:rFonts w:hint="eastAsia" w:ascii="宋体" w:hAnsi="宋体" w:cs="宋体"/>
          <w:color w:val="auto"/>
          <w:sz w:val="24"/>
          <w:szCs w:val="32"/>
          <w:highlight w:val="none"/>
        </w:rPr>
        <w:t>■</w:t>
      </w:r>
      <w:r>
        <w:rPr>
          <w:rFonts w:hint="default" w:ascii="Times New Roman" w:hAnsi="Times New Roman"/>
          <w:color w:val="auto"/>
          <w:sz w:val="24"/>
          <w:szCs w:val="24"/>
          <w:highlight w:val="none"/>
        </w:rPr>
        <w:t>其他方式，具体要求：</w:t>
      </w:r>
      <w:r>
        <w:rPr>
          <w:rFonts w:hint="default" w:ascii="Times New Roman" w:hAnsi="Times New Roman"/>
          <w:color w:val="auto"/>
          <w:sz w:val="24"/>
          <w:szCs w:val="24"/>
          <w:highlight w:val="none"/>
          <w:u w:val="single"/>
        </w:rPr>
        <w:t>以报价低的优先，投标报价也相同的，以技术部分得分高者为中标人。</w:t>
      </w:r>
    </w:p>
    <w:p w14:paraId="1D5FF0DF">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03CBCD6A">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采用最低评标价法时，评标结果按本章2.4、2.5调整后的投标报价由低到高顺序排列。投标报价相同的并列。投标文件满足招标文件全部实质性要求且投标报价最低的投标人为排名第一的中标候选人。</w:t>
      </w:r>
    </w:p>
    <w:p w14:paraId="13D856C8">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评标委员会要对评分汇总情况进行复核，特别是对排名第一的、报价最低的、投标或响应文件被认定为无效的情形进行重点复核。</w:t>
      </w:r>
    </w:p>
    <w:p w14:paraId="1B8905BC">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评标委员会将根据各投标人的评标排序，依次推荐本项目（各采购包）的中标候选人，起草并签署评标报告。本项目（各采购包）评标委员会共（各）推荐</w:t>
      </w:r>
      <w:r>
        <w:rPr>
          <w:rFonts w:hint="eastAsia"/>
          <w:color w:val="auto"/>
          <w:sz w:val="24"/>
          <w:highlight w:val="none"/>
          <w:u w:val="single"/>
          <w:lang w:val="en-US" w:eastAsia="zh-CN"/>
        </w:rPr>
        <w:t>3</w:t>
      </w:r>
      <w:r>
        <w:rPr>
          <w:color w:val="auto"/>
          <w:sz w:val="24"/>
          <w:highlight w:val="none"/>
        </w:rPr>
        <w:t>名中标候选人。</w:t>
      </w:r>
    </w:p>
    <w:p w14:paraId="7523E431">
      <w:pPr>
        <w:numPr>
          <w:ilvl w:val="0"/>
          <w:numId w:val="12"/>
        </w:numPr>
        <w:tabs>
          <w:tab w:val="left" w:pos="360"/>
        </w:tabs>
        <w:snapToGrid w:val="0"/>
        <w:spacing w:line="360" w:lineRule="auto"/>
        <w:outlineLvl w:val="1"/>
        <w:rPr>
          <w:color w:val="auto"/>
          <w:sz w:val="24"/>
          <w:highlight w:val="none"/>
        </w:rPr>
      </w:pPr>
      <w:r>
        <w:rPr>
          <w:color w:val="auto"/>
          <w:sz w:val="24"/>
          <w:highlight w:val="none"/>
        </w:rPr>
        <w:t>报告违法行为</w:t>
      </w:r>
    </w:p>
    <w:p w14:paraId="7E9CA894">
      <w:pPr>
        <w:numPr>
          <w:ilvl w:val="1"/>
          <w:numId w:val="12"/>
        </w:numPr>
        <w:tabs>
          <w:tab w:val="left" w:pos="1080"/>
        </w:tabs>
        <w:snapToGrid w:val="0"/>
        <w:spacing w:line="360" w:lineRule="auto"/>
        <w:ind w:left="1077" w:hanging="720"/>
        <w:rPr>
          <w:color w:val="auto"/>
          <w:sz w:val="24"/>
          <w:highlight w:val="none"/>
        </w:rPr>
      </w:pPr>
      <w:r>
        <w:rPr>
          <w:color w:val="auto"/>
          <w:sz w:val="24"/>
          <w:highlight w:val="none"/>
        </w:rPr>
        <w:t>评标委员会在评标过程中发现投标人有行贿、提供虚假材料或者串通等违法行为时，有向采购人、采购代理机构或者有关部门报告的职责。</w:t>
      </w:r>
    </w:p>
    <w:p w14:paraId="2BA883A6">
      <w:pPr>
        <w:rPr>
          <w:b/>
          <w:color w:val="auto"/>
          <w:sz w:val="24"/>
          <w:highlight w:val="none"/>
        </w:rPr>
      </w:pPr>
      <w:r>
        <w:rPr>
          <w:b/>
          <w:color w:val="auto"/>
          <w:sz w:val="24"/>
          <w:highlight w:val="none"/>
        </w:rPr>
        <w:br w:type="page"/>
      </w:r>
    </w:p>
    <w:p w14:paraId="46547697">
      <w:pPr>
        <w:pStyle w:val="59"/>
      </w:pPr>
    </w:p>
    <w:p w14:paraId="5F2BBBA0">
      <w:pPr>
        <w:numPr>
          <w:ilvl w:val="0"/>
          <w:numId w:val="14"/>
        </w:numPr>
        <w:tabs>
          <w:tab w:val="left" w:pos="360"/>
          <w:tab w:val="left" w:pos="900"/>
        </w:tabs>
        <w:snapToGrid w:val="0"/>
        <w:spacing w:line="240" w:lineRule="auto"/>
        <w:jc w:val="center"/>
        <w:outlineLvl w:val="1"/>
        <w:rPr>
          <w:rFonts w:hint="eastAsia"/>
          <w:b/>
          <w:color w:val="auto"/>
          <w:sz w:val="24"/>
          <w:highlight w:val="none"/>
        </w:rPr>
      </w:pPr>
      <w:r>
        <w:rPr>
          <w:b/>
          <w:color w:val="auto"/>
          <w:sz w:val="24"/>
          <w:highlight w:val="none"/>
        </w:rPr>
        <w:t>评标标准</w:t>
      </w:r>
    </w:p>
    <w:tbl>
      <w:tblPr>
        <w:tblStyle w:val="46"/>
        <w:tblpPr w:leftFromText="180" w:rightFromText="180" w:vertAnchor="text" w:horzAnchor="page" w:tblpX="1261" w:tblpY="851"/>
        <w:tblOverlap w:val="never"/>
        <w:tblW w:w="10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66"/>
        <w:gridCol w:w="1033"/>
        <w:gridCol w:w="698"/>
        <w:gridCol w:w="6353"/>
        <w:gridCol w:w="750"/>
      </w:tblGrid>
      <w:tr w14:paraId="5AAE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27" w:type="dxa"/>
            <w:vAlign w:val="center"/>
          </w:tcPr>
          <w:p w14:paraId="0E54AFD7">
            <w:pPr>
              <w:spacing w:line="240" w:lineRule="auto"/>
              <w:ind w:firstLine="28"/>
              <w:rPr>
                <w:rFonts w:hint="eastAsia" w:ascii="宋体" w:hAnsi="宋体" w:eastAsia="宋体" w:cs="宋体"/>
                <w:b/>
                <w:sz w:val="18"/>
                <w:szCs w:val="18"/>
                <w:highlight w:val="none"/>
              </w:rPr>
            </w:pPr>
            <w:r>
              <w:rPr>
                <w:rFonts w:hint="eastAsia" w:ascii="宋体" w:hAnsi="宋体" w:eastAsia="宋体" w:cs="宋体"/>
                <w:b/>
                <w:sz w:val="18"/>
                <w:szCs w:val="18"/>
                <w:highlight w:val="none"/>
              </w:rPr>
              <w:t>序号</w:t>
            </w:r>
          </w:p>
        </w:tc>
        <w:tc>
          <w:tcPr>
            <w:tcW w:w="766" w:type="dxa"/>
            <w:vAlign w:val="center"/>
          </w:tcPr>
          <w:p w14:paraId="50A3EDE3">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评审部分</w:t>
            </w:r>
          </w:p>
        </w:tc>
        <w:tc>
          <w:tcPr>
            <w:tcW w:w="1033" w:type="dxa"/>
            <w:vAlign w:val="center"/>
          </w:tcPr>
          <w:p w14:paraId="79DA3B36">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评分因素</w:t>
            </w:r>
          </w:p>
        </w:tc>
        <w:tc>
          <w:tcPr>
            <w:tcW w:w="698" w:type="dxa"/>
            <w:vAlign w:val="center"/>
          </w:tcPr>
          <w:p w14:paraId="411BB3AE">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分值</w:t>
            </w:r>
          </w:p>
        </w:tc>
        <w:tc>
          <w:tcPr>
            <w:tcW w:w="6353" w:type="dxa"/>
            <w:vAlign w:val="center"/>
          </w:tcPr>
          <w:p w14:paraId="4FC22F8F">
            <w:pPr>
              <w:spacing w:line="240" w:lineRule="auto"/>
              <w:ind w:firstLine="28"/>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评分标准</w:t>
            </w:r>
          </w:p>
        </w:tc>
        <w:tc>
          <w:tcPr>
            <w:tcW w:w="750" w:type="dxa"/>
            <w:vAlign w:val="center"/>
          </w:tcPr>
          <w:p w14:paraId="643B85EA">
            <w:pPr>
              <w:spacing w:line="240" w:lineRule="auto"/>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说明</w:t>
            </w:r>
          </w:p>
        </w:tc>
      </w:tr>
      <w:tr w14:paraId="111F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527" w:type="dxa"/>
            <w:vMerge w:val="restart"/>
            <w:vAlign w:val="center"/>
          </w:tcPr>
          <w:p w14:paraId="66854B35">
            <w:pPr>
              <w:spacing w:line="240" w:lineRule="auto"/>
              <w:ind w:firstLine="28"/>
              <w:jc w:val="center"/>
              <w:rPr>
                <w:rFonts w:hint="default" w:ascii="宋体" w:hAnsi="宋体" w:cs="宋体"/>
                <w:b/>
                <w:sz w:val="18"/>
                <w:szCs w:val="18"/>
                <w:highlight w:val="none"/>
                <w:lang w:val="en-US" w:eastAsia="zh-CN"/>
              </w:rPr>
            </w:pPr>
            <w:r>
              <w:rPr>
                <w:rFonts w:hint="eastAsia" w:ascii="宋体" w:hAnsi="宋体" w:cs="宋体"/>
                <w:b/>
                <w:sz w:val="18"/>
                <w:szCs w:val="18"/>
                <w:highlight w:val="none"/>
                <w:lang w:val="en-US" w:eastAsia="zh-CN"/>
              </w:rPr>
              <w:t>1</w:t>
            </w:r>
          </w:p>
        </w:tc>
        <w:tc>
          <w:tcPr>
            <w:tcW w:w="766" w:type="dxa"/>
            <w:vMerge w:val="restart"/>
          </w:tcPr>
          <w:p w14:paraId="5112B61B">
            <w:pPr>
              <w:spacing w:line="240" w:lineRule="auto"/>
              <w:jc w:val="center"/>
              <w:rPr>
                <w:rFonts w:hint="eastAsia" w:ascii="宋体" w:hAnsi="宋体" w:cs="宋体"/>
                <w:sz w:val="18"/>
                <w:szCs w:val="18"/>
                <w:highlight w:val="green"/>
                <w:lang w:val="en-US" w:eastAsia="zh-CN"/>
              </w:rPr>
            </w:pPr>
          </w:p>
          <w:p w14:paraId="15C951C2">
            <w:pPr>
              <w:spacing w:line="240" w:lineRule="auto"/>
              <w:jc w:val="center"/>
              <w:rPr>
                <w:rFonts w:hint="eastAsia" w:ascii="宋体" w:hAnsi="宋体" w:cs="宋体"/>
                <w:sz w:val="18"/>
                <w:szCs w:val="18"/>
                <w:highlight w:val="green"/>
                <w:lang w:val="en-US" w:eastAsia="zh-CN"/>
              </w:rPr>
            </w:pPr>
          </w:p>
          <w:p w14:paraId="62196565">
            <w:pPr>
              <w:spacing w:line="240" w:lineRule="auto"/>
              <w:jc w:val="center"/>
              <w:rPr>
                <w:rFonts w:hint="eastAsia" w:ascii="宋体" w:hAnsi="宋体" w:cs="宋体"/>
                <w:sz w:val="18"/>
                <w:szCs w:val="18"/>
                <w:highlight w:val="green"/>
                <w:lang w:val="en-US" w:eastAsia="zh-CN"/>
              </w:rPr>
            </w:pPr>
          </w:p>
          <w:p w14:paraId="4F7CF745">
            <w:pPr>
              <w:spacing w:line="240" w:lineRule="auto"/>
              <w:jc w:val="center"/>
              <w:rPr>
                <w:rFonts w:hint="eastAsia" w:ascii="宋体" w:hAnsi="宋体" w:cs="宋体"/>
                <w:sz w:val="18"/>
                <w:szCs w:val="18"/>
                <w:highlight w:val="green"/>
                <w:lang w:val="en-US" w:eastAsia="zh-CN"/>
              </w:rPr>
            </w:pPr>
          </w:p>
          <w:p w14:paraId="66A69D38">
            <w:pPr>
              <w:spacing w:line="240" w:lineRule="auto"/>
              <w:jc w:val="center"/>
              <w:rPr>
                <w:rFonts w:hint="eastAsia" w:ascii="宋体" w:hAnsi="宋体" w:cs="宋体"/>
                <w:sz w:val="18"/>
                <w:szCs w:val="18"/>
                <w:highlight w:val="green"/>
                <w:lang w:val="en-US" w:eastAsia="zh-CN"/>
              </w:rPr>
            </w:pPr>
          </w:p>
          <w:p w14:paraId="2315EADC">
            <w:pPr>
              <w:spacing w:line="240" w:lineRule="auto"/>
              <w:jc w:val="center"/>
              <w:rPr>
                <w:rFonts w:hint="eastAsia" w:ascii="宋体" w:hAnsi="宋体" w:cs="宋体"/>
                <w:sz w:val="18"/>
                <w:szCs w:val="18"/>
                <w:highlight w:val="green"/>
                <w:lang w:val="en-US" w:eastAsia="zh-CN"/>
              </w:rPr>
            </w:pPr>
          </w:p>
          <w:p w14:paraId="2FE9523E">
            <w:pPr>
              <w:spacing w:line="240" w:lineRule="auto"/>
              <w:jc w:val="center"/>
              <w:rPr>
                <w:rFonts w:hint="eastAsia" w:ascii="宋体" w:hAnsi="宋体" w:cs="宋体"/>
                <w:sz w:val="18"/>
                <w:szCs w:val="18"/>
                <w:highlight w:val="green"/>
                <w:lang w:val="en-US" w:eastAsia="zh-CN"/>
              </w:rPr>
            </w:pPr>
          </w:p>
          <w:p w14:paraId="1C2F979C">
            <w:pPr>
              <w:spacing w:line="240" w:lineRule="auto"/>
              <w:jc w:val="center"/>
              <w:rPr>
                <w:rFonts w:hint="eastAsia" w:ascii="宋体" w:hAnsi="宋体" w:cs="宋体"/>
                <w:sz w:val="18"/>
                <w:szCs w:val="18"/>
                <w:highlight w:val="green"/>
                <w:lang w:val="en-US" w:eastAsia="zh-CN"/>
              </w:rPr>
            </w:pPr>
          </w:p>
          <w:p w14:paraId="27C1D2FD">
            <w:pPr>
              <w:spacing w:line="240" w:lineRule="auto"/>
              <w:jc w:val="center"/>
              <w:rPr>
                <w:rFonts w:hint="eastAsia" w:ascii="宋体" w:hAnsi="宋体" w:cs="宋体"/>
                <w:sz w:val="18"/>
                <w:szCs w:val="18"/>
                <w:highlight w:val="green"/>
                <w:lang w:val="en-US" w:eastAsia="zh-CN"/>
              </w:rPr>
            </w:pPr>
          </w:p>
          <w:p w14:paraId="759F19C0">
            <w:pPr>
              <w:pStyle w:val="58"/>
              <w:jc w:val="center"/>
              <w:rPr>
                <w:rFonts w:hint="eastAsia" w:ascii="宋体" w:hAnsi="宋体" w:cs="宋体"/>
                <w:sz w:val="18"/>
                <w:szCs w:val="18"/>
                <w:highlight w:val="green"/>
                <w:lang w:val="en-US" w:eastAsia="zh-CN"/>
              </w:rPr>
            </w:pPr>
          </w:p>
          <w:p w14:paraId="199E1E64">
            <w:pPr>
              <w:jc w:val="center"/>
              <w:rPr>
                <w:rFonts w:hint="eastAsia" w:ascii="宋体" w:hAnsi="宋体" w:cs="宋体"/>
                <w:sz w:val="18"/>
                <w:szCs w:val="18"/>
                <w:highlight w:val="green"/>
                <w:lang w:val="en-US" w:eastAsia="zh-CN"/>
              </w:rPr>
            </w:pPr>
          </w:p>
          <w:p w14:paraId="19783714">
            <w:pPr>
              <w:spacing w:line="240" w:lineRule="auto"/>
              <w:jc w:val="center"/>
              <w:rPr>
                <w:rFonts w:hint="eastAsia" w:ascii="宋体" w:hAnsi="宋体" w:cs="宋体"/>
                <w:sz w:val="18"/>
                <w:szCs w:val="18"/>
                <w:highlight w:val="none"/>
                <w:lang w:val="en-US" w:eastAsia="zh-CN"/>
              </w:rPr>
            </w:pPr>
          </w:p>
          <w:p w14:paraId="28BD7761">
            <w:pPr>
              <w:spacing w:line="240" w:lineRule="auto"/>
              <w:jc w:val="center"/>
              <w:rPr>
                <w:rFonts w:hint="eastAsia" w:ascii="宋体" w:hAnsi="宋体" w:cs="宋体"/>
                <w:sz w:val="18"/>
                <w:szCs w:val="18"/>
                <w:highlight w:val="green"/>
                <w:lang w:val="en-US" w:eastAsia="zh-CN"/>
              </w:rPr>
            </w:pPr>
            <w:r>
              <w:rPr>
                <w:rFonts w:hint="eastAsia" w:ascii="宋体" w:hAnsi="宋体" w:cs="宋体"/>
                <w:sz w:val="18"/>
                <w:szCs w:val="18"/>
                <w:highlight w:val="none"/>
                <w:lang w:val="en-US" w:eastAsia="zh-CN"/>
              </w:rPr>
              <w:t>技术部分（59分）</w:t>
            </w:r>
          </w:p>
        </w:tc>
        <w:tc>
          <w:tcPr>
            <w:tcW w:w="1033" w:type="dxa"/>
            <w:shd w:val="clear" w:color="auto" w:fill="auto"/>
            <w:vAlign w:val="center"/>
          </w:tcPr>
          <w:p w14:paraId="1F6971AB">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技术参数响应情况</w:t>
            </w:r>
          </w:p>
        </w:tc>
        <w:tc>
          <w:tcPr>
            <w:tcW w:w="698" w:type="dxa"/>
            <w:shd w:val="clear" w:color="auto" w:fill="auto"/>
            <w:vAlign w:val="center"/>
          </w:tcPr>
          <w:p w14:paraId="6C83A100">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27</w:t>
            </w:r>
          </w:p>
        </w:tc>
        <w:tc>
          <w:tcPr>
            <w:tcW w:w="6353" w:type="dxa"/>
            <w:shd w:val="clear" w:color="auto" w:fill="auto"/>
            <w:vAlign w:val="center"/>
          </w:tcPr>
          <w:p w14:paraId="0EC3298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完全满足</w:t>
            </w:r>
            <w:r>
              <w:rPr>
                <w:rFonts w:hint="eastAsia" w:ascii="宋体" w:hAnsi="宋体" w:cs="宋体"/>
                <w:color w:val="000000"/>
                <w:kern w:val="0"/>
                <w:sz w:val="21"/>
                <w:szCs w:val="21"/>
                <w:lang w:val="en-US" w:eastAsia="zh-CN" w:bidi="ar"/>
              </w:rPr>
              <w:t>招标</w:t>
            </w:r>
            <w:r>
              <w:rPr>
                <w:rFonts w:hint="eastAsia" w:ascii="宋体" w:hAnsi="宋体" w:eastAsia="宋体" w:cs="宋体"/>
                <w:color w:val="000000"/>
                <w:kern w:val="0"/>
                <w:sz w:val="21"/>
                <w:szCs w:val="21"/>
                <w:lang w:val="en-US" w:eastAsia="zh-CN" w:bidi="ar"/>
              </w:rPr>
              <w:t>文件采购需求中“技术功能参数”的得</w:t>
            </w:r>
            <w:r>
              <w:rPr>
                <w:rFonts w:hint="eastAsia" w:ascii="宋体" w:hAnsi="宋体" w:cs="宋体"/>
                <w:color w:val="000000"/>
                <w:kern w:val="0"/>
                <w:sz w:val="21"/>
                <w:szCs w:val="21"/>
                <w:lang w:val="en-US" w:eastAsia="zh-CN" w:bidi="ar"/>
              </w:rPr>
              <w:t>27</w:t>
            </w:r>
            <w:r>
              <w:rPr>
                <w:rFonts w:hint="eastAsia" w:ascii="宋体" w:hAnsi="宋体" w:eastAsia="宋体" w:cs="宋体"/>
                <w:color w:val="000000"/>
                <w:kern w:val="0"/>
                <w:sz w:val="21"/>
                <w:szCs w:val="21"/>
                <w:lang w:val="en-US" w:eastAsia="zh-CN" w:bidi="ar"/>
              </w:rPr>
              <w:t>分。评分细则如下：</w:t>
            </w:r>
          </w:p>
          <w:p w14:paraId="44D0C58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每有1项负偏离或未提供扣</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分，最多扣</w:t>
            </w:r>
            <w:r>
              <w:rPr>
                <w:rFonts w:hint="eastAsia" w:ascii="宋体" w:hAnsi="宋体" w:cs="宋体"/>
                <w:color w:val="000000"/>
                <w:kern w:val="0"/>
                <w:sz w:val="21"/>
                <w:szCs w:val="21"/>
                <w:lang w:val="en-US" w:eastAsia="zh-CN" w:bidi="ar"/>
              </w:rPr>
              <w:t>27</w:t>
            </w:r>
            <w:r>
              <w:rPr>
                <w:rFonts w:hint="eastAsia" w:ascii="宋体" w:hAnsi="宋体" w:eastAsia="宋体" w:cs="宋体"/>
                <w:color w:val="000000"/>
                <w:kern w:val="0"/>
                <w:sz w:val="21"/>
                <w:szCs w:val="21"/>
                <w:lang w:val="en-US" w:eastAsia="zh-CN" w:bidi="ar"/>
              </w:rPr>
              <w:t>分。</w:t>
            </w:r>
          </w:p>
        </w:tc>
        <w:tc>
          <w:tcPr>
            <w:tcW w:w="750" w:type="dxa"/>
            <w:vAlign w:val="center"/>
          </w:tcPr>
          <w:p w14:paraId="7304F274">
            <w:pPr>
              <w:spacing w:line="240" w:lineRule="auto"/>
              <w:jc w:val="center"/>
              <w:rPr>
                <w:rFonts w:hint="eastAsia" w:ascii="宋体" w:hAnsi="宋体" w:eastAsia="宋体" w:cs="宋体"/>
                <w:b/>
                <w:sz w:val="18"/>
                <w:szCs w:val="18"/>
                <w:highlight w:val="none"/>
              </w:rPr>
            </w:pPr>
          </w:p>
        </w:tc>
      </w:tr>
      <w:tr w14:paraId="2A8D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527" w:type="dxa"/>
            <w:vMerge w:val="continue"/>
            <w:vAlign w:val="center"/>
          </w:tcPr>
          <w:p w14:paraId="7CB863CE">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0ECA846E">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758C4408">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供货进度计划与保证措施</w:t>
            </w:r>
          </w:p>
        </w:tc>
        <w:tc>
          <w:tcPr>
            <w:tcW w:w="698" w:type="dxa"/>
            <w:shd w:val="clear" w:color="auto" w:fill="auto"/>
            <w:vAlign w:val="center"/>
          </w:tcPr>
          <w:p w14:paraId="6FA8F361">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9</w:t>
            </w:r>
          </w:p>
        </w:tc>
        <w:tc>
          <w:tcPr>
            <w:tcW w:w="6353" w:type="dxa"/>
            <w:shd w:val="clear" w:color="auto" w:fill="auto"/>
            <w:vAlign w:val="center"/>
          </w:tcPr>
          <w:p w14:paraId="348A8974">
            <w:pPr>
              <w:keepNext w:val="0"/>
              <w:keepLines w:val="0"/>
              <w:widowControl/>
              <w:numPr>
                <w:ilvl w:val="0"/>
                <w:numId w:val="15"/>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进度计划与保证措施科学、可行、针对性强得</w:t>
            </w:r>
            <w:r>
              <w:rPr>
                <w:rFonts w:hint="eastAsia" w:ascii="宋体" w:hAnsi="宋体" w:cs="宋体"/>
                <w:color w:val="000000"/>
                <w:kern w:val="0"/>
                <w:sz w:val="21"/>
                <w:szCs w:val="21"/>
                <w:lang w:val="en-US" w:eastAsia="zh-CN" w:bidi="ar"/>
              </w:rPr>
              <w:t>9</w:t>
            </w:r>
            <w:r>
              <w:rPr>
                <w:rFonts w:hint="eastAsia" w:ascii="宋体" w:hAnsi="宋体" w:eastAsia="宋体" w:cs="宋体"/>
                <w:color w:val="000000"/>
                <w:kern w:val="0"/>
                <w:sz w:val="21"/>
                <w:szCs w:val="21"/>
                <w:lang w:val="en-US" w:eastAsia="zh-CN" w:bidi="ar"/>
              </w:rPr>
              <w:t>分；</w:t>
            </w:r>
          </w:p>
          <w:p w14:paraId="29C9EC47">
            <w:pPr>
              <w:keepNext w:val="0"/>
              <w:keepLines w:val="0"/>
              <w:widowControl/>
              <w:numPr>
                <w:ilvl w:val="0"/>
                <w:numId w:val="15"/>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进度计划与保证措施科学、可行、针对性</w:t>
            </w:r>
            <w:r>
              <w:rPr>
                <w:rFonts w:hint="eastAsia" w:ascii="宋体" w:hAnsi="宋体" w:cs="宋体"/>
                <w:color w:val="000000"/>
                <w:kern w:val="0"/>
                <w:sz w:val="21"/>
                <w:szCs w:val="21"/>
                <w:lang w:val="en-US" w:eastAsia="zh-CN" w:bidi="ar"/>
              </w:rPr>
              <w:t>较</w:t>
            </w:r>
            <w:r>
              <w:rPr>
                <w:rFonts w:hint="eastAsia" w:ascii="宋体" w:hAnsi="宋体" w:eastAsia="宋体" w:cs="宋体"/>
                <w:color w:val="000000"/>
                <w:kern w:val="0"/>
                <w:sz w:val="21"/>
                <w:szCs w:val="21"/>
                <w:lang w:val="en-US" w:eastAsia="zh-CN" w:bidi="ar"/>
              </w:rPr>
              <w:t>强得</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分；</w:t>
            </w:r>
          </w:p>
          <w:p w14:paraId="29B4ACC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）进度计划与保证措施较合理、可行、细节待完善得</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分；</w:t>
            </w:r>
          </w:p>
          <w:p w14:paraId="415E2BD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）进度计划与保证措施欠合理，可行性较差，基本满足工程需要得</w:t>
            </w: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分；</w:t>
            </w:r>
          </w:p>
          <w:p w14:paraId="3730DCD1">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）未提供或不满足需要得0分。</w:t>
            </w:r>
          </w:p>
        </w:tc>
        <w:tc>
          <w:tcPr>
            <w:tcW w:w="750" w:type="dxa"/>
            <w:vAlign w:val="center"/>
          </w:tcPr>
          <w:p w14:paraId="1930A163">
            <w:pPr>
              <w:spacing w:line="240" w:lineRule="auto"/>
              <w:jc w:val="center"/>
              <w:rPr>
                <w:rFonts w:hint="eastAsia" w:ascii="宋体" w:hAnsi="宋体" w:eastAsia="宋体" w:cs="宋体"/>
                <w:b/>
                <w:sz w:val="18"/>
                <w:szCs w:val="18"/>
                <w:highlight w:val="none"/>
              </w:rPr>
            </w:pPr>
          </w:p>
        </w:tc>
      </w:tr>
      <w:tr w14:paraId="208C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527" w:type="dxa"/>
            <w:vMerge w:val="continue"/>
            <w:vAlign w:val="center"/>
          </w:tcPr>
          <w:p w14:paraId="734804A6">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533D4B10">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3A755364">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质量保证方案</w:t>
            </w:r>
          </w:p>
        </w:tc>
        <w:tc>
          <w:tcPr>
            <w:tcW w:w="698" w:type="dxa"/>
            <w:shd w:val="clear" w:color="auto" w:fill="auto"/>
            <w:vAlign w:val="center"/>
          </w:tcPr>
          <w:p w14:paraId="3F80B65E">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p>
        </w:tc>
        <w:tc>
          <w:tcPr>
            <w:tcW w:w="6353" w:type="dxa"/>
            <w:shd w:val="clear" w:color="auto" w:fill="auto"/>
            <w:vAlign w:val="center"/>
          </w:tcPr>
          <w:p w14:paraId="49B7427E">
            <w:pPr>
              <w:keepNext w:val="0"/>
              <w:keepLines w:val="0"/>
              <w:widowControl/>
              <w:suppressLineNumbers w:val="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应包含存储与定期维护、配送、质保期问题处理等内容</w:t>
            </w:r>
          </w:p>
          <w:p w14:paraId="3FF8E40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（1）质量保证方案完整、科学、合理得</w:t>
            </w: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分。</w:t>
            </w:r>
          </w:p>
          <w:p w14:paraId="03AF582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（2）质量保证方案较完整、较科学、较合理得</w:t>
            </w: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分。</w:t>
            </w:r>
          </w:p>
          <w:p w14:paraId="13D6BAB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（3）质量保证方案基本符合要求得</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分。</w:t>
            </w:r>
          </w:p>
          <w:p w14:paraId="2809090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）质量保证方案</w:t>
            </w:r>
            <w:r>
              <w:rPr>
                <w:rFonts w:hint="eastAsia" w:ascii="宋体" w:hAnsi="宋体" w:cs="宋体"/>
                <w:color w:val="000000"/>
                <w:kern w:val="0"/>
                <w:sz w:val="21"/>
                <w:szCs w:val="21"/>
                <w:lang w:val="en-US" w:eastAsia="zh-CN" w:bidi="ar"/>
              </w:rPr>
              <w:t>存在缺陷，</w:t>
            </w:r>
            <w:r>
              <w:rPr>
                <w:rFonts w:hint="eastAsia" w:ascii="宋体" w:hAnsi="宋体" w:eastAsia="宋体" w:cs="宋体"/>
                <w:color w:val="000000"/>
                <w:kern w:val="0"/>
                <w:sz w:val="21"/>
                <w:szCs w:val="21"/>
                <w:lang w:val="en-US" w:eastAsia="zh-CN" w:bidi="ar"/>
              </w:rPr>
              <w:t>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311C5E7D">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）未提供或者不满足得0分。</w:t>
            </w:r>
          </w:p>
        </w:tc>
        <w:tc>
          <w:tcPr>
            <w:tcW w:w="750" w:type="dxa"/>
            <w:vAlign w:val="center"/>
          </w:tcPr>
          <w:p w14:paraId="670D1077">
            <w:pPr>
              <w:spacing w:line="240" w:lineRule="auto"/>
              <w:jc w:val="center"/>
              <w:rPr>
                <w:rFonts w:hint="eastAsia" w:ascii="宋体" w:hAnsi="宋体" w:eastAsia="宋体" w:cs="宋体"/>
                <w:b/>
                <w:sz w:val="18"/>
                <w:szCs w:val="18"/>
                <w:highlight w:val="none"/>
              </w:rPr>
            </w:pPr>
          </w:p>
        </w:tc>
      </w:tr>
      <w:tr w14:paraId="1FDE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527" w:type="dxa"/>
            <w:vMerge w:val="continue"/>
            <w:vAlign w:val="center"/>
          </w:tcPr>
          <w:p w14:paraId="772E3F65">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018363B3">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6429726F">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售后</w:t>
            </w:r>
            <w:r>
              <w:rPr>
                <w:rFonts w:hint="eastAsia" w:ascii="宋体" w:hAnsi="宋体" w:eastAsia="宋体" w:cs="宋体"/>
                <w:color w:val="000000"/>
                <w:kern w:val="0"/>
                <w:sz w:val="21"/>
                <w:szCs w:val="21"/>
                <w:lang w:val="en-US" w:eastAsia="zh-CN" w:bidi="ar"/>
              </w:rPr>
              <w:t>服务方案</w:t>
            </w:r>
          </w:p>
        </w:tc>
        <w:tc>
          <w:tcPr>
            <w:tcW w:w="698" w:type="dxa"/>
            <w:shd w:val="clear" w:color="auto" w:fill="auto"/>
            <w:vAlign w:val="center"/>
          </w:tcPr>
          <w:p w14:paraId="472C0EF2">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10</w:t>
            </w:r>
          </w:p>
        </w:tc>
        <w:tc>
          <w:tcPr>
            <w:tcW w:w="6353" w:type="dxa"/>
            <w:shd w:val="clear" w:color="auto" w:fill="auto"/>
            <w:vAlign w:val="center"/>
          </w:tcPr>
          <w:p w14:paraId="6ADEF649">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（1）方案完整、科学、合理得</w:t>
            </w:r>
            <w:r>
              <w:rPr>
                <w:rFonts w:hint="eastAsia" w:ascii="宋体" w:hAnsi="宋体" w:cs="宋体"/>
                <w:color w:val="000000"/>
                <w:kern w:val="0"/>
                <w:sz w:val="21"/>
                <w:szCs w:val="21"/>
                <w:lang w:val="en-US" w:eastAsia="zh-CN" w:bidi="ar"/>
              </w:rPr>
              <w:t>10</w:t>
            </w:r>
            <w:r>
              <w:rPr>
                <w:rFonts w:hint="eastAsia" w:ascii="宋体" w:hAnsi="宋体" w:eastAsia="宋体" w:cs="宋体"/>
                <w:color w:val="000000"/>
                <w:kern w:val="0"/>
                <w:sz w:val="21"/>
                <w:szCs w:val="21"/>
                <w:lang w:val="en-US" w:eastAsia="zh-CN" w:bidi="ar"/>
              </w:rPr>
              <w:t>分。</w:t>
            </w:r>
          </w:p>
          <w:p w14:paraId="1C312FE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（2）方案较完整、较科学、较合理得</w:t>
            </w: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分。</w:t>
            </w:r>
          </w:p>
          <w:p w14:paraId="7B3EF5A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（3）方案基本符合要求得</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分。</w:t>
            </w:r>
          </w:p>
          <w:p w14:paraId="56FB8AC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方案</w:t>
            </w:r>
            <w:r>
              <w:rPr>
                <w:rFonts w:hint="eastAsia" w:ascii="宋体" w:hAnsi="宋体" w:cs="宋体"/>
                <w:color w:val="000000"/>
                <w:kern w:val="0"/>
                <w:sz w:val="21"/>
                <w:szCs w:val="21"/>
                <w:lang w:val="en-US" w:eastAsia="zh-CN" w:bidi="ar"/>
              </w:rPr>
              <w:t>存在缺陷，</w:t>
            </w:r>
            <w:r>
              <w:rPr>
                <w:rFonts w:hint="eastAsia" w:ascii="宋体" w:hAnsi="宋体" w:eastAsia="宋体" w:cs="宋体"/>
                <w:color w:val="000000"/>
                <w:kern w:val="0"/>
                <w:sz w:val="21"/>
                <w:szCs w:val="21"/>
                <w:lang w:val="en-US" w:eastAsia="zh-CN" w:bidi="ar"/>
              </w:rPr>
              <w:t>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612AD1C9">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）未提供或者不满足得0分。</w:t>
            </w:r>
          </w:p>
        </w:tc>
        <w:tc>
          <w:tcPr>
            <w:tcW w:w="750" w:type="dxa"/>
            <w:vAlign w:val="center"/>
          </w:tcPr>
          <w:p w14:paraId="329D1FED">
            <w:pPr>
              <w:spacing w:line="240" w:lineRule="auto"/>
              <w:jc w:val="center"/>
              <w:rPr>
                <w:rFonts w:hint="eastAsia" w:ascii="宋体" w:hAnsi="宋体" w:eastAsia="宋体" w:cs="宋体"/>
                <w:b/>
                <w:sz w:val="18"/>
                <w:szCs w:val="18"/>
                <w:highlight w:val="none"/>
              </w:rPr>
            </w:pPr>
          </w:p>
        </w:tc>
      </w:tr>
      <w:tr w14:paraId="2B43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27" w:type="dxa"/>
            <w:vMerge w:val="continue"/>
            <w:vAlign w:val="center"/>
          </w:tcPr>
          <w:p w14:paraId="18D01B83">
            <w:pPr>
              <w:spacing w:line="240" w:lineRule="auto"/>
              <w:ind w:firstLine="28"/>
              <w:jc w:val="center"/>
              <w:rPr>
                <w:rFonts w:hint="eastAsia" w:ascii="宋体" w:hAnsi="宋体" w:cs="宋体"/>
                <w:b/>
                <w:sz w:val="18"/>
                <w:szCs w:val="18"/>
                <w:highlight w:val="none"/>
                <w:lang w:val="en-US" w:eastAsia="zh-CN"/>
              </w:rPr>
            </w:pPr>
          </w:p>
        </w:tc>
        <w:tc>
          <w:tcPr>
            <w:tcW w:w="766" w:type="dxa"/>
            <w:vMerge w:val="continue"/>
          </w:tcPr>
          <w:p w14:paraId="7BBEC65A">
            <w:pPr>
              <w:spacing w:line="240" w:lineRule="auto"/>
              <w:jc w:val="center"/>
              <w:rPr>
                <w:rFonts w:hint="eastAsia" w:ascii="宋体" w:hAnsi="宋体" w:cs="宋体"/>
                <w:sz w:val="18"/>
                <w:szCs w:val="18"/>
                <w:highlight w:val="none"/>
                <w:lang w:val="en-US" w:eastAsia="zh-CN"/>
              </w:rPr>
            </w:pPr>
          </w:p>
        </w:tc>
        <w:tc>
          <w:tcPr>
            <w:tcW w:w="1033" w:type="dxa"/>
            <w:shd w:val="clear" w:color="auto" w:fill="auto"/>
            <w:vAlign w:val="center"/>
          </w:tcPr>
          <w:p w14:paraId="05C8C82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应急预案</w:t>
            </w:r>
          </w:p>
        </w:tc>
        <w:tc>
          <w:tcPr>
            <w:tcW w:w="698" w:type="dxa"/>
            <w:shd w:val="clear" w:color="auto" w:fill="auto"/>
            <w:vAlign w:val="center"/>
          </w:tcPr>
          <w:p w14:paraId="5884924A">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3</w:t>
            </w:r>
          </w:p>
        </w:tc>
        <w:tc>
          <w:tcPr>
            <w:tcW w:w="6353" w:type="dxa"/>
            <w:shd w:val="clear" w:color="auto" w:fill="auto"/>
            <w:vAlign w:val="center"/>
          </w:tcPr>
          <w:p w14:paraId="145F857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应急响应时间、响应程度：</w:t>
            </w:r>
          </w:p>
          <w:p w14:paraId="3ECA541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（1）综合比较响应时间快，有针对性得3分；</w:t>
            </w:r>
          </w:p>
          <w:p w14:paraId="03937D2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（2）综合比较响应时间较快，较有针对性得2分；</w:t>
            </w:r>
          </w:p>
          <w:p w14:paraId="0669F1B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（3）综合比较响应时间慢，针对性较差得1分；</w:t>
            </w:r>
          </w:p>
          <w:p w14:paraId="286F162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（4）未提供得0分。</w:t>
            </w:r>
          </w:p>
        </w:tc>
        <w:tc>
          <w:tcPr>
            <w:tcW w:w="750" w:type="dxa"/>
            <w:vAlign w:val="center"/>
          </w:tcPr>
          <w:p w14:paraId="7AADCAB2">
            <w:pPr>
              <w:spacing w:line="240" w:lineRule="auto"/>
              <w:jc w:val="center"/>
              <w:rPr>
                <w:rFonts w:hint="eastAsia" w:ascii="宋体" w:hAnsi="宋体" w:eastAsia="宋体" w:cs="宋体"/>
                <w:b/>
                <w:sz w:val="18"/>
                <w:szCs w:val="18"/>
                <w:highlight w:val="none"/>
              </w:rPr>
            </w:pPr>
          </w:p>
        </w:tc>
      </w:tr>
      <w:tr w14:paraId="2567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527" w:type="dxa"/>
            <w:vMerge w:val="restart"/>
            <w:vAlign w:val="center"/>
          </w:tcPr>
          <w:p w14:paraId="43945B10">
            <w:pPr>
              <w:spacing w:line="240" w:lineRule="auto"/>
              <w:ind w:firstLine="28"/>
              <w:jc w:val="center"/>
              <w:rPr>
                <w:rFonts w:hint="eastAsia"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2</w:t>
            </w:r>
          </w:p>
        </w:tc>
        <w:tc>
          <w:tcPr>
            <w:tcW w:w="766" w:type="dxa"/>
            <w:vMerge w:val="restart"/>
            <w:vAlign w:val="center"/>
          </w:tcPr>
          <w:p w14:paraId="3AE804CD">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商务部分</w:t>
            </w:r>
            <w:r>
              <w:rPr>
                <w:rFonts w:hint="eastAsia" w:ascii="宋体" w:hAnsi="宋体" w:cs="宋体"/>
                <w:sz w:val="18"/>
                <w:szCs w:val="18"/>
                <w:highlight w:val="none"/>
                <w:lang w:eastAsia="zh-CN"/>
              </w:rPr>
              <w:t>（</w:t>
            </w:r>
            <w:r>
              <w:rPr>
                <w:rFonts w:hint="eastAsia" w:ascii="宋体" w:hAnsi="宋体" w:cs="宋体"/>
                <w:sz w:val="18"/>
                <w:szCs w:val="18"/>
                <w:highlight w:val="none"/>
                <w:lang w:val="en-US" w:eastAsia="zh-CN"/>
              </w:rPr>
              <w:t>11</w:t>
            </w:r>
            <w:r>
              <w:rPr>
                <w:rFonts w:hint="eastAsia" w:ascii="宋体" w:hAnsi="宋体" w:eastAsia="宋体" w:cs="宋体"/>
                <w:sz w:val="18"/>
                <w:szCs w:val="18"/>
                <w:highlight w:val="none"/>
              </w:rPr>
              <w:t>分）</w:t>
            </w:r>
          </w:p>
        </w:tc>
        <w:tc>
          <w:tcPr>
            <w:tcW w:w="1033" w:type="dxa"/>
            <w:shd w:val="clear" w:color="auto" w:fill="auto"/>
            <w:vAlign w:val="center"/>
          </w:tcPr>
          <w:p w14:paraId="750BFE4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类似业绩</w:t>
            </w:r>
          </w:p>
        </w:tc>
        <w:tc>
          <w:tcPr>
            <w:tcW w:w="698" w:type="dxa"/>
            <w:shd w:val="clear" w:color="auto" w:fill="auto"/>
            <w:vAlign w:val="center"/>
          </w:tcPr>
          <w:p w14:paraId="2E336880">
            <w:pPr>
              <w:spacing w:line="240" w:lineRule="auto"/>
              <w:jc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szCs w:val="20"/>
                <w:lang w:val="en-US" w:eastAsia="zh-CN"/>
              </w:rPr>
              <w:t>6</w:t>
            </w:r>
          </w:p>
        </w:tc>
        <w:tc>
          <w:tcPr>
            <w:tcW w:w="6353" w:type="dxa"/>
            <w:shd w:val="clear" w:color="auto" w:fill="auto"/>
            <w:vAlign w:val="center"/>
          </w:tcPr>
          <w:p w14:paraId="378B4A6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w:t>
            </w:r>
            <w:r>
              <w:rPr>
                <w:rFonts w:hint="eastAsia" w:ascii="宋体" w:hAnsi="宋体" w:eastAsia="宋体" w:cs="宋体"/>
                <w:color w:val="000000"/>
                <w:kern w:val="0"/>
                <w:sz w:val="21"/>
                <w:szCs w:val="21"/>
                <w:highlight w:val="none"/>
                <w:lang w:val="en-US" w:eastAsia="zh-CN" w:bidi="ar"/>
              </w:rPr>
              <w:t>年（</w:t>
            </w:r>
            <w:r>
              <w:rPr>
                <w:rFonts w:hint="eastAsia" w:ascii="宋体" w:hAnsi="宋体" w:cs="宋体"/>
                <w:color w:val="000000"/>
                <w:kern w:val="0"/>
                <w:sz w:val="21"/>
                <w:szCs w:val="21"/>
                <w:highlight w:val="none"/>
                <w:lang w:val="en-US" w:eastAsia="zh-CN" w:bidi="ar"/>
              </w:rPr>
              <w:t>2023年3月20日至今</w:t>
            </w:r>
            <w:r>
              <w:rPr>
                <w:rFonts w:hint="eastAsia" w:ascii="宋体" w:hAnsi="宋体" w:eastAsia="宋体" w:cs="宋体"/>
                <w:color w:val="000000"/>
                <w:kern w:val="0"/>
                <w:sz w:val="21"/>
                <w:szCs w:val="21"/>
                <w:highlight w:val="none"/>
                <w:lang w:val="en-US" w:eastAsia="zh-CN" w:bidi="ar"/>
              </w:rPr>
              <w:t>）供应商具有类似业绩</w:t>
            </w:r>
            <w:r>
              <w:rPr>
                <w:rFonts w:hint="eastAsia" w:ascii="宋体" w:hAnsi="宋体" w:cs="宋体"/>
                <w:color w:val="000000"/>
                <w:kern w:val="0"/>
                <w:sz w:val="21"/>
                <w:szCs w:val="21"/>
                <w:highlight w:val="none"/>
                <w:lang w:val="en-US" w:eastAsia="zh-CN" w:bidi="ar"/>
              </w:rPr>
              <w:t>（</w:t>
            </w:r>
            <w:r>
              <w:rPr>
                <w:rFonts w:hint="eastAsia" w:ascii="宋体" w:hAnsi="宋体" w:eastAsia="宋体" w:cs="宋体"/>
                <w:bCs/>
                <w:sz w:val="20"/>
                <w:szCs w:val="20"/>
                <w:highlight w:val="none"/>
                <w:lang w:val="en-US" w:eastAsia="zh-CN"/>
              </w:rPr>
              <w:t>类似项目合同业绩，包括代理商或厂家的同类型业绩</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。每提供1项有效业绩得2分，最多得6分。</w:t>
            </w:r>
          </w:p>
        </w:tc>
        <w:tc>
          <w:tcPr>
            <w:tcW w:w="750" w:type="dxa"/>
            <w:vAlign w:val="center"/>
          </w:tcPr>
          <w:p w14:paraId="20F7C39B">
            <w:pPr>
              <w:spacing w:line="240" w:lineRule="auto"/>
              <w:ind w:left="-38"/>
              <w:rPr>
                <w:rFonts w:hint="eastAsia" w:ascii="宋体" w:hAnsi="宋体" w:eastAsia="宋体" w:cs="宋体"/>
                <w:sz w:val="18"/>
                <w:szCs w:val="18"/>
                <w:highlight w:val="none"/>
              </w:rPr>
            </w:pPr>
          </w:p>
        </w:tc>
      </w:tr>
      <w:tr w14:paraId="27B8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vMerge w:val="continue"/>
            <w:vAlign w:val="center"/>
          </w:tcPr>
          <w:p w14:paraId="136DFF15">
            <w:pPr>
              <w:spacing w:line="240" w:lineRule="auto"/>
              <w:ind w:firstLine="28"/>
              <w:jc w:val="center"/>
              <w:rPr>
                <w:rFonts w:hint="eastAsia" w:ascii="宋体" w:hAnsi="宋体" w:cs="宋体"/>
                <w:sz w:val="18"/>
                <w:szCs w:val="18"/>
                <w:highlight w:val="none"/>
                <w:lang w:val="en-US" w:eastAsia="zh-CN"/>
              </w:rPr>
            </w:pPr>
          </w:p>
        </w:tc>
        <w:tc>
          <w:tcPr>
            <w:tcW w:w="766" w:type="dxa"/>
            <w:vMerge w:val="continue"/>
            <w:vAlign w:val="center"/>
          </w:tcPr>
          <w:p w14:paraId="1FA641E3">
            <w:pPr>
              <w:spacing w:line="240" w:lineRule="auto"/>
              <w:ind w:firstLine="28"/>
              <w:jc w:val="center"/>
              <w:rPr>
                <w:rFonts w:hint="eastAsia" w:ascii="宋体" w:hAnsi="宋体" w:cs="宋体"/>
                <w:sz w:val="18"/>
                <w:szCs w:val="18"/>
                <w:highlight w:val="none"/>
                <w:lang w:val="en-US" w:eastAsia="zh-CN"/>
              </w:rPr>
            </w:pPr>
          </w:p>
        </w:tc>
        <w:tc>
          <w:tcPr>
            <w:tcW w:w="1033" w:type="dxa"/>
            <w:shd w:val="clear" w:color="auto" w:fill="auto"/>
            <w:vAlign w:val="center"/>
          </w:tcPr>
          <w:p w14:paraId="54FBE4C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项目管理机构</w:t>
            </w:r>
          </w:p>
        </w:tc>
        <w:tc>
          <w:tcPr>
            <w:tcW w:w="698" w:type="dxa"/>
            <w:shd w:val="clear" w:color="auto" w:fill="auto"/>
            <w:vAlign w:val="center"/>
          </w:tcPr>
          <w:p w14:paraId="0C5BF9D7">
            <w:pPr>
              <w:spacing w:line="240" w:lineRule="auto"/>
              <w:jc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szCs w:val="20"/>
                <w:lang w:val="en-US" w:eastAsia="zh-CN"/>
              </w:rPr>
              <w:t>4</w:t>
            </w:r>
          </w:p>
        </w:tc>
        <w:tc>
          <w:tcPr>
            <w:tcW w:w="6353" w:type="dxa"/>
            <w:shd w:val="clear" w:color="auto" w:fill="auto"/>
            <w:vAlign w:val="center"/>
          </w:tcPr>
          <w:p w14:paraId="533A304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1.项目服务机构健全，人员配置合理，安全保障措施具体、到位的得</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分；</w:t>
            </w:r>
          </w:p>
          <w:p w14:paraId="069EC21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2.项目服务机构较健全，人员配置较合理，安全保障措施一般的得</w:t>
            </w:r>
            <w:r>
              <w:rPr>
                <w:rFonts w:hint="eastAsia" w:ascii="宋体" w:hAnsi="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w:t>
            </w:r>
          </w:p>
          <w:p w14:paraId="71A5458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3.项目管理机构基本符合要求，安全保证措施基本合理得1分；</w:t>
            </w:r>
          </w:p>
          <w:p w14:paraId="5C4394E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4.未提供或者不满足得0分。</w:t>
            </w:r>
          </w:p>
        </w:tc>
        <w:tc>
          <w:tcPr>
            <w:tcW w:w="750" w:type="dxa"/>
            <w:vAlign w:val="center"/>
          </w:tcPr>
          <w:p w14:paraId="11406433">
            <w:pPr>
              <w:spacing w:line="240" w:lineRule="auto"/>
              <w:ind w:left="-38"/>
              <w:rPr>
                <w:rFonts w:hint="eastAsia" w:ascii="宋体" w:hAnsi="宋体" w:eastAsia="宋体" w:cs="宋体"/>
                <w:sz w:val="18"/>
                <w:szCs w:val="18"/>
                <w:highlight w:val="none"/>
              </w:rPr>
            </w:pPr>
          </w:p>
        </w:tc>
      </w:tr>
      <w:tr w14:paraId="110B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vMerge w:val="continue"/>
            <w:vAlign w:val="center"/>
          </w:tcPr>
          <w:p w14:paraId="0DAA22A1">
            <w:pPr>
              <w:spacing w:line="240" w:lineRule="auto"/>
              <w:ind w:firstLine="28"/>
              <w:jc w:val="center"/>
              <w:rPr>
                <w:rFonts w:hint="eastAsia" w:ascii="宋体" w:hAnsi="宋体" w:cs="宋体"/>
                <w:sz w:val="18"/>
                <w:szCs w:val="18"/>
                <w:highlight w:val="none"/>
                <w:lang w:val="en-US" w:eastAsia="zh-CN"/>
              </w:rPr>
            </w:pPr>
          </w:p>
        </w:tc>
        <w:tc>
          <w:tcPr>
            <w:tcW w:w="766" w:type="dxa"/>
            <w:vMerge w:val="continue"/>
            <w:vAlign w:val="center"/>
          </w:tcPr>
          <w:p w14:paraId="346065BB">
            <w:pPr>
              <w:spacing w:line="240" w:lineRule="auto"/>
              <w:ind w:firstLine="28"/>
              <w:jc w:val="center"/>
              <w:rPr>
                <w:rFonts w:hint="eastAsia" w:ascii="宋体" w:hAnsi="宋体" w:cs="宋体"/>
                <w:sz w:val="18"/>
                <w:szCs w:val="18"/>
                <w:highlight w:val="none"/>
                <w:lang w:val="en-US" w:eastAsia="zh-CN"/>
              </w:rPr>
            </w:pPr>
          </w:p>
        </w:tc>
        <w:tc>
          <w:tcPr>
            <w:tcW w:w="1033" w:type="dxa"/>
            <w:shd w:val="clear" w:color="auto" w:fill="auto"/>
            <w:vAlign w:val="center"/>
          </w:tcPr>
          <w:p w14:paraId="2136823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环保节能</w:t>
            </w:r>
          </w:p>
        </w:tc>
        <w:tc>
          <w:tcPr>
            <w:tcW w:w="698" w:type="dxa"/>
            <w:shd w:val="clear" w:color="auto" w:fill="auto"/>
            <w:vAlign w:val="center"/>
          </w:tcPr>
          <w:p w14:paraId="3F54EB5C">
            <w:pPr>
              <w:spacing w:line="240" w:lineRule="auto"/>
              <w:jc w:val="center"/>
              <w:rPr>
                <w:rFonts w:hint="eastAsia" w:ascii="Times New Roman" w:hAnsi="Times New Roman" w:eastAsia="宋体" w:cs="Times New Roman"/>
                <w:color w:val="000000"/>
                <w:kern w:val="2"/>
                <w:sz w:val="20"/>
                <w:szCs w:val="20"/>
                <w:lang w:val="en-US" w:eastAsia="zh-CN" w:bidi="ar-SA"/>
              </w:rPr>
            </w:pPr>
            <w:r>
              <w:rPr>
                <w:rFonts w:hint="eastAsia"/>
                <w:color w:val="000000"/>
                <w:sz w:val="20"/>
                <w:szCs w:val="20"/>
                <w:lang w:val="en-US" w:eastAsia="zh-CN"/>
              </w:rPr>
              <w:t>1</w:t>
            </w:r>
          </w:p>
        </w:tc>
        <w:tc>
          <w:tcPr>
            <w:tcW w:w="6353" w:type="dxa"/>
            <w:shd w:val="clear" w:color="auto" w:fill="auto"/>
            <w:vAlign w:val="center"/>
          </w:tcPr>
          <w:p w14:paraId="6D3035B8">
            <w:pPr>
              <w:keepNext w:val="0"/>
              <w:keepLines w:val="0"/>
              <w:widowControl/>
              <w:numPr>
                <w:ilvl w:val="0"/>
                <w:numId w:val="16"/>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投标产品中有品目清单范围内属于优先采购节能产品的（须 提供国家确定的认证机构出具的、处于有效期之内的节能产品认 证证书复印件）加 0.5 分，否则不加分。 </w:t>
            </w:r>
          </w:p>
          <w:p w14:paraId="50F3F20B">
            <w:pPr>
              <w:keepNext w:val="0"/>
              <w:keepLines w:val="0"/>
              <w:widowControl/>
              <w:numPr>
                <w:ilvl w:val="0"/>
                <w:numId w:val="0"/>
              </w:numPr>
              <w:suppressLineNumbers w:val="0"/>
              <w:ind w:left="0" w:leftChars="0" w:firstLine="0" w:firstLine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（2）投标产品中有品目清单范围内属于优先采购环境标志产品 的（须提供国家确定的认证机构出具的、处于有效期之内的环境 标志产品认证证书复印件）加 0.5 分，否则不加分。</w:t>
            </w:r>
          </w:p>
        </w:tc>
        <w:tc>
          <w:tcPr>
            <w:tcW w:w="750" w:type="dxa"/>
            <w:vAlign w:val="center"/>
          </w:tcPr>
          <w:p w14:paraId="084C353D">
            <w:pPr>
              <w:spacing w:line="240" w:lineRule="auto"/>
              <w:ind w:left="-38"/>
              <w:rPr>
                <w:rFonts w:hint="eastAsia" w:ascii="宋体" w:hAnsi="宋体" w:eastAsia="宋体" w:cs="宋体"/>
                <w:sz w:val="18"/>
                <w:szCs w:val="18"/>
                <w:highlight w:val="none"/>
              </w:rPr>
            </w:pPr>
          </w:p>
        </w:tc>
      </w:tr>
      <w:tr w14:paraId="34FF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527" w:type="dxa"/>
            <w:shd w:val="clear" w:color="auto" w:fill="auto"/>
            <w:vAlign w:val="center"/>
          </w:tcPr>
          <w:p w14:paraId="79A26E46">
            <w:pPr>
              <w:spacing w:line="240" w:lineRule="auto"/>
              <w:ind w:firstLine="28"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3</w:t>
            </w:r>
          </w:p>
        </w:tc>
        <w:tc>
          <w:tcPr>
            <w:tcW w:w="1799" w:type="dxa"/>
            <w:gridSpan w:val="2"/>
            <w:shd w:val="clear" w:color="auto" w:fill="auto"/>
            <w:vAlign w:val="center"/>
          </w:tcPr>
          <w:p w14:paraId="5A833EAD">
            <w:pPr>
              <w:spacing w:line="240" w:lineRule="auto"/>
              <w:ind w:firstLine="28" w:firstLine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投标报价（</w:t>
            </w:r>
            <w:r>
              <w:rPr>
                <w:rFonts w:hint="eastAsia" w:ascii="宋体" w:hAnsi="宋体" w:cs="宋体"/>
                <w:sz w:val="18"/>
                <w:szCs w:val="18"/>
                <w:highlight w:val="none"/>
                <w:lang w:val="en-US" w:eastAsia="zh-CN"/>
              </w:rPr>
              <w:t>30</w:t>
            </w:r>
            <w:r>
              <w:rPr>
                <w:rFonts w:hint="eastAsia" w:ascii="宋体" w:hAnsi="宋体" w:eastAsia="宋体" w:cs="宋体"/>
                <w:sz w:val="18"/>
                <w:szCs w:val="18"/>
                <w:highlight w:val="none"/>
              </w:rPr>
              <w:t>分）</w:t>
            </w:r>
          </w:p>
        </w:tc>
        <w:tc>
          <w:tcPr>
            <w:tcW w:w="698" w:type="dxa"/>
            <w:shd w:val="clear" w:color="auto" w:fill="auto"/>
            <w:vAlign w:val="center"/>
          </w:tcPr>
          <w:p w14:paraId="1B25428E">
            <w:pPr>
              <w:spacing w:line="240" w:lineRule="auto"/>
              <w:ind w:firstLine="28" w:firstLineChars="0"/>
              <w:jc w:val="center"/>
              <w:rPr>
                <w:rFonts w:hint="default" w:ascii="宋体" w:hAnsi="宋体" w:eastAsia="宋体" w:cs="宋体"/>
                <w:kern w:val="2"/>
                <w:sz w:val="18"/>
                <w:szCs w:val="18"/>
                <w:highlight w:val="none"/>
                <w:lang w:val="en-US" w:eastAsia="zh-CN" w:bidi="ar-SA"/>
              </w:rPr>
            </w:pPr>
            <w:r>
              <w:rPr>
                <w:rFonts w:hint="eastAsia" w:ascii="宋体" w:hAnsi="宋体" w:cs="宋体"/>
                <w:sz w:val="18"/>
                <w:szCs w:val="18"/>
                <w:highlight w:val="none"/>
                <w:lang w:val="en-US" w:eastAsia="zh-CN"/>
              </w:rPr>
              <w:t>30</w:t>
            </w:r>
          </w:p>
        </w:tc>
        <w:tc>
          <w:tcPr>
            <w:tcW w:w="6353" w:type="dxa"/>
            <w:shd w:val="clear" w:color="auto" w:fill="auto"/>
            <w:vAlign w:val="center"/>
          </w:tcPr>
          <w:p w14:paraId="2FFB820F">
            <w:pPr>
              <w:kinsoku w:val="0"/>
              <w:autoSpaceDE w:val="0"/>
              <w:autoSpaceDN w:val="0"/>
              <w:adjustRightInd w:val="0"/>
              <w:snapToGrid w:val="0"/>
              <w:spacing w:line="240" w:lineRule="auto"/>
              <w:textAlignment w:val="baseline"/>
              <w:rPr>
                <w:rFonts w:hint="eastAsia" w:eastAsia="宋体"/>
                <w:color w:val="000000"/>
                <w:sz w:val="20"/>
                <w:szCs w:val="20"/>
              </w:rPr>
            </w:pPr>
            <w:r>
              <w:rPr>
                <w:rFonts w:hint="eastAsia" w:eastAsia="宋体"/>
                <w:color w:val="000000"/>
                <w:sz w:val="20"/>
                <w:szCs w:val="20"/>
              </w:rPr>
              <w:t>满足招标文件要求且投标价格最低的投标报价为评标基准价，其价格分为满分。其他投标人的价格分统一按照下列公式计算：</w:t>
            </w:r>
          </w:p>
          <w:p w14:paraId="10BAE371">
            <w:pPr>
              <w:kinsoku w:val="0"/>
              <w:autoSpaceDE w:val="0"/>
              <w:autoSpaceDN w:val="0"/>
              <w:adjustRightInd w:val="0"/>
              <w:snapToGrid w:val="0"/>
              <w:spacing w:line="240" w:lineRule="auto"/>
              <w:textAlignment w:val="baseline"/>
              <w:rPr>
                <w:rFonts w:hint="eastAsia" w:eastAsia="宋体"/>
                <w:color w:val="000000"/>
                <w:sz w:val="20"/>
                <w:szCs w:val="20"/>
              </w:rPr>
            </w:pPr>
            <w:r>
              <w:rPr>
                <w:rFonts w:hint="eastAsia" w:eastAsia="宋体"/>
                <w:color w:val="000000"/>
                <w:sz w:val="20"/>
                <w:szCs w:val="20"/>
              </w:rPr>
              <w:t>投标报价得分＝（评标基准价/投标报价）×分值。</w:t>
            </w:r>
          </w:p>
          <w:p w14:paraId="35AC1188">
            <w:pPr>
              <w:kinsoku w:val="0"/>
              <w:autoSpaceDE w:val="0"/>
              <w:autoSpaceDN w:val="0"/>
              <w:adjustRightInd w:val="0"/>
              <w:snapToGrid w:val="0"/>
              <w:spacing w:line="240" w:lineRule="auto"/>
              <w:textAlignment w:val="baseline"/>
              <w:rPr>
                <w:rFonts w:hint="eastAsia" w:ascii="宋体" w:hAnsi="宋体" w:eastAsia="宋体" w:cs="宋体"/>
                <w:kern w:val="2"/>
                <w:sz w:val="22"/>
                <w:szCs w:val="18"/>
                <w:highlight w:val="none"/>
                <w:lang w:val="en-US" w:eastAsia="zh-CN" w:bidi="ar-SA"/>
              </w:rPr>
            </w:pPr>
            <w:r>
              <w:rPr>
                <w:rFonts w:hint="eastAsia" w:eastAsia="宋体"/>
                <w:color w:val="000000"/>
                <w:sz w:val="20"/>
                <w:szCs w:val="20"/>
              </w:rPr>
              <w:t>注：此处投标报价指经过报价修正，及因落实政府采购政策进行价格调整后的报价，详见第四章《评标程序、评标方法和评标标准》2.4、2.5及2.6。</w:t>
            </w:r>
          </w:p>
        </w:tc>
        <w:tc>
          <w:tcPr>
            <w:tcW w:w="750" w:type="dxa"/>
            <w:vAlign w:val="center"/>
          </w:tcPr>
          <w:p w14:paraId="17CD5B86">
            <w:pPr>
              <w:spacing w:line="240" w:lineRule="auto"/>
              <w:ind w:left="-38"/>
              <w:rPr>
                <w:rFonts w:hint="eastAsia" w:ascii="宋体" w:hAnsi="宋体" w:eastAsia="宋体" w:cs="宋体"/>
                <w:sz w:val="18"/>
                <w:szCs w:val="18"/>
                <w:highlight w:val="none"/>
              </w:rPr>
            </w:pPr>
          </w:p>
        </w:tc>
      </w:tr>
      <w:tr w14:paraId="120D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27" w:type="dxa"/>
            <w:vAlign w:val="center"/>
          </w:tcPr>
          <w:p w14:paraId="66201CD3">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1799" w:type="dxa"/>
            <w:gridSpan w:val="2"/>
            <w:vAlign w:val="center"/>
          </w:tcPr>
          <w:p w14:paraId="62AFEB49">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合计</w:t>
            </w:r>
          </w:p>
        </w:tc>
        <w:tc>
          <w:tcPr>
            <w:tcW w:w="698" w:type="dxa"/>
            <w:vAlign w:val="center"/>
          </w:tcPr>
          <w:p w14:paraId="7448B35B">
            <w:pPr>
              <w:spacing w:line="240" w:lineRule="auto"/>
              <w:ind w:firstLine="28"/>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100</w:t>
            </w:r>
          </w:p>
        </w:tc>
        <w:tc>
          <w:tcPr>
            <w:tcW w:w="7103" w:type="dxa"/>
            <w:gridSpan w:val="2"/>
            <w:vAlign w:val="center"/>
          </w:tcPr>
          <w:p w14:paraId="464DD3D4">
            <w:pPr>
              <w:spacing w:line="240" w:lineRule="auto"/>
              <w:rPr>
                <w:rFonts w:hint="eastAsia" w:ascii="宋体" w:hAnsi="宋体" w:eastAsia="宋体" w:cs="宋体"/>
                <w:sz w:val="18"/>
                <w:szCs w:val="18"/>
                <w:highlight w:val="none"/>
              </w:rPr>
            </w:pPr>
          </w:p>
        </w:tc>
      </w:tr>
    </w:tbl>
    <w:p w14:paraId="10007185">
      <w:pPr>
        <w:rPr>
          <w:b/>
          <w:color w:val="auto"/>
          <w:sz w:val="36"/>
          <w:szCs w:val="36"/>
          <w:highlight w:val="none"/>
        </w:rPr>
      </w:pPr>
      <w:r>
        <w:rPr>
          <w:b/>
          <w:color w:val="auto"/>
          <w:sz w:val="36"/>
          <w:szCs w:val="36"/>
          <w:highlight w:val="none"/>
        </w:rPr>
        <w:br w:type="page"/>
      </w:r>
    </w:p>
    <w:p w14:paraId="31836484">
      <w:pPr>
        <w:spacing w:line="360" w:lineRule="auto"/>
        <w:jc w:val="center"/>
        <w:outlineLvl w:val="0"/>
        <w:rPr>
          <w:b/>
          <w:color w:val="auto"/>
          <w:sz w:val="36"/>
          <w:szCs w:val="36"/>
          <w:highlight w:val="none"/>
        </w:rPr>
      </w:pPr>
      <w:bookmarkStart w:id="816" w:name="_Toc28987"/>
      <w:r>
        <w:rPr>
          <w:b/>
          <w:color w:val="auto"/>
          <w:sz w:val="36"/>
          <w:szCs w:val="36"/>
          <w:highlight w:val="none"/>
        </w:rPr>
        <w:t>第五章   采购需求</w:t>
      </w:r>
      <w:bookmarkEnd w:id="816"/>
    </w:p>
    <w:p w14:paraId="7848712C">
      <w:pPr>
        <w:pStyle w:val="40"/>
        <w:widowControl/>
        <w:spacing w:line="560" w:lineRule="exact"/>
        <w:jc w:val="both"/>
        <w:rPr>
          <w:rFonts w:hint="default" w:ascii="等线" w:hAnsi="等线" w:eastAsia="宋体"/>
          <w:b/>
          <w:bCs/>
          <w:sz w:val="28"/>
          <w:szCs w:val="28"/>
          <w:lang w:val="en-US" w:eastAsia="zh-CN"/>
        </w:rPr>
      </w:pPr>
      <w:r>
        <w:rPr>
          <w:rFonts w:hint="eastAsia" w:ascii="等线" w:hAnsi="等线"/>
          <w:b/>
          <w:bCs/>
          <w:sz w:val="28"/>
          <w:szCs w:val="28"/>
          <w:lang w:val="en-US" w:eastAsia="zh-CN"/>
        </w:rPr>
        <w:t>一、采购标的</w:t>
      </w:r>
    </w:p>
    <w:tbl>
      <w:tblPr>
        <w:tblStyle w:val="46"/>
        <w:tblpPr w:leftFromText="180" w:rightFromText="180" w:vertAnchor="text" w:horzAnchor="page" w:tblpXSpec="center" w:tblpY="295"/>
        <w:tblOverlap w:val="never"/>
        <w:tblW w:w="5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2288"/>
        <w:gridCol w:w="1695"/>
        <w:gridCol w:w="858"/>
        <w:gridCol w:w="1318"/>
        <w:gridCol w:w="1237"/>
        <w:gridCol w:w="2954"/>
      </w:tblGrid>
      <w:tr w14:paraId="241F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277" w:type="pct"/>
            <w:noWrap w:val="0"/>
            <w:vAlign w:val="center"/>
          </w:tcPr>
          <w:p w14:paraId="624BCAE3">
            <w:pPr>
              <w:wordWrap w:val="0"/>
              <w:spacing w:line="360" w:lineRule="auto"/>
              <w:jc w:val="center"/>
              <w:rPr>
                <w:rFonts w:hint="eastAsia" w:ascii="宋体" w:hAnsi="宋体" w:eastAsia="宋体" w:cs="宋体"/>
                <w:bCs/>
                <w:sz w:val="22"/>
                <w:szCs w:val="22"/>
              </w:rPr>
            </w:pPr>
            <w:r>
              <w:rPr>
                <w:rFonts w:hint="eastAsia" w:ascii="宋体" w:hAnsi="宋体" w:eastAsia="宋体" w:cs="宋体"/>
                <w:bCs/>
                <w:sz w:val="22"/>
                <w:szCs w:val="22"/>
              </w:rPr>
              <w:t>包号</w:t>
            </w:r>
          </w:p>
        </w:tc>
        <w:tc>
          <w:tcPr>
            <w:tcW w:w="1043" w:type="pct"/>
            <w:noWrap w:val="0"/>
            <w:vAlign w:val="center"/>
          </w:tcPr>
          <w:p w14:paraId="669344E6">
            <w:pPr>
              <w:wordWrap w:val="0"/>
              <w:spacing w:line="360" w:lineRule="auto"/>
              <w:jc w:val="center"/>
              <w:rPr>
                <w:rFonts w:hint="eastAsia" w:ascii="宋体" w:hAnsi="宋体" w:eastAsia="宋体" w:cs="宋体"/>
                <w:bCs/>
                <w:sz w:val="22"/>
                <w:szCs w:val="22"/>
              </w:rPr>
            </w:pPr>
            <w:r>
              <w:rPr>
                <w:rFonts w:hint="eastAsia" w:ascii="宋体" w:hAnsi="宋体" w:eastAsia="宋体" w:cs="宋体"/>
                <w:bCs/>
                <w:sz w:val="22"/>
                <w:szCs w:val="22"/>
                <w:lang w:val="en-US" w:eastAsia="zh-CN"/>
              </w:rPr>
              <w:t>标的</w:t>
            </w:r>
            <w:r>
              <w:rPr>
                <w:rFonts w:hint="eastAsia" w:ascii="宋体" w:hAnsi="宋体" w:eastAsia="宋体" w:cs="宋体"/>
                <w:bCs/>
                <w:sz w:val="22"/>
                <w:szCs w:val="22"/>
              </w:rPr>
              <w:t>名称</w:t>
            </w:r>
          </w:p>
        </w:tc>
        <w:tc>
          <w:tcPr>
            <w:tcW w:w="773" w:type="pct"/>
            <w:noWrap w:val="0"/>
            <w:vAlign w:val="center"/>
          </w:tcPr>
          <w:p w14:paraId="143F4755">
            <w:pPr>
              <w:wordWrap w:val="0"/>
              <w:spacing w:line="360" w:lineRule="auto"/>
              <w:jc w:val="center"/>
              <w:rPr>
                <w:rFonts w:hint="eastAsia" w:ascii="宋体" w:hAnsi="宋体" w:eastAsia="宋体" w:cs="宋体"/>
                <w:bCs/>
                <w:sz w:val="22"/>
                <w:szCs w:val="22"/>
              </w:rPr>
            </w:pPr>
            <w:r>
              <w:rPr>
                <w:rFonts w:hint="eastAsia" w:ascii="宋体" w:hAnsi="宋体" w:eastAsia="宋体" w:cs="宋体"/>
                <w:bCs/>
                <w:sz w:val="22"/>
                <w:szCs w:val="22"/>
                <w:lang w:val="en-US" w:eastAsia="zh-CN"/>
              </w:rPr>
              <w:t>预算金额及</w:t>
            </w:r>
            <w:r>
              <w:rPr>
                <w:rFonts w:hint="eastAsia" w:ascii="宋体" w:hAnsi="宋体" w:eastAsia="宋体" w:cs="宋体"/>
                <w:bCs/>
                <w:sz w:val="22"/>
                <w:szCs w:val="22"/>
              </w:rPr>
              <w:t>最高限价（万元）</w:t>
            </w:r>
          </w:p>
        </w:tc>
        <w:tc>
          <w:tcPr>
            <w:tcW w:w="391" w:type="pct"/>
            <w:noWrap w:val="0"/>
            <w:vAlign w:val="center"/>
          </w:tcPr>
          <w:p w14:paraId="3DD80CA6">
            <w:pPr>
              <w:wordWrap w:val="0"/>
              <w:spacing w:line="360" w:lineRule="auto"/>
              <w:jc w:val="center"/>
              <w:rPr>
                <w:rFonts w:hint="default" w:ascii="宋体" w:hAnsi="宋体" w:eastAsia="宋体" w:cs="宋体"/>
                <w:bCs/>
                <w:sz w:val="22"/>
                <w:szCs w:val="22"/>
                <w:lang w:val="en-US" w:eastAsia="zh-CN"/>
              </w:rPr>
            </w:pPr>
            <w:r>
              <w:rPr>
                <w:rFonts w:hint="eastAsia" w:ascii="宋体" w:hAnsi="宋体" w:eastAsia="宋体" w:cs="宋体"/>
                <w:bCs/>
                <w:sz w:val="22"/>
                <w:szCs w:val="22"/>
                <w:lang w:val="en-US" w:eastAsia="zh-CN"/>
              </w:rPr>
              <w:t>采购数量</w:t>
            </w:r>
          </w:p>
        </w:tc>
        <w:tc>
          <w:tcPr>
            <w:tcW w:w="601" w:type="pct"/>
            <w:noWrap w:val="0"/>
            <w:vAlign w:val="center"/>
          </w:tcPr>
          <w:p w14:paraId="1E37019D">
            <w:pPr>
              <w:wordWrap w:val="0"/>
              <w:spacing w:line="360" w:lineRule="auto"/>
              <w:jc w:val="center"/>
              <w:rPr>
                <w:rFonts w:hint="eastAsia" w:ascii="宋体" w:hAnsi="宋体" w:eastAsia="宋体" w:cs="宋体"/>
                <w:bCs/>
                <w:sz w:val="22"/>
                <w:szCs w:val="22"/>
              </w:rPr>
            </w:pPr>
            <w:r>
              <w:rPr>
                <w:rFonts w:hint="eastAsia" w:ascii="宋体" w:hAnsi="宋体" w:eastAsia="宋体" w:cs="宋体"/>
                <w:sz w:val="22"/>
                <w:szCs w:val="22"/>
                <w:lang w:val="en-US" w:eastAsia="zh-CN"/>
              </w:rPr>
              <w:t>供货</w:t>
            </w:r>
            <w:r>
              <w:rPr>
                <w:rFonts w:hint="eastAsia" w:ascii="宋体" w:hAnsi="宋体" w:eastAsia="宋体" w:cs="宋体"/>
                <w:sz w:val="22"/>
                <w:szCs w:val="22"/>
              </w:rPr>
              <w:t>地点</w:t>
            </w:r>
          </w:p>
        </w:tc>
        <w:tc>
          <w:tcPr>
            <w:tcW w:w="564" w:type="pct"/>
            <w:noWrap w:val="0"/>
            <w:vAlign w:val="center"/>
          </w:tcPr>
          <w:p w14:paraId="637465CF">
            <w:pPr>
              <w:wordWrap w:val="0"/>
              <w:spacing w:line="360" w:lineRule="auto"/>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是否采购进口产品</w:t>
            </w:r>
          </w:p>
        </w:tc>
        <w:tc>
          <w:tcPr>
            <w:tcW w:w="1347" w:type="pct"/>
            <w:noWrap w:val="0"/>
            <w:vAlign w:val="center"/>
          </w:tcPr>
          <w:p w14:paraId="2D141885">
            <w:pPr>
              <w:wordWrap w:val="0"/>
              <w:spacing w:line="360" w:lineRule="auto"/>
              <w:jc w:val="center"/>
              <w:rPr>
                <w:rFonts w:hint="eastAsia" w:ascii="宋体" w:hAnsi="宋体" w:eastAsia="宋体" w:cs="宋体"/>
                <w:sz w:val="22"/>
                <w:szCs w:val="22"/>
              </w:rPr>
            </w:pPr>
            <w:r>
              <w:rPr>
                <w:rFonts w:hint="eastAsia" w:ascii="宋体" w:hAnsi="宋体" w:eastAsia="宋体" w:cs="宋体"/>
                <w:sz w:val="22"/>
                <w:szCs w:val="22"/>
              </w:rPr>
              <w:t>简要技术需求或服务要求</w:t>
            </w:r>
          </w:p>
        </w:tc>
      </w:tr>
      <w:tr w14:paraId="67FE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277" w:type="pct"/>
            <w:noWrap w:val="0"/>
            <w:vAlign w:val="center"/>
          </w:tcPr>
          <w:p w14:paraId="4A8BDD5F">
            <w:pPr>
              <w:wordWrap w:val="0"/>
              <w:spacing w:line="360" w:lineRule="auto"/>
              <w:jc w:val="center"/>
              <w:rPr>
                <w:rFonts w:hint="eastAsia" w:ascii="宋体" w:hAnsi="宋体" w:eastAsia="宋体" w:cs="宋体"/>
                <w:bCs/>
                <w:sz w:val="22"/>
                <w:szCs w:val="22"/>
              </w:rPr>
            </w:pPr>
            <w:r>
              <w:rPr>
                <w:rFonts w:hint="eastAsia" w:ascii="宋体" w:hAnsi="宋体" w:eastAsia="宋体" w:cs="宋体"/>
                <w:bCs/>
                <w:sz w:val="22"/>
                <w:szCs w:val="22"/>
              </w:rPr>
              <w:t>01</w:t>
            </w:r>
          </w:p>
        </w:tc>
        <w:tc>
          <w:tcPr>
            <w:tcW w:w="1043" w:type="pct"/>
            <w:noWrap w:val="0"/>
            <w:vAlign w:val="center"/>
          </w:tcPr>
          <w:p w14:paraId="1A1544DB">
            <w:pPr>
              <w:wordWrap w:val="0"/>
              <w:spacing w:line="360" w:lineRule="auto"/>
              <w:jc w:val="center"/>
              <w:rPr>
                <w:rFonts w:hint="eastAsia" w:ascii="宋体" w:hAnsi="宋体" w:eastAsia="宋体" w:cs="宋体"/>
                <w:bCs/>
                <w:sz w:val="22"/>
                <w:szCs w:val="22"/>
                <w:lang w:eastAsia="zh-CN"/>
              </w:rPr>
            </w:pPr>
            <w:r>
              <w:rPr>
                <w:rFonts w:hint="eastAsia" w:ascii="宋体" w:hAnsi="宋体" w:eastAsia="宋体" w:cs="宋体"/>
                <w:bCs/>
                <w:sz w:val="22"/>
                <w:szCs w:val="22"/>
                <w:lang w:eastAsia="zh-CN"/>
              </w:rPr>
              <w:t>顺义区医院</w:t>
            </w:r>
            <w:r>
              <w:rPr>
                <w:rFonts w:hint="eastAsia" w:ascii="宋体" w:hAnsi="宋体" w:eastAsia="宋体" w:cs="宋体"/>
                <w:bCs/>
                <w:sz w:val="22"/>
                <w:szCs w:val="22"/>
                <w:lang w:val="en-US" w:eastAsia="zh-CN"/>
              </w:rPr>
              <w:t>血液透析设备（血液透析滤过机）</w:t>
            </w:r>
            <w:r>
              <w:rPr>
                <w:rFonts w:hint="eastAsia" w:ascii="宋体" w:hAnsi="宋体" w:eastAsia="宋体" w:cs="宋体"/>
                <w:bCs/>
                <w:sz w:val="22"/>
                <w:szCs w:val="22"/>
                <w:lang w:eastAsia="zh-CN"/>
              </w:rPr>
              <w:t>采购项目</w:t>
            </w:r>
          </w:p>
        </w:tc>
        <w:tc>
          <w:tcPr>
            <w:tcW w:w="773" w:type="pct"/>
            <w:noWrap w:val="0"/>
            <w:vAlign w:val="center"/>
          </w:tcPr>
          <w:p w14:paraId="56FA4E2C">
            <w:pPr>
              <w:wordWrap w:val="0"/>
              <w:spacing w:line="360" w:lineRule="auto"/>
              <w:jc w:val="center"/>
              <w:rPr>
                <w:rFonts w:hint="default" w:ascii="宋体" w:hAnsi="宋体" w:eastAsia="宋体" w:cs="宋体"/>
                <w:bCs/>
                <w:sz w:val="22"/>
                <w:szCs w:val="22"/>
                <w:u w:val="none"/>
                <w:lang w:val="en-US" w:eastAsia="zh-CN"/>
              </w:rPr>
            </w:pPr>
            <w:r>
              <w:rPr>
                <w:rFonts w:hint="eastAsia" w:ascii="宋体" w:hAnsi="宋体" w:eastAsia="宋体" w:cs="宋体"/>
                <w:bCs/>
                <w:sz w:val="22"/>
                <w:szCs w:val="22"/>
                <w:u w:val="none"/>
                <w:lang w:val="en-US" w:eastAsia="zh-CN"/>
              </w:rPr>
              <w:t>189</w:t>
            </w:r>
          </w:p>
        </w:tc>
        <w:tc>
          <w:tcPr>
            <w:tcW w:w="391" w:type="pct"/>
            <w:noWrap w:val="0"/>
            <w:vAlign w:val="center"/>
          </w:tcPr>
          <w:p w14:paraId="4C213857">
            <w:pPr>
              <w:wordWrap w:val="0"/>
              <w:spacing w:line="360" w:lineRule="auto"/>
              <w:jc w:val="center"/>
              <w:rPr>
                <w:rFonts w:hint="default" w:ascii="宋体" w:hAnsi="宋体" w:eastAsia="宋体" w:cs="宋体"/>
                <w:sz w:val="22"/>
                <w:szCs w:val="22"/>
                <w:u w:val="none"/>
                <w:lang w:val="en-US" w:eastAsia="zh-CN"/>
              </w:rPr>
            </w:pPr>
            <w:r>
              <w:rPr>
                <w:rFonts w:hint="eastAsia" w:ascii="宋体" w:hAnsi="宋体" w:eastAsia="宋体" w:cs="宋体"/>
                <w:sz w:val="24"/>
                <w:u w:val="none"/>
                <w:lang w:val="en-US" w:eastAsia="zh-CN"/>
              </w:rPr>
              <w:t>9套</w:t>
            </w:r>
          </w:p>
        </w:tc>
        <w:tc>
          <w:tcPr>
            <w:tcW w:w="601" w:type="pct"/>
            <w:noWrap w:val="0"/>
            <w:vAlign w:val="center"/>
          </w:tcPr>
          <w:p w14:paraId="36271D3A">
            <w:pPr>
              <w:wordWrap w:val="0"/>
              <w:spacing w:line="360" w:lineRule="auto"/>
              <w:jc w:val="center"/>
              <w:rPr>
                <w:rFonts w:hint="eastAsia" w:ascii="宋体" w:hAnsi="宋体" w:eastAsia="宋体" w:cs="宋体"/>
                <w:bCs/>
                <w:sz w:val="22"/>
                <w:szCs w:val="22"/>
              </w:rPr>
            </w:pPr>
            <w:r>
              <w:rPr>
                <w:rFonts w:hint="eastAsia" w:ascii="宋体" w:hAnsi="宋体" w:eastAsia="宋体" w:cs="宋体"/>
                <w:bCs/>
                <w:sz w:val="22"/>
                <w:szCs w:val="22"/>
              </w:rPr>
              <w:t>北京市顺义区医院</w:t>
            </w:r>
          </w:p>
        </w:tc>
        <w:tc>
          <w:tcPr>
            <w:tcW w:w="564" w:type="pct"/>
            <w:noWrap w:val="0"/>
            <w:vAlign w:val="center"/>
          </w:tcPr>
          <w:p w14:paraId="796881ED">
            <w:pPr>
              <w:wordWrap w:val="0"/>
              <w:spacing w:line="360" w:lineRule="auto"/>
              <w:jc w:val="center"/>
              <w:rPr>
                <w:rFonts w:hint="eastAsia" w:ascii="宋体" w:hAnsi="宋体" w:eastAsia="宋体" w:cs="宋体"/>
                <w:bCs/>
                <w:sz w:val="22"/>
                <w:szCs w:val="22"/>
                <w:lang w:val="en-US" w:eastAsia="zh-CN"/>
              </w:rPr>
            </w:pPr>
            <w:r>
              <w:rPr>
                <w:rFonts w:hint="eastAsia" w:ascii="宋体" w:hAnsi="宋体" w:eastAsia="宋体" w:cs="宋体"/>
                <w:bCs/>
                <w:sz w:val="22"/>
                <w:szCs w:val="22"/>
                <w:lang w:val="en-US" w:eastAsia="zh-CN"/>
              </w:rPr>
              <w:t>否</w:t>
            </w:r>
          </w:p>
        </w:tc>
        <w:tc>
          <w:tcPr>
            <w:tcW w:w="1347" w:type="pct"/>
            <w:noWrap w:val="0"/>
            <w:vAlign w:val="center"/>
          </w:tcPr>
          <w:p w14:paraId="6E2085EA">
            <w:pPr>
              <w:pStyle w:val="34"/>
              <w:wordWrap w:val="0"/>
              <w:spacing w:line="360" w:lineRule="auto"/>
              <w:jc w:val="center"/>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为满足临床血液透析滤过诊疗需求，现采购一批血液透析滤过机，具体参数要求详见采购需求。</w:t>
            </w:r>
          </w:p>
        </w:tc>
      </w:tr>
    </w:tbl>
    <w:p w14:paraId="26B8DA22">
      <w:pPr>
        <w:pStyle w:val="40"/>
        <w:widowControl/>
        <w:spacing w:line="560" w:lineRule="exact"/>
        <w:rPr>
          <w:rFonts w:hint="eastAsia" w:ascii="等线" w:hAnsi="等线"/>
          <w:b/>
          <w:bCs/>
          <w:sz w:val="28"/>
          <w:szCs w:val="28"/>
        </w:rPr>
      </w:pPr>
      <w:r>
        <w:rPr>
          <w:rFonts w:hint="eastAsia" w:ascii="Times New Roman" w:hAnsi="Times New Roman" w:eastAsia="宋体" w:cs="Times New Roman"/>
          <w:color w:val="auto"/>
          <w:sz w:val="24"/>
          <w:highlight w:val="none"/>
          <w:lang w:val="en-US" w:eastAsia="zh-CN"/>
        </w:rPr>
        <w:t>合同</w:t>
      </w:r>
      <w:r>
        <w:rPr>
          <w:rFonts w:hint="eastAsia" w:ascii="宋体" w:hAnsi="宋体" w:eastAsia="宋体" w:cs="宋体"/>
          <w:color w:val="auto"/>
          <w:sz w:val="24"/>
          <w:highlight w:val="none"/>
          <w:lang w:val="en-US" w:eastAsia="zh-CN"/>
        </w:rPr>
        <w:t>履行期限：收到院方通知后</w:t>
      </w: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lang w:val="en-US" w:eastAsia="zh-CN"/>
        </w:rPr>
        <w:t>日内按照医院指定位置交货、清点、验收。</w:t>
      </w:r>
    </w:p>
    <w:p w14:paraId="6A64F60C">
      <w:pPr>
        <w:numPr>
          <w:ilvl w:val="0"/>
          <w:numId w:val="0"/>
        </w:numPr>
        <w:spacing w:line="320" w:lineRule="exact"/>
        <w:ind w:leftChars="0"/>
        <w:rPr>
          <w:b/>
          <w:sz w:val="28"/>
          <w:szCs w:val="28"/>
        </w:rPr>
      </w:pPr>
      <w:r>
        <w:rPr>
          <w:rFonts w:hint="eastAsia"/>
          <w:b/>
          <w:sz w:val="28"/>
          <w:szCs w:val="28"/>
          <w:lang w:val="en-US" w:eastAsia="zh-CN"/>
        </w:rPr>
        <w:t>二、</w:t>
      </w:r>
      <w:r>
        <w:rPr>
          <w:rFonts w:hint="eastAsia"/>
          <w:b/>
          <w:sz w:val="28"/>
          <w:szCs w:val="28"/>
        </w:rPr>
        <w:t>技术功能参数</w:t>
      </w:r>
    </w:p>
    <w:p w14:paraId="3E40223F">
      <w:pPr>
        <w:spacing w:line="320" w:lineRule="exact"/>
        <w:ind w:left="480"/>
        <w:rPr>
          <w:rFonts w:hint="eastAsia"/>
          <w:bCs/>
          <w:sz w:val="24"/>
          <w:szCs w:val="24"/>
        </w:rPr>
      </w:pPr>
    </w:p>
    <w:p w14:paraId="3D6E9657">
      <w:pPr>
        <w:snapToGrid w:val="0"/>
        <w:spacing w:line="360" w:lineRule="auto"/>
        <w:rPr>
          <w:rFonts w:ascii="宋体" w:hAnsi="宋体" w:cs="仿宋"/>
          <w:b/>
          <w:bCs/>
          <w:sz w:val="28"/>
          <w:szCs w:val="28"/>
        </w:rPr>
      </w:pPr>
      <w:r>
        <w:rPr>
          <w:rFonts w:hint="eastAsia" w:ascii="宋体" w:hAnsi="宋体" w:cs="仿宋"/>
          <w:b/>
          <w:bCs/>
          <w:sz w:val="28"/>
          <w:szCs w:val="28"/>
        </w:rPr>
        <w:t>1、具有碳酸盐、醋酸盐、单超透析多种透析模式，适用各种配方透析液。</w:t>
      </w:r>
      <w:r>
        <w:rPr>
          <w:rFonts w:ascii="宋体" w:hAnsi="宋体" w:cs="仿宋"/>
          <w:b/>
          <w:bCs/>
          <w:sz w:val="28"/>
          <w:szCs w:val="28"/>
        </w:rPr>
        <w:t xml:space="preserve"> </w:t>
      </w:r>
    </w:p>
    <w:p w14:paraId="568A5E12">
      <w:pPr>
        <w:snapToGrid w:val="0"/>
        <w:spacing w:line="360" w:lineRule="auto"/>
        <w:rPr>
          <w:rFonts w:ascii="宋体" w:hAnsi="宋体" w:cs="仿宋"/>
          <w:b/>
          <w:bCs/>
          <w:sz w:val="28"/>
          <w:szCs w:val="28"/>
        </w:rPr>
      </w:pPr>
      <w:r>
        <w:rPr>
          <w:rFonts w:hint="eastAsia" w:ascii="宋体" w:hAnsi="宋体" w:cs="仿宋"/>
          <w:b/>
          <w:bCs/>
          <w:sz w:val="28"/>
          <w:szCs w:val="28"/>
        </w:rPr>
        <w:t>2、治疗模式：HD模式、前稀释HDF、后稀释HDF、前稀释HF、后稀释HF可随时转换。</w:t>
      </w:r>
    </w:p>
    <w:p w14:paraId="1547C9E9">
      <w:pPr>
        <w:snapToGrid w:val="0"/>
        <w:spacing w:line="360" w:lineRule="auto"/>
        <w:rPr>
          <w:rFonts w:ascii="宋体" w:hAnsi="宋体" w:cs="仿宋"/>
          <w:b/>
          <w:bCs/>
          <w:sz w:val="28"/>
          <w:szCs w:val="28"/>
        </w:rPr>
      </w:pPr>
      <w:r>
        <w:rPr>
          <w:rFonts w:hint="eastAsia" w:ascii="宋体" w:hAnsi="宋体" w:cs="仿宋"/>
          <w:b/>
          <w:bCs/>
          <w:sz w:val="28"/>
          <w:szCs w:val="28"/>
        </w:rPr>
        <w:t>3、具备固定及可设定的钠曲线。</w:t>
      </w:r>
    </w:p>
    <w:p w14:paraId="7E199C4C">
      <w:pPr>
        <w:snapToGrid w:val="0"/>
        <w:spacing w:line="360" w:lineRule="auto"/>
        <w:rPr>
          <w:rFonts w:ascii="宋体" w:hAnsi="宋体" w:cs="仿宋"/>
          <w:b/>
          <w:bCs/>
          <w:sz w:val="28"/>
          <w:szCs w:val="28"/>
        </w:rPr>
      </w:pPr>
      <w:r>
        <w:rPr>
          <w:rFonts w:hint="eastAsia" w:ascii="宋体" w:hAnsi="宋体" w:cs="仿宋"/>
          <w:b/>
          <w:bCs/>
          <w:sz w:val="28"/>
          <w:szCs w:val="28"/>
        </w:rPr>
        <w:t>4、具备固定及可设定的可调超滤曲线，</w:t>
      </w:r>
      <w:r>
        <w:rPr>
          <w:rFonts w:hint="eastAsia" w:ascii="宋体" w:hAnsi="宋体"/>
          <w:b/>
          <w:bCs/>
          <w:sz w:val="28"/>
          <w:szCs w:val="28"/>
        </w:rPr>
        <w:t>≥8种固定曲线，≥12种自定义曲线。</w:t>
      </w:r>
      <w:r>
        <w:rPr>
          <w:rFonts w:ascii="宋体" w:hAnsi="宋体" w:cs="仿宋"/>
          <w:b/>
          <w:bCs/>
          <w:sz w:val="28"/>
          <w:szCs w:val="28"/>
        </w:rPr>
        <w:t xml:space="preserve"> </w:t>
      </w:r>
    </w:p>
    <w:p w14:paraId="378E19B4">
      <w:pPr>
        <w:snapToGrid w:val="0"/>
        <w:spacing w:line="360" w:lineRule="auto"/>
        <w:rPr>
          <w:rFonts w:ascii="宋体" w:hAnsi="宋体" w:cs="仿宋"/>
          <w:b/>
          <w:bCs/>
          <w:sz w:val="28"/>
          <w:szCs w:val="28"/>
        </w:rPr>
      </w:pPr>
      <w:r>
        <w:rPr>
          <w:rFonts w:hint="eastAsia" w:ascii="宋体" w:hAnsi="宋体" w:cs="仿宋"/>
          <w:b/>
          <w:bCs/>
          <w:sz w:val="28"/>
          <w:szCs w:val="28"/>
        </w:rPr>
        <w:t>5、超滤系统：平衡腔超滤控制系统，可达到零超滤，具备平衡腔膜位移探测功能。</w:t>
      </w:r>
    </w:p>
    <w:p w14:paraId="617CDF3D">
      <w:pPr>
        <w:snapToGrid w:val="0"/>
        <w:spacing w:line="360" w:lineRule="auto"/>
        <w:rPr>
          <w:rFonts w:ascii="宋体" w:hAnsi="宋体" w:cs="仿宋"/>
          <w:b/>
          <w:bCs/>
          <w:sz w:val="28"/>
          <w:szCs w:val="28"/>
        </w:rPr>
      </w:pPr>
      <w:r>
        <w:rPr>
          <w:rFonts w:hint="eastAsia" w:ascii="宋体" w:hAnsi="宋体" w:cs="仿宋"/>
          <w:b/>
          <w:bCs/>
          <w:sz w:val="28"/>
          <w:szCs w:val="28"/>
        </w:rPr>
        <w:t>6、具备碳酸氢盐干粉接口。</w:t>
      </w:r>
    </w:p>
    <w:p w14:paraId="0E8D00A1">
      <w:pPr>
        <w:snapToGrid w:val="0"/>
        <w:spacing w:line="360" w:lineRule="auto"/>
        <w:rPr>
          <w:rFonts w:ascii="宋体" w:hAnsi="宋体" w:cs="仿宋"/>
          <w:b/>
          <w:bCs/>
          <w:sz w:val="28"/>
          <w:szCs w:val="28"/>
        </w:rPr>
      </w:pPr>
      <w:r>
        <w:rPr>
          <w:rFonts w:hint="eastAsia" w:ascii="宋体" w:hAnsi="宋体" w:cs="仿宋"/>
          <w:b/>
          <w:bCs/>
          <w:sz w:val="28"/>
          <w:szCs w:val="28"/>
        </w:rPr>
        <w:t>7、具备置换液生成系统，使用同种规格的透析液过滤器可联机自产置换液。</w:t>
      </w:r>
    </w:p>
    <w:p w14:paraId="525DCF51">
      <w:pPr>
        <w:snapToGrid w:val="0"/>
        <w:spacing w:line="360" w:lineRule="auto"/>
        <w:rPr>
          <w:rFonts w:ascii="宋体" w:hAnsi="宋体" w:cs="仿宋"/>
          <w:b/>
          <w:bCs/>
          <w:color w:val="auto"/>
          <w:sz w:val="28"/>
          <w:szCs w:val="28"/>
        </w:rPr>
      </w:pPr>
      <w:r>
        <w:rPr>
          <w:rFonts w:hint="eastAsia" w:ascii="宋体" w:hAnsi="宋体" w:cs="仿宋"/>
          <w:b/>
          <w:bCs/>
          <w:sz w:val="28"/>
          <w:szCs w:val="28"/>
        </w:rPr>
        <w:t>8、配备在线血压监测模块。</w:t>
      </w:r>
    </w:p>
    <w:p w14:paraId="73E7446B">
      <w:pPr>
        <w:snapToGrid w:val="0"/>
        <w:spacing w:line="360" w:lineRule="auto"/>
        <w:rPr>
          <w:rFonts w:ascii="宋体" w:hAnsi="宋体" w:cs="仿宋"/>
          <w:b/>
          <w:bCs/>
          <w:color w:val="auto"/>
          <w:sz w:val="28"/>
          <w:szCs w:val="28"/>
        </w:rPr>
      </w:pPr>
      <w:r>
        <w:rPr>
          <w:rFonts w:hint="eastAsia" w:ascii="宋体" w:hAnsi="宋体" w:cs="仿宋"/>
          <w:b/>
          <w:bCs/>
          <w:color w:val="auto"/>
          <w:sz w:val="28"/>
          <w:szCs w:val="28"/>
        </w:rPr>
        <w:t>9、具备透析液内毒素过滤器接口，可对透析液进行超纯滤过。配有透析液过滤器及支架，每支透析液过滤器可使用≥150人次或≥850小时；</w:t>
      </w:r>
    </w:p>
    <w:p w14:paraId="0A38AF97">
      <w:pPr>
        <w:snapToGrid w:val="0"/>
        <w:spacing w:line="360" w:lineRule="auto"/>
        <w:rPr>
          <w:rFonts w:ascii="宋体" w:hAnsi="宋体"/>
          <w:b/>
          <w:bCs/>
          <w:sz w:val="28"/>
          <w:szCs w:val="28"/>
        </w:rPr>
      </w:pPr>
      <w:r>
        <w:rPr>
          <w:rFonts w:hint="eastAsia" w:ascii="宋体" w:hAnsi="宋体" w:cs="仿宋"/>
          <w:b/>
          <w:bCs/>
          <w:color w:val="auto"/>
          <w:sz w:val="28"/>
          <w:szCs w:val="28"/>
        </w:rPr>
        <w:t>10、液晶显示屏、尺寸≥15英寸，</w:t>
      </w:r>
      <w:r>
        <w:rPr>
          <w:rFonts w:hint="eastAsia" w:ascii="宋体" w:hAnsi="宋体"/>
          <w:b/>
          <w:bCs/>
          <w:color w:val="auto"/>
          <w:sz w:val="28"/>
          <w:szCs w:val="28"/>
        </w:rPr>
        <w:t>机身宽度≤520m</w:t>
      </w:r>
      <w:r>
        <w:rPr>
          <w:rFonts w:hint="eastAsia" w:ascii="宋体" w:hAnsi="宋体"/>
          <w:b/>
          <w:bCs/>
          <w:sz w:val="28"/>
          <w:szCs w:val="28"/>
        </w:rPr>
        <w:t>m，具备中文操作菜单及报警显示。</w:t>
      </w:r>
    </w:p>
    <w:p w14:paraId="3BB4EAEE">
      <w:pPr>
        <w:snapToGrid w:val="0"/>
        <w:spacing w:line="360" w:lineRule="auto"/>
        <w:rPr>
          <w:rFonts w:ascii="宋体" w:hAnsi="宋体" w:cs="仿宋"/>
          <w:b/>
          <w:bCs/>
          <w:sz w:val="28"/>
          <w:szCs w:val="28"/>
        </w:rPr>
      </w:pPr>
      <w:r>
        <w:rPr>
          <w:rFonts w:hint="eastAsia" w:ascii="宋体" w:hAnsi="宋体" w:cs="仿宋"/>
          <w:b/>
          <w:bCs/>
          <w:sz w:val="28"/>
          <w:szCs w:val="28"/>
        </w:rPr>
        <w:t>11、清洗消毒程序：</w:t>
      </w:r>
    </w:p>
    <w:p w14:paraId="26A57358">
      <w:pPr>
        <w:snapToGrid w:val="0"/>
        <w:spacing w:line="360" w:lineRule="auto"/>
        <w:rPr>
          <w:rFonts w:ascii="宋体" w:hAnsi="宋体" w:cs="仿宋"/>
          <w:b/>
          <w:bCs/>
          <w:sz w:val="28"/>
          <w:szCs w:val="28"/>
        </w:rPr>
      </w:pPr>
      <w:r>
        <w:rPr>
          <w:rFonts w:hint="eastAsia" w:ascii="宋体" w:hAnsi="宋体" w:cs="仿宋"/>
          <w:b/>
          <w:bCs/>
          <w:sz w:val="28"/>
          <w:szCs w:val="28"/>
        </w:rPr>
        <w:t>11.1、可进行化学、热、脱钙多种消毒清洗程序。包括：自动中央化学消毒功能、自动中央热销毒功能。</w:t>
      </w:r>
    </w:p>
    <w:p w14:paraId="3446CA5D">
      <w:pPr>
        <w:snapToGrid w:val="0"/>
        <w:spacing w:line="360" w:lineRule="auto"/>
        <w:rPr>
          <w:rFonts w:ascii="宋体" w:hAnsi="宋体" w:cs="仿宋"/>
          <w:b/>
          <w:bCs/>
          <w:sz w:val="28"/>
          <w:szCs w:val="28"/>
        </w:rPr>
      </w:pPr>
      <w:r>
        <w:rPr>
          <w:rFonts w:hint="eastAsia" w:ascii="宋体" w:hAnsi="宋体" w:cs="仿宋"/>
          <w:b/>
          <w:bCs/>
          <w:sz w:val="28"/>
          <w:szCs w:val="28"/>
        </w:rPr>
        <w:t xml:space="preserve">11.2、化学热消毒（温度≥80℃）：除钙、除脂和消毒程序一体进行，透析液吸管可联机清洗，消毒持续时间：≤40min，每周自动消毒程序。 </w:t>
      </w:r>
    </w:p>
    <w:p w14:paraId="1ACE31FF">
      <w:pPr>
        <w:snapToGrid w:val="0"/>
        <w:spacing w:line="360" w:lineRule="auto"/>
        <w:rPr>
          <w:rFonts w:ascii="宋体" w:hAnsi="宋体" w:cs="仿宋"/>
          <w:b/>
          <w:bCs/>
          <w:sz w:val="28"/>
          <w:szCs w:val="28"/>
        </w:rPr>
      </w:pPr>
      <w:r>
        <w:rPr>
          <w:rFonts w:hint="eastAsia" w:ascii="宋体" w:hAnsi="宋体" w:cs="仿宋"/>
          <w:b/>
          <w:bCs/>
          <w:sz w:val="28"/>
          <w:szCs w:val="28"/>
        </w:rPr>
        <w:t>12、具备透析液流量曲线功能、透析液温度曲线功能；。</w:t>
      </w:r>
    </w:p>
    <w:p w14:paraId="7360BFCD">
      <w:pPr>
        <w:snapToGrid w:val="0"/>
        <w:spacing w:line="360" w:lineRule="auto"/>
        <w:rPr>
          <w:rFonts w:ascii="宋体" w:hAnsi="宋体" w:cs="仿宋"/>
          <w:b/>
          <w:bCs/>
          <w:sz w:val="28"/>
          <w:szCs w:val="28"/>
        </w:rPr>
      </w:pPr>
      <w:r>
        <w:rPr>
          <w:rFonts w:hint="eastAsia" w:ascii="宋体" w:hAnsi="宋体" w:cs="仿宋"/>
          <w:b/>
          <w:bCs/>
          <w:sz w:val="28"/>
          <w:szCs w:val="28"/>
        </w:rPr>
        <w:t>13、血泵血流量调节范围：30～600ml/min，血泵管径可调。</w:t>
      </w:r>
    </w:p>
    <w:p w14:paraId="61AB1634">
      <w:pPr>
        <w:snapToGrid w:val="0"/>
        <w:spacing w:line="360" w:lineRule="auto"/>
        <w:rPr>
          <w:rFonts w:ascii="宋体" w:hAnsi="宋体" w:cs="仿宋"/>
          <w:b/>
          <w:bCs/>
          <w:sz w:val="28"/>
          <w:szCs w:val="28"/>
        </w:rPr>
      </w:pPr>
      <w:r>
        <w:rPr>
          <w:rFonts w:hint="eastAsia" w:ascii="宋体" w:hAnsi="宋体" w:cs="仿宋"/>
          <w:b/>
          <w:bCs/>
          <w:sz w:val="28"/>
          <w:szCs w:val="28"/>
        </w:rPr>
        <w:t>14、肝素泵：流量设置范围：0.5～10mL/h；可设定停泵时间，显示累积量，可作大剂量追加给药。具备肝素流量曲线。</w:t>
      </w:r>
    </w:p>
    <w:p w14:paraId="7B7FB71B">
      <w:pPr>
        <w:snapToGrid w:val="0"/>
        <w:spacing w:line="360" w:lineRule="auto"/>
        <w:rPr>
          <w:rFonts w:ascii="宋体" w:hAnsi="宋体" w:cs="仿宋"/>
          <w:b/>
          <w:bCs/>
          <w:sz w:val="28"/>
          <w:szCs w:val="28"/>
        </w:rPr>
      </w:pPr>
      <w:r>
        <w:rPr>
          <w:rFonts w:hint="eastAsia" w:ascii="宋体" w:hAnsi="宋体" w:cs="仿宋"/>
          <w:b/>
          <w:bCs/>
          <w:sz w:val="28"/>
          <w:szCs w:val="28"/>
        </w:rPr>
        <w:t>15、透析液流量调节范围：300～800mL/min，调整步长：≤100mL/min。</w:t>
      </w:r>
    </w:p>
    <w:p w14:paraId="6DA08E6D">
      <w:pPr>
        <w:snapToGrid w:val="0"/>
        <w:spacing w:line="360" w:lineRule="auto"/>
        <w:rPr>
          <w:rFonts w:ascii="宋体" w:hAnsi="宋体" w:cs="仿宋"/>
          <w:b/>
          <w:bCs/>
          <w:sz w:val="28"/>
          <w:szCs w:val="28"/>
        </w:rPr>
      </w:pPr>
      <w:r>
        <w:rPr>
          <w:rFonts w:hint="eastAsia" w:ascii="宋体" w:hAnsi="宋体" w:cs="仿宋"/>
          <w:b/>
          <w:bCs/>
          <w:sz w:val="28"/>
          <w:szCs w:val="28"/>
        </w:rPr>
        <w:t>16、超滤率设置范围：0～4000mL/h；调节步长≤10mL/h；精度：≤1%；可显示超滤目标、超滤时间、超滤速率、超滤量，可实现零超滤。</w:t>
      </w:r>
    </w:p>
    <w:p w14:paraId="4384E31C">
      <w:pPr>
        <w:snapToGrid w:val="0"/>
        <w:spacing w:line="360" w:lineRule="auto"/>
        <w:rPr>
          <w:rFonts w:ascii="宋体" w:hAnsi="宋体" w:cs="仿宋"/>
          <w:b/>
          <w:bCs/>
          <w:sz w:val="28"/>
          <w:szCs w:val="28"/>
        </w:rPr>
      </w:pPr>
      <w:r>
        <w:rPr>
          <w:rFonts w:hint="eastAsia" w:ascii="宋体" w:hAnsi="宋体" w:cs="仿宋"/>
          <w:b/>
          <w:bCs/>
          <w:sz w:val="28"/>
          <w:szCs w:val="28"/>
        </w:rPr>
        <w:t>17、透析液温度设置范围：34～39.5℃，可实时监测并有超温保护功能。</w:t>
      </w:r>
    </w:p>
    <w:p w14:paraId="5C097838">
      <w:pPr>
        <w:snapToGrid w:val="0"/>
        <w:spacing w:line="360" w:lineRule="auto"/>
        <w:rPr>
          <w:rFonts w:ascii="宋体" w:hAnsi="宋体" w:cs="仿宋"/>
          <w:b/>
          <w:bCs/>
          <w:sz w:val="28"/>
          <w:szCs w:val="28"/>
        </w:rPr>
      </w:pPr>
      <w:r>
        <w:rPr>
          <w:rFonts w:hint="eastAsia" w:ascii="宋体" w:hAnsi="宋体" w:cs="仿宋"/>
          <w:b/>
          <w:bCs/>
          <w:sz w:val="28"/>
          <w:szCs w:val="28"/>
        </w:rPr>
        <w:t>18、静脉压力监测范围：-50～390mmHg；分辨率：≤10mmHg；误差：≤±10mmHg。</w:t>
      </w:r>
    </w:p>
    <w:p w14:paraId="7255EE62">
      <w:pPr>
        <w:snapToGrid w:val="0"/>
        <w:spacing w:line="360" w:lineRule="auto"/>
        <w:rPr>
          <w:rFonts w:ascii="宋体" w:hAnsi="宋体" w:cs="仿宋"/>
          <w:b/>
          <w:bCs/>
          <w:sz w:val="28"/>
          <w:szCs w:val="28"/>
        </w:rPr>
      </w:pPr>
      <w:r>
        <w:rPr>
          <w:rFonts w:hint="eastAsia" w:ascii="宋体" w:hAnsi="宋体" w:cs="仿宋"/>
          <w:b/>
          <w:bCs/>
          <w:sz w:val="28"/>
          <w:szCs w:val="28"/>
        </w:rPr>
        <w:t>19、动脉压力监测范围：-300～300</w:t>
      </w:r>
      <w:r>
        <w:rPr>
          <w:rFonts w:ascii="宋体" w:hAnsi="宋体" w:cs="仿宋"/>
          <w:b/>
          <w:bCs/>
          <w:sz w:val="28"/>
          <w:szCs w:val="28"/>
        </w:rPr>
        <w:t>mm</w:t>
      </w:r>
      <w:r>
        <w:rPr>
          <w:rFonts w:hint="eastAsia" w:ascii="宋体" w:hAnsi="宋体" w:cs="仿宋"/>
          <w:b/>
          <w:bCs/>
          <w:sz w:val="28"/>
          <w:szCs w:val="28"/>
        </w:rPr>
        <w:t>Hg；分辨率：≤10mmHg；误差：≤±10mmHg。</w:t>
      </w:r>
    </w:p>
    <w:p w14:paraId="65A710F9">
      <w:pPr>
        <w:snapToGrid w:val="0"/>
        <w:spacing w:line="360" w:lineRule="auto"/>
        <w:rPr>
          <w:rFonts w:ascii="宋体" w:hAnsi="宋体" w:cs="仿宋"/>
          <w:b/>
          <w:bCs/>
          <w:sz w:val="28"/>
          <w:szCs w:val="28"/>
        </w:rPr>
      </w:pPr>
      <w:r>
        <w:rPr>
          <w:rFonts w:hint="eastAsia" w:ascii="宋体" w:hAnsi="宋体" w:cs="仿宋"/>
          <w:b/>
          <w:bCs/>
          <w:sz w:val="28"/>
          <w:szCs w:val="28"/>
        </w:rPr>
        <w:t>20、跨膜压监测范围：-100～700mmHg；分辨率：≤20mmHg；具备跨膜压自动跟踪报警功能。</w:t>
      </w:r>
    </w:p>
    <w:p w14:paraId="55430589">
      <w:pPr>
        <w:snapToGrid w:val="0"/>
        <w:spacing w:line="360" w:lineRule="auto"/>
        <w:rPr>
          <w:rFonts w:ascii="宋体" w:hAnsi="宋体" w:cs="仿宋"/>
          <w:b/>
          <w:bCs/>
          <w:sz w:val="28"/>
          <w:szCs w:val="28"/>
        </w:rPr>
      </w:pPr>
      <w:r>
        <w:rPr>
          <w:rFonts w:hint="eastAsia" w:ascii="宋体" w:hAnsi="宋体" w:cs="仿宋"/>
          <w:b/>
          <w:bCs/>
          <w:sz w:val="28"/>
          <w:szCs w:val="28"/>
        </w:rPr>
        <w:t>21、电导度监测：反馈式电导度监测及配比机制，可分别监测B液电导度与总电导度。</w:t>
      </w:r>
    </w:p>
    <w:p w14:paraId="073833E3">
      <w:pPr>
        <w:snapToGrid w:val="0"/>
        <w:spacing w:line="360" w:lineRule="auto"/>
        <w:rPr>
          <w:rFonts w:ascii="宋体" w:hAnsi="宋体" w:cs="仿宋"/>
          <w:b/>
          <w:bCs/>
          <w:sz w:val="28"/>
          <w:szCs w:val="28"/>
        </w:rPr>
      </w:pPr>
      <w:r>
        <w:rPr>
          <w:rFonts w:hint="eastAsia" w:ascii="宋体" w:hAnsi="宋体" w:cs="仿宋"/>
          <w:b/>
          <w:bCs/>
          <w:sz w:val="28"/>
          <w:szCs w:val="28"/>
        </w:rPr>
        <w:t>22、自检阶段可对体外循环通路（血路管）加压检测密闭性；</w:t>
      </w:r>
    </w:p>
    <w:p w14:paraId="122B3A26">
      <w:pPr>
        <w:snapToGrid w:val="0"/>
        <w:spacing w:line="360" w:lineRule="auto"/>
        <w:rPr>
          <w:rFonts w:ascii="宋体" w:hAnsi="宋体" w:cs="仿宋"/>
          <w:b/>
          <w:bCs/>
          <w:sz w:val="28"/>
          <w:szCs w:val="28"/>
        </w:rPr>
      </w:pPr>
      <w:r>
        <w:rPr>
          <w:rFonts w:hint="eastAsia" w:ascii="宋体" w:hAnsi="宋体" w:cs="仿宋"/>
          <w:b/>
          <w:bCs/>
          <w:sz w:val="28"/>
          <w:szCs w:val="28"/>
        </w:rPr>
        <w:t>23、具备空气监测功能。</w:t>
      </w:r>
    </w:p>
    <w:p w14:paraId="1F627D80">
      <w:pPr>
        <w:snapToGrid w:val="0"/>
        <w:spacing w:line="360" w:lineRule="auto"/>
        <w:rPr>
          <w:rFonts w:ascii="宋体" w:hAnsi="宋体" w:cs="仿宋"/>
          <w:b/>
          <w:bCs/>
          <w:sz w:val="28"/>
          <w:szCs w:val="28"/>
        </w:rPr>
      </w:pPr>
      <w:r>
        <w:rPr>
          <w:rFonts w:hint="eastAsia" w:ascii="宋体" w:hAnsi="宋体" w:cs="仿宋"/>
          <w:b/>
          <w:bCs/>
          <w:sz w:val="28"/>
          <w:szCs w:val="28"/>
        </w:rPr>
        <w:t>24、内置不间断电源，断电时自动切换并可维持血泵正常运转及监测显示所有治疗数据工作时间：≥15min。</w:t>
      </w:r>
    </w:p>
    <w:p w14:paraId="20756C19">
      <w:pPr>
        <w:snapToGrid w:val="0"/>
        <w:spacing w:line="360" w:lineRule="auto"/>
        <w:rPr>
          <w:rFonts w:ascii="宋体" w:hAnsi="宋体" w:cs="仿宋"/>
          <w:b/>
          <w:bCs/>
          <w:sz w:val="28"/>
          <w:szCs w:val="28"/>
        </w:rPr>
      </w:pPr>
      <w:r>
        <w:rPr>
          <w:rFonts w:hint="eastAsia" w:ascii="宋体" w:hAnsi="宋体" w:cs="仿宋"/>
          <w:b/>
          <w:bCs/>
          <w:sz w:val="28"/>
          <w:szCs w:val="28"/>
        </w:rPr>
        <w:t>25、待机模式，可关闭透析液吸取；</w:t>
      </w:r>
    </w:p>
    <w:p w14:paraId="53C0B154">
      <w:pPr>
        <w:snapToGrid w:val="0"/>
        <w:spacing w:line="360" w:lineRule="auto"/>
        <w:rPr>
          <w:rFonts w:ascii="宋体" w:hAnsi="宋体" w:cs="仿宋"/>
          <w:b/>
          <w:bCs/>
          <w:sz w:val="28"/>
          <w:szCs w:val="28"/>
        </w:rPr>
      </w:pPr>
      <w:r>
        <w:rPr>
          <w:rFonts w:hint="eastAsia" w:ascii="宋体" w:hAnsi="宋体" w:cs="仿宋"/>
          <w:b/>
          <w:bCs/>
          <w:sz w:val="28"/>
          <w:szCs w:val="28"/>
        </w:rPr>
        <w:t>26、置换液流量范围：20～380ml/min；</w:t>
      </w:r>
    </w:p>
    <w:p w14:paraId="225FD0D7">
      <w:pPr>
        <w:snapToGrid w:val="0"/>
        <w:spacing w:line="360" w:lineRule="auto"/>
        <w:rPr>
          <w:rFonts w:ascii="宋体" w:hAnsi="宋体" w:cs="仿宋"/>
          <w:b/>
          <w:bCs/>
          <w:sz w:val="28"/>
          <w:szCs w:val="28"/>
        </w:rPr>
      </w:pPr>
      <w:r>
        <w:rPr>
          <w:rFonts w:hint="eastAsia" w:ascii="宋体" w:hAnsi="宋体" w:cs="仿宋"/>
          <w:b/>
          <w:bCs/>
          <w:sz w:val="28"/>
          <w:szCs w:val="28"/>
        </w:rPr>
        <w:t>27、水供应进水压力范围：0.5～6.0</w:t>
      </w:r>
      <w:r>
        <w:rPr>
          <w:rFonts w:ascii="宋体" w:hAnsi="宋体" w:cs="仿宋"/>
          <w:b/>
          <w:bCs/>
          <w:sz w:val="28"/>
          <w:szCs w:val="28"/>
        </w:rPr>
        <w:t xml:space="preserve"> </w:t>
      </w:r>
      <w:r>
        <w:rPr>
          <w:rFonts w:hint="eastAsia" w:ascii="宋体" w:hAnsi="宋体" w:cs="仿宋"/>
          <w:b/>
          <w:bCs/>
          <w:sz w:val="28"/>
          <w:szCs w:val="28"/>
        </w:rPr>
        <w:t>bar</w:t>
      </w:r>
    </w:p>
    <w:p w14:paraId="50DB7C1B">
      <w:pPr>
        <w:spacing w:line="360" w:lineRule="auto"/>
        <w:rPr>
          <w:b/>
          <w:bCs/>
          <w:sz w:val="28"/>
          <w:szCs w:val="28"/>
        </w:rPr>
      </w:pPr>
      <w:r>
        <w:rPr>
          <w:rFonts w:hint="eastAsia" w:ascii="宋体" w:hAnsi="宋体" w:cs="仿宋"/>
          <w:b/>
          <w:bCs/>
          <w:sz w:val="28"/>
          <w:szCs w:val="28"/>
          <w:lang w:val="en-US" w:eastAsia="zh-CN"/>
        </w:rPr>
        <w:t>三</w:t>
      </w:r>
      <w:r>
        <w:rPr>
          <w:rFonts w:hint="eastAsia" w:ascii="宋体" w:hAnsi="宋体" w:cs="仿宋"/>
          <w:b/>
          <w:bCs/>
          <w:sz w:val="28"/>
          <w:szCs w:val="28"/>
        </w:rPr>
        <w:t>、</w:t>
      </w:r>
      <w:r>
        <w:rPr>
          <w:rFonts w:hint="eastAsia" w:ascii="宋体" w:hAnsi="宋体" w:cs="仿宋"/>
          <w:b/>
          <w:bCs/>
          <w:sz w:val="28"/>
          <w:szCs w:val="28"/>
          <w:lang w:val="en-US" w:eastAsia="zh-CN"/>
        </w:rPr>
        <w:t>每套</w:t>
      </w:r>
      <w:r>
        <w:rPr>
          <w:rFonts w:hint="eastAsia" w:ascii="宋体" w:hAnsi="宋体" w:cs="仿宋"/>
          <w:b/>
          <w:bCs/>
          <w:sz w:val="28"/>
          <w:szCs w:val="28"/>
        </w:rPr>
        <w:t>配置</w:t>
      </w:r>
      <w:r>
        <w:rPr>
          <w:rFonts w:hint="eastAsia"/>
          <w:b/>
          <w:bCs/>
          <w:sz w:val="28"/>
          <w:szCs w:val="28"/>
        </w:rPr>
        <w:t>要求</w:t>
      </w:r>
    </w:p>
    <w:p w14:paraId="0F34F3E6">
      <w:pPr>
        <w:numPr>
          <w:ilvl w:val="0"/>
          <w:numId w:val="17"/>
        </w:numPr>
        <w:spacing w:after="160" w:line="360" w:lineRule="auto"/>
        <w:rPr>
          <w:sz w:val="28"/>
          <w:szCs w:val="28"/>
        </w:rPr>
      </w:pPr>
      <w:r>
        <w:rPr>
          <w:rFonts w:hint="eastAsia"/>
          <w:sz w:val="28"/>
          <w:szCs w:val="28"/>
        </w:rPr>
        <w:t>主机一台；</w:t>
      </w:r>
    </w:p>
    <w:p w14:paraId="7D7D7B18">
      <w:pPr>
        <w:numPr>
          <w:ilvl w:val="0"/>
          <w:numId w:val="17"/>
        </w:numPr>
        <w:spacing w:after="160" w:line="360" w:lineRule="auto"/>
        <w:rPr>
          <w:sz w:val="28"/>
          <w:szCs w:val="28"/>
        </w:rPr>
      </w:pPr>
      <w:r>
        <w:rPr>
          <w:rFonts w:hint="eastAsia"/>
          <w:sz w:val="28"/>
          <w:szCs w:val="28"/>
        </w:rPr>
        <w:t>血压计及袖带；</w:t>
      </w:r>
    </w:p>
    <w:p w14:paraId="51E83EEE">
      <w:pPr>
        <w:numPr>
          <w:ilvl w:val="0"/>
          <w:numId w:val="17"/>
        </w:numPr>
        <w:spacing w:after="160" w:line="360" w:lineRule="auto"/>
        <w:rPr>
          <w:sz w:val="28"/>
          <w:szCs w:val="28"/>
        </w:rPr>
      </w:pPr>
      <w:r>
        <w:rPr>
          <w:rFonts w:hint="eastAsia"/>
          <w:sz w:val="28"/>
          <w:szCs w:val="28"/>
        </w:rPr>
        <w:t>kt/v功能；</w:t>
      </w:r>
    </w:p>
    <w:p w14:paraId="55C30A00">
      <w:pPr>
        <w:numPr>
          <w:ilvl w:val="0"/>
          <w:numId w:val="17"/>
        </w:numPr>
        <w:spacing w:after="160" w:line="360" w:lineRule="auto"/>
        <w:rPr>
          <w:sz w:val="28"/>
          <w:szCs w:val="28"/>
        </w:rPr>
      </w:pPr>
      <w:r>
        <w:rPr>
          <w:rFonts w:hint="eastAsia"/>
          <w:sz w:val="28"/>
          <w:szCs w:val="28"/>
        </w:rPr>
        <w:t>透析液过滤器及其支架；</w:t>
      </w:r>
    </w:p>
    <w:p w14:paraId="36637E2A">
      <w:pPr>
        <w:spacing w:line="360" w:lineRule="auto"/>
        <w:rPr>
          <w:b/>
          <w:bCs/>
          <w:sz w:val="28"/>
          <w:szCs w:val="28"/>
        </w:rPr>
      </w:pPr>
      <w:r>
        <w:rPr>
          <w:rFonts w:hint="eastAsia"/>
          <w:b/>
          <w:bCs/>
          <w:sz w:val="28"/>
          <w:szCs w:val="28"/>
          <w:lang w:val="en-US" w:eastAsia="zh-CN"/>
        </w:rPr>
        <w:t>四</w:t>
      </w:r>
      <w:r>
        <w:rPr>
          <w:rFonts w:hint="eastAsia"/>
          <w:b/>
          <w:bCs/>
          <w:sz w:val="28"/>
          <w:szCs w:val="28"/>
        </w:rPr>
        <w:t>、售后服务方案</w:t>
      </w:r>
    </w:p>
    <w:p w14:paraId="21EBD4C5">
      <w:pPr>
        <w:pStyle w:val="105"/>
        <w:spacing w:line="360" w:lineRule="auto"/>
        <w:rPr>
          <w:sz w:val="28"/>
          <w:szCs w:val="28"/>
        </w:rPr>
      </w:pPr>
      <w:r>
        <w:rPr>
          <w:rFonts w:hint="eastAsia"/>
          <w:sz w:val="28"/>
          <w:szCs w:val="28"/>
        </w:rPr>
        <w:t>1、培训要求</w:t>
      </w:r>
    </w:p>
    <w:p w14:paraId="6F4E564A">
      <w:pPr>
        <w:spacing w:line="360" w:lineRule="auto"/>
        <w:contextualSpacing/>
        <w:rPr>
          <w:sz w:val="28"/>
          <w:szCs w:val="28"/>
        </w:rPr>
      </w:pPr>
      <w:r>
        <w:rPr>
          <w:rFonts w:hint="eastAsia"/>
          <w:sz w:val="28"/>
          <w:szCs w:val="28"/>
        </w:rPr>
        <w:t>应提供不少于1天的免费培训。并对培训内容、培训对象、培训时间做出计划，直至使用者完全掌握仪器的基本操作和日常维护。</w:t>
      </w:r>
    </w:p>
    <w:p w14:paraId="2B515516">
      <w:pPr>
        <w:pStyle w:val="105"/>
        <w:spacing w:line="360" w:lineRule="auto"/>
        <w:rPr>
          <w:sz w:val="28"/>
          <w:szCs w:val="28"/>
        </w:rPr>
      </w:pPr>
      <w:r>
        <w:rPr>
          <w:rFonts w:hint="eastAsia"/>
          <w:sz w:val="28"/>
          <w:szCs w:val="28"/>
        </w:rPr>
        <w:t>2、服务保障方案要求：</w:t>
      </w:r>
    </w:p>
    <w:p w14:paraId="6A39FEBD">
      <w:pPr>
        <w:pStyle w:val="23"/>
        <w:spacing w:before="50" w:line="360" w:lineRule="auto"/>
        <w:rPr>
          <w:rFonts w:hint="default" w:hAnsi="宋体"/>
          <w:sz w:val="28"/>
          <w:szCs w:val="28"/>
        </w:rPr>
      </w:pPr>
      <w:r>
        <w:rPr>
          <w:rFonts w:hAnsi="宋体"/>
          <w:sz w:val="28"/>
          <w:szCs w:val="28"/>
        </w:rPr>
        <w:t>2.1、在合同执行期和质量保证期内，应保证在收到要求提供维修服务的通知后1小时内给予反馈，12小时内派合格的技术人员赴现场提供免费服务，解决问题。</w:t>
      </w:r>
    </w:p>
    <w:p w14:paraId="4DEE7904">
      <w:pPr>
        <w:pStyle w:val="105"/>
        <w:spacing w:before="50" w:line="360" w:lineRule="auto"/>
        <w:rPr>
          <w:rFonts w:cs="等线"/>
          <w:b/>
          <w:bCs/>
          <w:color w:val="auto"/>
          <w:sz w:val="28"/>
          <w:szCs w:val="28"/>
          <w:lang w:val="zh-TW"/>
        </w:rPr>
      </w:pPr>
      <w:r>
        <w:rPr>
          <w:rFonts w:hint="eastAsia"/>
          <w:bCs/>
          <w:sz w:val="28"/>
          <w:szCs w:val="28"/>
        </w:rPr>
        <w:t>2.2、制造商应有成熟的售后服务团队，</w:t>
      </w:r>
      <w:r>
        <w:rPr>
          <w:rFonts w:hint="eastAsia"/>
          <w:bCs/>
          <w:color w:val="auto"/>
          <w:sz w:val="28"/>
          <w:szCs w:val="28"/>
        </w:rPr>
        <w:t>确保设备能够及时维修。</w:t>
      </w:r>
    </w:p>
    <w:p w14:paraId="7802EFDC">
      <w:pPr>
        <w:pStyle w:val="105"/>
        <w:spacing w:line="360" w:lineRule="auto"/>
        <w:rPr>
          <w:color w:val="auto"/>
          <w:sz w:val="28"/>
          <w:szCs w:val="28"/>
        </w:rPr>
      </w:pPr>
      <w:r>
        <w:rPr>
          <w:rFonts w:hint="eastAsia"/>
          <w:color w:val="auto"/>
          <w:sz w:val="28"/>
          <w:szCs w:val="28"/>
        </w:rPr>
        <w:t>2.4、应提供</w:t>
      </w:r>
      <w:r>
        <w:rPr>
          <w:color w:val="auto"/>
          <w:sz w:val="28"/>
          <w:szCs w:val="28"/>
        </w:rPr>
        <w:t>产品专业的售后服务（维修站）的信息，包括售后服务机构名称、服务人员的数量和水平、联系人和联系方式。</w:t>
      </w:r>
    </w:p>
    <w:p w14:paraId="23B8B9BE">
      <w:pPr>
        <w:pStyle w:val="105"/>
        <w:kinsoku w:val="0"/>
        <w:autoSpaceDE w:val="0"/>
        <w:autoSpaceDN w:val="0"/>
        <w:adjustRightInd w:val="0"/>
        <w:snapToGrid w:val="0"/>
        <w:spacing w:before="120" w:line="360" w:lineRule="auto"/>
        <w:textAlignment w:val="baseline"/>
        <w:rPr>
          <w:sz w:val="28"/>
          <w:szCs w:val="28"/>
        </w:rPr>
      </w:pPr>
      <w:r>
        <w:rPr>
          <w:rFonts w:hint="eastAsia"/>
          <w:sz w:val="28"/>
          <w:szCs w:val="28"/>
        </w:rPr>
        <w:t>2.5、软件应终身免费升级到最新版本；所有软件协议、数据接口免费开放。</w:t>
      </w:r>
    </w:p>
    <w:p w14:paraId="00BA7A61">
      <w:pPr>
        <w:pStyle w:val="105"/>
        <w:kinsoku w:val="0"/>
        <w:autoSpaceDE w:val="0"/>
        <w:autoSpaceDN w:val="0"/>
        <w:adjustRightInd w:val="0"/>
        <w:snapToGrid w:val="0"/>
        <w:spacing w:before="120" w:line="360" w:lineRule="auto"/>
        <w:textAlignment w:val="baseline"/>
        <w:rPr>
          <w:b/>
          <w:bCs/>
          <w:sz w:val="28"/>
          <w:szCs w:val="28"/>
        </w:rPr>
      </w:pPr>
      <w:r>
        <w:rPr>
          <w:rFonts w:hint="eastAsia"/>
          <w:sz w:val="28"/>
          <w:szCs w:val="28"/>
        </w:rPr>
        <w:t>2.6、</w:t>
      </w:r>
      <w:r>
        <w:rPr>
          <w:rFonts w:hint="eastAsia"/>
          <w:sz w:val="28"/>
          <w:szCs w:val="28"/>
          <w:lang w:bidi="ar"/>
        </w:rPr>
        <w:t>维修服务期所涉及的人工费、交通差旅费、上门费及备件费，应均由厂家承担。</w:t>
      </w:r>
    </w:p>
    <w:p w14:paraId="0CF5923D">
      <w:pPr>
        <w:spacing w:line="360" w:lineRule="auto"/>
        <w:rPr>
          <w:sz w:val="28"/>
          <w:szCs w:val="28"/>
        </w:rPr>
      </w:pPr>
      <w:r>
        <w:rPr>
          <w:rFonts w:hint="eastAsia"/>
          <w:sz w:val="28"/>
          <w:szCs w:val="28"/>
        </w:rPr>
        <w:t>3、保修期要求：≥3年整机保修。要求原厂保修</w:t>
      </w:r>
    </w:p>
    <w:p w14:paraId="43F7EE13">
      <w:pPr>
        <w:spacing w:line="360" w:lineRule="auto"/>
        <w:rPr>
          <w:sz w:val="28"/>
          <w:szCs w:val="28"/>
        </w:rPr>
      </w:pPr>
      <w:r>
        <w:rPr>
          <w:rFonts w:hint="eastAsia"/>
          <w:sz w:val="28"/>
          <w:szCs w:val="28"/>
        </w:rPr>
        <w:t>4、设备交付时应距生产日期6个月以内。</w:t>
      </w:r>
    </w:p>
    <w:p w14:paraId="197531EC">
      <w:pPr>
        <w:spacing w:line="360" w:lineRule="auto"/>
        <w:rPr>
          <w:rFonts w:hint="eastAsia"/>
          <w:sz w:val="28"/>
          <w:szCs w:val="28"/>
        </w:rPr>
      </w:pPr>
      <w:r>
        <w:rPr>
          <w:rFonts w:hint="eastAsia"/>
          <w:sz w:val="28"/>
          <w:szCs w:val="28"/>
        </w:rPr>
        <w:t>5、要求中标人售后服务机构按照产品说明书要求制定一份维护保养手册，免费完成设备全生命周期内维护保养工作，并出具承诺书。</w:t>
      </w:r>
    </w:p>
    <w:p w14:paraId="6BB857EE">
      <w:pPr>
        <w:spacing w:line="360" w:lineRule="auto"/>
        <w:rPr>
          <w:rFonts w:hint="eastAsia" w:eastAsia="宋体"/>
          <w:sz w:val="28"/>
          <w:szCs w:val="28"/>
        </w:rPr>
      </w:pPr>
      <w:r>
        <w:rPr>
          <w:rFonts w:hint="eastAsia" w:eastAsia="宋体"/>
          <w:sz w:val="28"/>
          <w:szCs w:val="28"/>
          <w:lang w:val="en-US" w:eastAsia="zh-CN"/>
        </w:rPr>
        <w:t>6、免费开放标准化网络接口，无额外接口使用费用、授权费用或技术对接服务费。</w:t>
      </w:r>
      <w:r>
        <w:rPr>
          <w:rFonts w:hint="default" w:eastAsia="宋体"/>
          <w:sz w:val="28"/>
          <w:szCs w:val="28"/>
          <w:lang w:val="en-US" w:eastAsia="zh-CN"/>
        </w:rPr>
        <w:t>需</w:t>
      </w:r>
      <w:r>
        <w:rPr>
          <w:rFonts w:hint="eastAsia" w:eastAsia="宋体"/>
          <w:sz w:val="28"/>
          <w:szCs w:val="28"/>
          <w:lang w:val="en-US" w:eastAsia="zh-CN"/>
        </w:rPr>
        <w:t>适配</w:t>
      </w:r>
      <w:r>
        <w:rPr>
          <w:rFonts w:hint="default" w:eastAsia="宋体"/>
          <w:sz w:val="28"/>
          <w:szCs w:val="28"/>
          <w:lang w:val="en-US" w:eastAsia="zh-CN"/>
        </w:rPr>
        <w:t>现有血液</w:t>
      </w:r>
      <w:r>
        <w:rPr>
          <w:rFonts w:hint="eastAsia" w:eastAsia="宋体"/>
          <w:sz w:val="28"/>
          <w:szCs w:val="28"/>
          <w:lang w:val="en-US" w:eastAsia="zh-CN"/>
        </w:rPr>
        <w:t>透析东软系统，确保数据传输的准确性和实时性。</w:t>
      </w:r>
    </w:p>
    <w:p w14:paraId="3399BCFA">
      <w:pPr>
        <w:spacing w:line="360" w:lineRule="auto"/>
        <w:rPr>
          <w:rFonts w:hint="eastAsia" w:eastAsia="宋体"/>
          <w:b/>
          <w:bCs/>
          <w:sz w:val="28"/>
          <w:szCs w:val="28"/>
          <w:lang w:val="en-US" w:eastAsia="zh-CN"/>
        </w:rPr>
      </w:pPr>
      <w:r>
        <w:rPr>
          <w:rFonts w:hint="eastAsia" w:eastAsia="宋体"/>
          <w:b/>
          <w:bCs/>
          <w:sz w:val="28"/>
          <w:szCs w:val="28"/>
          <w:lang w:val="en-US" w:eastAsia="zh-CN"/>
        </w:rPr>
        <w:t>五、商务要求</w:t>
      </w:r>
    </w:p>
    <w:p w14:paraId="3D36FC54">
      <w:pPr>
        <w:spacing w:line="360" w:lineRule="auto"/>
        <w:rPr>
          <w:rFonts w:hint="eastAsia" w:eastAsia="宋体"/>
          <w:sz w:val="28"/>
          <w:szCs w:val="28"/>
          <w:lang w:val="en-US" w:eastAsia="zh-CN"/>
        </w:rPr>
      </w:pPr>
      <w:r>
        <w:rPr>
          <w:rFonts w:hint="eastAsia" w:eastAsia="宋体"/>
          <w:sz w:val="28"/>
          <w:szCs w:val="28"/>
          <w:lang w:val="en-US" w:eastAsia="zh-CN"/>
        </w:rPr>
        <w:t>1.  付款条件（进度和方式）</w:t>
      </w:r>
    </w:p>
    <w:p w14:paraId="50C61CEE">
      <w:pPr>
        <w:spacing w:line="360" w:lineRule="auto"/>
        <w:ind w:firstLine="360" w:firstLineChars="150"/>
        <w:rPr>
          <w:rFonts w:hint="eastAsia" w:ascii="仿宋" w:hAnsi="仿宋" w:eastAsia="仿宋"/>
          <w:b/>
          <w:sz w:val="24"/>
          <w:u w:val="single"/>
        </w:rPr>
      </w:pPr>
      <w:r>
        <w:rPr>
          <w:rFonts w:hint="eastAsia" w:ascii="仿宋" w:hAnsi="仿宋" w:eastAsia="仿宋"/>
          <w:sz w:val="24"/>
        </w:rPr>
        <w:t>（1）</w:t>
      </w:r>
      <w:r>
        <w:rPr>
          <w:rFonts w:hint="eastAsia" w:ascii="仿宋" w:hAnsi="仿宋" w:eastAsia="仿宋"/>
          <w:sz w:val="24"/>
          <w:u w:val="single"/>
        </w:rPr>
        <w:t>第一次付款：</w:t>
      </w:r>
      <w:r>
        <w:rPr>
          <w:rFonts w:hint="eastAsia" w:ascii="仿宋" w:hAnsi="仿宋" w:eastAsia="仿宋"/>
          <w:b/>
          <w:sz w:val="24"/>
          <w:u w:val="single"/>
        </w:rPr>
        <w:t>买方收到履约保证金后向卖方支付合同总价的30%预付款。</w:t>
      </w:r>
    </w:p>
    <w:p w14:paraId="67E37096">
      <w:pPr>
        <w:spacing w:line="360" w:lineRule="auto"/>
        <w:ind w:firstLine="360" w:firstLineChars="150"/>
        <w:rPr>
          <w:rFonts w:hint="eastAsia" w:ascii="仿宋" w:hAnsi="仿宋" w:eastAsia="仿宋"/>
          <w:b/>
          <w:sz w:val="24"/>
          <w:u w:val="single"/>
        </w:rPr>
      </w:pPr>
      <w:r>
        <w:rPr>
          <w:rFonts w:hint="eastAsia" w:ascii="仿宋" w:hAnsi="仿宋" w:eastAsia="仿宋"/>
          <w:sz w:val="24"/>
        </w:rPr>
        <w:t>（2）</w:t>
      </w:r>
      <w:r>
        <w:rPr>
          <w:rFonts w:hint="eastAsia" w:ascii="仿宋" w:hAnsi="仿宋" w:eastAsia="仿宋"/>
          <w:sz w:val="24"/>
          <w:u w:val="single"/>
        </w:rPr>
        <w:t>第二次付款：</w:t>
      </w:r>
      <w:r>
        <w:rPr>
          <w:rFonts w:hint="eastAsia" w:ascii="仿宋" w:hAnsi="仿宋" w:eastAsia="仿宋"/>
          <w:b/>
          <w:sz w:val="24"/>
          <w:u w:val="single"/>
        </w:rPr>
        <w:t>安装验收合格12个月后买方向卖方支付合同总价的40%货款。</w:t>
      </w:r>
    </w:p>
    <w:p w14:paraId="37ABEBE4">
      <w:pPr>
        <w:spacing w:line="360" w:lineRule="auto"/>
        <w:ind w:firstLine="360" w:firstLineChars="150"/>
        <w:rPr>
          <w:rFonts w:hint="eastAsia" w:ascii="仿宋" w:hAnsi="仿宋" w:eastAsia="仿宋"/>
          <w:b/>
          <w:sz w:val="24"/>
          <w:u w:val="single"/>
        </w:rPr>
      </w:pPr>
      <w:r>
        <w:rPr>
          <w:rFonts w:hint="eastAsia" w:ascii="仿宋" w:hAnsi="仿宋" w:eastAsia="仿宋"/>
          <w:sz w:val="24"/>
        </w:rPr>
        <w:t>（3）</w:t>
      </w:r>
      <w:r>
        <w:rPr>
          <w:rFonts w:hint="eastAsia" w:ascii="仿宋" w:hAnsi="仿宋" w:eastAsia="仿宋"/>
          <w:sz w:val="24"/>
          <w:u w:val="single"/>
        </w:rPr>
        <w:t>第三次付款：</w:t>
      </w:r>
      <w:r>
        <w:rPr>
          <w:rFonts w:hint="eastAsia" w:ascii="仿宋" w:hAnsi="仿宋" w:eastAsia="仿宋"/>
          <w:b/>
          <w:sz w:val="24"/>
          <w:u w:val="single"/>
        </w:rPr>
        <w:t>安装验收合格36个月后买方向卖方支付合同总价的30%货款。</w:t>
      </w:r>
    </w:p>
    <w:p w14:paraId="33335D3E"/>
    <w:p w14:paraId="65E6D2BE">
      <w:pPr>
        <w:pStyle w:val="59"/>
        <w:rPr>
          <w:rFonts w:hint="eastAsia"/>
        </w:rPr>
      </w:pPr>
    </w:p>
    <w:p w14:paraId="7605F1D7">
      <w:pPr>
        <w:spacing w:line="360" w:lineRule="auto"/>
        <w:ind w:firstLine="240" w:firstLineChars="100"/>
        <w:rPr>
          <w:rFonts w:hint="eastAsia" w:ascii="仿宋" w:hAnsi="仿宋" w:eastAsia="仿宋"/>
          <w:b/>
          <w:sz w:val="24"/>
          <w:u w:val="single"/>
        </w:rPr>
      </w:pPr>
    </w:p>
    <w:p w14:paraId="7E703B0D">
      <w:pPr>
        <w:pStyle w:val="28"/>
        <w:rPr>
          <w:highlight w:val="none"/>
        </w:rPr>
        <w:sectPr>
          <w:headerReference r:id="rId11" w:type="default"/>
          <w:footerReference r:id="rId12" w:type="default"/>
          <w:pgSz w:w="11906" w:h="16838"/>
          <w:pgMar w:top="1418" w:right="1418" w:bottom="1418" w:left="1418" w:header="851" w:footer="992" w:gutter="0"/>
          <w:pgBorders w:offsetFrom="page">
            <w:top w:val="none" w:sz="0" w:space="0"/>
            <w:left w:val="none" w:sz="0" w:space="0"/>
            <w:bottom w:val="none" w:sz="0" w:space="0"/>
            <w:right w:val="none" w:sz="0" w:space="0"/>
          </w:pgBorders>
          <w:cols w:space="720" w:num="1"/>
          <w:docGrid w:type="linesAndChars" w:linePitch="312" w:charSpace="0"/>
        </w:sectPr>
      </w:pPr>
    </w:p>
    <w:p w14:paraId="78C008E8">
      <w:pPr>
        <w:pStyle w:val="28"/>
        <w:rPr>
          <w:highlight w:val="none"/>
        </w:rPr>
      </w:pPr>
    </w:p>
    <w:p w14:paraId="5EA79B70">
      <w:pPr>
        <w:spacing w:line="360" w:lineRule="auto"/>
        <w:jc w:val="center"/>
        <w:outlineLvl w:val="0"/>
        <w:rPr>
          <w:b/>
          <w:color w:val="auto"/>
          <w:sz w:val="36"/>
          <w:szCs w:val="36"/>
          <w:highlight w:val="none"/>
        </w:rPr>
      </w:pPr>
      <w:bookmarkStart w:id="817" w:name="_Toc7159"/>
      <w:r>
        <w:rPr>
          <w:rFonts w:ascii="Times New Roman" w:hAnsi="Times New Roman" w:eastAsia="宋体" w:cs="Times New Roman"/>
          <w:b/>
          <w:color w:val="auto"/>
          <w:sz w:val="36"/>
          <w:szCs w:val="36"/>
          <w:highlight w:val="none"/>
        </w:rPr>
        <w:t>第六章   拟签订的合同文本</w:t>
      </w:r>
      <w:bookmarkEnd w:id="817"/>
    </w:p>
    <w:p w14:paraId="0DEB22A2">
      <w:pPr>
        <w:spacing w:line="360" w:lineRule="auto"/>
        <w:rPr>
          <w:rFonts w:ascii="仿宋" w:hAnsi="仿宋" w:eastAsia="仿宋"/>
          <w:sz w:val="24"/>
        </w:rPr>
      </w:pPr>
      <w:bookmarkStart w:id="818" w:name="_Toc220229430"/>
      <w:bookmarkEnd w:id="818"/>
    </w:p>
    <w:p w14:paraId="0AE15DFD">
      <w:pPr>
        <w:pStyle w:val="2"/>
        <w:spacing w:before="0" w:after="0" w:line="360" w:lineRule="auto"/>
        <w:jc w:val="both"/>
        <w:rPr>
          <w:rFonts w:ascii="仿宋" w:hAnsi="仿宋" w:eastAsia="仿宋"/>
          <w:color w:val="0000FF"/>
          <w:sz w:val="28"/>
          <w:szCs w:val="28"/>
        </w:rPr>
      </w:pPr>
      <w:bookmarkStart w:id="819" w:name="_Toc216513787"/>
      <w:bookmarkStart w:id="820" w:name="_Toc216582811"/>
      <w:bookmarkStart w:id="821" w:name="_Toc218935351"/>
      <w:bookmarkStart w:id="822" w:name="_Toc219175635"/>
      <w:r>
        <w:rPr>
          <w:rFonts w:hint="eastAsia" w:ascii="仿宋" w:hAnsi="仿宋" w:eastAsia="仿宋"/>
          <w:color w:val="0000FF"/>
          <w:sz w:val="28"/>
          <w:szCs w:val="28"/>
        </w:rPr>
        <w:t>医院合同范本类别编号：</w:t>
      </w:r>
    </w:p>
    <w:p w14:paraId="1FFB1706">
      <w:pPr>
        <w:pStyle w:val="2"/>
        <w:spacing w:before="0" w:after="0" w:line="360" w:lineRule="auto"/>
        <w:rPr>
          <w:rFonts w:ascii="仿宋" w:hAnsi="仿宋" w:eastAsia="仿宋"/>
          <w:sz w:val="28"/>
          <w:szCs w:val="28"/>
        </w:rPr>
      </w:pPr>
      <w:r>
        <w:rPr>
          <w:rFonts w:hint="eastAsia" w:ascii="仿宋" w:hAnsi="仿宋" w:eastAsia="仿宋"/>
          <w:sz w:val="28"/>
          <w:szCs w:val="28"/>
        </w:rPr>
        <w:t>采购合同</w:t>
      </w:r>
      <w:bookmarkEnd w:id="819"/>
      <w:bookmarkEnd w:id="820"/>
      <w:bookmarkEnd w:id="821"/>
      <w:bookmarkEnd w:id="822"/>
      <w:bookmarkStart w:id="823" w:name="_Toc216513788"/>
      <w:r>
        <w:rPr>
          <w:rFonts w:hint="eastAsia" w:ascii="仿宋" w:hAnsi="仿宋" w:eastAsia="仿宋"/>
          <w:sz w:val="28"/>
          <w:szCs w:val="28"/>
        </w:rPr>
        <w:t>(</w:t>
      </w:r>
      <w:r>
        <w:rPr>
          <w:rFonts w:hint="eastAsia" w:ascii="仿宋" w:hAnsi="仿宋" w:eastAsia="仿宋"/>
          <w:color w:val="FF0000"/>
          <w:sz w:val="28"/>
          <w:szCs w:val="28"/>
        </w:rPr>
        <w:t>如果使用财政资金，加“政府”</w:t>
      </w:r>
      <w:r>
        <w:rPr>
          <w:rFonts w:hint="eastAsia" w:ascii="仿宋" w:hAnsi="仿宋" w:eastAsia="仿宋"/>
          <w:sz w:val="28"/>
          <w:szCs w:val="28"/>
        </w:rPr>
        <w:t>）</w:t>
      </w:r>
    </w:p>
    <w:p w14:paraId="764F388A">
      <w:pPr>
        <w:spacing w:line="240" w:lineRule="atLeast"/>
        <w:ind w:left="644" w:leftChars="307" w:firstLine="2240" w:firstLineChars="800"/>
        <w:rPr>
          <w:rFonts w:ascii="仿宋" w:hAnsi="仿宋" w:eastAsia="仿宋"/>
          <w:b/>
          <w:kern w:val="44"/>
          <w:sz w:val="24"/>
        </w:rPr>
      </w:pPr>
      <w:r>
        <w:rPr>
          <w:rFonts w:hint="eastAsia" w:ascii="仿宋" w:hAnsi="仿宋" w:eastAsia="仿宋"/>
          <w:sz w:val="28"/>
          <w:szCs w:val="28"/>
        </w:rPr>
        <w:t xml:space="preserve">     </w:t>
      </w:r>
      <w:r>
        <w:rPr>
          <w:rFonts w:hint="eastAsia" w:ascii="仿宋" w:hAnsi="仿宋" w:eastAsia="仿宋"/>
          <w:sz w:val="24"/>
        </w:rPr>
        <w:t xml:space="preserve">   </w:t>
      </w:r>
      <w:r>
        <w:rPr>
          <w:rFonts w:hint="eastAsia" w:ascii="仿宋" w:hAnsi="仿宋" w:eastAsia="仿宋"/>
          <w:b/>
          <w:kern w:val="44"/>
          <w:sz w:val="24"/>
        </w:rPr>
        <w:t>（货物类）</w:t>
      </w:r>
    </w:p>
    <w:p w14:paraId="76C05039">
      <w:pPr>
        <w:rPr>
          <w:rFonts w:hint="eastAsia" w:ascii="仿宋" w:hAnsi="仿宋" w:eastAsia="仿宋"/>
        </w:rPr>
      </w:pPr>
    </w:p>
    <w:bookmarkEnd w:id="823"/>
    <w:p w14:paraId="37D8F059">
      <w:pPr>
        <w:spacing w:line="360" w:lineRule="auto"/>
        <w:ind w:left="1079" w:leftChars="257" w:hanging="540"/>
        <w:rPr>
          <w:rFonts w:ascii="仿宋" w:hAnsi="仿宋" w:eastAsia="仿宋"/>
          <w:sz w:val="24"/>
        </w:rPr>
      </w:pPr>
      <w:bookmarkStart w:id="824" w:name="_Toc216513789"/>
      <w:r>
        <w:rPr>
          <w:rFonts w:hint="eastAsia" w:ascii="仿宋" w:hAnsi="仿宋" w:eastAsia="仿宋"/>
          <w:sz w:val="24"/>
        </w:rPr>
        <w:t>合同编号</w:t>
      </w:r>
      <w:bookmarkEnd w:id="824"/>
      <w:r>
        <w:rPr>
          <w:rFonts w:hint="eastAsia" w:ascii="仿宋" w:hAnsi="仿宋" w:eastAsia="仿宋"/>
          <w:sz w:val="24"/>
        </w:rPr>
        <w:t>：________</w:t>
      </w:r>
      <w:r>
        <w:rPr>
          <w:rFonts w:ascii="仿宋" w:hAnsi="仿宋" w:eastAsia="仿宋"/>
          <w:sz w:val="24"/>
        </w:rPr>
        <w:t xml:space="preserve">        </w:t>
      </w:r>
    </w:p>
    <w:p w14:paraId="7B22F0D5">
      <w:pPr>
        <w:spacing w:line="360" w:lineRule="auto"/>
        <w:ind w:left="1079" w:leftChars="257" w:hanging="540"/>
        <w:rPr>
          <w:rFonts w:ascii="仿宋" w:hAnsi="仿宋" w:eastAsia="仿宋"/>
          <w:sz w:val="24"/>
        </w:rPr>
      </w:pPr>
    </w:p>
    <w:p w14:paraId="579D09E2">
      <w:pPr>
        <w:spacing w:line="360" w:lineRule="auto"/>
        <w:ind w:left="1079" w:leftChars="257" w:hanging="540"/>
        <w:rPr>
          <w:rFonts w:ascii="仿宋" w:hAnsi="仿宋" w:eastAsia="仿宋"/>
          <w:sz w:val="24"/>
        </w:rPr>
      </w:pPr>
      <w:r>
        <w:rPr>
          <w:rFonts w:hint="eastAsia" w:ascii="仿宋" w:hAnsi="仿宋" w:eastAsia="仿宋"/>
          <w:sz w:val="24"/>
        </w:rPr>
        <w:t>项目名称：</w:t>
      </w:r>
      <w:r>
        <w:rPr>
          <w:rFonts w:hint="eastAsia" w:ascii="仿宋" w:hAnsi="仿宋" w:eastAsia="仿宋"/>
          <w:sz w:val="24"/>
          <w:u w:val="single"/>
        </w:rPr>
        <w:t>--------------------- ---（必须与公开招标时的项目名称一致）</w:t>
      </w:r>
    </w:p>
    <w:p w14:paraId="77125919">
      <w:pPr>
        <w:spacing w:line="360" w:lineRule="auto"/>
        <w:ind w:left="1079" w:leftChars="257" w:hanging="540"/>
        <w:rPr>
          <w:rFonts w:ascii="仿宋" w:hAnsi="仿宋" w:eastAsia="仿宋"/>
          <w:sz w:val="24"/>
        </w:rPr>
      </w:pPr>
    </w:p>
    <w:p w14:paraId="0E5BB325">
      <w:pPr>
        <w:spacing w:line="360" w:lineRule="auto"/>
        <w:ind w:left="1079" w:leftChars="257" w:hanging="540"/>
        <w:rPr>
          <w:rFonts w:ascii="仿宋" w:hAnsi="仿宋" w:eastAsia="仿宋"/>
          <w:sz w:val="24"/>
        </w:rPr>
      </w:pPr>
      <w:r>
        <w:rPr>
          <w:rFonts w:hint="eastAsia" w:ascii="仿宋" w:hAnsi="仿宋" w:eastAsia="仿宋"/>
          <w:sz w:val="24"/>
        </w:rPr>
        <w:t>货物名称：</w:t>
      </w:r>
      <w:r>
        <w:rPr>
          <w:rFonts w:hint="eastAsia" w:ascii="仿宋" w:hAnsi="仿宋" w:eastAsia="仿宋"/>
          <w:sz w:val="24"/>
          <w:u w:val="single"/>
        </w:rPr>
        <w:t>----------------    -----（与投标文件上的货物名称一致）</w:t>
      </w:r>
    </w:p>
    <w:p w14:paraId="1563B492">
      <w:pPr>
        <w:pStyle w:val="41"/>
        <w:spacing w:line="360" w:lineRule="auto"/>
        <w:ind w:left="1079" w:leftChars="257" w:hanging="540"/>
        <w:rPr>
          <w:rFonts w:ascii="仿宋" w:hAnsi="仿宋" w:eastAsia="仿宋"/>
          <w:sz w:val="24"/>
        </w:rPr>
      </w:pPr>
    </w:p>
    <w:p w14:paraId="1E4B56FB">
      <w:pPr>
        <w:spacing w:line="360" w:lineRule="auto"/>
        <w:ind w:left="1079" w:leftChars="257" w:hanging="540"/>
        <w:rPr>
          <w:rFonts w:ascii="仿宋" w:hAnsi="仿宋" w:eastAsia="仿宋"/>
          <w:sz w:val="24"/>
        </w:rPr>
      </w:pPr>
      <w:r>
        <w:rPr>
          <w:rFonts w:hint="eastAsia" w:ascii="仿宋" w:hAnsi="仿宋" w:eastAsia="仿宋"/>
          <w:sz w:val="24"/>
        </w:rPr>
        <w:t>买　　方：</w:t>
      </w:r>
      <w:r>
        <w:rPr>
          <w:rFonts w:ascii="仿宋" w:hAnsi="仿宋" w:eastAsia="仿宋"/>
          <w:sz w:val="24"/>
          <w:u w:val="single"/>
        </w:rPr>
        <w:t>北京市顺义区医院</w:t>
      </w:r>
    </w:p>
    <w:p w14:paraId="1E3C3B20">
      <w:pPr>
        <w:spacing w:line="360" w:lineRule="auto"/>
        <w:ind w:left="1079" w:leftChars="257" w:hanging="540"/>
        <w:rPr>
          <w:rFonts w:ascii="仿宋" w:hAnsi="仿宋" w:eastAsia="仿宋"/>
          <w:sz w:val="24"/>
        </w:rPr>
      </w:pPr>
    </w:p>
    <w:p w14:paraId="11134597">
      <w:pPr>
        <w:spacing w:line="360" w:lineRule="auto"/>
        <w:ind w:left="1079" w:leftChars="257" w:hanging="540"/>
        <w:rPr>
          <w:rFonts w:ascii="仿宋" w:hAnsi="仿宋" w:eastAsia="仿宋"/>
          <w:sz w:val="24"/>
        </w:rPr>
      </w:pPr>
      <w:r>
        <w:rPr>
          <w:rFonts w:hint="eastAsia" w:ascii="仿宋" w:hAnsi="仿宋" w:eastAsia="仿宋"/>
          <w:sz w:val="24"/>
        </w:rPr>
        <w:t>卖　　方：</w:t>
      </w:r>
      <w:r>
        <w:rPr>
          <w:rFonts w:hint="eastAsia" w:ascii="仿宋" w:hAnsi="仿宋" w:eastAsia="仿宋"/>
          <w:sz w:val="24"/>
          <w:u w:val="single"/>
        </w:rPr>
        <w:t>---------------------</w:t>
      </w:r>
    </w:p>
    <w:p w14:paraId="48E38F07">
      <w:pPr>
        <w:spacing w:line="360" w:lineRule="auto"/>
        <w:ind w:left="1079" w:leftChars="257" w:hanging="540"/>
        <w:jc w:val="center"/>
        <w:rPr>
          <w:rFonts w:ascii="仿宋" w:hAnsi="仿宋" w:eastAsia="仿宋"/>
          <w:sz w:val="24"/>
        </w:rPr>
      </w:pPr>
    </w:p>
    <w:p w14:paraId="67A6116F">
      <w:pPr>
        <w:spacing w:line="360" w:lineRule="auto"/>
        <w:ind w:left="1079" w:leftChars="257" w:hanging="540"/>
        <w:rPr>
          <w:rFonts w:ascii="仿宋" w:hAnsi="仿宋" w:eastAsia="仿宋"/>
          <w:b/>
          <w:kern w:val="0"/>
          <w:sz w:val="24"/>
          <w:szCs w:val="20"/>
        </w:rPr>
      </w:pPr>
      <w:r>
        <w:rPr>
          <w:rFonts w:hint="eastAsia" w:ascii="仿宋" w:hAnsi="仿宋" w:eastAsia="仿宋"/>
          <w:sz w:val="24"/>
        </w:rPr>
        <w:t>签署日期</w:t>
      </w:r>
      <w:bookmarkStart w:id="825" w:name="_Toc218935352"/>
      <w:bookmarkStart w:id="826" w:name="_Toc219175636"/>
      <w:bookmarkStart w:id="827" w:name="_Toc220229431"/>
      <w:bookmarkStart w:id="828" w:name="_Toc220229326"/>
      <w:r>
        <w:rPr>
          <w:rFonts w:hint="eastAsia" w:ascii="仿宋" w:hAnsi="仿宋" w:eastAsia="仿宋"/>
          <w:sz w:val="24"/>
        </w:rPr>
        <w:t>：</w:t>
      </w:r>
      <w:r>
        <w:rPr>
          <w:rFonts w:hint="eastAsia" w:ascii="仿宋" w:hAnsi="仿宋" w:eastAsia="仿宋"/>
          <w:sz w:val="24"/>
          <w:u w:val="single"/>
        </w:rPr>
        <w:t>------年 ----- 月   日（日期可以暂不填写）</w:t>
      </w:r>
    </w:p>
    <w:p w14:paraId="605AEF87">
      <w:pPr>
        <w:widowControl/>
        <w:spacing w:line="360" w:lineRule="auto"/>
        <w:jc w:val="center"/>
        <w:rPr>
          <w:rFonts w:ascii="仿宋" w:hAnsi="仿宋" w:eastAsia="仿宋"/>
          <w:b/>
          <w:sz w:val="28"/>
          <w:szCs w:val="28"/>
        </w:rPr>
      </w:pPr>
      <w:r>
        <w:rPr>
          <w:rFonts w:ascii="仿宋" w:hAnsi="仿宋" w:eastAsia="仿宋"/>
          <w:b/>
          <w:sz w:val="30"/>
          <w:szCs w:val="30"/>
        </w:rPr>
        <w:br w:type="page"/>
      </w:r>
      <w:r>
        <w:rPr>
          <w:rFonts w:hint="eastAsia" w:ascii="仿宋" w:hAnsi="仿宋" w:eastAsia="仿宋"/>
          <w:b/>
          <w:sz w:val="28"/>
          <w:szCs w:val="28"/>
        </w:rPr>
        <w:t>合　　　同　　　书</w:t>
      </w:r>
      <w:bookmarkEnd w:id="825"/>
      <w:bookmarkEnd w:id="826"/>
      <w:bookmarkEnd w:id="827"/>
      <w:bookmarkEnd w:id="828"/>
    </w:p>
    <w:p w14:paraId="6DBB8597">
      <w:pPr>
        <w:spacing w:line="360" w:lineRule="auto"/>
        <w:ind w:firstLine="480" w:firstLineChars="200"/>
        <w:rPr>
          <w:rFonts w:ascii="仿宋" w:hAnsi="仿宋" w:eastAsia="仿宋"/>
          <w:sz w:val="24"/>
        </w:rPr>
      </w:pPr>
      <w:r>
        <w:rPr>
          <w:rFonts w:hint="eastAsia" w:ascii="仿宋" w:hAnsi="仿宋" w:eastAsia="仿宋"/>
          <w:sz w:val="24"/>
        </w:rPr>
        <w:t>买方</w:t>
      </w:r>
      <w:r>
        <w:rPr>
          <w:rFonts w:ascii="仿宋" w:hAnsi="仿宋" w:eastAsia="仿宋"/>
          <w:sz w:val="24"/>
          <w:u w:val="single"/>
        </w:rPr>
        <w:t>北京市顺义区医院</w:t>
      </w:r>
      <w:r>
        <w:rPr>
          <w:rFonts w:hint="eastAsia" w:ascii="仿宋" w:hAnsi="仿宋" w:eastAsia="仿宋"/>
          <w:sz w:val="24"/>
        </w:rPr>
        <w:t>的</w:t>
      </w:r>
      <w:r>
        <w:rPr>
          <w:rFonts w:hint="eastAsia" w:ascii="仿宋" w:hAnsi="仿宋" w:eastAsia="仿宋"/>
          <w:sz w:val="24"/>
          <w:u w:val="single"/>
        </w:rPr>
        <w:t>北京市顺义区医院购置</w:t>
      </w:r>
      <w:r>
        <w:rPr>
          <w:rFonts w:hint="eastAsia" w:ascii="仿宋" w:hAnsi="仿宋" w:eastAsia="仿宋"/>
          <w:b/>
          <w:sz w:val="24"/>
          <w:u w:val="single"/>
        </w:rPr>
        <w:t>---- -----  ----- - ----- -----</w:t>
      </w:r>
      <w:r>
        <w:rPr>
          <w:rFonts w:hint="eastAsia" w:ascii="仿宋" w:hAnsi="仿宋" w:eastAsia="仿宋"/>
          <w:sz w:val="24"/>
        </w:rPr>
        <w:t>项目中所需</w:t>
      </w:r>
      <w:r>
        <w:rPr>
          <w:rFonts w:hint="eastAsia" w:ascii="仿宋" w:hAnsi="仿宋" w:eastAsia="仿宋"/>
          <w:b/>
          <w:sz w:val="24"/>
          <w:u w:val="single"/>
        </w:rPr>
        <w:t>--（设备名称）----</w:t>
      </w:r>
      <w:r>
        <w:rPr>
          <w:rFonts w:hint="eastAsia" w:ascii="仿宋" w:hAnsi="仿宋" w:eastAsia="仿宋"/>
          <w:sz w:val="24"/>
        </w:rPr>
        <w:t>经</w:t>
      </w:r>
      <w:r>
        <w:rPr>
          <w:rFonts w:hint="eastAsia" w:ascii="仿宋" w:hAnsi="仿宋" w:eastAsia="仿宋"/>
          <w:b/>
          <w:sz w:val="24"/>
          <w:u w:val="single"/>
        </w:rPr>
        <w:t>----- -（填招标公司名称）----</w:t>
      </w:r>
      <w:r>
        <w:rPr>
          <w:rFonts w:hint="eastAsia" w:ascii="仿宋" w:hAnsi="仿宋" w:eastAsia="仿宋"/>
          <w:sz w:val="24"/>
        </w:rPr>
        <w:t>以</w:t>
      </w:r>
      <w:r>
        <w:rPr>
          <w:rFonts w:hint="eastAsia" w:ascii="仿宋" w:hAnsi="仿宋" w:eastAsia="仿宋"/>
          <w:b/>
          <w:sz w:val="24"/>
          <w:u w:val="single"/>
        </w:rPr>
        <w:t>--- -----（招标文件号）---- -</w:t>
      </w:r>
      <w:r>
        <w:rPr>
          <w:rFonts w:hint="eastAsia" w:ascii="仿宋" w:hAnsi="仿宋" w:eastAsia="仿宋"/>
          <w:sz w:val="24"/>
        </w:rPr>
        <w:t>招标文件在国内公开招标。经评定，卖方</w:t>
      </w:r>
      <w:r>
        <w:rPr>
          <w:rFonts w:hint="eastAsia" w:ascii="仿宋" w:hAnsi="仿宋" w:eastAsia="仿宋"/>
          <w:b/>
          <w:sz w:val="24"/>
          <w:u w:val="single"/>
        </w:rPr>
        <w:t>----- ----- ----- ----</w:t>
      </w:r>
      <w:r>
        <w:rPr>
          <w:rFonts w:hint="eastAsia" w:ascii="仿宋" w:hAnsi="仿宋" w:eastAsia="仿宋"/>
          <w:sz w:val="24"/>
          <w:u w:val="single"/>
        </w:rPr>
        <w:t>-</w:t>
      </w:r>
      <w:r>
        <w:rPr>
          <w:rFonts w:hint="eastAsia" w:ascii="仿宋" w:hAnsi="仿宋" w:eastAsia="仿宋"/>
          <w:sz w:val="24"/>
        </w:rPr>
        <w:t>为中标供应商。买、卖双方同意按照下面的条款和条件，签署本合同。</w:t>
      </w:r>
    </w:p>
    <w:p w14:paraId="6BF6C78E">
      <w:pPr>
        <w:spacing w:line="360" w:lineRule="auto"/>
        <w:ind w:left="1079" w:leftChars="257" w:hanging="540"/>
        <w:rPr>
          <w:rFonts w:ascii="仿宋" w:hAnsi="仿宋" w:eastAsia="仿宋"/>
          <w:b/>
          <w:sz w:val="24"/>
        </w:rPr>
      </w:pPr>
      <w:r>
        <w:rPr>
          <w:rFonts w:ascii="仿宋" w:hAnsi="仿宋" w:eastAsia="仿宋"/>
          <w:b/>
          <w:sz w:val="24"/>
        </w:rPr>
        <w:t>1</w:t>
      </w:r>
      <w:r>
        <w:rPr>
          <w:rFonts w:hint="eastAsia" w:ascii="仿宋" w:hAnsi="仿宋" w:eastAsia="仿宋"/>
          <w:b/>
          <w:sz w:val="24"/>
        </w:rPr>
        <w:t>、合同文件</w:t>
      </w:r>
    </w:p>
    <w:p w14:paraId="2908D3FE">
      <w:pPr>
        <w:spacing w:line="360" w:lineRule="auto"/>
        <w:ind w:firstLine="540" w:firstLineChars="225"/>
        <w:rPr>
          <w:rFonts w:hint="eastAsia" w:ascii="仿宋" w:hAnsi="仿宋" w:eastAsia="仿宋"/>
          <w:sz w:val="24"/>
        </w:rPr>
      </w:pPr>
      <w:r>
        <w:rPr>
          <w:rFonts w:hint="eastAsia" w:ascii="仿宋" w:hAnsi="仿宋" w:eastAsia="仿宋"/>
          <w:sz w:val="24"/>
        </w:rPr>
        <w:t>下列文件构成本合同的组成部分，应该认为是一个整体，彼此相互解释，相互补充。为便于解释，组成合同的多个文件的优先支配地位的次序如下：</w:t>
      </w:r>
    </w:p>
    <w:p w14:paraId="5650E571">
      <w:pPr>
        <w:spacing w:line="360" w:lineRule="auto"/>
        <w:ind w:left="1079" w:leftChars="257" w:hanging="540"/>
        <w:rPr>
          <w:rFonts w:ascii="仿宋" w:hAnsi="仿宋" w:eastAsia="仿宋"/>
          <w:sz w:val="24"/>
        </w:rPr>
      </w:pPr>
      <w:r>
        <w:rPr>
          <w:rFonts w:ascii="仿宋" w:hAnsi="仿宋" w:eastAsia="仿宋"/>
          <w:sz w:val="24"/>
        </w:rPr>
        <w:t>a.</w:t>
      </w:r>
      <w:r>
        <w:rPr>
          <w:rFonts w:hint="eastAsia" w:ascii="仿宋" w:hAnsi="仿宋" w:eastAsia="仿宋"/>
          <w:sz w:val="24"/>
        </w:rPr>
        <w:t>本合同书　</w:t>
      </w:r>
    </w:p>
    <w:p w14:paraId="30547BE1">
      <w:pPr>
        <w:spacing w:line="360" w:lineRule="auto"/>
        <w:ind w:left="1079" w:leftChars="257" w:hanging="540"/>
        <w:rPr>
          <w:rFonts w:ascii="仿宋" w:hAnsi="仿宋" w:eastAsia="仿宋"/>
          <w:sz w:val="24"/>
        </w:rPr>
      </w:pPr>
      <w:r>
        <w:rPr>
          <w:rFonts w:ascii="仿宋" w:hAnsi="仿宋" w:eastAsia="仿宋"/>
          <w:sz w:val="24"/>
        </w:rPr>
        <w:t>b.</w:t>
      </w:r>
      <w:r>
        <w:rPr>
          <w:rFonts w:hint="eastAsia" w:ascii="仿宋" w:hAnsi="仿宋" w:eastAsia="仿宋"/>
          <w:sz w:val="24"/>
        </w:rPr>
        <w:t>中标通知书</w:t>
      </w:r>
    </w:p>
    <w:p w14:paraId="3B89CE97">
      <w:pPr>
        <w:spacing w:line="360" w:lineRule="auto"/>
        <w:ind w:left="1079" w:leftChars="257" w:hanging="540"/>
        <w:rPr>
          <w:rFonts w:ascii="仿宋" w:hAnsi="仿宋" w:eastAsia="仿宋"/>
          <w:sz w:val="24"/>
        </w:rPr>
      </w:pPr>
      <w:r>
        <w:rPr>
          <w:rFonts w:ascii="仿宋" w:hAnsi="仿宋" w:eastAsia="仿宋"/>
          <w:sz w:val="24"/>
        </w:rPr>
        <w:t>c.</w:t>
      </w:r>
      <w:r>
        <w:rPr>
          <w:rFonts w:hint="eastAsia" w:ascii="仿宋" w:hAnsi="仿宋" w:eastAsia="仿宋"/>
          <w:sz w:val="24"/>
        </w:rPr>
        <w:t>合同专用条款</w:t>
      </w:r>
    </w:p>
    <w:p w14:paraId="79C25F45">
      <w:pPr>
        <w:spacing w:line="360" w:lineRule="auto"/>
        <w:ind w:left="1079" w:leftChars="257" w:hanging="540"/>
        <w:rPr>
          <w:rFonts w:ascii="仿宋" w:hAnsi="仿宋" w:eastAsia="仿宋"/>
          <w:sz w:val="24"/>
        </w:rPr>
      </w:pPr>
      <w:r>
        <w:rPr>
          <w:rFonts w:ascii="仿宋" w:hAnsi="仿宋" w:eastAsia="仿宋"/>
          <w:sz w:val="24"/>
        </w:rPr>
        <w:t>d.</w:t>
      </w:r>
      <w:r>
        <w:rPr>
          <w:rFonts w:hint="eastAsia" w:ascii="仿宋" w:hAnsi="仿宋" w:eastAsia="仿宋"/>
          <w:sz w:val="24"/>
        </w:rPr>
        <w:t>合同通用条款</w:t>
      </w:r>
      <w:r>
        <w:rPr>
          <w:rFonts w:ascii="仿宋" w:hAnsi="仿宋" w:eastAsia="仿宋"/>
          <w:sz w:val="24"/>
        </w:rPr>
        <w:tab/>
      </w:r>
      <w:r>
        <w:rPr>
          <w:rFonts w:ascii="仿宋" w:hAnsi="仿宋" w:eastAsia="仿宋"/>
          <w:sz w:val="24"/>
        </w:rPr>
        <w:tab/>
      </w:r>
      <w:r>
        <w:rPr>
          <w:rFonts w:hint="eastAsia" w:ascii="仿宋" w:hAnsi="仿宋" w:eastAsia="仿宋"/>
          <w:sz w:val="24"/>
        </w:rPr>
        <w:tab/>
      </w:r>
      <w:r>
        <w:rPr>
          <w:rFonts w:ascii="仿宋" w:hAnsi="仿宋" w:eastAsia="仿宋"/>
          <w:sz w:val="24"/>
        </w:rPr>
        <w:tab/>
      </w:r>
    </w:p>
    <w:p w14:paraId="0A3D44CC">
      <w:pPr>
        <w:spacing w:line="360" w:lineRule="auto"/>
        <w:ind w:left="1079" w:leftChars="257" w:hanging="540"/>
        <w:rPr>
          <w:rFonts w:ascii="仿宋" w:hAnsi="仿宋" w:eastAsia="仿宋"/>
          <w:sz w:val="24"/>
        </w:rPr>
      </w:pPr>
      <w:r>
        <w:rPr>
          <w:rFonts w:ascii="仿宋" w:hAnsi="仿宋" w:eastAsia="仿宋"/>
          <w:sz w:val="24"/>
        </w:rPr>
        <w:t>e.</w:t>
      </w:r>
      <w:r>
        <w:rPr>
          <w:rFonts w:hint="eastAsia" w:ascii="仿宋" w:hAnsi="仿宋" w:eastAsia="仿宋"/>
          <w:sz w:val="24"/>
        </w:rPr>
        <w:t>投标文件(含澄清文件)</w:t>
      </w:r>
    </w:p>
    <w:p w14:paraId="357BAD16">
      <w:pPr>
        <w:spacing w:line="360" w:lineRule="auto"/>
        <w:ind w:left="1079" w:leftChars="257" w:hanging="540"/>
        <w:rPr>
          <w:rFonts w:ascii="仿宋" w:hAnsi="仿宋" w:eastAsia="仿宋"/>
          <w:sz w:val="24"/>
        </w:rPr>
      </w:pPr>
      <w:r>
        <w:rPr>
          <w:rFonts w:hint="eastAsia" w:ascii="仿宋" w:hAnsi="仿宋" w:eastAsia="仿宋"/>
          <w:sz w:val="24"/>
        </w:rPr>
        <w:t>f</w:t>
      </w:r>
      <w:r>
        <w:rPr>
          <w:rFonts w:ascii="仿宋" w:hAnsi="仿宋" w:eastAsia="仿宋"/>
          <w:sz w:val="24"/>
        </w:rPr>
        <w:t>.</w:t>
      </w:r>
      <w:r>
        <w:rPr>
          <w:rFonts w:hint="eastAsia" w:ascii="仿宋" w:hAnsi="仿宋" w:eastAsia="仿宋"/>
          <w:sz w:val="24"/>
        </w:rPr>
        <w:t>招标文件</w:t>
      </w:r>
      <w:r>
        <w:rPr>
          <w:rFonts w:ascii="仿宋" w:hAnsi="仿宋" w:eastAsia="仿宋"/>
          <w:sz w:val="24"/>
        </w:rPr>
        <w:t>(</w:t>
      </w:r>
      <w:r>
        <w:rPr>
          <w:rFonts w:hint="eastAsia" w:ascii="仿宋" w:hAnsi="仿宋" w:eastAsia="仿宋"/>
          <w:sz w:val="24"/>
        </w:rPr>
        <w:t>含招标文件补充通知</w:t>
      </w:r>
      <w:r>
        <w:rPr>
          <w:rFonts w:ascii="仿宋" w:hAnsi="仿宋" w:eastAsia="仿宋"/>
          <w:sz w:val="24"/>
        </w:rPr>
        <w:t>)</w:t>
      </w:r>
    </w:p>
    <w:p w14:paraId="2F8AA1CE">
      <w:pPr>
        <w:spacing w:line="360" w:lineRule="auto"/>
        <w:ind w:left="1079" w:leftChars="257" w:hanging="540"/>
        <w:rPr>
          <w:rFonts w:ascii="仿宋" w:hAnsi="仿宋" w:eastAsia="仿宋"/>
          <w:b/>
          <w:sz w:val="24"/>
        </w:rPr>
      </w:pPr>
      <w:r>
        <w:rPr>
          <w:rFonts w:hint="eastAsia" w:ascii="仿宋" w:hAnsi="仿宋" w:eastAsia="仿宋"/>
          <w:b/>
          <w:sz w:val="24"/>
        </w:rPr>
        <w:t>2、货物和数量</w:t>
      </w:r>
    </w:p>
    <w:p w14:paraId="1A5EA263">
      <w:pPr>
        <w:spacing w:line="360" w:lineRule="auto"/>
        <w:ind w:left="1079" w:leftChars="257" w:hanging="540"/>
        <w:rPr>
          <w:rFonts w:hint="eastAsia" w:ascii="仿宋" w:hAnsi="仿宋" w:eastAsia="仿宋"/>
          <w:sz w:val="24"/>
          <w:u w:val="single"/>
        </w:rPr>
      </w:pPr>
      <w:r>
        <w:rPr>
          <w:rFonts w:hint="eastAsia" w:ascii="仿宋" w:hAnsi="仿宋" w:eastAsia="仿宋"/>
          <w:sz w:val="24"/>
        </w:rPr>
        <w:t>本合同货物：</w:t>
      </w:r>
      <w:r>
        <w:rPr>
          <w:rFonts w:hint="eastAsia" w:ascii="仿宋" w:hAnsi="仿宋" w:eastAsia="仿宋"/>
          <w:b/>
          <w:sz w:val="24"/>
          <w:u w:val="single"/>
        </w:rPr>
        <w:t>----- ----- ----</w:t>
      </w:r>
      <w:r>
        <w:rPr>
          <w:rFonts w:hint="eastAsia" w:ascii="仿宋" w:hAnsi="仿宋" w:eastAsia="仿宋"/>
          <w:sz w:val="24"/>
          <w:u w:val="single"/>
        </w:rPr>
        <w:t>（安装、调试、检定和培训），具体详见附件二</w:t>
      </w:r>
    </w:p>
    <w:p w14:paraId="63502E7D">
      <w:pPr>
        <w:spacing w:line="360" w:lineRule="auto"/>
        <w:rPr>
          <w:rFonts w:hint="eastAsia" w:ascii="仿宋" w:hAnsi="仿宋" w:eastAsia="仿宋"/>
          <w:sz w:val="24"/>
          <w:u w:val="single"/>
        </w:rPr>
      </w:pPr>
      <w:r>
        <w:rPr>
          <w:rFonts w:hint="eastAsia" w:ascii="仿宋" w:hAnsi="仿宋" w:eastAsia="仿宋"/>
          <w:sz w:val="24"/>
          <w:u w:val="single"/>
        </w:rPr>
        <w:t>配置清单</w:t>
      </w:r>
      <w:r>
        <w:rPr>
          <w:rFonts w:hint="eastAsia" w:ascii="仿宋" w:hAnsi="仿宋" w:eastAsia="仿宋"/>
          <w:sz w:val="24"/>
        </w:rPr>
        <w:t xml:space="preserve">。  </w:t>
      </w:r>
    </w:p>
    <w:p w14:paraId="251BE456">
      <w:pPr>
        <w:spacing w:line="360" w:lineRule="auto"/>
        <w:ind w:left="1079" w:leftChars="257" w:hanging="540"/>
        <w:rPr>
          <w:rFonts w:ascii="仿宋" w:hAnsi="仿宋" w:eastAsia="仿宋"/>
          <w:sz w:val="24"/>
        </w:rPr>
      </w:pPr>
      <w:r>
        <w:rPr>
          <w:rFonts w:hint="eastAsia" w:ascii="仿宋" w:hAnsi="仿宋" w:eastAsia="仿宋"/>
          <w:sz w:val="24"/>
        </w:rPr>
        <w:t>数量：</w:t>
      </w:r>
      <w:r>
        <w:rPr>
          <w:rFonts w:hint="eastAsia" w:ascii="仿宋" w:hAnsi="仿宋" w:eastAsia="仿宋"/>
          <w:b/>
          <w:sz w:val="24"/>
          <w:u w:val="single"/>
        </w:rPr>
        <w:t xml:space="preserve">  -----  </w:t>
      </w:r>
      <w:r>
        <w:rPr>
          <w:rFonts w:ascii="仿宋" w:hAnsi="仿宋" w:eastAsia="仿宋"/>
          <w:sz w:val="24"/>
        </w:rPr>
        <w:t xml:space="preserve"> </w:t>
      </w:r>
    </w:p>
    <w:p w14:paraId="298C1AF0">
      <w:pPr>
        <w:spacing w:line="360" w:lineRule="auto"/>
        <w:ind w:left="1079" w:leftChars="257" w:hanging="540"/>
        <w:rPr>
          <w:rFonts w:ascii="仿宋" w:hAnsi="仿宋" w:eastAsia="仿宋"/>
          <w:b/>
          <w:sz w:val="24"/>
        </w:rPr>
      </w:pPr>
      <w:r>
        <w:rPr>
          <w:rFonts w:hint="eastAsia" w:ascii="仿宋" w:hAnsi="仿宋" w:eastAsia="仿宋"/>
          <w:b/>
          <w:sz w:val="24"/>
        </w:rPr>
        <w:t>3、合同总价</w:t>
      </w:r>
    </w:p>
    <w:p w14:paraId="176F9FC4">
      <w:pPr>
        <w:spacing w:line="360" w:lineRule="auto"/>
        <w:ind w:firstLine="480" w:firstLineChars="200"/>
        <w:rPr>
          <w:rFonts w:hint="eastAsia" w:ascii="仿宋" w:hAnsi="仿宋" w:eastAsia="仿宋"/>
          <w:sz w:val="24"/>
          <w:u w:val="single"/>
        </w:rPr>
      </w:pPr>
      <w:r>
        <w:rPr>
          <w:rFonts w:hint="eastAsia" w:ascii="仿宋" w:hAnsi="仿宋" w:eastAsia="仿宋"/>
          <w:sz w:val="24"/>
        </w:rPr>
        <w:t>本合同总价（含税）为</w:t>
      </w:r>
      <w:r>
        <w:rPr>
          <w:rFonts w:hint="eastAsia" w:ascii="仿宋" w:hAnsi="仿宋" w:eastAsia="仿宋"/>
          <w:sz w:val="24"/>
          <w:u w:val="single"/>
        </w:rPr>
        <w:t>人民币</w:t>
      </w:r>
      <w:r>
        <w:rPr>
          <w:rFonts w:hint="eastAsia" w:ascii="仿宋" w:hAnsi="仿宋" w:eastAsia="仿宋"/>
          <w:b/>
          <w:sz w:val="24"/>
          <w:u w:val="single"/>
        </w:rPr>
        <w:t>----- -----</w:t>
      </w:r>
      <w:r>
        <w:rPr>
          <w:rFonts w:hint="eastAsia" w:ascii="仿宋" w:hAnsi="仿宋" w:eastAsia="仿宋"/>
          <w:sz w:val="24"/>
          <w:u w:val="single"/>
        </w:rPr>
        <w:t>元整（小写：￥</w:t>
      </w:r>
      <w:r>
        <w:rPr>
          <w:rFonts w:hint="eastAsia" w:ascii="仿宋" w:hAnsi="仿宋" w:eastAsia="仿宋"/>
          <w:b/>
          <w:sz w:val="24"/>
          <w:u w:val="single"/>
        </w:rPr>
        <w:t>-----</w:t>
      </w:r>
      <w:r>
        <w:rPr>
          <w:rFonts w:hint="eastAsia" w:ascii="仿宋" w:hAnsi="仿宋" w:eastAsia="仿宋"/>
          <w:sz w:val="24"/>
          <w:u w:val="single"/>
        </w:rPr>
        <w:t>元），不含税金额为：        元，增值税为：         元。上述价格为买方在本合同项下应向卖方支付的最终价格，包括所有设备费、运输费、装卸费、维护费、保险、税费、系统升级维护费用、以及原厂商服务费用等。</w:t>
      </w:r>
    </w:p>
    <w:p w14:paraId="4F83AD08">
      <w:pPr>
        <w:spacing w:line="360" w:lineRule="auto"/>
        <w:ind w:left="1079" w:leftChars="257" w:hanging="540"/>
        <w:rPr>
          <w:rFonts w:ascii="仿宋" w:hAnsi="仿宋" w:eastAsia="仿宋"/>
          <w:sz w:val="24"/>
          <w:u w:val="single"/>
        </w:rPr>
      </w:pPr>
      <w:r>
        <w:rPr>
          <w:rFonts w:hint="eastAsia" w:ascii="仿宋" w:hAnsi="仿宋" w:eastAsia="仿宋"/>
          <w:sz w:val="24"/>
        </w:rPr>
        <w:t>分项价格：</w:t>
      </w:r>
      <w:r>
        <w:rPr>
          <w:rFonts w:hint="eastAsia" w:ascii="仿宋" w:hAnsi="仿宋" w:eastAsia="仿宋"/>
          <w:b/>
          <w:sz w:val="24"/>
          <w:u w:val="single"/>
        </w:rPr>
        <w:t xml:space="preserve">  ----- </w:t>
      </w:r>
      <w:r>
        <w:rPr>
          <w:rFonts w:ascii="仿宋" w:hAnsi="仿宋" w:eastAsia="仿宋"/>
          <w:b/>
          <w:sz w:val="24"/>
          <w:u w:val="single"/>
        </w:rPr>
        <w:t xml:space="preserve"> </w:t>
      </w:r>
    </w:p>
    <w:p w14:paraId="62366984">
      <w:pPr>
        <w:numPr>
          <w:ilvl w:val="0"/>
          <w:numId w:val="18"/>
        </w:numPr>
        <w:spacing w:line="360" w:lineRule="auto"/>
        <w:ind w:left="1079" w:leftChars="257" w:hanging="540"/>
        <w:rPr>
          <w:rFonts w:hint="eastAsia" w:ascii="黑体" w:hAnsi="仿宋" w:eastAsia="黑体"/>
          <w:b/>
          <w:sz w:val="24"/>
        </w:rPr>
      </w:pPr>
      <w:r>
        <w:rPr>
          <w:rFonts w:hint="eastAsia" w:ascii="仿宋" w:hAnsi="仿宋" w:eastAsia="仿宋"/>
          <w:b/>
          <w:sz w:val="24"/>
        </w:rPr>
        <w:t>付款方式</w:t>
      </w:r>
      <w:r>
        <w:rPr>
          <w:rFonts w:hint="eastAsia" w:ascii="黑体" w:hAnsi="仿宋" w:eastAsia="黑体"/>
          <w:b/>
          <w:sz w:val="24"/>
        </w:rPr>
        <w:t>（根据招标文件内容填写，填好后）</w:t>
      </w:r>
    </w:p>
    <w:p w14:paraId="52B85ACD">
      <w:pPr>
        <w:spacing w:line="360" w:lineRule="auto"/>
        <w:ind w:left="539" w:leftChars="257"/>
        <w:rPr>
          <w:rFonts w:ascii="黑体" w:hAnsi="仿宋" w:eastAsia="黑体"/>
          <w:b/>
          <w:sz w:val="24"/>
        </w:rPr>
      </w:pPr>
      <w:r>
        <w:rPr>
          <w:rFonts w:hint="eastAsia" w:ascii="黑体" w:hAnsi="仿宋" w:eastAsia="黑体"/>
          <w:b/>
          <w:sz w:val="24"/>
        </w:rPr>
        <w:t>付款方式一：合同项下最终成交总价小于五十万元的货物：</w:t>
      </w:r>
    </w:p>
    <w:p w14:paraId="30B636A5">
      <w:pPr>
        <w:spacing w:line="360" w:lineRule="auto"/>
        <w:ind w:firstLine="360" w:firstLineChars="150"/>
        <w:rPr>
          <w:rFonts w:hint="eastAsia" w:ascii="仿宋" w:hAnsi="仿宋" w:eastAsia="仿宋"/>
          <w:sz w:val="24"/>
          <w:u w:val="single"/>
        </w:rPr>
      </w:pPr>
      <w:r>
        <w:rPr>
          <w:rFonts w:hint="eastAsia" w:ascii="仿宋" w:hAnsi="仿宋" w:eastAsia="仿宋"/>
          <w:sz w:val="24"/>
        </w:rPr>
        <w:t>（1）</w:t>
      </w:r>
      <w:r>
        <w:rPr>
          <w:rFonts w:hint="eastAsia" w:ascii="仿宋" w:hAnsi="仿宋" w:eastAsia="仿宋"/>
          <w:sz w:val="24"/>
          <w:u w:val="single"/>
        </w:rPr>
        <w:t>本合同签订后3个工作日内,卖方以支票或者转账形式向买方提供合同总价的5%，即人民币</w:t>
      </w:r>
      <w:r>
        <w:rPr>
          <w:rFonts w:hint="eastAsia" w:ascii="仿宋" w:hAnsi="仿宋" w:eastAsia="仿宋"/>
          <w:b/>
          <w:sz w:val="24"/>
          <w:u w:val="single"/>
        </w:rPr>
        <w:t>-----</w:t>
      </w:r>
      <w:r>
        <w:rPr>
          <w:rFonts w:hint="eastAsia" w:ascii="仿宋" w:hAnsi="仿宋" w:eastAsia="仿宋"/>
          <w:sz w:val="24"/>
          <w:u w:val="single"/>
        </w:rPr>
        <w:t>元整（小写：￥</w:t>
      </w:r>
      <w:r>
        <w:rPr>
          <w:rFonts w:hint="eastAsia" w:ascii="仿宋" w:hAnsi="仿宋" w:eastAsia="仿宋"/>
          <w:b/>
          <w:sz w:val="24"/>
          <w:u w:val="single"/>
        </w:rPr>
        <w:t>-----</w:t>
      </w:r>
      <w:r>
        <w:rPr>
          <w:rFonts w:hint="eastAsia" w:ascii="仿宋" w:hAnsi="仿宋" w:eastAsia="仿宋"/>
          <w:sz w:val="24"/>
          <w:u w:val="single"/>
        </w:rPr>
        <w:t>元）作为履约保证金，上述履约保证金于安装、验收、调试验收合格的条件下在质保期结束之日起三十日内扣除相关费用（如有）后无息退还给卖方。</w:t>
      </w:r>
    </w:p>
    <w:p w14:paraId="3838E692">
      <w:pPr>
        <w:spacing w:line="360" w:lineRule="auto"/>
        <w:ind w:firstLine="360" w:firstLineChars="150"/>
        <w:rPr>
          <w:rFonts w:hint="eastAsia" w:ascii="仿宋" w:hAnsi="仿宋" w:eastAsia="仿宋"/>
          <w:b/>
          <w:sz w:val="24"/>
          <w:u w:val="single"/>
        </w:rPr>
      </w:pPr>
      <w:r>
        <w:rPr>
          <w:rFonts w:hint="eastAsia" w:ascii="仿宋" w:hAnsi="仿宋" w:eastAsia="仿宋"/>
          <w:sz w:val="24"/>
        </w:rPr>
        <w:t>（2）</w:t>
      </w:r>
      <w:r>
        <w:rPr>
          <w:rFonts w:hint="eastAsia" w:ascii="仿宋" w:hAnsi="仿宋" w:eastAsia="仿宋"/>
          <w:sz w:val="24"/>
          <w:u w:val="single"/>
        </w:rPr>
        <w:t>第一次付款：</w:t>
      </w:r>
      <w:r>
        <w:rPr>
          <w:rFonts w:hint="eastAsia" w:ascii="仿宋" w:hAnsi="仿宋" w:eastAsia="仿宋"/>
          <w:b/>
          <w:sz w:val="24"/>
          <w:u w:val="single"/>
        </w:rPr>
        <w:t>买方收到履约保证金   后向卖方支付合同总价的30%预付款。</w:t>
      </w:r>
    </w:p>
    <w:p w14:paraId="69F43028">
      <w:pPr>
        <w:spacing w:line="360" w:lineRule="auto"/>
        <w:ind w:firstLine="360" w:firstLineChars="150"/>
        <w:rPr>
          <w:rFonts w:hint="eastAsia" w:ascii="仿宋" w:hAnsi="仿宋" w:eastAsia="仿宋"/>
          <w:b/>
          <w:sz w:val="24"/>
          <w:u w:val="single"/>
        </w:rPr>
      </w:pPr>
      <w:r>
        <w:rPr>
          <w:rFonts w:hint="eastAsia" w:ascii="仿宋" w:hAnsi="仿宋" w:eastAsia="仿宋"/>
          <w:sz w:val="24"/>
        </w:rPr>
        <w:t>（3）</w:t>
      </w:r>
      <w:r>
        <w:rPr>
          <w:rFonts w:hint="eastAsia" w:ascii="仿宋" w:hAnsi="仿宋" w:eastAsia="仿宋"/>
          <w:sz w:val="24"/>
          <w:u w:val="single"/>
        </w:rPr>
        <w:t>第二次付款：</w:t>
      </w:r>
      <w:r>
        <w:rPr>
          <w:rFonts w:hint="eastAsia" w:ascii="仿宋" w:hAnsi="仿宋" w:eastAsia="仿宋"/>
          <w:b/>
          <w:sz w:val="24"/>
          <w:u w:val="single"/>
        </w:rPr>
        <w:t>安装验收合格12个月后买方向卖方支付剩余款。</w:t>
      </w:r>
    </w:p>
    <w:p w14:paraId="31808245">
      <w:pPr>
        <w:spacing w:line="360" w:lineRule="auto"/>
        <w:ind w:firstLine="360" w:firstLineChars="150"/>
        <w:rPr>
          <w:rFonts w:hint="eastAsia" w:ascii="黑体" w:hAnsi="仿宋" w:eastAsia="黑体"/>
          <w:b/>
          <w:sz w:val="24"/>
        </w:rPr>
      </w:pPr>
      <w:r>
        <w:rPr>
          <w:rFonts w:hint="eastAsia" w:ascii="黑体" w:hAnsi="仿宋" w:eastAsia="黑体"/>
          <w:b/>
          <w:sz w:val="24"/>
        </w:rPr>
        <w:t>付款方式二：合同项下最终成交总价大于等于五十万元的货物：</w:t>
      </w:r>
    </w:p>
    <w:p w14:paraId="519A12DD">
      <w:pPr>
        <w:numPr>
          <w:ilvl w:val="0"/>
          <w:numId w:val="0"/>
        </w:numPr>
        <w:spacing w:line="360" w:lineRule="auto"/>
        <w:ind w:firstLine="240" w:firstLineChars="100"/>
        <w:rPr>
          <w:rFonts w:hint="eastAsia" w:ascii="仿宋" w:hAnsi="仿宋" w:eastAsia="仿宋"/>
          <w:sz w:val="24"/>
          <w:u w:val="single"/>
        </w:rPr>
      </w:pPr>
      <w:r>
        <w:rPr>
          <w:rFonts w:hint="eastAsia" w:ascii="仿宋" w:hAnsi="仿宋" w:eastAsia="仿宋"/>
          <w:sz w:val="24"/>
          <w:u w:val="single"/>
          <w:lang w:eastAsia="zh-CN"/>
        </w:rPr>
        <w:t>（</w:t>
      </w:r>
      <w:r>
        <w:rPr>
          <w:rFonts w:hint="eastAsia" w:ascii="仿宋" w:hAnsi="仿宋" w:eastAsia="仿宋"/>
          <w:sz w:val="24"/>
          <w:u w:val="single"/>
          <w:lang w:val="en-US" w:eastAsia="zh-CN"/>
        </w:rPr>
        <w:t>1</w:t>
      </w:r>
      <w:r>
        <w:rPr>
          <w:rFonts w:hint="eastAsia" w:ascii="仿宋" w:hAnsi="仿宋" w:eastAsia="仿宋"/>
          <w:sz w:val="24"/>
          <w:u w:val="single"/>
          <w:lang w:eastAsia="zh-CN"/>
        </w:rPr>
        <w:t>）</w:t>
      </w:r>
      <w:r>
        <w:rPr>
          <w:rFonts w:hint="eastAsia" w:ascii="仿宋" w:hAnsi="仿宋" w:eastAsia="仿宋"/>
          <w:sz w:val="24"/>
          <w:u w:val="single"/>
        </w:rPr>
        <w:t>本合同签订后3个工作日内,卖方以支票或者转账形式向买方提供合同总价的5%，即人民币</w:t>
      </w:r>
      <w:r>
        <w:rPr>
          <w:rFonts w:hint="eastAsia" w:ascii="仿宋" w:hAnsi="仿宋" w:eastAsia="仿宋"/>
          <w:b/>
          <w:sz w:val="24"/>
          <w:u w:val="single"/>
        </w:rPr>
        <w:t>-----</w:t>
      </w:r>
      <w:r>
        <w:rPr>
          <w:rFonts w:hint="eastAsia" w:ascii="仿宋" w:hAnsi="仿宋" w:eastAsia="仿宋"/>
          <w:sz w:val="24"/>
          <w:u w:val="single"/>
        </w:rPr>
        <w:t>元整（小写：￥</w:t>
      </w:r>
      <w:r>
        <w:rPr>
          <w:rFonts w:hint="eastAsia" w:ascii="仿宋" w:hAnsi="仿宋" w:eastAsia="仿宋"/>
          <w:b/>
          <w:sz w:val="24"/>
          <w:u w:val="single"/>
        </w:rPr>
        <w:t>-----</w:t>
      </w:r>
      <w:r>
        <w:rPr>
          <w:rFonts w:hint="eastAsia" w:ascii="仿宋" w:hAnsi="仿宋" w:eastAsia="仿宋"/>
          <w:sz w:val="24"/>
          <w:u w:val="single"/>
        </w:rPr>
        <w:t>元）作为履约保证金，上述履约保证金于安装、验收、调试验收合格的条件下在质保期结束之日起三十日内扣除相关费用（如有）后无息退还给卖方。</w:t>
      </w:r>
    </w:p>
    <w:p w14:paraId="434E3358">
      <w:pPr>
        <w:numPr>
          <w:ilvl w:val="0"/>
          <w:numId w:val="0"/>
        </w:numPr>
        <w:spacing w:line="360" w:lineRule="auto"/>
        <w:ind w:firstLine="240" w:firstLineChars="100"/>
        <w:rPr>
          <w:rFonts w:hint="eastAsia" w:ascii="仿宋" w:hAnsi="仿宋" w:eastAsia="仿宋"/>
          <w:sz w:val="24"/>
          <w:u w:val="single"/>
        </w:rPr>
      </w:pPr>
      <w:r>
        <w:rPr>
          <w:rFonts w:hint="eastAsia" w:ascii="仿宋" w:hAnsi="仿宋" w:eastAsia="仿宋"/>
          <w:sz w:val="24"/>
          <w:u w:val="single"/>
          <w:lang w:eastAsia="zh-CN"/>
        </w:rPr>
        <w:t>（</w:t>
      </w:r>
      <w:r>
        <w:rPr>
          <w:rFonts w:hint="eastAsia" w:ascii="仿宋" w:hAnsi="仿宋" w:eastAsia="仿宋"/>
          <w:sz w:val="24"/>
          <w:u w:val="single"/>
          <w:lang w:val="en-US" w:eastAsia="zh-CN"/>
        </w:rPr>
        <w:t>2</w:t>
      </w:r>
      <w:r>
        <w:rPr>
          <w:rFonts w:hint="eastAsia" w:ascii="仿宋" w:hAnsi="仿宋" w:eastAsia="仿宋"/>
          <w:sz w:val="24"/>
          <w:u w:val="single"/>
          <w:lang w:eastAsia="zh-CN"/>
        </w:rPr>
        <w:t>）</w:t>
      </w:r>
      <w:r>
        <w:rPr>
          <w:rFonts w:hint="eastAsia" w:ascii="仿宋" w:hAnsi="仿宋" w:eastAsia="仿宋"/>
          <w:sz w:val="24"/>
          <w:u w:val="single"/>
        </w:rPr>
        <w:t>第一次付款：</w:t>
      </w:r>
      <w:r>
        <w:rPr>
          <w:rFonts w:hint="eastAsia" w:ascii="仿宋" w:hAnsi="仿宋" w:eastAsia="仿宋"/>
          <w:b/>
          <w:sz w:val="24"/>
          <w:u w:val="single"/>
        </w:rPr>
        <w:t>买方收到履约保证金   后向卖方支付合同总价的30%预付款。</w:t>
      </w:r>
    </w:p>
    <w:p w14:paraId="4C9EBEF0">
      <w:pPr>
        <w:spacing w:line="360" w:lineRule="auto"/>
        <w:ind w:firstLine="240" w:firstLineChars="100"/>
        <w:rPr>
          <w:rFonts w:hint="eastAsia" w:ascii="仿宋" w:hAnsi="仿宋" w:eastAsia="仿宋"/>
          <w:b/>
          <w:sz w:val="24"/>
          <w:u w:val="single"/>
        </w:rPr>
      </w:pPr>
      <w:r>
        <w:rPr>
          <w:rFonts w:hint="eastAsia" w:ascii="仿宋" w:hAnsi="仿宋" w:eastAsia="仿宋"/>
          <w:sz w:val="24"/>
          <w:u w:val="single"/>
          <w:lang w:eastAsia="zh-CN"/>
        </w:rPr>
        <w:t>（</w:t>
      </w:r>
      <w:r>
        <w:rPr>
          <w:rFonts w:hint="eastAsia" w:ascii="仿宋" w:hAnsi="仿宋" w:eastAsia="仿宋"/>
          <w:sz w:val="24"/>
          <w:u w:val="single"/>
          <w:lang w:val="en-US" w:eastAsia="zh-CN"/>
        </w:rPr>
        <w:t>3</w:t>
      </w:r>
      <w:r>
        <w:rPr>
          <w:rFonts w:hint="eastAsia" w:ascii="仿宋" w:hAnsi="仿宋" w:eastAsia="仿宋"/>
          <w:sz w:val="24"/>
          <w:u w:val="single"/>
          <w:lang w:eastAsia="zh-CN"/>
        </w:rPr>
        <w:t>）</w:t>
      </w:r>
      <w:r>
        <w:rPr>
          <w:rFonts w:hint="eastAsia" w:ascii="仿宋" w:hAnsi="仿宋" w:eastAsia="仿宋"/>
          <w:sz w:val="24"/>
          <w:u w:val="single"/>
        </w:rPr>
        <w:t>第二次付款：</w:t>
      </w:r>
      <w:r>
        <w:rPr>
          <w:rFonts w:hint="eastAsia" w:ascii="仿宋" w:hAnsi="仿宋" w:eastAsia="仿宋"/>
          <w:b/>
          <w:sz w:val="24"/>
          <w:u w:val="single"/>
        </w:rPr>
        <w:t>安装验收合格12个月后买方向卖方支付合同总价的40%货款。</w:t>
      </w:r>
    </w:p>
    <w:p w14:paraId="2D2DBCF7">
      <w:pPr>
        <w:spacing w:line="360" w:lineRule="auto"/>
        <w:ind w:firstLine="240" w:firstLineChars="100"/>
        <w:rPr>
          <w:rFonts w:hint="eastAsia" w:ascii="仿宋" w:hAnsi="仿宋" w:eastAsia="仿宋"/>
          <w:b/>
          <w:sz w:val="24"/>
          <w:u w:val="single"/>
        </w:rPr>
      </w:pPr>
      <w:r>
        <w:rPr>
          <w:rFonts w:hint="eastAsia" w:ascii="仿宋" w:hAnsi="仿宋" w:eastAsia="仿宋"/>
          <w:sz w:val="24"/>
          <w:u w:val="single"/>
          <w:lang w:eastAsia="zh-CN"/>
        </w:rPr>
        <w:t>（</w:t>
      </w:r>
      <w:r>
        <w:rPr>
          <w:rFonts w:hint="eastAsia" w:ascii="仿宋" w:hAnsi="仿宋" w:eastAsia="仿宋"/>
          <w:sz w:val="24"/>
          <w:u w:val="single"/>
          <w:lang w:val="en-US" w:eastAsia="zh-CN"/>
        </w:rPr>
        <w:t>4</w:t>
      </w:r>
      <w:r>
        <w:rPr>
          <w:rFonts w:hint="eastAsia" w:ascii="仿宋" w:hAnsi="仿宋" w:eastAsia="仿宋"/>
          <w:sz w:val="24"/>
          <w:u w:val="single"/>
          <w:lang w:eastAsia="zh-CN"/>
        </w:rPr>
        <w:t>）</w:t>
      </w:r>
      <w:r>
        <w:rPr>
          <w:rFonts w:hint="eastAsia" w:ascii="仿宋" w:hAnsi="仿宋" w:eastAsia="仿宋"/>
          <w:sz w:val="24"/>
          <w:u w:val="single"/>
        </w:rPr>
        <w:t>第三次付款：</w:t>
      </w:r>
      <w:r>
        <w:rPr>
          <w:rFonts w:hint="eastAsia" w:ascii="仿宋" w:hAnsi="仿宋" w:eastAsia="仿宋"/>
          <w:b/>
          <w:sz w:val="24"/>
          <w:u w:val="single"/>
        </w:rPr>
        <w:t>安装验收合格36个月后买方向卖方支付合同总价的30%货款。</w:t>
      </w:r>
    </w:p>
    <w:p w14:paraId="267A9392">
      <w:pPr>
        <w:spacing w:line="360" w:lineRule="auto"/>
        <w:ind w:firstLine="480" w:firstLineChars="200"/>
        <w:rPr>
          <w:rFonts w:ascii="宋体" w:hAnsi="宋体"/>
          <w:b/>
          <w:color w:val="000000"/>
          <w:sz w:val="24"/>
          <w:szCs w:val="22"/>
          <w:u w:val="single"/>
        </w:rPr>
      </w:pPr>
      <w:bookmarkStart w:id="829" w:name="OLE_LINK1"/>
      <w:r>
        <w:rPr>
          <w:rFonts w:hint="eastAsia" w:ascii="宋体" w:hAnsi="宋体"/>
          <w:color w:val="000000"/>
          <w:sz w:val="24"/>
          <w:szCs w:val="22"/>
        </w:rPr>
        <w:t>*合同款项的具体支付时间由双方另行商定，每次实际付款前，卖方还需满足以下条件，否则买方有权不予付款，且不承担任何责任:(1)卖方向买方提供工作量确认单，买方对卖方的工作量进行审核，双方共同签字确认交付日期;(2)如需财政资金拨付的，待财政资金到位且买方履行完毕资金拨付审批程序后，卖方可向买方开具发票，由买方向卖方拨付资金。(3)相关法律法规另有规定的，从其规定。</w:t>
      </w:r>
      <w:bookmarkEnd w:id="829"/>
    </w:p>
    <w:p w14:paraId="467CDED8">
      <w:pPr>
        <w:spacing w:line="360" w:lineRule="auto"/>
        <w:ind w:left="1079" w:leftChars="257" w:hanging="540"/>
        <w:rPr>
          <w:rFonts w:ascii="仿宋" w:hAnsi="仿宋" w:eastAsia="仿宋"/>
          <w:b/>
          <w:sz w:val="24"/>
        </w:rPr>
      </w:pPr>
      <w:r>
        <w:rPr>
          <w:rFonts w:hint="eastAsia" w:ascii="仿宋" w:hAnsi="仿宋" w:eastAsia="仿宋"/>
          <w:b/>
          <w:sz w:val="24"/>
        </w:rPr>
        <w:t>5、本合同货物的交货时间及交货地点</w:t>
      </w:r>
    </w:p>
    <w:p w14:paraId="28277365">
      <w:pPr>
        <w:spacing w:line="360" w:lineRule="auto"/>
        <w:ind w:firstLine="480" w:firstLineChars="200"/>
        <w:rPr>
          <w:rFonts w:hint="eastAsia" w:ascii="仿宋" w:hAnsi="仿宋" w:eastAsia="仿宋"/>
          <w:sz w:val="24"/>
          <w:u w:val="single"/>
        </w:rPr>
      </w:pPr>
      <w:r>
        <w:rPr>
          <w:rFonts w:hint="eastAsia" w:ascii="仿宋" w:hAnsi="仿宋" w:eastAsia="仿宋"/>
          <w:sz w:val="24"/>
        </w:rPr>
        <w:t>交货时间：</w:t>
      </w:r>
      <w:r>
        <w:rPr>
          <w:rFonts w:hint="eastAsia" w:ascii="仿宋" w:hAnsi="仿宋" w:eastAsia="仿宋"/>
          <w:sz w:val="24"/>
          <w:u w:val="single"/>
        </w:rPr>
        <w:t>卖方与买方签订本合同后</w:t>
      </w:r>
      <w:r>
        <w:rPr>
          <w:rFonts w:hint="eastAsia" w:ascii="仿宋" w:hAnsi="仿宋" w:eastAsia="仿宋"/>
          <w:b/>
          <w:sz w:val="24"/>
          <w:u w:val="single"/>
        </w:rPr>
        <w:t>-----</w:t>
      </w:r>
      <w:r>
        <w:rPr>
          <w:rFonts w:hint="eastAsia" w:ascii="仿宋" w:hAnsi="仿宋" w:eastAsia="仿宋"/>
          <w:sz w:val="24"/>
          <w:u w:val="single"/>
        </w:rPr>
        <w:t>日内交货并完成本次项目采购设备的安装和调试、检定。</w:t>
      </w:r>
      <w:r>
        <w:rPr>
          <w:rFonts w:hint="eastAsia" w:ascii="仿宋" w:hAnsi="仿宋" w:eastAsia="仿宋"/>
          <w:sz w:val="24"/>
        </w:rPr>
        <w:t xml:space="preserve">             </w:t>
      </w:r>
    </w:p>
    <w:p w14:paraId="7C04D3EB">
      <w:pPr>
        <w:spacing w:line="360" w:lineRule="auto"/>
        <w:ind w:left="1079" w:leftChars="257" w:hanging="540"/>
        <w:rPr>
          <w:rFonts w:hint="eastAsia" w:ascii="仿宋" w:hAnsi="仿宋" w:eastAsia="仿宋"/>
          <w:sz w:val="24"/>
          <w:u w:val="single"/>
        </w:rPr>
      </w:pPr>
      <w:r>
        <w:rPr>
          <w:rFonts w:hint="eastAsia" w:ascii="仿宋" w:hAnsi="仿宋" w:eastAsia="仿宋"/>
          <w:sz w:val="24"/>
        </w:rPr>
        <w:t>交货地点：</w:t>
      </w:r>
      <w:r>
        <w:rPr>
          <w:rFonts w:hint="eastAsia" w:ascii="仿宋" w:hAnsi="仿宋" w:eastAsia="仿宋"/>
          <w:sz w:val="24"/>
          <w:u w:val="single"/>
        </w:rPr>
        <w:t>买方所在地现场交货、安装、检定、调试及提供伴随服务。</w:t>
      </w:r>
    </w:p>
    <w:p w14:paraId="19B4EFF7">
      <w:pPr>
        <w:spacing w:line="360" w:lineRule="auto"/>
        <w:ind w:left="1079" w:leftChars="257" w:hanging="540"/>
        <w:rPr>
          <w:rFonts w:ascii="仿宋" w:hAnsi="仿宋" w:eastAsia="仿宋"/>
          <w:b/>
          <w:sz w:val="24"/>
        </w:rPr>
      </w:pPr>
      <w:r>
        <w:rPr>
          <w:rFonts w:hint="eastAsia" w:ascii="仿宋" w:hAnsi="仿宋" w:eastAsia="仿宋"/>
          <w:b/>
          <w:sz w:val="24"/>
        </w:rPr>
        <w:t>6、合同的生效。</w:t>
      </w:r>
    </w:p>
    <w:p w14:paraId="27075BEB">
      <w:pPr>
        <w:spacing w:line="360" w:lineRule="auto"/>
        <w:ind w:firstLine="540"/>
        <w:rPr>
          <w:rFonts w:hint="eastAsia" w:ascii="仿宋" w:hAnsi="仿宋" w:eastAsia="仿宋"/>
          <w:sz w:val="24"/>
        </w:rPr>
      </w:pPr>
      <w:r>
        <w:rPr>
          <w:rFonts w:hint="eastAsia" w:ascii="仿宋" w:hAnsi="仿宋" w:eastAsia="仿宋"/>
          <w:sz w:val="24"/>
        </w:rPr>
        <w:t>本合同经双方法定代表人或授权代表签署、加盖单位印章并由卖方递交履约保证金后生效。</w:t>
      </w:r>
      <w:bookmarkStart w:id="830" w:name="_Toc219175637"/>
      <w:bookmarkStart w:id="831" w:name="_Toc218935353"/>
      <w:bookmarkStart w:id="832" w:name="_Toc220229432"/>
    </w:p>
    <w:p w14:paraId="6B1168AF">
      <w:pPr>
        <w:spacing w:line="360" w:lineRule="auto"/>
        <w:ind w:firstLine="540"/>
        <w:rPr>
          <w:rFonts w:hint="eastAsia" w:ascii="仿宋" w:hAnsi="仿宋" w:eastAsia="仿宋"/>
          <w:sz w:val="24"/>
        </w:rPr>
      </w:pPr>
      <w:r>
        <w:rPr>
          <w:rFonts w:hint="eastAsia" w:ascii="仿宋" w:hAnsi="仿宋" w:eastAsia="仿宋"/>
          <w:sz w:val="24"/>
        </w:rPr>
        <w:t xml:space="preserve">买  　方：北京市顺义区医院            卖方：                         </w:t>
      </w:r>
    </w:p>
    <w:p w14:paraId="10EDFB2F">
      <w:pPr>
        <w:spacing w:line="360" w:lineRule="auto"/>
        <w:ind w:firstLine="540"/>
        <w:rPr>
          <w:rFonts w:hint="eastAsia" w:ascii="仿宋" w:hAnsi="仿宋" w:eastAsia="仿宋"/>
          <w:sz w:val="24"/>
        </w:rPr>
      </w:pPr>
      <w:r>
        <w:rPr>
          <w:rFonts w:hint="eastAsia" w:ascii="仿宋" w:hAnsi="仿宋" w:eastAsia="仿宋"/>
          <w:sz w:val="24"/>
        </w:rPr>
        <w:t xml:space="preserve">名　  称：(印章)　　　       　　     名　  称：(印章)               </w:t>
      </w:r>
    </w:p>
    <w:p w14:paraId="5E8C70C6">
      <w:pPr>
        <w:spacing w:line="360" w:lineRule="auto"/>
        <w:ind w:firstLine="540"/>
        <w:rPr>
          <w:rFonts w:hint="eastAsia" w:ascii="仿宋" w:hAnsi="仿宋" w:eastAsia="仿宋"/>
          <w:sz w:val="24"/>
        </w:rPr>
      </w:pPr>
      <w:r>
        <w:rPr>
          <w:rFonts w:hint="eastAsia" w:ascii="仿宋" w:hAnsi="仿宋" w:eastAsia="仿宋"/>
          <w:sz w:val="24"/>
        </w:rPr>
        <w:t>日    期：</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日    期：</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w:t>
      </w:r>
    </w:p>
    <w:p w14:paraId="6B1B6EAD">
      <w:pPr>
        <w:spacing w:line="360" w:lineRule="auto"/>
        <w:ind w:firstLine="540"/>
        <w:rPr>
          <w:rFonts w:hint="eastAsia" w:ascii="仿宋" w:hAnsi="仿宋" w:eastAsia="仿宋"/>
          <w:sz w:val="24"/>
        </w:rPr>
      </w:pPr>
      <w:r>
        <w:rPr>
          <w:rFonts w:hint="eastAsia" w:ascii="仿宋" w:hAnsi="仿宋" w:eastAsia="仿宋"/>
          <w:sz w:val="24"/>
        </w:rPr>
        <w:t xml:space="preserve">法定代表人或授权代表(签字)：      </w:t>
      </w:r>
      <w:r>
        <w:rPr>
          <w:rFonts w:hint="eastAsia" w:ascii="仿宋" w:hAnsi="仿宋" w:eastAsia="仿宋"/>
          <w:sz w:val="24"/>
        </w:rPr>
        <w:tab/>
      </w:r>
      <w:r>
        <w:rPr>
          <w:rFonts w:hint="eastAsia" w:ascii="仿宋" w:hAnsi="仿宋" w:eastAsia="仿宋"/>
          <w:sz w:val="24"/>
        </w:rPr>
        <w:t xml:space="preserve"> 法定代表人或授权代表(签字)：               </w:t>
      </w:r>
    </w:p>
    <w:p w14:paraId="102E104C">
      <w:pPr>
        <w:spacing w:line="360" w:lineRule="auto"/>
        <w:ind w:firstLine="540"/>
        <w:rPr>
          <w:rFonts w:hint="eastAsia" w:ascii="仿宋" w:hAnsi="仿宋" w:eastAsia="仿宋"/>
          <w:sz w:val="24"/>
        </w:rPr>
      </w:pPr>
    </w:p>
    <w:p w14:paraId="4E4CB5C4">
      <w:pPr>
        <w:spacing w:line="360" w:lineRule="auto"/>
        <w:ind w:firstLine="540"/>
        <w:rPr>
          <w:rFonts w:hint="eastAsia" w:ascii="仿宋" w:hAnsi="仿宋" w:eastAsia="仿宋"/>
          <w:sz w:val="24"/>
        </w:rPr>
      </w:pPr>
    </w:p>
    <w:p w14:paraId="32DB185E">
      <w:pPr>
        <w:spacing w:line="360" w:lineRule="auto"/>
        <w:rPr>
          <w:rFonts w:hint="eastAsia" w:ascii="仿宋" w:hAnsi="仿宋" w:eastAsia="仿宋"/>
          <w:sz w:val="24"/>
        </w:rPr>
      </w:pPr>
    </w:p>
    <w:p w14:paraId="7D0AC9B0">
      <w:pPr>
        <w:spacing w:line="360" w:lineRule="auto"/>
        <w:ind w:firstLine="540"/>
        <w:rPr>
          <w:rFonts w:hint="eastAsia" w:ascii="仿宋" w:hAnsi="仿宋" w:eastAsia="仿宋"/>
          <w:sz w:val="24"/>
        </w:rPr>
      </w:pPr>
    </w:p>
    <w:p w14:paraId="4F58615D">
      <w:pPr>
        <w:spacing w:line="360" w:lineRule="auto"/>
        <w:ind w:firstLine="540"/>
        <w:rPr>
          <w:rFonts w:hint="eastAsia" w:ascii="仿宋" w:hAnsi="仿宋" w:eastAsia="仿宋"/>
          <w:sz w:val="24"/>
        </w:rPr>
      </w:pPr>
      <w:r>
        <w:rPr>
          <w:rFonts w:hint="eastAsia" w:ascii="仿宋" w:hAnsi="仿宋" w:eastAsia="仿宋"/>
          <w:sz w:val="24"/>
        </w:rPr>
        <w:t xml:space="preserve">注册地址：北京市顺义区光明南街3号    注册地址：                    </w:t>
      </w:r>
    </w:p>
    <w:p w14:paraId="359D65C6">
      <w:pPr>
        <w:spacing w:line="360" w:lineRule="auto"/>
        <w:ind w:firstLine="540"/>
        <w:rPr>
          <w:rFonts w:hint="eastAsia" w:ascii="仿宋" w:hAnsi="仿宋" w:eastAsia="仿宋"/>
          <w:sz w:val="24"/>
        </w:rPr>
      </w:pPr>
      <w:r>
        <w:rPr>
          <w:rFonts w:hint="eastAsia" w:ascii="仿宋" w:hAnsi="仿宋" w:eastAsia="仿宋"/>
          <w:sz w:val="24"/>
        </w:rPr>
        <w:t>邮政编码：101300</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邮政编码：                    </w:t>
      </w:r>
    </w:p>
    <w:p w14:paraId="7B574F1D">
      <w:pPr>
        <w:spacing w:line="360" w:lineRule="auto"/>
        <w:ind w:firstLine="540"/>
        <w:rPr>
          <w:rFonts w:hint="eastAsia" w:ascii="仿宋" w:hAnsi="仿宋" w:eastAsia="仿宋"/>
          <w:sz w:val="24"/>
        </w:rPr>
      </w:pPr>
      <w:r>
        <w:rPr>
          <w:rFonts w:hint="eastAsia" w:ascii="仿宋" w:hAnsi="仿宋" w:eastAsia="仿宋"/>
          <w:sz w:val="24"/>
        </w:rPr>
        <w:t xml:space="preserve">电　　话：010-69423220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w:t>
      </w:r>
      <w:r>
        <w:rPr>
          <w:rFonts w:hint="eastAsia" w:ascii="仿宋" w:hAnsi="仿宋" w:eastAsia="仿宋"/>
          <w:sz w:val="24"/>
        </w:rPr>
        <w:tab/>
      </w:r>
      <w:r>
        <w:rPr>
          <w:rFonts w:hint="eastAsia" w:ascii="仿宋" w:hAnsi="仿宋" w:eastAsia="仿宋"/>
          <w:sz w:val="24"/>
        </w:rPr>
        <w:t xml:space="preserve">        电　　话：               </w:t>
      </w:r>
      <w:r>
        <w:rPr>
          <w:rFonts w:hint="eastAsia" w:ascii="仿宋" w:hAnsi="仿宋" w:eastAsia="仿宋"/>
          <w:sz w:val="24"/>
        </w:rPr>
        <w:tab/>
      </w:r>
      <w:r>
        <w:rPr>
          <w:rFonts w:hint="eastAsia" w:ascii="仿宋" w:hAnsi="仿宋" w:eastAsia="仿宋"/>
          <w:sz w:val="24"/>
        </w:rPr>
        <w:t xml:space="preserve">  </w:t>
      </w:r>
    </w:p>
    <w:p w14:paraId="422C4258">
      <w:pPr>
        <w:spacing w:line="360" w:lineRule="auto"/>
        <w:ind w:firstLine="540"/>
        <w:rPr>
          <w:rFonts w:hint="eastAsia" w:ascii="仿宋" w:hAnsi="仿宋" w:eastAsia="仿宋"/>
          <w:sz w:val="24"/>
        </w:rPr>
      </w:pPr>
      <w:r>
        <w:rPr>
          <w:rFonts w:hint="eastAsia" w:ascii="仿宋" w:hAnsi="仿宋" w:eastAsia="仿宋"/>
          <w:sz w:val="24"/>
        </w:rPr>
        <w:t xml:space="preserve">开户银行：农行北京顺义支行营业部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开户银行：                     </w:t>
      </w:r>
    </w:p>
    <w:p w14:paraId="389B2D2A">
      <w:pPr>
        <w:spacing w:line="360" w:lineRule="auto"/>
        <w:ind w:firstLine="540"/>
        <w:rPr>
          <w:rFonts w:hint="eastAsia" w:ascii="仿宋" w:hAnsi="仿宋" w:eastAsia="仿宋"/>
          <w:sz w:val="24"/>
        </w:rPr>
      </w:pPr>
      <w:r>
        <w:rPr>
          <w:rFonts w:hint="eastAsia" w:ascii="仿宋" w:hAnsi="仿宋" w:eastAsia="仿宋"/>
          <w:sz w:val="24"/>
        </w:rPr>
        <w:t>账　　号：11120101040072408</w:t>
      </w:r>
      <w:r>
        <w:rPr>
          <w:rFonts w:hint="eastAsia" w:ascii="仿宋" w:hAnsi="仿宋" w:eastAsia="仿宋"/>
          <w:sz w:val="24"/>
        </w:rPr>
        <w:tab/>
      </w:r>
      <w:r>
        <w:rPr>
          <w:rFonts w:hint="eastAsia" w:ascii="仿宋" w:hAnsi="仿宋" w:eastAsia="仿宋"/>
          <w:sz w:val="24"/>
        </w:rPr>
        <w:t xml:space="preserve">        账　　号：                       </w:t>
      </w:r>
    </w:p>
    <w:p w14:paraId="02C428A8">
      <w:pPr>
        <w:spacing w:line="360" w:lineRule="auto"/>
        <w:ind w:firstLine="540"/>
        <w:rPr>
          <w:rFonts w:hint="eastAsia" w:ascii="仿宋" w:hAnsi="仿宋" w:eastAsia="仿宋"/>
          <w:sz w:val="24"/>
        </w:rPr>
        <w:sectPr>
          <w:pgSz w:w="11906" w:h="16838"/>
          <w:pgMar w:top="1418" w:right="1418" w:bottom="1418" w:left="1418" w:header="851" w:footer="992" w:gutter="0"/>
          <w:pgBorders w:offsetFrom="page">
            <w:top w:val="single" w:color="auto" w:sz="8" w:space="24"/>
            <w:left w:val="single" w:color="auto" w:sz="8" w:space="24"/>
            <w:bottom w:val="single" w:color="auto" w:sz="8" w:space="24"/>
            <w:right w:val="single" w:color="auto" w:sz="8" w:space="24"/>
          </w:pgBorders>
          <w:cols w:space="720" w:num="1"/>
          <w:docGrid w:type="linesAndChars" w:linePitch="312" w:charSpace="0"/>
        </w:sectPr>
      </w:pPr>
    </w:p>
    <w:p w14:paraId="3F1C8499">
      <w:pPr>
        <w:pStyle w:val="4"/>
        <w:tabs>
          <w:tab w:val="left" w:pos="900"/>
        </w:tabs>
        <w:spacing w:before="0" w:after="0" w:line="360" w:lineRule="auto"/>
        <w:ind w:firstLine="3814" w:firstLineChars="1357"/>
        <w:rPr>
          <w:rFonts w:hint="eastAsia" w:ascii="仿宋" w:hAnsi="仿宋" w:eastAsia="仿宋" w:cs="仿宋"/>
          <w:sz w:val="28"/>
          <w:szCs w:val="28"/>
          <w:u w:val="none"/>
        </w:rPr>
      </w:pPr>
      <w:r>
        <w:rPr>
          <w:rFonts w:hint="eastAsia" w:ascii="仿宋" w:hAnsi="仿宋" w:eastAsia="仿宋" w:cs="仿宋"/>
          <w:sz w:val="28"/>
          <w:szCs w:val="28"/>
          <w:u w:val="none"/>
        </w:rPr>
        <w:t>合同通用条款</w:t>
      </w:r>
      <w:bookmarkStart w:id="833" w:name="_Ref467378463"/>
      <w:bookmarkStart w:id="834" w:name="_Ref467379225"/>
      <w:bookmarkStart w:id="835" w:name="_Ref467379205"/>
      <w:bookmarkStart w:id="836" w:name="_Ref467379094"/>
      <w:bookmarkStart w:id="837" w:name="_Ref467378404"/>
      <w:bookmarkStart w:id="838" w:name="_Ref467379101"/>
      <w:bookmarkStart w:id="839" w:name="_Ref467379214"/>
      <w:bookmarkStart w:id="840" w:name="_Toc487900349"/>
      <w:bookmarkStart w:id="841" w:name="_Ref467379195"/>
      <w:bookmarkStart w:id="842" w:name="_Ref467378499"/>
      <w:bookmarkStart w:id="843" w:name="_Ref467379109"/>
      <w:bookmarkStart w:id="844" w:name="_Toc220313480"/>
    </w:p>
    <w:p w14:paraId="712DE027">
      <w:pPr>
        <w:pStyle w:val="4"/>
        <w:tabs>
          <w:tab w:val="left" w:pos="900"/>
        </w:tabs>
        <w:spacing w:before="0" w:after="0" w:line="360" w:lineRule="auto"/>
        <w:rPr>
          <w:rFonts w:hint="eastAsia" w:ascii="仿宋" w:hAnsi="仿宋" w:eastAsia="仿宋" w:cs="仿宋"/>
          <w:szCs w:val="24"/>
          <w:u w:val="none"/>
        </w:rPr>
      </w:pPr>
      <w:r>
        <w:rPr>
          <w:rFonts w:hint="eastAsia" w:ascii="仿宋" w:hAnsi="仿宋" w:eastAsia="仿宋" w:cs="仿宋"/>
          <w:szCs w:val="24"/>
          <w:u w:val="none"/>
        </w:rPr>
        <w:t>1.定义</w:t>
      </w:r>
      <w:bookmarkEnd w:id="833"/>
      <w:bookmarkEnd w:id="834"/>
      <w:bookmarkEnd w:id="835"/>
      <w:bookmarkEnd w:id="836"/>
      <w:bookmarkEnd w:id="837"/>
      <w:bookmarkEnd w:id="838"/>
      <w:bookmarkEnd w:id="839"/>
      <w:bookmarkEnd w:id="840"/>
      <w:bookmarkEnd w:id="841"/>
      <w:bookmarkEnd w:id="842"/>
      <w:bookmarkEnd w:id="843"/>
      <w:bookmarkEnd w:id="844"/>
    </w:p>
    <w:p w14:paraId="2CD33DD5">
      <w:pPr>
        <w:spacing w:line="360" w:lineRule="auto"/>
        <w:rPr>
          <w:rFonts w:hint="eastAsia" w:ascii="仿宋" w:hAnsi="仿宋" w:eastAsia="仿宋" w:cs="仿宋"/>
          <w:sz w:val="24"/>
        </w:rPr>
      </w:pPr>
      <w:r>
        <w:rPr>
          <w:rFonts w:hint="eastAsia" w:ascii="仿宋" w:hAnsi="仿宋" w:eastAsia="仿宋" w:cs="仿宋"/>
          <w:sz w:val="24"/>
        </w:rPr>
        <w:t>本合同中的下列术语应解释为：</w:t>
      </w:r>
    </w:p>
    <w:p w14:paraId="40C46D1A">
      <w:pPr>
        <w:spacing w:line="360" w:lineRule="auto"/>
        <w:rPr>
          <w:rFonts w:hint="eastAsia" w:ascii="仿宋" w:hAnsi="仿宋" w:eastAsia="仿宋" w:cs="仿宋"/>
          <w:sz w:val="24"/>
        </w:rPr>
      </w:pPr>
      <w:r>
        <w:rPr>
          <w:rFonts w:hint="eastAsia" w:ascii="仿宋" w:hAnsi="仿宋" w:eastAsia="仿宋" w:cs="仿宋"/>
          <w:sz w:val="24"/>
        </w:rPr>
        <w:t>1.1“合同”系指买卖双方签署的、合同格式中载明的买卖双方所达成的协议，包括所有的附件、附录和构成合同的其它文件。</w:t>
      </w:r>
    </w:p>
    <w:p w14:paraId="745A7BEE">
      <w:pPr>
        <w:spacing w:line="360" w:lineRule="auto"/>
        <w:rPr>
          <w:rFonts w:hint="eastAsia" w:ascii="仿宋" w:hAnsi="仿宋" w:eastAsia="仿宋" w:cs="仿宋"/>
          <w:sz w:val="24"/>
        </w:rPr>
      </w:pPr>
      <w:r>
        <w:rPr>
          <w:rFonts w:hint="eastAsia" w:ascii="仿宋" w:hAnsi="仿宋" w:eastAsia="仿宋" w:cs="仿宋"/>
          <w:sz w:val="24"/>
        </w:rPr>
        <w:t>1.2“合同价”系指根据合同约定，卖方在完全履行合同义务后买方应付给卖方的价格。</w:t>
      </w:r>
    </w:p>
    <w:p w14:paraId="18BDAFF6">
      <w:pPr>
        <w:spacing w:line="360" w:lineRule="auto"/>
        <w:rPr>
          <w:rFonts w:hint="eastAsia" w:ascii="仿宋" w:hAnsi="仿宋" w:eastAsia="仿宋" w:cs="仿宋"/>
          <w:sz w:val="24"/>
        </w:rPr>
      </w:pPr>
      <w:r>
        <w:rPr>
          <w:rFonts w:hint="eastAsia" w:ascii="仿宋" w:hAnsi="仿宋" w:eastAsia="仿宋" w:cs="仿宋"/>
          <w:sz w:val="24"/>
        </w:rPr>
        <w:t>1.3 “货物”</w:t>
      </w:r>
      <w:r>
        <w:rPr>
          <w:rFonts w:hint="eastAsia" w:ascii="仿宋" w:hAnsi="仿宋" w:eastAsia="仿宋"/>
          <w:sz w:val="24"/>
        </w:rPr>
        <w:t xml:space="preserve"> </w:t>
      </w:r>
      <w:r>
        <w:rPr>
          <w:rFonts w:hint="eastAsia" w:ascii="仿宋" w:hAnsi="仿宋" w:eastAsia="仿宋" w:cs="仿宋"/>
          <w:sz w:val="24"/>
        </w:rPr>
        <w:t>系指卖方根据本合同规定须向买方提供的一切设备、机械和/或其它材料。</w:t>
      </w:r>
      <w:r>
        <w:rPr>
          <w:rFonts w:hint="eastAsia" w:ascii="仿宋" w:hAnsi="仿宋" w:eastAsia="仿宋"/>
          <w:sz w:val="24"/>
        </w:rPr>
        <w:cr/>
      </w:r>
      <w:r>
        <w:rPr>
          <w:rFonts w:hint="eastAsia" w:ascii="仿宋" w:hAnsi="仿宋" w:eastAsia="仿宋" w:cs="仿宋"/>
          <w:sz w:val="24"/>
        </w:rPr>
        <w:t>1.4“服务”系指根据合同约定卖方承担与供货有关的辅助服务，如运输、售后服务。</w:t>
      </w:r>
    </w:p>
    <w:p w14:paraId="2B57A8DD">
      <w:pPr>
        <w:spacing w:line="360" w:lineRule="auto"/>
        <w:ind w:left="900" w:hanging="900" w:hangingChars="375"/>
        <w:rPr>
          <w:rFonts w:hint="eastAsia" w:ascii="仿宋" w:hAnsi="仿宋" w:eastAsia="仿宋" w:cs="仿宋"/>
          <w:sz w:val="24"/>
        </w:rPr>
      </w:pPr>
      <w:bookmarkStart w:id="845" w:name="_Ref467378840"/>
      <w:r>
        <w:rPr>
          <w:rFonts w:hint="eastAsia" w:ascii="仿宋" w:hAnsi="仿宋" w:eastAsia="仿宋" w:cs="仿宋"/>
          <w:sz w:val="24"/>
        </w:rPr>
        <w:t>1.5“买方”系指与供货商签署供货合同的单位（含最终用户）。</w:t>
      </w:r>
      <w:bookmarkEnd w:id="845"/>
    </w:p>
    <w:p w14:paraId="60601353">
      <w:pPr>
        <w:spacing w:line="360" w:lineRule="auto"/>
        <w:ind w:left="900" w:hanging="900" w:hangingChars="375"/>
        <w:rPr>
          <w:rFonts w:hint="eastAsia" w:ascii="仿宋" w:hAnsi="仿宋" w:eastAsia="仿宋" w:cs="仿宋"/>
          <w:sz w:val="24"/>
        </w:rPr>
      </w:pPr>
      <w:bookmarkStart w:id="846" w:name="_Ref467379400"/>
      <w:r>
        <w:rPr>
          <w:rFonts w:hint="eastAsia" w:ascii="仿宋" w:hAnsi="仿宋" w:eastAsia="仿宋" w:cs="仿宋"/>
          <w:sz w:val="24"/>
        </w:rPr>
        <w:t>1.6“卖方”系指根据合同约定提供货物及相关服务的供货商。</w:t>
      </w:r>
      <w:bookmarkEnd w:id="846"/>
    </w:p>
    <w:p w14:paraId="180FD986">
      <w:pPr>
        <w:spacing w:line="360" w:lineRule="auto"/>
        <w:ind w:left="900" w:hanging="900" w:hangingChars="375"/>
        <w:rPr>
          <w:rFonts w:hint="eastAsia" w:ascii="仿宋" w:hAnsi="仿宋" w:eastAsia="仿宋" w:cs="仿宋"/>
          <w:sz w:val="24"/>
        </w:rPr>
      </w:pPr>
      <w:bookmarkStart w:id="847" w:name="_Ref467379436"/>
      <w:r>
        <w:rPr>
          <w:rFonts w:hint="eastAsia" w:ascii="仿宋" w:hAnsi="仿宋" w:eastAsia="仿宋" w:cs="仿宋"/>
          <w:sz w:val="24"/>
        </w:rPr>
        <w:t>1.7“现场”系指合同约定货物将要运至的地点。</w:t>
      </w:r>
      <w:bookmarkEnd w:id="847"/>
    </w:p>
    <w:p w14:paraId="4D9B7811">
      <w:pPr>
        <w:spacing w:line="360" w:lineRule="auto"/>
        <w:rPr>
          <w:rFonts w:hint="eastAsia" w:ascii="仿宋" w:hAnsi="仿宋" w:eastAsia="仿宋" w:cs="仿宋"/>
          <w:sz w:val="24"/>
        </w:rPr>
      </w:pPr>
      <w:r>
        <w:rPr>
          <w:rFonts w:hint="eastAsia" w:ascii="仿宋" w:hAnsi="仿宋" w:eastAsia="仿宋" w:cs="仿宋"/>
          <w:sz w:val="24"/>
        </w:rPr>
        <w:t>1.8“验收”系指合同双方依据强制性的国家技术质量规范和合同约定，确认合同项下的货物符合合同规定的活动。</w:t>
      </w:r>
    </w:p>
    <w:p w14:paraId="736C772B">
      <w:pPr>
        <w:pStyle w:val="4"/>
        <w:spacing w:before="0" w:after="0" w:line="360" w:lineRule="auto"/>
        <w:rPr>
          <w:rFonts w:hint="eastAsia" w:ascii="仿宋" w:hAnsi="仿宋" w:eastAsia="仿宋" w:cs="仿宋"/>
          <w:szCs w:val="24"/>
          <w:u w:val="none"/>
        </w:rPr>
      </w:pPr>
      <w:bookmarkStart w:id="848" w:name="_Toc220313481"/>
      <w:bookmarkStart w:id="849" w:name="_Toc487900350"/>
      <w:r>
        <w:rPr>
          <w:rFonts w:hint="eastAsia" w:ascii="仿宋" w:hAnsi="仿宋" w:eastAsia="仿宋" w:cs="仿宋"/>
          <w:szCs w:val="24"/>
          <w:u w:val="none"/>
        </w:rPr>
        <w:t>2.技术规范</w:t>
      </w:r>
      <w:bookmarkEnd w:id="848"/>
      <w:bookmarkEnd w:id="849"/>
    </w:p>
    <w:p w14:paraId="476E5EEE">
      <w:pPr>
        <w:spacing w:line="360" w:lineRule="auto"/>
        <w:ind w:left="720" w:hanging="720" w:hangingChars="300"/>
        <w:rPr>
          <w:rFonts w:hint="eastAsia" w:ascii="仿宋" w:hAnsi="仿宋" w:eastAsia="仿宋"/>
          <w:sz w:val="24"/>
        </w:rPr>
      </w:pPr>
      <w:r>
        <w:rPr>
          <w:rFonts w:hint="eastAsia" w:ascii="仿宋" w:hAnsi="仿宋" w:eastAsia="仿宋" w:cs="仿宋"/>
          <w:sz w:val="24"/>
        </w:rPr>
        <w:t xml:space="preserve">2.1 </w:t>
      </w:r>
      <w:r>
        <w:rPr>
          <w:rFonts w:hint="eastAsia" w:ascii="仿宋" w:hAnsi="仿宋" w:eastAsia="仿宋"/>
          <w:sz w:val="24"/>
        </w:rPr>
        <w:t>提交货物的技术规范应与招标文件规定的技术规范和技术规范附件</w:t>
      </w:r>
      <w:r>
        <w:rPr>
          <w:rFonts w:ascii="仿宋" w:hAnsi="仿宋" w:eastAsia="仿宋"/>
          <w:sz w:val="24"/>
        </w:rPr>
        <w:t>(</w:t>
      </w:r>
      <w:r>
        <w:rPr>
          <w:rFonts w:hint="eastAsia" w:ascii="仿宋" w:hAnsi="仿宋" w:eastAsia="仿宋"/>
          <w:sz w:val="24"/>
        </w:rPr>
        <w:t>如果有的</w:t>
      </w:r>
    </w:p>
    <w:p w14:paraId="6C9013CA">
      <w:pPr>
        <w:spacing w:line="360" w:lineRule="auto"/>
        <w:ind w:left="720" w:hanging="720" w:hangingChars="300"/>
        <w:rPr>
          <w:rFonts w:hint="eastAsia" w:ascii="仿宋" w:hAnsi="仿宋" w:eastAsia="仿宋"/>
          <w:sz w:val="24"/>
        </w:rPr>
      </w:pPr>
      <w:r>
        <w:rPr>
          <w:rFonts w:hint="eastAsia" w:ascii="仿宋" w:hAnsi="仿宋" w:eastAsia="仿宋"/>
          <w:sz w:val="24"/>
        </w:rPr>
        <w:t>话</w:t>
      </w:r>
      <w:r>
        <w:rPr>
          <w:rFonts w:ascii="仿宋" w:hAnsi="仿宋" w:eastAsia="仿宋"/>
          <w:sz w:val="24"/>
        </w:rPr>
        <w:t>)</w:t>
      </w:r>
      <w:r>
        <w:rPr>
          <w:rFonts w:hint="eastAsia" w:ascii="仿宋" w:hAnsi="仿宋" w:eastAsia="仿宋"/>
          <w:sz w:val="24"/>
        </w:rPr>
        <w:t>及其投标文件的技术规范偏差表</w:t>
      </w:r>
      <w:r>
        <w:rPr>
          <w:rFonts w:ascii="仿宋" w:hAnsi="仿宋" w:eastAsia="仿宋"/>
          <w:sz w:val="24"/>
        </w:rPr>
        <w:t>(</w:t>
      </w:r>
      <w:r>
        <w:rPr>
          <w:rFonts w:hint="eastAsia" w:ascii="仿宋" w:hAnsi="仿宋" w:eastAsia="仿宋"/>
          <w:sz w:val="24"/>
        </w:rPr>
        <w:t>如果被买方接受的话</w:t>
      </w:r>
      <w:r>
        <w:rPr>
          <w:rFonts w:ascii="仿宋" w:hAnsi="仿宋" w:eastAsia="仿宋"/>
          <w:sz w:val="24"/>
        </w:rPr>
        <w:t>)</w:t>
      </w:r>
      <w:r>
        <w:rPr>
          <w:rFonts w:hint="eastAsia" w:ascii="仿宋" w:hAnsi="仿宋" w:eastAsia="仿宋"/>
          <w:sz w:val="24"/>
        </w:rPr>
        <w:t>相一致。若技术规范中无相</w:t>
      </w:r>
    </w:p>
    <w:p w14:paraId="13D03C5A">
      <w:pPr>
        <w:spacing w:line="360" w:lineRule="auto"/>
        <w:ind w:left="720" w:hanging="720" w:hangingChars="300"/>
        <w:rPr>
          <w:rFonts w:hint="eastAsia" w:ascii="仿宋" w:hAnsi="仿宋" w:eastAsia="仿宋"/>
          <w:sz w:val="24"/>
        </w:rPr>
      </w:pPr>
      <w:r>
        <w:rPr>
          <w:rFonts w:hint="eastAsia" w:ascii="仿宋" w:hAnsi="仿宋" w:eastAsia="仿宋"/>
          <w:sz w:val="24"/>
        </w:rPr>
        <w:t>应说明，则以国家有关部门最新颁布的相应标准及规范为准。</w:t>
      </w:r>
    </w:p>
    <w:p w14:paraId="7ED227E1">
      <w:pPr>
        <w:pStyle w:val="4"/>
        <w:spacing w:before="0" w:after="0" w:line="360" w:lineRule="auto"/>
        <w:rPr>
          <w:rFonts w:hint="eastAsia" w:ascii="仿宋" w:hAnsi="仿宋" w:eastAsia="仿宋" w:cs="仿宋"/>
          <w:szCs w:val="24"/>
          <w:u w:val="none"/>
        </w:rPr>
      </w:pPr>
      <w:bookmarkStart w:id="850" w:name="_Toc487900351"/>
      <w:bookmarkStart w:id="851" w:name="_Toc220313482"/>
      <w:r>
        <w:rPr>
          <w:rFonts w:hint="eastAsia" w:ascii="仿宋" w:hAnsi="仿宋" w:eastAsia="仿宋" w:cs="仿宋"/>
          <w:szCs w:val="24"/>
          <w:u w:val="none"/>
        </w:rPr>
        <w:t>3.知识产权</w:t>
      </w:r>
      <w:bookmarkEnd w:id="850"/>
      <w:bookmarkEnd w:id="851"/>
    </w:p>
    <w:p w14:paraId="449149C2">
      <w:pPr>
        <w:spacing w:line="360" w:lineRule="auto"/>
        <w:rPr>
          <w:rFonts w:hint="eastAsia" w:ascii="仿宋" w:hAnsi="仿宋" w:eastAsia="仿宋" w:cs="仿宋"/>
          <w:sz w:val="24"/>
        </w:rPr>
      </w:pPr>
      <w:r>
        <w:rPr>
          <w:rFonts w:hint="eastAsia" w:ascii="仿宋" w:hAnsi="仿宋" w:eastAsia="仿宋" w:cs="仿宋"/>
          <w:sz w:val="24"/>
        </w:rPr>
        <w:t>3.1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713D7217">
      <w:pPr>
        <w:pStyle w:val="4"/>
        <w:spacing w:before="0" w:after="0" w:line="360" w:lineRule="auto"/>
        <w:rPr>
          <w:rFonts w:hint="eastAsia" w:ascii="仿宋" w:hAnsi="仿宋" w:eastAsia="仿宋" w:cs="仿宋"/>
          <w:szCs w:val="24"/>
          <w:u w:val="none"/>
        </w:rPr>
      </w:pPr>
      <w:bookmarkStart w:id="852" w:name="_Toc220313483"/>
      <w:bookmarkStart w:id="853" w:name="_Toc487900352"/>
      <w:r>
        <w:rPr>
          <w:rFonts w:hint="eastAsia" w:ascii="仿宋" w:hAnsi="仿宋" w:eastAsia="仿宋" w:cs="仿宋"/>
          <w:szCs w:val="24"/>
          <w:u w:val="none"/>
        </w:rPr>
        <w:t>4.包装要求</w:t>
      </w:r>
      <w:bookmarkEnd w:id="852"/>
      <w:bookmarkEnd w:id="853"/>
    </w:p>
    <w:p w14:paraId="32924CB7">
      <w:pPr>
        <w:spacing w:line="360" w:lineRule="auto"/>
        <w:rPr>
          <w:rFonts w:hint="eastAsia" w:ascii="仿宋" w:hAnsi="仿宋" w:eastAsia="仿宋" w:cs="仿宋"/>
          <w:sz w:val="24"/>
        </w:rPr>
      </w:pPr>
      <w:r>
        <w:rPr>
          <w:rFonts w:hint="eastAsia" w:ascii="仿宋" w:hAnsi="仿宋" w:eastAsia="仿宋" w:cs="仿宋"/>
          <w:sz w:val="24"/>
        </w:rPr>
        <w:t>4.1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损坏和损失均由卖方承担。</w:t>
      </w:r>
    </w:p>
    <w:p w14:paraId="15E77AB9">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4.2每件包装箱内应附一份详细装箱单和质量合格证。</w:t>
      </w:r>
    </w:p>
    <w:p w14:paraId="5D7E8AD2">
      <w:pPr>
        <w:pStyle w:val="4"/>
        <w:spacing w:before="0" w:after="0" w:line="360" w:lineRule="auto"/>
        <w:rPr>
          <w:rFonts w:hint="eastAsia" w:ascii="仿宋" w:hAnsi="仿宋" w:eastAsia="仿宋" w:cs="仿宋"/>
          <w:szCs w:val="24"/>
          <w:u w:val="none"/>
        </w:rPr>
      </w:pPr>
      <w:bookmarkStart w:id="854" w:name="_Toc220313484"/>
      <w:bookmarkStart w:id="855" w:name="_Toc487900353"/>
      <w:r>
        <w:rPr>
          <w:rFonts w:hint="eastAsia" w:ascii="仿宋" w:hAnsi="仿宋" w:eastAsia="仿宋" w:cs="仿宋"/>
          <w:szCs w:val="24"/>
          <w:u w:val="none"/>
        </w:rPr>
        <w:t>5.装运标志</w:t>
      </w:r>
      <w:bookmarkEnd w:id="854"/>
      <w:bookmarkEnd w:id="855"/>
    </w:p>
    <w:p w14:paraId="229250DF">
      <w:pPr>
        <w:spacing w:line="360" w:lineRule="auto"/>
        <w:rPr>
          <w:rFonts w:hint="eastAsia" w:ascii="仿宋" w:hAnsi="仿宋" w:eastAsia="仿宋" w:cs="仿宋"/>
          <w:sz w:val="24"/>
        </w:rPr>
      </w:pPr>
      <w:r>
        <w:rPr>
          <w:rFonts w:hint="eastAsia" w:ascii="仿宋" w:hAnsi="仿宋" w:eastAsia="仿宋" w:cs="仿宋"/>
          <w:sz w:val="24"/>
        </w:rPr>
        <w:t>卖方应在每一包装箱上以醒目的中文字样做出下列标记：货物的名称、编码、颜色、尺码和数量。</w:t>
      </w:r>
    </w:p>
    <w:p w14:paraId="2C3BC691">
      <w:pPr>
        <w:pStyle w:val="4"/>
        <w:spacing w:before="0" w:after="0" w:line="360" w:lineRule="auto"/>
        <w:rPr>
          <w:rFonts w:hint="eastAsia" w:ascii="仿宋" w:hAnsi="仿宋" w:eastAsia="仿宋" w:cs="仿宋"/>
          <w:szCs w:val="24"/>
          <w:u w:val="none"/>
        </w:rPr>
      </w:pPr>
      <w:bookmarkStart w:id="856" w:name="_Toc220313485"/>
      <w:bookmarkStart w:id="857" w:name="_Ref467379527"/>
      <w:bookmarkStart w:id="858" w:name="_Ref467379542"/>
      <w:bookmarkStart w:id="859" w:name="_Ref467378541"/>
      <w:bookmarkStart w:id="860" w:name="_Toc487900354"/>
      <w:bookmarkStart w:id="861" w:name="_Ref467378591"/>
      <w:bookmarkStart w:id="862" w:name="_Ref467379536"/>
      <w:r>
        <w:rPr>
          <w:rFonts w:hint="eastAsia" w:ascii="仿宋" w:hAnsi="仿宋" w:eastAsia="仿宋" w:cs="仿宋"/>
          <w:szCs w:val="24"/>
          <w:u w:val="none"/>
        </w:rPr>
        <w:t>6.交货方式</w:t>
      </w:r>
      <w:bookmarkEnd w:id="856"/>
      <w:bookmarkEnd w:id="857"/>
      <w:bookmarkEnd w:id="858"/>
      <w:bookmarkEnd w:id="859"/>
      <w:bookmarkEnd w:id="860"/>
      <w:bookmarkEnd w:id="861"/>
      <w:bookmarkEnd w:id="862"/>
    </w:p>
    <w:p w14:paraId="02285049">
      <w:pPr>
        <w:spacing w:line="360" w:lineRule="auto"/>
        <w:ind w:left="900" w:hanging="900" w:hangingChars="375"/>
        <w:rPr>
          <w:rFonts w:hint="eastAsia" w:ascii="仿宋" w:hAnsi="仿宋" w:eastAsia="仿宋" w:cs="仿宋"/>
          <w:sz w:val="24"/>
        </w:rPr>
      </w:pPr>
      <w:bookmarkStart w:id="863" w:name="_Ref467379657"/>
      <w:r>
        <w:rPr>
          <w:rFonts w:hint="eastAsia" w:ascii="仿宋" w:hAnsi="仿宋" w:eastAsia="仿宋" w:cs="仿宋"/>
          <w:sz w:val="24"/>
        </w:rPr>
        <w:t>6.1 交货方式一般为下列其中一种，具体在合同专用条款中规定。</w:t>
      </w:r>
      <w:bookmarkEnd w:id="863"/>
    </w:p>
    <w:p w14:paraId="4168C578">
      <w:pPr>
        <w:spacing w:line="360" w:lineRule="auto"/>
        <w:rPr>
          <w:rFonts w:hint="eastAsia" w:ascii="仿宋" w:hAnsi="仿宋" w:eastAsia="仿宋" w:cs="仿宋"/>
          <w:sz w:val="24"/>
        </w:rPr>
      </w:pPr>
      <w:r>
        <w:rPr>
          <w:rFonts w:hint="eastAsia" w:ascii="仿宋" w:hAnsi="仿宋" w:eastAsia="仿宋" w:cs="仿宋"/>
          <w:sz w:val="24"/>
        </w:rPr>
        <w:t>6.1.1 现场交货：卖方负责办理运输和保险，将货物运抵现场。有关运输和保险的一切费用由卖方承担。所有货物运抵现场的日期为交货日期。</w:t>
      </w:r>
    </w:p>
    <w:p w14:paraId="5A772589">
      <w:pPr>
        <w:spacing w:line="360" w:lineRule="auto"/>
        <w:rPr>
          <w:rFonts w:hint="eastAsia" w:ascii="仿宋" w:hAnsi="仿宋" w:eastAsia="仿宋" w:cs="仿宋"/>
          <w:sz w:val="24"/>
        </w:rPr>
      </w:pPr>
      <w:r>
        <w:rPr>
          <w:rFonts w:hint="eastAsia" w:ascii="仿宋" w:hAnsi="仿宋" w:eastAsia="仿宋" w:cs="仿宋"/>
          <w:sz w:val="24"/>
        </w:rPr>
        <w:t>6.1.2 工厂交货：由卖方负责代办运输和保险事宜。运输费和保险费由买方承担。运输部门出具收据的日期为交货日期。</w:t>
      </w:r>
    </w:p>
    <w:p w14:paraId="2990F9AD">
      <w:pPr>
        <w:spacing w:line="360" w:lineRule="auto"/>
        <w:rPr>
          <w:rFonts w:hint="eastAsia" w:ascii="仿宋" w:hAnsi="仿宋" w:eastAsia="仿宋" w:cs="仿宋"/>
          <w:sz w:val="24"/>
        </w:rPr>
      </w:pPr>
      <w:r>
        <w:rPr>
          <w:rFonts w:hint="eastAsia" w:ascii="仿宋" w:hAnsi="仿宋" w:eastAsia="仿宋" w:cs="仿宋"/>
          <w:sz w:val="24"/>
        </w:rPr>
        <w:t>6.1.3 买方自提货物：由买方在合同规定地点自行办理提货。提单日期为交货日期。</w:t>
      </w:r>
    </w:p>
    <w:p w14:paraId="4F79438C">
      <w:pPr>
        <w:spacing w:line="360" w:lineRule="auto"/>
        <w:rPr>
          <w:rFonts w:hint="eastAsia" w:ascii="仿宋" w:hAnsi="仿宋" w:eastAsia="仿宋" w:cs="仿宋"/>
          <w:sz w:val="24"/>
        </w:rPr>
      </w:pPr>
      <w:r>
        <w:rPr>
          <w:rFonts w:hint="eastAsia" w:ascii="仿宋" w:hAnsi="仿宋" w:eastAsia="仿宋" w:cs="仿宋"/>
          <w:sz w:val="24"/>
        </w:rPr>
        <w:t>6.2卖方应在合同专用条款规定时间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14:paraId="4B6EC475">
      <w:pPr>
        <w:spacing w:line="360" w:lineRule="auto"/>
        <w:rPr>
          <w:rFonts w:hint="eastAsia" w:ascii="仿宋" w:hAnsi="仿宋" w:eastAsia="仿宋" w:cs="仿宋"/>
          <w:sz w:val="24"/>
        </w:rPr>
      </w:pPr>
      <w:r>
        <w:rPr>
          <w:rFonts w:hint="eastAsia" w:ascii="仿宋" w:hAnsi="仿宋" w:eastAsia="仿宋" w:cs="仿宋"/>
          <w:sz w:val="24"/>
        </w:rPr>
        <w:t>6.3在现场交货和工厂交货条件下，卖方装运的货物不应超过合同规定的数量或重量。否则，卖方应对超运部分引起的一切后果负责。</w:t>
      </w:r>
    </w:p>
    <w:p w14:paraId="08DF3E86">
      <w:pPr>
        <w:pStyle w:val="4"/>
        <w:spacing w:before="0" w:after="0" w:line="360" w:lineRule="auto"/>
        <w:rPr>
          <w:rFonts w:hint="eastAsia" w:ascii="仿宋" w:hAnsi="仿宋" w:eastAsia="仿宋" w:cs="仿宋"/>
          <w:szCs w:val="24"/>
          <w:u w:val="none"/>
        </w:rPr>
      </w:pPr>
      <w:bookmarkStart w:id="864" w:name="_Toc487900355"/>
      <w:bookmarkStart w:id="865" w:name="_Toc220313486"/>
      <w:r>
        <w:rPr>
          <w:rFonts w:hint="eastAsia" w:ascii="仿宋" w:hAnsi="仿宋" w:eastAsia="仿宋" w:cs="仿宋"/>
          <w:szCs w:val="24"/>
          <w:u w:val="none"/>
        </w:rPr>
        <w:t>7.装运通知</w:t>
      </w:r>
      <w:bookmarkEnd w:id="864"/>
      <w:bookmarkEnd w:id="865"/>
    </w:p>
    <w:p w14:paraId="57BE3342">
      <w:pPr>
        <w:spacing w:line="360" w:lineRule="auto"/>
        <w:rPr>
          <w:rFonts w:hint="eastAsia" w:ascii="仿宋" w:hAnsi="仿宋" w:eastAsia="仿宋" w:cs="仿宋"/>
          <w:sz w:val="24"/>
        </w:rPr>
      </w:pPr>
      <w:r>
        <w:rPr>
          <w:rFonts w:hint="eastAsia" w:ascii="仿宋" w:hAnsi="仿宋" w:eastAsia="仿宋" w:cs="仿宋"/>
          <w:sz w:val="24"/>
        </w:rPr>
        <w:t>7.1在现场交货和工厂交货条件下的货物，卖方通知买方货物已备妥待运输后24小时之内，应将合同号、货名、数量、毛重、总体积(立方米)、发票金额、运输工具名称及装运日期，以电报、传真或电话通知买方。</w:t>
      </w:r>
    </w:p>
    <w:p w14:paraId="7FC2DEA9">
      <w:pPr>
        <w:spacing w:line="360" w:lineRule="auto"/>
        <w:rPr>
          <w:rFonts w:hint="eastAsia" w:ascii="仿宋" w:hAnsi="仿宋" w:eastAsia="仿宋" w:cs="仿宋"/>
          <w:sz w:val="24"/>
        </w:rPr>
      </w:pPr>
      <w:r>
        <w:rPr>
          <w:rFonts w:hint="eastAsia" w:ascii="仿宋" w:hAnsi="仿宋" w:eastAsia="仿宋" w:cs="仿宋"/>
          <w:sz w:val="24"/>
        </w:rPr>
        <w:t>7.2如因卖方延误通知买方，由此引起的一切后果损失应由卖方负责。</w:t>
      </w:r>
    </w:p>
    <w:p w14:paraId="13F77C5D">
      <w:pPr>
        <w:pStyle w:val="4"/>
        <w:spacing w:before="0" w:after="0" w:line="360" w:lineRule="auto"/>
        <w:rPr>
          <w:rFonts w:hint="eastAsia" w:ascii="仿宋" w:hAnsi="仿宋" w:eastAsia="仿宋" w:cs="仿宋"/>
          <w:szCs w:val="24"/>
          <w:u w:val="none"/>
        </w:rPr>
      </w:pPr>
      <w:bookmarkStart w:id="866" w:name="_Ref467379807"/>
      <w:bookmarkStart w:id="867" w:name="_Toc220313487"/>
      <w:bookmarkStart w:id="868" w:name="_Toc487900357"/>
      <w:bookmarkStart w:id="869" w:name="_Ref467379793"/>
      <w:r>
        <w:rPr>
          <w:rFonts w:hint="eastAsia" w:ascii="仿宋" w:hAnsi="仿宋" w:eastAsia="仿宋" w:cs="仿宋"/>
          <w:szCs w:val="24"/>
          <w:u w:val="none"/>
        </w:rPr>
        <w:t>8.付款条件</w:t>
      </w:r>
      <w:bookmarkEnd w:id="866"/>
      <w:bookmarkEnd w:id="867"/>
      <w:bookmarkEnd w:id="868"/>
      <w:bookmarkEnd w:id="869"/>
    </w:p>
    <w:p w14:paraId="1214E3B7">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 xml:space="preserve"> 付款条件见合同书。</w:t>
      </w:r>
    </w:p>
    <w:p w14:paraId="4ADB619C">
      <w:pPr>
        <w:pStyle w:val="4"/>
        <w:spacing w:before="0" w:after="0" w:line="360" w:lineRule="auto"/>
        <w:rPr>
          <w:rFonts w:hint="eastAsia" w:ascii="仿宋" w:hAnsi="仿宋" w:eastAsia="仿宋" w:cs="仿宋"/>
          <w:szCs w:val="24"/>
          <w:u w:val="none"/>
        </w:rPr>
      </w:pPr>
      <w:bookmarkStart w:id="870" w:name="_Toc220313488"/>
      <w:bookmarkStart w:id="871" w:name="_Toc487900358"/>
      <w:bookmarkStart w:id="872" w:name="_Ref467379852"/>
      <w:bookmarkStart w:id="873" w:name="_Ref467379863"/>
      <w:bookmarkStart w:id="874" w:name="_Ref467379923"/>
      <w:r>
        <w:rPr>
          <w:rFonts w:hint="eastAsia" w:ascii="仿宋" w:hAnsi="仿宋" w:eastAsia="仿宋" w:cs="仿宋"/>
          <w:szCs w:val="24"/>
          <w:u w:val="none"/>
        </w:rPr>
        <w:t>9.技术资料</w:t>
      </w:r>
      <w:bookmarkEnd w:id="870"/>
      <w:bookmarkEnd w:id="871"/>
      <w:bookmarkEnd w:id="872"/>
      <w:bookmarkEnd w:id="873"/>
      <w:bookmarkEnd w:id="874"/>
    </w:p>
    <w:p w14:paraId="5F037675">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9.1合同项下技术资料(除合同特殊条款规定外)将以下列方式交付：</w:t>
      </w:r>
    </w:p>
    <w:p w14:paraId="1E296454">
      <w:pPr>
        <w:spacing w:line="360" w:lineRule="auto"/>
        <w:rPr>
          <w:rFonts w:hint="eastAsia" w:ascii="仿宋" w:hAnsi="仿宋" w:eastAsia="仿宋" w:cs="仿宋"/>
          <w:sz w:val="24"/>
        </w:rPr>
      </w:pPr>
      <w:r>
        <w:rPr>
          <w:rFonts w:hint="eastAsia" w:ascii="仿宋" w:hAnsi="仿宋" w:eastAsia="仿宋" w:cs="仿宋"/>
          <w:sz w:val="24"/>
        </w:rPr>
        <w:t>在合同专用条款规定时间内，卖方应提供货物样品及货物生产执行标准文号给买方。</w:t>
      </w:r>
    </w:p>
    <w:p w14:paraId="0D50B6C5">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9.2另外货物生产执行标准文号应在货物包装上标注。</w:t>
      </w:r>
    </w:p>
    <w:p w14:paraId="7EB559ED">
      <w:pPr>
        <w:spacing w:line="360" w:lineRule="auto"/>
        <w:rPr>
          <w:rFonts w:hint="eastAsia" w:ascii="仿宋" w:hAnsi="仿宋" w:eastAsia="仿宋" w:cs="仿宋"/>
          <w:sz w:val="24"/>
        </w:rPr>
      </w:pPr>
      <w:r>
        <w:rPr>
          <w:rFonts w:hint="eastAsia" w:ascii="仿宋" w:hAnsi="仿宋" w:eastAsia="仿宋" w:cs="仿宋"/>
          <w:sz w:val="24"/>
        </w:rPr>
        <w:t>9.3 如果买方确认卖方提供的技术资料不完整或在运输过程中丢失，卖方将在合同专用条款规定时间内将这些资料免费寄给买方。</w:t>
      </w:r>
    </w:p>
    <w:p w14:paraId="4037207A">
      <w:pPr>
        <w:pStyle w:val="4"/>
        <w:spacing w:before="0" w:after="0" w:line="360" w:lineRule="auto"/>
        <w:rPr>
          <w:rFonts w:hint="eastAsia" w:ascii="仿宋" w:hAnsi="仿宋" w:eastAsia="仿宋" w:cs="仿宋"/>
          <w:szCs w:val="24"/>
          <w:u w:val="none"/>
        </w:rPr>
      </w:pPr>
      <w:bookmarkStart w:id="875" w:name="_Ref467377798"/>
      <w:bookmarkStart w:id="876" w:name="_Ref467379946"/>
      <w:bookmarkStart w:id="877" w:name="_Toc220313489"/>
      <w:bookmarkStart w:id="878" w:name="_Toc487900359"/>
      <w:bookmarkStart w:id="879" w:name="_Ref467379937"/>
      <w:bookmarkStart w:id="880" w:name="_Ref467377962"/>
      <w:r>
        <w:rPr>
          <w:rFonts w:hint="eastAsia" w:ascii="仿宋" w:hAnsi="仿宋" w:eastAsia="仿宋" w:cs="仿宋"/>
          <w:szCs w:val="24"/>
          <w:u w:val="none"/>
        </w:rPr>
        <w:t>10.质量保证</w:t>
      </w:r>
      <w:bookmarkEnd w:id="875"/>
      <w:bookmarkEnd w:id="876"/>
      <w:bookmarkEnd w:id="877"/>
      <w:bookmarkEnd w:id="878"/>
      <w:bookmarkEnd w:id="879"/>
      <w:bookmarkEnd w:id="880"/>
    </w:p>
    <w:p w14:paraId="688C9B4D">
      <w:pPr>
        <w:spacing w:line="360" w:lineRule="auto"/>
        <w:rPr>
          <w:rFonts w:hint="eastAsia" w:ascii="仿宋" w:hAnsi="仿宋" w:eastAsia="仿宋" w:cs="仿宋"/>
          <w:sz w:val="24"/>
        </w:rPr>
      </w:pPr>
      <w:r>
        <w:rPr>
          <w:rFonts w:hint="eastAsia" w:ascii="仿宋" w:hAnsi="仿宋" w:eastAsia="仿宋" w:cs="仿宋"/>
          <w:sz w:val="24"/>
        </w:rPr>
        <w:t>10.1卖方须保证货物是全新、未使用过的，并完全符合强制性的国家技术质量规范和合同规定的质量、规格、性能和技术规范等的要求。</w:t>
      </w:r>
    </w:p>
    <w:p w14:paraId="7DF89EEF">
      <w:pPr>
        <w:spacing w:line="360" w:lineRule="auto"/>
        <w:rPr>
          <w:rFonts w:hint="eastAsia" w:ascii="仿宋" w:hAnsi="仿宋" w:eastAsia="仿宋" w:cs="仿宋"/>
          <w:sz w:val="24"/>
        </w:rPr>
      </w:pPr>
      <w:r>
        <w:rPr>
          <w:rFonts w:hint="eastAsia" w:ascii="仿宋" w:hAnsi="仿宋" w:eastAsia="仿宋" w:cs="仿宋"/>
          <w:sz w:val="24"/>
        </w:rPr>
        <w:t>10.2卖方须保证所提供的货物符合质量要求和产品说明书的性能。在货物质量保证期之内，卖方须对由于设计、工艺或材料的缺陷而发生的任何不足或故障负责。</w:t>
      </w:r>
    </w:p>
    <w:p w14:paraId="1FB88419">
      <w:pPr>
        <w:spacing w:line="360" w:lineRule="auto"/>
        <w:rPr>
          <w:rFonts w:hint="eastAsia" w:ascii="仿宋" w:hAnsi="仿宋" w:eastAsia="仿宋" w:cs="仿宋"/>
          <w:sz w:val="24"/>
        </w:rPr>
      </w:pPr>
      <w:r>
        <w:rPr>
          <w:rFonts w:hint="eastAsia" w:ascii="仿宋" w:hAnsi="仿宋" w:eastAsia="仿宋" w:cs="仿宋"/>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合同专用条款规定时间内免费维修或更换有缺陷的货物或部件。</w:t>
      </w:r>
    </w:p>
    <w:p w14:paraId="54F3519E">
      <w:pPr>
        <w:spacing w:line="360" w:lineRule="auto"/>
        <w:rPr>
          <w:rFonts w:hint="eastAsia" w:ascii="仿宋" w:hAnsi="仿宋" w:eastAsia="仿宋" w:cs="仿宋"/>
          <w:sz w:val="24"/>
        </w:rPr>
      </w:pPr>
      <w:r>
        <w:rPr>
          <w:rFonts w:hint="eastAsia" w:ascii="仿宋" w:hAnsi="仿宋" w:eastAsia="仿宋" w:cs="仿宋"/>
          <w:sz w:val="24"/>
        </w:rPr>
        <w:t>10.4 如果卖方在合同专用条款规定时间内没有弥补缺陷，买方可采取必要的补救措施，但由此引发的风险和费用将由卖方承担。</w:t>
      </w:r>
    </w:p>
    <w:p w14:paraId="4B9E9B21">
      <w:pPr>
        <w:spacing w:line="360" w:lineRule="auto"/>
        <w:rPr>
          <w:rFonts w:hint="eastAsia" w:ascii="仿宋" w:hAnsi="仿宋" w:eastAsia="仿宋" w:cs="仿宋"/>
          <w:sz w:val="24"/>
        </w:rPr>
      </w:pPr>
      <w:r>
        <w:rPr>
          <w:rFonts w:hint="eastAsia" w:ascii="仿宋" w:hAnsi="仿宋" w:eastAsia="仿宋" w:cs="仿宋"/>
          <w:sz w:val="24"/>
        </w:rPr>
        <w:t>10.5 除“合同专用条款”规定外，合同项下货物的质量保证期为自货物通过最终验收起</w:t>
      </w:r>
      <w:r>
        <w:rPr>
          <w:rFonts w:hint="eastAsia" w:ascii="仿宋" w:hAnsi="仿宋" w:eastAsia="仿宋"/>
          <w:b/>
          <w:sz w:val="24"/>
          <w:u w:val="single"/>
        </w:rPr>
        <w:t>36</w:t>
      </w:r>
      <w:r>
        <w:rPr>
          <w:rFonts w:hint="eastAsia" w:ascii="仿宋" w:hAnsi="仿宋" w:eastAsia="仿宋" w:cs="仿宋"/>
          <w:sz w:val="24"/>
        </w:rPr>
        <w:t>个月。</w:t>
      </w:r>
    </w:p>
    <w:p w14:paraId="38988110">
      <w:pPr>
        <w:pStyle w:val="4"/>
        <w:spacing w:before="0" w:after="0" w:line="360" w:lineRule="auto"/>
        <w:rPr>
          <w:rFonts w:hint="eastAsia" w:ascii="仿宋" w:hAnsi="仿宋" w:eastAsia="仿宋" w:cs="仿宋"/>
          <w:szCs w:val="24"/>
          <w:u w:val="none"/>
        </w:rPr>
      </w:pPr>
      <w:bookmarkStart w:id="881" w:name="_Toc487900360"/>
      <w:bookmarkStart w:id="882" w:name="_Ref467378018"/>
      <w:bookmarkStart w:id="883" w:name="_Toc220313490"/>
      <w:r>
        <w:rPr>
          <w:rFonts w:hint="eastAsia" w:ascii="仿宋" w:hAnsi="仿宋" w:eastAsia="仿宋" w:cs="仿宋"/>
          <w:szCs w:val="24"/>
          <w:u w:val="none"/>
        </w:rPr>
        <w:t>11.检验</w:t>
      </w:r>
      <w:bookmarkEnd w:id="881"/>
      <w:bookmarkEnd w:id="882"/>
      <w:r>
        <w:rPr>
          <w:rFonts w:hint="eastAsia" w:ascii="仿宋" w:hAnsi="仿宋" w:eastAsia="仿宋" w:cs="仿宋"/>
          <w:szCs w:val="24"/>
          <w:u w:val="none"/>
        </w:rPr>
        <w:t>和验收</w:t>
      </w:r>
      <w:bookmarkEnd w:id="883"/>
    </w:p>
    <w:p w14:paraId="69A87A09">
      <w:pPr>
        <w:spacing w:line="360" w:lineRule="auto"/>
        <w:rPr>
          <w:rFonts w:hint="eastAsia" w:ascii="仿宋" w:hAnsi="仿宋" w:eastAsia="仿宋" w:cs="仿宋"/>
          <w:sz w:val="24"/>
        </w:rPr>
      </w:pPr>
      <w:r>
        <w:rPr>
          <w:rFonts w:hint="eastAsia" w:ascii="仿宋" w:hAnsi="仿宋" w:eastAsia="仿宋" w:cs="仿宋"/>
          <w:sz w:val="24"/>
        </w:rPr>
        <w:t>11.1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1A71974">
      <w:pPr>
        <w:spacing w:line="360" w:lineRule="auto"/>
        <w:rPr>
          <w:rFonts w:hint="eastAsia" w:ascii="仿宋" w:hAnsi="仿宋" w:eastAsia="仿宋" w:cs="仿宋"/>
          <w:sz w:val="24"/>
        </w:rPr>
      </w:pPr>
      <w:r>
        <w:rPr>
          <w:rFonts w:hint="eastAsia" w:ascii="仿宋" w:hAnsi="仿宋" w:eastAsia="仿宋" w:cs="仿宋"/>
          <w:sz w:val="24"/>
        </w:rPr>
        <w:t>11.2货物运抵现场后，买方在合同专用条款规定时间内组织验收，并制作验收备忘录，签署验收意见 。</w:t>
      </w:r>
    </w:p>
    <w:p w14:paraId="238530D1">
      <w:pPr>
        <w:spacing w:line="360" w:lineRule="auto"/>
        <w:rPr>
          <w:rFonts w:hint="eastAsia" w:ascii="仿宋" w:hAnsi="仿宋" w:eastAsia="仿宋" w:cs="仿宋"/>
          <w:sz w:val="24"/>
        </w:rPr>
      </w:pPr>
      <w:r>
        <w:rPr>
          <w:rFonts w:hint="eastAsia" w:ascii="仿宋" w:hAnsi="仿宋" w:eastAsia="仿宋" w:cs="仿宋"/>
          <w:sz w:val="24"/>
        </w:rPr>
        <w:t>买方有在货物制造过程中派员监造的权利, 卖方有义务为买方监造人员行使该权利提卖方便。</w:t>
      </w:r>
    </w:p>
    <w:p w14:paraId="430657CB">
      <w:pPr>
        <w:pStyle w:val="4"/>
        <w:spacing w:before="0" w:after="0" w:line="360" w:lineRule="auto"/>
        <w:rPr>
          <w:rFonts w:hint="eastAsia" w:ascii="仿宋" w:hAnsi="仿宋" w:eastAsia="仿宋" w:cs="仿宋"/>
          <w:szCs w:val="24"/>
          <w:u w:val="none"/>
        </w:rPr>
      </w:pPr>
      <w:bookmarkStart w:id="884" w:name="_Toc487900361"/>
      <w:bookmarkStart w:id="885" w:name="_Toc220313491"/>
      <w:r>
        <w:rPr>
          <w:rFonts w:hint="eastAsia" w:ascii="仿宋" w:hAnsi="仿宋" w:eastAsia="仿宋" w:cs="仿宋"/>
          <w:szCs w:val="24"/>
          <w:u w:val="none"/>
        </w:rPr>
        <w:t>12.索赔</w:t>
      </w:r>
      <w:bookmarkEnd w:id="884"/>
      <w:bookmarkEnd w:id="885"/>
    </w:p>
    <w:p w14:paraId="36D85783">
      <w:pPr>
        <w:spacing w:line="360" w:lineRule="auto"/>
        <w:rPr>
          <w:rFonts w:hint="eastAsia" w:ascii="仿宋" w:hAnsi="仿宋" w:eastAsia="仿宋" w:cs="仿宋"/>
          <w:sz w:val="24"/>
        </w:rPr>
      </w:pPr>
      <w:r>
        <w:rPr>
          <w:rFonts w:hint="eastAsia" w:ascii="仿宋" w:hAnsi="仿宋" w:eastAsia="仿宋" w:cs="仿宋"/>
          <w:sz w:val="24"/>
        </w:rPr>
        <w:t>12.1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714A0913">
      <w:pPr>
        <w:spacing w:line="360" w:lineRule="auto"/>
        <w:rPr>
          <w:rFonts w:hint="eastAsia" w:ascii="仿宋" w:hAnsi="仿宋" w:eastAsia="仿宋" w:cs="仿宋"/>
          <w:sz w:val="24"/>
        </w:rPr>
      </w:pPr>
      <w:bookmarkStart w:id="886" w:name="_Ref467378076"/>
      <w:r>
        <w:rPr>
          <w:rFonts w:hint="eastAsia" w:ascii="仿宋" w:hAnsi="仿宋" w:eastAsia="仿宋" w:cs="仿宋"/>
          <w:sz w:val="24"/>
        </w:rPr>
        <w:t>12.2在根据合同第10条和第11条规定的检验期和质量保证期内，如果卖方对买方提出的索赔负有责任，卖方应按照买方同意的下列一种或多种方式解决索赔事宜</w:t>
      </w:r>
      <w:bookmarkEnd w:id="886"/>
      <w:r>
        <w:rPr>
          <w:rFonts w:hint="eastAsia" w:ascii="仿宋" w:hAnsi="仿宋" w:eastAsia="仿宋" w:cs="仿宋"/>
          <w:sz w:val="24"/>
        </w:rPr>
        <w:t>：</w:t>
      </w:r>
    </w:p>
    <w:p w14:paraId="45E57D75">
      <w:pPr>
        <w:spacing w:line="360" w:lineRule="auto"/>
        <w:rPr>
          <w:rFonts w:hint="eastAsia" w:ascii="仿宋" w:hAnsi="仿宋" w:eastAsia="仿宋" w:cs="仿宋"/>
          <w:sz w:val="24"/>
        </w:rPr>
      </w:pPr>
      <w:r>
        <w:rPr>
          <w:rFonts w:hint="eastAsia" w:ascii="仿宋" w:hAnsi="仿宋" w:eastAsia="仿宋" w:cs="仿宋"/>
          <w:sz w:val="24"/>
        </w:rPr>
        <w:t>12.3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69E417D7">
      <w:pPr>
        <w:spacing w:line="360" w:lineRule="auto"/>
        <w:rPr>
          <w:rFonts w:hint="eastAsia" w:ascii="仿宋" w:hAnsi="仿宋" w:eastAsia="仿宋" w:cs="仿宋"/>
          <w:sz w:val="24"/>
        </w:rPr>
      </w:pPr>
      <w:r>
        <w:rPr>
          <w:rFonts w:hint="eastAsia" w:ascii="仿宋" w:hAnsi="仿宋" w:eastAsia="仿宋" w:cs="仿宋"/>
          <w:sz w:val="24"/>
        </w:rPr>
        <w:t>12.4根据货物低劣程度、损坏程度以及买方所遭受损失的数额，经买卖双方商定降低货物的价格，或由有权的部门评估，以降低后的价格或评估价格为准。</w:t>
      </w:r>
    </w:p>
    <w:p w14:paraId="13353EF6">
      <w:pPr>
        <w:spacing w:line="360" w:lineRule="auto"/>
        <w:rPr>
          <w:rFonts w:hint="eastAsia" w:ascii="仿宋" w:hAnsi="仿宋" w:eastAsia="仿宋" w:cs="仿宋"/>
          <w:sz w:val="24"/>
        </w:rPr>
      </w:pPr>
      <w:r>
        <w:rPr>
          <w:rFonts w:hint="eastAsia" w:ascii="仿宋" w:hAnsi="仿宋" w:eastAsia="仿宋" w:cs="仿宋"/>
          <w:sz w:val="24"/>
        </w:rPr>
        <w:t>12.5用符合规格、质量和性能要求的新零件、部件或货物来更换有缺陷的部或／和修补缺陷部分，卖方应承担一切费用和风险并负担买方所发生的一切直接费用。同时，卖方应按合同第10条规定，相应延长修补或更换件的质量保证期。</w:t>
      </w:r>
    </w:p>
    <w:p w14:paraId="4FFF05C6">
      <w:pPr>
        <w:spacing w:line="360" w:lineRule="auto"/>
        <w:rPr>
          <w:rFonts w:hint="eastAsia" w:ascii="仿宋" w:hAnsi="仿宋" w:eastAsia="仿宋" w:cs="仿宋"/>
          <w:sz w:val="24"/>
        </w:rPr>
      </w:pPr>
      <w:r>
        <w:rPr>
          <w:rFonts w:hint="eastAsia" w:ascii="仿宋" w:hAnsi="仿宋" w:eastAsia="仿宋" w:cs="仿宋"/>
          <w:sz w:val="24"/>
        </w:rPr>
        <w:t>12.6如果在买方发出索赔通知后，卖方在合同专用条款规定时间内未作答复，上述索赔应视为已被卖方接受。买方将按照本合同第12.2条规定解决索赔事宜，买方将从合同款或从卖方开具的履约保证金保函中扣回索赔金额。如果这些金额不足以补偿索赔金额，买方有权向卖方提出不足部分的补偿。</w:t>
      </w:r>
    </w:p>
    <w:p w14:paraId="07E3179C">
      <w:pPr>
        <w:pStyle w:val="4"/>
        <w:spacing w:before="0" w:after="0" w:line="360" w:lineRule="auto"/>
        <w:rPr>
          <w:rFonts w:hint="eastAsia" w:ascii="仿宋" w:hAnsi="仿宋" w:eastAsia="仿宋" w:cs="仿宋"/>
          <w:szCs w:val="24"/>
          <w:u w:val="none"/>
        </w:rPr>
      </w:pPr>
      <w:bookmarkStart w:id="887" w:name="_Toc487900362"/>
      <w:bookmarkStart w:id="888" w:name="_Toc220313492"/>
      <w:r>
        <w:rPr>
          <w:rFonts w:hint="eastAsia" w:ascii="仿宋" w:hAnsi="仿宋" w:eastAsia="仿宋" w:cs="仿宋"/>
          <w:szCs w:val="24"/>
          <w:u w:val="none"/>
        </w:rPr>
        <w:t>13.延迟交货</w:t>
      </w:r>
      <w:bookmarkEnd w:id="887"/>
      <w:bookmarkEnd w:id="888"/>
    </w:p>
    <w:p w14:paraId="45D6BE2B">
      <w:pPr>
        <w:spacing w:line="360" w:lineRule="auto"/>
        <w:ind w:left="1"/>
        <w:rPr>
          <w:rFonts w:hint="eastAsia" w:ascii="仿宋" w:hAnsi="仿宋" w:eastAsia="仿宋" w:cs="仿宋"/>
          <w:sz w:val="24"/>
        </w:rPr>
      </w:pPr>
      <w:r>
        <w:rPr>
          <w:rFonts w:hint="eastAsia" w:ascii="仿宋" w:hAnsi="仿宋" w:eastAsia="仿宋" w:cs="仿宋"/>
          <w:sz w:val="24"/>
        </w:rPr>
        <w:t>13.1卖方应按照“货物需求一览表及技术规格”中买方规定的时间表交货和提供服务。</w:t>
      </w:r>
    </w:p>
    <w:p w14:paraId="7AD68179">
      <w:pPr>
        <w:spacing w:line="360" w:lineRule="auto"/>
        <w:rPr>
          <w:rFonts w:hint="eastAsia" w:ascii="仿宋" w:hAnsi="仿宋" w:eastAsia="仿宋" w:cs="仿宋"/>
          <w:sz w:val="24"/>
        </w:rPr>
      </w:pPr>
      <w:r>
        <w:rPr>
          <w:rFonts w:hint="eastAsia" w:ascii="仿宋" w:hAnsi="仿宋" w:eastAsia="仿宋" w:cs="仿宋"/>
          <w:sz w:val="24"/>
        </w:rPr>
        <w:t>13.2如果卖方无正当理由迟延交货，买方有权提出违约损失赔偿或解除合同。</w:t>
      </w:r>
    </w:p>
    <w:p w14:paraId="554C4FEE">
      <w:pPr>
        <w:spacing w:line="360" w:lineRule="auto"/>
        <w:ind w:left="1"/>
        <w:rPr>
          <w:rFonts w:hint="eastAsia" w:ascii="仿宋" w:hAnsi="仿宋" w:eastAsia="仿宋" w:cs="仿宋"/>
          <w:sz w:val="24"/>
        </w:rPr>
      </w:pPr>
      <w:r>
        <w:rPr>
          <w:rFonts w:hint="eastAsia" w:ascii="仿宋" w:hAnsi="仿宋" w:eastAsia="仿宋" w:cs="仿宋"/>
          <w:sz w:val="24"/>
        </w:rPr>
        <w:t>13.3在履行合同过程中，如果卖方遇到不能按时交货和提供服务的情况，应及时以书面形式将不能按时交货的理由、预期延误时间通知买方。买方收到卖方通知后，认为其理由正当的，可酌情延长交货时间。</w:t>
      </w:r>
    </w:p>
    <w:p w14:paraId="030D0A4B">
      <w:pPr>
        <w:pStyle w:val="4"/>
        <w:spacing w:before="0" w:after="0" w:line="360" w:lineRule="auto"/>
        <w:rPr>
          <w:rFonts w:hint="eastAsia" w:ascii="仿宋" w:hAnsi="仿宋" w:eastAsia="仿宋" w:cs="仿宋"/>
          <w:szCs w:val="24"/>
          <w:u w:val="none"/>
        </w:rPr>
      </w:pPr>
      <w:bookmarkStart w:id="889" w:name="_Toc220313493"/>
      <w:bookmarkStart w:id="890" w:name="_Toc487900363"/>
      <w:r>
        <w:rPr>
          <w:rFonts w:hint="eastAsia" w:ascii="仿宋" w:hAnsi="仿宋" w:eastAsia="仿宋" w:cs="仿宋"/>
          <w:szCs w:val="24"/>
          <w:u w:val="none"/>
        </w:rPr>
        <w:t>14.违约赔偿</w:t>
      </w:r>
      <w:bookmarkEnd w:id="889"/>
      <w:bookmarkEnd w:id="890"/>
    </w:p>
    <w:p w14:paraId="1C6D7545">
      <w:pPr>
        <w:spacing w:line="360" w:lineRule="auto"/>
        <w:ind w:leftChars="-1" w:hanging="2"/>
        <w:rPr>
          <w:rFonts w:hint="eastAsia" w:ascii="仿宋" w:hAnsi="仿宋" w:eastAsia="仿宋" w:cs="仿宋"/>
          <w:sz w:val="24"/>
        </w:rPr>
      </w:pPr>
      <w:r>
        <w:rPr>
          <w:rFonts w:hint="eastAsia" w:ascii="仿宋" w:hAnsi="仿宋" w:eastAsia="仿宋" w:cs="仿宋"/>
          <w:sz w:val="24"/>
        </w:rPr>
        <w:t>14.1除合同第15条规定外，如果卖方没有按照合同规定的时间交货，买方可要求卖方支付违约金。违约金每天按货物总价的0.5%计收。如果达到最高限额，买方有权解除合同。违约金的最高限额为合同总价的20%。</w:t>
      </w:r>
    </w:p>
    <w:p w14:paraId="6F373CAD">
      <w:pPr>
        <w:spacing w:line="360" w:lineRule="auto"/>
        <w:ind w:leftChars="-1" w:hanging="2"/>
        <w:rPr>
          <w:rFonts w:hint="eastAsia" w:ascii="仿宋" w:hAnsi="仿宋" w:eastAsia="仿宋" w:cs="仿宋"/>
          <w:sz w:val="24"/>
        </w:rPr>
      </w:pPr>
      <w:r>
        <w:rPr>
          <w:rFonts w:hint="eastAsia" w:ascii="仿宋" w:hAnsi="仿宋" w:eastAsia="仿宋" w:cs="仿宋"/>
          <w:sz w:val="24"/>
        </w:rPr>
        <w:t>14.2如果买方没有按照合同规定的时间付清货款。卖方可要求买方支付违约金。违约金每天按逾期未付金额的0.5%计收。违约金的最高限额为合同总价的20%。</w:t>
      </w:r>
    </w:p>
    <w:p w14:paraId="0E028742">
      <w:pPr>
        <w:pStyle w:val="4"/>
        <w:spacing w:before="0" w:after="0" w:line="360" w:lineRule="auto"/>
        <w:rPr>
          <w:rFonts w:hint="eastAsia" w:ascii="仿宋" w:hAnsi="仿宋" w:eastAsia="仿宋" w:cs="仿宋"/>
          <w:szCs w:val="24"/>
          <w:u w:val="none"/>
        </w:rPr>
      </w:pPr>
      <w:bookmarkStart w:id="891" w:name="_Toc487900364"/>
      <w:bookmarkStart w:id="892" w:name="_Toc220313494"/>
      <w:bookmarkStart w:id="893" w:name="_Ref467378121"/>
      <w:r>
        <w:rPr>
          <w:rFonts w:hint="eastAsia" w:ascii="仿宋" w:hAnsi="仿宋" w:eastAsia="仿宋" w:cs="仿宋"/>
          <w:szCs w:val="24"/>
          <w:u w:val="none"/>
        </w:rPr>
        <w:t>15.不可抗力</w:t>
      </w:r>
      <w:bookmarkEnd w:id="891"/>
      <w:bookmarkEnd w:id="892"/>
      <w:bookmarkEnd w:id="893"/>
    </w:p>
    <w:p w14:paraId="309DB995">
      <w:pPr>
        <w:spacing w:line="360" w:lineRule="auto"/>
        <w:ind w:left="1"/>
        <w:rPr>
          <w:rFonts w:hint="eastAsia" w:ascii="仿宋" w:hAnsi="仿宋" w:eastAsia="仿宋" w:cs="仿宋"/>
          <w:sz w:val="24"/>
        </w:rPr>
      </w:pPr>
      <w:r>
        <w:rPr>
          <w:rFonts w:hint="eastAsia" w:ascii="仿宋" w:hAnsi="仿宋" w:eastAsia="仿宋" w:cs="仿宋"/>
          <w:sz w:val="24"/>
        </w:rPr>
        <w:t>15.1如果双方中任何一方遭遇法律规定的不可抗力，致使合同履行受阻时，履行合同的期限应予延长，延长的期限应相当于不可抗力所影响的时间。</w:t>
      </w:r>
    </w:p>
    <w:p w14:paraId="0AF9397F">
      <w:pPr>
        <w:spacing w:line="360" w:lineRule="auto"/>
        <w:rPr>
          <w:rFonts w:hint="eastAsia" w:ascii="仿宋" w:hAnsi="仿宋" w:eastAsia="仿宋" w:cs="仿宋"/>
          <w:sz w:val="24"/>
        </w:rPr>
      </w:pPr>
      <w:r>
        <w:rPr>
          <w:rFonts w:hint="eastAsia" w:ascii="仿宋" w:hAnsi="仿宋" w:eastAsia="仿宋" w:cs="仿宋"/>
          <w:sz w:val="24"/>
        </w:rPr>
        <w:t>15.2受事故影响的一方应在不可抗力的事故发生后尽快书面形式通知另一方，并在合同专用条款规定时间内，将有关部门出具的证明文件送达另一方。</w:t>
      </w:r>
    </w:p>
    <w:p w14:paraId="0C6AAD06">
      <w:pPr>
        <w:spacing w:line="360" w:lineRule="auto"/>
        <w:rPr>
          <w:rFonts w:hint="eastAsia" w:ascii="仿宋" w:hAnsi="仿宋" w:eastAsia="仿宋" w:cs="仿宋"/>
          <w:sz w:val="24"/>
        </w:rPr>
      </w:pPr>
      <w:r>
        <w:rPr>
          <w:rFonts w:hint="eastAsia" w:ascii="仿宋" w:hAnsi="仿宋" w:eastAsia="仿宋" w:cs="仿宋"/>
          <w:sz w:val="24"/>
        </w:rPr>
        <w:t>15.3不可抗力使合同的某些内容有变更必要的，双方应在合同专用条款规定时间内达成进一步履行合同的协议。因不可抗力致使合同不能履行的，合同终止。</w:t>
      </w:r>
    </w:p>
    <w:p w14:paraId="55C46309">
      <w:pPr>
        <w:pStyle w:val="4"/>
        <w:spacing w:before="0" w:after="0" w:line="360" w:lineRule="auto"/>
        <w:rPr>
          <w:rFonts w:hint="eastAsia" w:ascii="仿宋" w:hAnsi="仿宋" w:eastAsia="仿宋" w:cs="仿宋"/>
          <w:szCs w:val="24"/>
          <w:u w:val="none"/>
        </w:rPr>
      </w:pPr>
      <w:bookmarkStart w:id="894" w:name="_Toc220313495"/>
      <w:bookmarkStart w:id="895" w:name="_Toc487900365"/>
      <w:r>
        <w:rPr>
          <w:rFonts w:hint="eastAsia" w:ascii="仿宋" w:hAnsi="仿宋" w:eastAsia="仿宋" w:cs="仿宋"/>
          <w:szCs w:val="24"/>
          <w:u w:val="none"/>
        </w:rPr>
        <w:t>16.税费</w:t>
      </w:r>
      <w:bookmarkEnd w:id="894"/>
      <w:bookmarkEnd w:id="895"/>
    </w:p>
    <w:p w14:paraId="0B45F0C4">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16.1与本合同有关的一切税费均适用中华人民共和国法律的相关规定。</w:t>
      </w:r>
    </w:p>
    <w:p w14:paraId="4904517F">
      <w:pPr>
        <w:pStyle w:val="4"/>
        <w:spacing w:before="0" w:after="0" w:line="360" w:lineRule="auto"/>
        <w:rPr>
          <w:rFonts w:hint="eastAsia" w:ascii="仿宋" w:hAnsi="仿宋" w:eastAsia="仿宋" w:cs="仿宋"/>
          <w:szCs w:val="24"/>
          <w:u w:val="none"/>
        </w:rPr>
      </w:pPr>
      <w:bookmarkStart w:id="896" w:name="_Hlt487900425"/>
      <w:bookmarkEnd w:id="896"/>
      <w:bookmarkStart w:id="897" w:name="_Toc487900366"/>
      <w:bookmarkStart w:id="898" w:name="_Toc220313496"/>
      <w:r>
        <w:rPr>
          <w:rFonts w:hint="eastAsia" w:ascii="仿宋" w:hAnsi="仿宋" w:eastAsia="仿宋" w:cs="仿宋"/>
          <w:szCs w:val="24"/>
          <w:u w:val="none"/>
        </w:rPr>
        <w:t>17</w:t>
      </w:r>
      <w:bookmarkEnd w:id="897"/>
      <w:r>
        <w:rPr>
          <w:rFonts w:hint="eastAsia" w:ascii="仿宋" w:hAnsi="仿宋" w:eastAsia="仿宋" w:cs="仿宋"/>
          <w:szCs w:val="24"/>
          <w:u w:val="none"/>
        </w:rPr>
        <w:t>.合同争议的解决</w:t>
      </w:r>
      <w:bookmarkEnd w:id="898"/>
    </w:p>
    <w:p w14:paraId="64732131">
      <w:pPr>
        <w:spacing w:line="360" w:lineRule="auto"/>
        <w:ind w:left="1"/>
        <w:rPr>
          <w:rFonts w:hint="eastAsia" w:ascii="仿宋" w:hAnsi="仿宋" w:eastAsia="仿宋" w:cs="仿宋"/>
          <w:sz w:val="24"/>
        </w:rPr>
      </w:pPr>
      <w:r>
        <w:rPr>
          <w:rFonts w:hint="eastAsia" w:ascii="仿宋" w:hAnsi="仿宋" w:eastAsia="仿宋" w:cs="仿宋"/>
          <w:sz w:val="24"/>
        </w:rPr>
        <w:t>17.1因合同履行中发生的争议，合同当事人双方可通过协商解决。协商不成的，双方同意争议由北京市顺义区人民法院诉讼管辖。</w:t>
      </w:r>
    </w:p>
    <w:p w14:paraId="3F052672">
      <w:pPr>
        <w:pStyle w:val="4"/>
        <w:spacing w:before="0" w:after="0" w:line="360" w:lineRule="auto"/>
        <w:rPr>
          <w:rFonts w:hint="eastAsia" w:ascii="仿宋" w:hAnsi="仿宋" w:eastAsia="仿宋" w:cs="仿宋"/>
          <w:szCs w:val="24"/>
          <w:u w:val="none"/>
        </w:rPr>
      </w:pPr>
      <w:bookmarkStart w:id="899" w:name="_Toc487900367"/>
      <w:bookmarkStart w:id="900" w:name="_Toc220313497"/>
      <w:r>
        <w:rPr>
          <w:rFonts w:hint="eastAsia" w:ascii="仿宋" w:hAnsi="仿宋" w:eastAsia="仿宋" w:cs="仿宋"/>
          <w:szCs w:val="24"/>
          <w:u w:val="none"/>
        </w:rPr>
        <w:t>18.违约解除合同</w:t>
      </w:r>
      <w:bookmarkEnd w:id="899"/>
      <w:bookmarkEnd w:id="900"/>
    </w:p>
    <w:p w14:paraId="0AAF0104">
      <w:pPr>
        <w:spacing w:line="360" w:lineRule="auto"/>
        <w:ind w:left="1"/>
        <w:rPr>
          <w:rFonts w:hint="eastAsia" w:ascii="仿宋" w:hAnsi="仿宋" w:eastAsia="仿宋" w:cs="仿宋"/>
          <w:sz w:val="24"/>
        </w:rPr>
      </w:pPr>
      <w:bookmarkStart w:id="901" w:name="_Ref467378234"/>
      <w:r>
        <w:rPr>
          <w:rFonts w:hint="eastAsia" w:ascii="仿宋" w:hAnsi="仿宋" w:eastAsia="仿宋" w:cs="仿宋"/>
          <w:sz w:val="24"/>
        </w:rPr>
        <w:t>18.1在卖方违约或出现下列情形的情况下，买方可向卖方发出书面通知，部分或部终止合同，同时保留向卖方追诉的权利。</w:t>
      </w:r>
      <w:bookmarkEnd w:id="901"/>
    </w:p>
    <w:p w14:paraId="13AF40EB">
      <w:pPr>
        <w:spacing w:line="360" w:lineRule="auto"/>
        <w:rPr>
          <w:rFonts w:hint="eastAsia" w:ascii="仿宋" w:hAnsi="仿宋" w:eastAsia="仿宋" w:cs="仿宋"/>
          <w:sz w:val="24"/>
        </w:rPr>
      </w:pPr>
      <w:r>
        <w:rPr>
          <w:rFonts w:hint="eastAsia" w:ascii="仿宋" w:hAnsi="仿宋" w:eastAsia="仿宋" w:cs="仿宋"/>
          <w:sz w:val="24"/>
        </w:rPr>
        <w:t xml:space="preserve">卖方未能在合同规定的限期或买方同意延长的限期内，提供全部或部分货物,按合同第18.1的规定可以解除合同的； </w:t>
      </w:r>
    </w:p>
    <w:p w14:paraId="6FDA8BFE">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18.1.2卖方未能履行合同规定的其它主要义务的；</w:t>
      </w:r>
    </w:p>
    <w:p w14:paraId="30E33EEF">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18.1.3在本合同履行过程中有腐败和欺诈行为的。</w:t>
      </w:r>
    </w:p>
    <w:p w14:paraId="204CC867">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18.1.3.1“腐败行为”和“欺诈行为”定义如下:</w:t>
      </w:r>
    </w:p>
    <w:p w14:paraId="65C3BD6D">
      <w:pPr>
        <w:spacing w:line="360" w:lineRule="auto"/>
        <w:ind w:left="1"/>
        <w:rPr>
          <w:rFonts w:hint="eastAsia" w:ascii="仿宋" w:hAnsi="仿宋" w:eastAsia="仿宋" w:cs="仿宋"/>
          <w:sz w:val="24"/>
        </w:rPr>
      </w:pPr>
      <w:r>
        <w:rPr>
          <w:rFonts w:hint="eastAsia" w:ascii="仿宋" w:hAnsi="仿宋" w:eastAsia="仿宋" w:cs="仿宋"/>
          <w:sz w:val="24"/>
        </w:rPr>
        <w:t>18.1.3.1.1“腐败行为”是指提供/给予/接受或索取任何有价值的东西来影响买方在合同签订、履行过程中的行为。</w:t>
      </w:r>
    </w:p>
    <w:p w14:paraId="4CFA5F88">
      <w:pPr>
        <w:spacing w:line="360" w:lineRule="auto"/>
        <w:ind w:left="1"/>
        <w:rPr>
          <w:rFonts w:hint="eastAsia" w:ascii="仿宋" w:hAnsi="仿宋" w:eastAsia="仿宋" w:cs="仿宋"/>
          <w:sz w:val="24"/>
        </w:rPr>
      </w:pPr>
      <w:r>
        <w:rPr>
          <w:rFonts w:hint="eastAsia" w:ascii="仿宋" w:hAnsi="仿宋" w:eastAsia="仿宋" w:cs="仿宋"/>
          <w:sz w:val="24"/>
        </w:rPr>
        <w:t>18.1.3.1.2“欺诈行为”是指为了影响合同签订、履行过程，以谎报事实的方法，损害买方的利益的行为。</w:t>
      </w:r>
    </w:p>
    <w:p w14:paraId="61919F0F">
      <w:pPr>
        <w:spacing w:line="360" w:lineRule="auto"/>
        <w:rPr>
          <w:rFonts w:hint="eastAsia" w:ascii="仿宋" w:hAnsi="仿宋" w:eastAsia="仿宋" w:cs="仿宋"/>
          <w:sz w:val="24"/>
        </w:rPr>
      </w:pPr>
      <w:r>
        <w:rPr>
          <w:rFonts w:hint="eastAsia" w:ascii="仿宋" w:hAnsi="仿宋" w:eastAsia="仿宋" w:cs="仿宋"/>
          <w:sz w:val="24"/>
        </w:rPr>
        <w:t>18.2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653C94C3">
      <w:pPr>
        <w:pStyle w:val="4"/>
        <w:spacing w:before="0" w:after="0" w:line="360" w:lineRule="auto"/>
        <w:rPr>
          <w:rFonts w:hint="eastAsia" w:ascii="仿宋" w:hAnsi="仿宋" w:eastAsia="仿宋" w:cs="仿宋"/>
          <w:szCs w:val="24"/>
          <w:u w:val="none"/>
        </w:rPr>
      </w:pPr>
      <w:bookmarkStart w:id="902" w:name="_Toc220313498"/>
      <w:bookmarkStart w:id="903" w:name="_Toc487900368"/>
      <w:r>
        <w:rPr>
          <w:rFonts w:hint="eastAsia" w:ascii="仿宋" w:hAnsi="仿宋" w:eastAsia="仿宋" w:cs="仿宋"/>
          <w:szCs w:val="24"/>
          <w:u w:val="none"/>
        </w:rPr>
        <w:t>19.破产终止合同</w:t>
      </w:r>
      <w:bookmarkEnd w:id="902"/>
      <w:bookmarkEnd w:id="903"/>
    </w:p>
    <w:p w14:paraId="381347F0">
      <w:pPr>
        <w:spacing w:line="360" w:lineRule="auto"/>
        <w:rPr>
          <w:rFonts w:hint="eastAsia" w:ascii="仿宋" w:hAnsi="仿宋" w:eastAsia="仿宋" w:cs="仿宋"/>
          <w:sz w:val="24"/>
        </w:rPr>
      </w:pPr>
      <w:r>
        <w:rPr>
          <w:rFonts w:hint="eastAsia" w:ascii="仿宋" w:hAnsi="仿宋" w:eastAsia="仿宋" w:cs="仿宋"/>
          <w:sz w:val="24"/>
        </w:rPr>
        <w:t>19.1 如果卖方破产导致合同无法履行时，买方可以书面形式通知卖方，单方终止合同而不给卖方补偿。但买方必须以书面形式告知同级采购监督管理部门。该合同的终止将不损害或不影响买方已经采取或将要采取的任何行动或补救措施的权利。</w:t>
      </w:r>
    </w:p>
    <w:p w14:paraId="4E7497CA">
      <w:pPr>
        <w:pStyle w:val="4"/>
        <w:spacing w:before="0" w:after="0" w:line="360" w:lineRule="auto"/>
        <w:rPr>
          <w:rFonts w:hint="eastAsia" w:ascii="仿宋" w:hAnsi="仿宋" w:eastAsia="仿宋" w:cs="仿宋"/>
          <w:bCs/>
          <w:szCs w:val="24"/>
          <w:u w:val="none"/>
        </w:rPr>
      </w:pPr>
      <w:bookmarkStart w:id="904" w:name="_Toc487900369"/>
      <w:bookmarkStart w:id="905" w:name="_Toc220313499"/>
      <w:r>
        <w:rPr>
          <w:rFonts w:hint="eastAsia" w:ascii="仿宋" w:hAnsi="仿宋" w:eastAsia="仿宋" w:cs="仿宋"/>
          <w:bCs/>
          <w:szCs w:val="24"/>
          <w:u w:val="none"/>
        </w:rPr>
        <w:t>20</w:t>
      </w:r>
      <w:r>
        <w:rPr>
          <w:rFonts w:hint="eastAsia" w:ascii="仿宋" w:hAnsi="仿宋" w:eastAsia="仿宋" w:cs="仿宋"/>
          <w:szCs w:val="24"/>
          <w:u w:val="none"/>
        </w:rPr>
        <w:t>.</w:t>
      </w:r>
      <w:r>
        <w:rPr>
          <w:rFonts w:hint="eastAsia" w:ascii="仿宋" w:hAnsi="仿宋" w:eastAsia="仿宋" w:cs="仿宋"/>
          <w:bCs/>
          <w:szCs w:val="24"/>
          <w:u w:val="none"/>
        </w:rPr>
        <w:t>转让和分包</w:t>
      </w:r>
      <w:bookmarkEnd w:id="904"/>
      <w:bookmarkEnd w:id="905"/>
    </w:p>
    <w:p w14:paraId="00CF12D6">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20.1 采购合同不能整体转让。</w:t>
      </w:r>
    </w:p>
    <w:p w14:paraId="518A898E">
      <w:pPr>
        <w:spacing w:line="360" w:lineRule="auto"/>
        <w:ind w:left="1"/>
        <w:rPr>
          <w:rFonts w:hint="eastAsia" w:ascii="仿宋" w:hAnsi="仿宋" w:eastAsia="仿宋" w:cs="仿宋"/>
          <w:sz w:val="24"/>
        </w:rPr>
      </w:pPr>
      <w:r>
        <w:rPr>
          <w:rFonts w:hint="eastAsia" w:ascii="仿宋" w:hAnsi="仿宋" w:eastAsia="仿宋" w:cs="仿宋"/>
          <w:sz w:val="24"/>
        </w:rPr>
        <w:t>20.2 经买方同意，卖方可以将合同项下非主体、非关键性工作分包给他人完成。但必须在投标文件中载明。接受分包的人应当具备相应的资格条件，并不得再次分包。分包后不能解除卖方履行本合同的责任和义务，接受分包的人与卖方共同对买方连带承担合同的责任和义务。</w:t>
      </w:r>
    </w:p>
    <w:p w14:paraId="7912EA61">
      <w:pPr>
        <w:pStyle w:val="4"/>
        <w:spacing w:before="0" w:after="0" w:line="360" w:lineRule="auto"/>
        <w:rPr>
          <w:rFonts w:hint="eastAsia" w:ascii="仿宋" w:hAnsi="仿宋" w:eastAsia="仿宋" w:cs="仿宋"/>
          <w:szCs w:val="24"/>
          <w:u w:val="none"/>
        </w:rPr>
      </w:pPr>
      <w:bookmarkStart w:id="906" w:name="_Toc487900370"/>
      <w:bookmarkStart w:id="907" w:name="_Toc220313500"/>
      <w:r>
        <w:rPr>
          <w:rFonts w:hint="eastAsia" w:ascii="仿宋" w:hAnsi="仿宋" w:eastAsia="仿宋" w:cs="仿宋"/>
          <w:szCs w:val="24"/>
          <w:u w:val="none"/>
        </w:rPr>
        <w:t>21.合同修改</w:t>
      </w:r>
      <w:bookmarkEnd w:id="906"/>
      <w:bookmarkEnd w:id="907"/>
    </w:p>
    <w:p w14:paraId="7403B6D1">
      <w:pPr>
        <w:spacing w:line="360" w:lineRule="auto"/>
        <w:rPr>
          <w:rFonts w:hint="eastAsia" w:ascii="仿宋" w:hAnsi="仿宋" w:eastAsia="仿宋" w:cs="仿宋"/>
          <w:sz w:val="24"/>
        </w:rPr>
      </w:pPr>
      <w:r>
        <w:rPr>
          <w:rFonts w:hint="eastAsia" w:ascii="仿宋" w:hAnsi="仿宋" w:eastAsia="仿宋" w:cs="仿宋"/>
          <w:sz w:val="24"/>
        </w:rPr>
        <w:t>21.1买方和卖方都不得擅自变更本合同，但合同继续履行将损害国家和社会公共利益的除外。如必须对合同条款进行改动时，当事人双方须共同签署书面文件，作为合同的补充，并报同级采购监督管理部门备案。</w:t>
      </w:r>
    </w:p>
    <w:p w14:paraId="7F2A6A66">
      <w:pPr>
        <w:pStyle w:val="4"/>
        <w:spacing w:before="0" w:after="0" w:line="360" w:lineRule="auto"/>
        <w:rPr>
          <w:rFonts w:hint="eastAsia" w:ascii="仿宋" w:hAnsi="仿宋" w:eastAsia="仿宋" w:cs="仿宋"/>
          <w:szCs w:val="24"/>
          <w:u w:val="none"/>
        </w:rPr>
      </w:pPr>
      <w:bookmarkStart w:id="908" w:name="_Toc220313501"/>
      <w:bookmarkStart w:id="909" w:name="_Toc487900371"/>
      <w:r>
        <w:rPr>
          <w:rFonts w:hint="eastAsia" w:ascii="仿宋" w:hAnsi="仿宋" w:eastAsia="仿宋" w:cs="仿宋"/>
          <w:szCs w:val="24"/>
          <w:u w:val="none"/>
        </w:rPr>
        <w:t>22.通知</w:t>
      </w:r>
      <w:bookmarkEnd w:id="908"/>
      <w:bookmarkEnd w:id="909"/>
    </w:p>
    <w:p w14:paraId="75B6A325">
      <w:pPr>
        <w:spacing w:line="360" w:lineRule="auto"/>
        <w:rPr>
          <w:rFonts w:hint="eastAsia" w:ascii="仿宋" w:hAnsi="仿宋" w:eastAsia="仿宋" w:cs="仿宋"/>
          <w:sz w:val="24"/>
        </w:rPr>
      </w:pPr>
      <w:r>
        <w:rPr>
          <w:rFonts w:hint="eastAsia" w:ascii="仿宋" w:hAnsi="仿宋" w:eastAsia="仿宋" w:cs="仿宋"/>
          <w:sz w:val="24"/>
        </w:rPr>
        <w:t>22.1本合同任何一方给另一方的通知，都应以书面形式发送，而另一方也应以书面形式确认并发送到对方明确的地址。</w:t>
      </w:r>
    </w:p>
    <w:p w14:paraId="0FE3054E">
      <w:pPr>
        <w:pStyle w:val="4"/>
        <w:spacing w:before="0" w:after="0" w:line="360" w:lineRule="auto"/>
        <w:rPr>
          <w:rFonts w:hint="eastAsia" w:ascii="仿宋" w:hAnsi="仿宋" w:eastAsia="仿宋" w:cs="仿宋"/>
          <w:szCs w:val="24"/>
          <w:u w:val="none"/>
        </w:rPr>
      </w:pPr>
      <w:bookmarkStart w:id="910" w:name="_Toc220313502"/>
      <w:bookmarkStart w:id="911" w:name="_Toc487900372"/>
      <w:r>
        <w:rPr>
          <w:rFonts w:hint="eastAsia" w:ascii="仿宋" w:hAnsi="仿宋" w:eastAsia="仿宋" w:cs="仿宋"/>
          <w:szCs w:val="24"/>
          <w:u w:val="none"/>
        </w:rPr>
        <w:t>23.计量单位</w:t>
      </w:r>
      <w:bookmarkEnd w:id="910"/>
      <w:bookmarkEnd w:id="911"/>
    </w:p>
    <w:p w14:paraId="6A024094">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23.1 除技术规范中另有规定外,计量单位均使用国家法定计量单位。</w:t>
      </w:r>
    </w:p>
    <w:p w14:paraId="1E8C24E3">
      <w:pPr>
        <w:pStyle w:val="4"/>
        <w:spacing w:before="0" w:after="0" w:line="360" w:lineRule="auto"/>
        <w:rPr>
          <w:rFonts w:hint="eastAsia" w:ascii="仿宋" w:hAnsi="仿宋" w:eastAsia="仿宋" w:cs="仿宋"/>
          <w:szCs w:val="24"/>
          <w:u w:val="none"/>
        </w:rPr>
      </w:pPr>
      <w:bookmarkStart w:id="912" w:name="_Toc487900373"/>
      <w:bookmarkStart w:id="913" w:name="_Toc220313503"/>
      <w:r>
        <w:rPr>
          <w:rFonts w:hint="eastAsia" w:ascii="仿宋" w:hAnsi="仿宋" w:eastAsia="仿宋" w:cs="仿宋"/>
          <w:szCs w:val="24"/>
          <w:u w:val="none"/>
        </w:rPr>
        <w:t>24.适用法律</w:t>
      </w:r>
      <w:bookmarkEnd w:id="912"/>
      <w:bookmarkEnd w:id="913"/>
    </w:p>
    <w:p w14:paraId="334B2F48">
      <w:pPr>
        <w:spacing w:line="360" w:lineRule="auto"/>
        <w:ind w:left="900" w:hanging="900" w:hangingChars="375"/>
        <w:rPr>
          <w:rFonts w:hint="eastAsia" w:ascii="仿宋" w:hAnsi="仿宋" w:eastAsia="仿宋" w:cs="仿宋"/>
          <w:sz w:val="24"/>
        </w:rPr>
      </w:pPr>
      <w:r>
        <w:rPr>
          <w:rFonts w:hint="eastAsia" w:ascii="仿宋" w:hAnsi="仿宋" w:eastAsia="仿宋" w:cs="仿宋"/>
          <w:sz w:val="24"/>
        </w:rPr>
        <w:t>24.1本合同应按照中华人民共和国的法律进行解释。</w:t>
      </w:r>
    </w:p>
    <w:p w14:paraId="334A88D1">
      <w:pPr>
        <w:pStyle w:val="4"/>
        <w:spacing w:before="0" w:after="0" w:line="360" w:lineRule="auto"/>
        <w:rPr>
          <w:rFonts w:ascii="仿宋" w:hAnsi="仿宋" w:eastAsia="仿宋"/>
          <w:szCs w:val="24"/>
          <w:u w:val="none"/>
        </w:rPr>
      </w:pPr>
      <w:bookmarkStart w:id="914" w:name="_Toc220313504"/>
      <w:bookmarkStart w:id="915" w:name="_Toc487900374"/>
      <w:r>
        <w:rPr>
          <w:rFonts w:ascii="仿宋" w:hAnsi="仿宋" w:eastAsia="仿宋"/>
          <w:szCs w:val="24"/>
          <w:u w:val="none"/>
        </w:rPr>
        <w:t>25</w:t>
      </w:r>
      <w:r>
        <w:rPr>
          <w:rFonts w:hint="eastAsia" w:ascii="仿宋" w:hAnsi="仿宋" w:eastAsia="仿宋"/>
          <w:szCs w:val="24"/>
          <w:u w:val="none"/>
        </w:rPr>
        <w:t>.履约保证金</w:t>
      </w:r>
      <w:bookmarkEnd w:id="914"/>
    </w:p>
    <w:p w14:paraId="6FC03ED3">
      <w:pPr>
        <w:spacing w:line="360" w:lineRule="auto"/>
        <w:ind w:left="900" w:hanging="900" w:hangingChars="375"/>
        <w:rPr>
          <w:rFonts w:ascii="仿宋" w:hAnsi="仿宋" w:eastAsia="仿宋"/>
          <w:sz w:val="24"/>
        </w:rPr>
      </w:pPr>
      <w:r>
        <w:rPr>
          <w:rFonts w:ascii="仿宋" w:hAnsi="仿宋" w:eastAsia="仿宋"/>
          <w:sz w:val="24"/>
        </w:rPr>
        <w:t>25.1</w:t>
      </w:r>
      <w:r>
        <w:rPr>
          <w:rFonts w:hint="eastAsia" w:ascii="仿宋" w:hAnsi="仿宋" w:eastAsia="仿宋"/>
          <w:sz w:val="24"/>
        </w:rPr>
        <w:t>卖方应按合同专用条款规定缴纳履约保证金。</w:t>
      </w:r>
    </w:p>
    <w:p w14:paraId="34397A50">
      <w:pPr>
        <w:spacing w:line="360" w:lineRule="auto"/>
        <w:ind w:left="900" w:hanging="900" w:hangingChars="375"/>
        <w:rPr>
          <w:rFonts w:ascii="仿宋" w:hAnsi="仿宋" w:eastAsia="仿宋"/>
          <w:sz w:val="24"/>
        </w:rPr>
      </w:pPr>
      <w:r>
        <w:rPr>
          <w:rFonts w:ascii="仿宋" w:hAnsi="仿宋" w:eastAsia="仿宋"/>
          <w:sz w:val="24"/>
        </w:rPr>
        <w:t>25.2</w:t>
      </w:r>
      <w:r>
        <w:rPr>
          <w:rFonts w:hint="eastAsia" w:ascii="仿宋" w:hAnsi="仿宋" w:eastAsia="仿宋"/>
          <w:sz w:val="24"/>
        </w:rPr>
        <w:t>履约保证金用于补偿买方因卖方不能履行其合同义务而蒙受的损失。</w:t>
      </w:r>
    </w:p>
    <w:p w14:paraId="176D2D3B">
      <w:pPr>
        <w:spacing w:line="360" w:lineRule="auto"/>
        <w:ind w:left="900" w:hanging="900" w:hangingChars="375"/>
        <w:rPr>
          <w:rFonts w:hint="eastAsia" w:ascii="仿宋" w:hAnsi="仿宋" w:eastAsia="仿宋"/>
          <w:sz w:val="24"/>
        </w:rPr>
      </w:pPr>
      <w:r>
        <w:rPr>
          <w:rFonts w:ascii="仿宋" w:hAnsi="仿宋" w:eastAsia="仿宋"/>
          <w:sz w:val="24"/>
        </w:rPr>
        <w:t>25.3</w:t>
      </w:r>
      <w:r>
        <w:rPr>
          <w:rFonts w:hint="eastAsia" w:ascii="仿宋" w:hAnsi="仿宋" w:eastAsia="仿宋"/>
          <w:sz w:val="24"/>
        </w:rPr>
        <w:t>履约保证金应使用本合同货币，按下述方式之一提交：</w:t>
      </w:r>
    </w:p>
    <w:p w14:paraId="1CEAB507">
      <w:pPr>
        <w:spacing w:line="360" w:lineRule="auto"/>
        <w:rPr>
          <w:rFonts w:ascii="仿宋" w:hAnsi="仿宋" w:eastAsia="仿宋"/>
          <w:sz w:val="24"/>
        </w:rPr>
      </w:pPr>
      <w:r>
        <w:rPr>
          <w:rFonts w:ascii="仿宋" w:hAnsi="仿宋" w:eastAsia="仿宋"/>
          <w:sz w:val="24"/>
        </w:rPr>
        <w:t>A.</w:t>
      </w:r>
      <w:r>
        <w:rPr>
          <w:rFonts w:hint="eastAsia" w:ascii="仿宋" w:hAnsi="仿宋" w:eastAsia="仿宋"/>
          <w:sz w:val="24"/>
        </w:rPr>
        <w:t>买方可接受的在中华人民共和国注册和营业的银行，按招标文件提供的格式（附件</w:t>
      </w:r>
      <w:r>
        <w:rPr>
          <w:rFonts w:ascii="仿宋" w:hAnsi="仿宋" w:eastAsia="仿宋"/>
          <w:sz w:val="24"/>
        </w:rPr>
        <w:t>8</w:t>
      </w:r>
      <w:r>
        <w:rPr>
          <w:rFonts w:hint="eastAsia" w:ascii="仿宋" w:hAnsi="仿宋" w:eastAsia="仿宋"/>
          <w:sz w:val="24"/>
        </w:rPr>
        <w:t>），或其他买方可接受的格式。</w:t>
      </w:r>
    </w:p>
    <w:p w14:paraId="0093B1B2">
      <w:pPr>
        <w:spacing w:line="360" w:lineRule="auto"/>
        <w:rPr>
          <w:rFonts w:ascii="仿宋" w:hAnsi="仿宋" w:eastAsia="仿宋"/>
          <w:sz w:val="24"/>
        </w:rPr>
      </w:pPr>
      <w:r>
        <w:rPr>
          <w:rFonts w:ascii="仿宋" w:hAnsi="仿宋" w:eastAsia="仿宋"/>
          <w:sz w:val="24"/>
        </w:rPr>
        <w:t>B.</w:t>
      </w:r>
      <w:r>
        <w:rPr>
          <w:rFonts w:hint="eastAsia" w:ascii="仿宋" w:hAnsi="仿宋" w:eastAsia="仿宋"/>
          <w:sz w:val="24"/>
        </w:rPr>
        <w:t>支票、汇票。</w:t>
      </w:r>
    </w:p>
    <w:p w14:paraId="4346C1FA">
      <w:pPr>
        <w:spacing w:line="360" w:lineRule="auto"/>
        <w:rPr>
          <w:rFonts w:ascii="仿宋" w:hAnsi="仿宋" w:eastAsia="仿宋"/>
          <w:sz w:val="24"/>
        </w:rPr>
      </w:pPr>
      <w:r>
        <w:rPr>
          <w:rFonts w:ascii="仿宋" w:hAnsi="仿宋" w:eastAsia="仿宋"/>
          <w:sz w:val="24"/>
        </w:rPr>
        <w:t>C.</w:t>
      </w:r>
      <w:r>
        <w:rPr>
          <w:rFonts w:hint="eastAsia" w:ascii="仿宋" w:hAnsi="仿宋" w:eastAsia="仿宋"/>
          <w:sz w:val="24"/>
        </w:rPr>
        <w:t>政府采购利用担保试点范围内的项目，中标供应商可以按照财政部门的规定，向采购人提供合格的履约担保函。</w:t>
      </w:r>
    </w:p>
    <w:p w14:paraId="4001EC66">
      <w:pPr>
        <w:spacing w:line="360" w:lineRule="auto"/>
        <w:ind w:left="900" w:hanging="900" w:hangingChars="375"/>
        <w:rPr>
          <w:rFonts w:ascii="仿宋" w:hAnsi="仿宋" w:eastAsia="仿宋"/>
          <w:sz w:val="24"/>
        </w:rPr>
      </w:pPr>
      <w:r>
        <w:rPr>
          <w:rFonts w:ascii="仿宋" w:hAnsi="仿宋" w:eastAsia="仿宋"/>
          <w:sz w:val="24"/>
        </w:rPr>
        <w:t>25.4</w:t>
      </w:r>
      <w:r>
        <w:rPr>
          <w:rFonts w:hint="eastAsia" w:ascii="仿宋" w:hAnsi="仿宋" w:eastAsia="仿宋"/>
          <w:sz w:val="24"/>
        </w:rPr>
        <w:t>履约保证金在法定的货物质量保证期期满前应完全有效。</w:t>
      </w:r>
    </w:p>
    <w:p w14:paraId="722DD629">
      <w:pPr>
        <w:spacing w:line="360" w:lineRule="auto"/>
        <w:ind w:left="900" w:hanging="900" w:hangingChars="375"/>
        <w:rPr>
          <w:rFonts w:hint="eastAsia" w:ascii="仿宋" w:hAnsi="仿宋" w:eastAsia="仿宋"/>
          <w:sz w:val="24"/>
        </w:rPr>
      </w:pPr>
      <w:r>
        <w:rPr>
          <w:rFonts w:ascii="仿宋" w:hAnsi="仿宋" w:eastAsia="仿宋"/>
          <w:sz w:val="24"/>
        </w:rPr>
        <w:t xml:space="preserve">25.5 </w:t>
      </w:r>
      <w:r>
        <w:rPr>
          <w:rFonts w:hint="eastAsia" w:ascii="仿宋" w:hAnsi="仿宋" w:eastAsia="仿宋"/>
          <w:sz w:val="24"/>
        </w:rPr>
        <w:t>如果卖方未能按合同规定履行其义务，买方有权从履约保证金中取得补偿。质量</w:t>
      </w:r>
    </w:p>
    <w:p w14:paraId="1ADD87FD">
      <w:pPr>
        <w:spacing w:line="360" w:lineRule="auto"/>
        <w:ind w:left="900" w:hanging="900" w:hangingChars="375"/>
        <w:rPr>
          <w:rFonts w:ascii="仿宋" w:hAnsi="仿宋" w:eastAsia="仿宋"/>
          <w:sz w:val="24"/>
        </w:rPr>
      </w:pPr>
      <w:r>
        <w:rPr>
          <w:rFonts w:hint="eastAsia" w:ascii="仿宋" w:hAnsi="仿宋" w:eastAsia="仿宋"/>
          <w:sz w:val="24"/>
        </w:rPr>
        <w:t>保证期结束后三十</w:t>
      </w:r>
      <w:r>
        <w:rPr>
          <w:rFonts w:ascii="仿宋" w:hAnsi="仿宋" w:eastAsia="仿宋"/>
          <w:sz w:val="24"/>
        </w:rPr>
        <w:t>(30)</w:t>
      </w:r>
      <w:r>
        <w:rPr>
          <w:rFonts w:hint="eastAsia" w:ascii="仿宋" w:hAnsi="仿宋" w:eastAsia="仿宋"/>
          <w:sz w:val="24"/>
        </w:rPr>
        <w:t>天内，买方将把履约保证金退还卖方。履约担保函不予退还。</w:t>
      </w:r>
    </w:p>
    <w:p w14:paraId="2412ED82">
      <w:pPr>
        <w:spacing w:line="360" w:lineRule="auto"/>
        <w:ind w:left="1" w:hanging="1"/>
        <w:rPr>
          <w:rFonts w:ascii="仿宋" w:hAnsi="仿宋" w:eastAsia="仿宋"/>
          <w:sz w:val="24"/>
        </w:rPr>
      </w:pPr>
      <w:r>
        <w:rPr>
          <w:rFonts w:hint="eastAsia" w:ascii="仿宋" w:hAnsi="仿宋" w:eastAsia="仿宋"/>
          <w:sz w:val="24"/>
        </w:rPr>
        <w:t>2</w:t>
      </w:r>
      <w:r>
        <w:rPr>
          <w:rFonts w:ascii="仿宋" w:hAnsi="仿宋" w:eastAsia="仿宋"/>
          <w:sz w:val="24"/>
        </w:rPr>
        <w:t>5.6</w:t>
      </w:r>
      <w:r>
        <w:rPr>
          <w:rFonts w:hint="eastAsia" w:ascii="仿宋" w:hAnsi="仿宋" w:eastAsia="仿宋"/>
          <w:sz w:val="24"/>
        </w:rPr>
        <w:t>逾期退还履约保证金违约责任：买方延期退还履约保证金的，卖方可向买方催告要求尽快支付。买方仍不支付的，卖方可要求买方向卖方赔偿由于逾期退还履约保证金给卖方造成的损失。</w:t>
      </w:r>
    </w:p>
    <w:p w14:paraId="31437F19">
      <w:pPr>
        <w:spacing w:line="360" w:lineRule="auto"/>
        <w:ind w:left="1" w:hanging="1"/>
        <w:rPr>
          <w:rFonts w:ascii="仿宋" w:hAnsi="仿宋" w:eastAsia="仿宋"/>
          <w:sz w:val="24"/>
        </w:rPr>
      </w:pPr>
      <w:r>
        <w:rPr>
          <w:rFonts w:ascii="仿宋" w:hAnsi="仿宋" w:eastAsia="仿宋"/>
          <w:sz w:val="24"/>
        </w:rPr>
        <w:t>25.7</w:t>
      </w:r>
      <w:r>
        <w:rPr>
          <w:rFonts w:hint="eastAsia" w:ascii="仿宋" w:hAnsi="仿宋" w:eastAsia="仿宋"/>
          <w:sz w:val="24"/>
        </w:rPr>
        <w:t>履约保证金不予退还的情形：（1）卖方无法继续履行或明确表示不履行或实质上已停止履行合同的；（2）卖方不履行合同约定其他义务的；（3）法律法规规定的不予退还的情形。</w:t>
      </w:r>
    </w:p>
    <w:p w14:paraId="67B73D3D">
      <w:pPr>
        <w:pStyle w:val="4"/>
        <w:spacing w:before="0" w:after="0" w:line="360" w:lineRule="auto"/>
        <w:rPr>
          <w:rFonts w:ascii="仿宋" w:hAnsi="仿宋" w:eastAsia="仿宋"/>
          <w:szCs w:val="24"/>
          <w:u w:val="none"/>
        </w:rPr>
      </w:pPr>
      <w:bookmarkStart w:id="916" w:name="_Toc220313505"/>
      <w:r>
        <w:rPr>
          <w:rFonts w:ascii="仿宋" w:hAnsi="仿宋" w:eastAsia="仿宋"/>
          <w:szCs w:val="24"/>
          <w:u w:val="none"/>
        </w:rPr>
        <w:t>26</w:t>
      </w:r>
      <w:r>
        <w:rPr>
          <w:rFonts w:hint="eastAsia" w:ascii="仿宋" w:hAnsi="仿宋" w:eastAsia="仿宋"/>
          <w:szCs w:val="24"/>
          <w:u w:val="none"/>
        </w:rPr>
        <w:t>.合同生效</w:t>
      </w:r>
      <w:bookmarkEnd w:id="915"/>
      <w:r>
        <w:rPr>
          <w:rFonts w:hint="eastAsia" w:ascii="仿宋" w:hAnsi="仿宋" w:eastAsia="仿宋"/>
          <w:szCs w:val="24"/>
          <w:u w:val="none"/>
        </w:rPr>
        <w:t>和其它</w:t>
      </w:r>
      <w:bookmarkEnd w:id="916"/>
    </w:p>
    <w:p w14:paraId="36643A40">
      <w:pPr>
        <w:spacing w:line="360" w:lineRule="auto"/>
        <w:ind w:left="840" w:hanging="840" w:hangingChars="350"/>
        <w:rPr>
          <w:rFonts w:hint="eastAsia" w:ascii="仿宋" w:hAnsi="仿宋" w:eastAsia="仿宋"/>
          <w:sz w:val="24"/>
        </w:rPr>
      </w:pPr>
      <w:bookmarkStart w:id="917" w:name="_Toc219175623"/>
      <w:bookmarkStart w:id="918" w:name="_Toc218935339"/>
      <w:bookmarkStart w:id="919" w:name="_Toc216513786"/>
      <w:r>
        <w:rPr>
          <w:rFonts w:ascii="仿宋" w:hAnsi="仿宋" w:eastAsia="仿宋"/>
          <w:sz w:val="24"/>
        </w:rPr>
        <w:t>26.1</w:t>
      </w:r>
      <w:r>
        <w:rPr>
          <w:rFonts w:hint="eastAsia" w:ascii="仿宋" w:hAnsi="仿宋" w:eastAsia="仿宋"/>
          <w:sz w:val="24"/>
        </w:rPr>
        <w:t>政府采购项目的采购合同内容的确定应以招标文件和投标文件为基础，不得违背</w:t>
      </w:r>
    </w:p>
    <w:p w14:paraId="628B923B">
      <w:pPr>
        <w:spacing w:line="360" w:lineRule="auto"/>
        <w:ind w:left="840" w:hanging="840" w:hangingChars="350"/>
        <w:rPr>
          <w:rFonts w:hint="eastAsia" w:ascii="仿宋" w:hAnsi="仿宋" w:eastAsia="仿宋"/>
          <w:sz w:val="24"/>
        </w:rPr>
      </w:pPr>
      <w:r>
        <w:rPr>
          <w:rFonts w:hint="eastAsia" w:ascii="仿宋" w:hAnsi="仿宋" w:eastAsia="仿宋"/>
          <w:sz w:val="24"/>
        </w:rPr>
        <w:t>其实质性内容。政府采购项目的采购合同自签订之日起七个工作日内，买方应当将合同</w:t>
      </w:r>
    </w:p>
    <w:p w14:paraId="0F3E0208">
      <w:pPr>
        <w:spacing w:line="360" w:lineRule="auto"/>
        <w:ind w:left="840" w:hanging="840" w:hangingChars="350"/>
        <w:rPr>
          <w:rFonts w:hint="eastAsia" w:ascii="仿宋" w:hAnsi="仿宋" w:eastAsia="仿宋"/>
          <w:sz w:val="24"/>
        </w:rPr>
      </w:pPr>
      <w:r>
        <w:rPr>
          <w:rFonts w:hint="eastAsia" w:ascii="仿宋" w:hAnsi="仿宋" w:eastAsia="仿宋"/>
          <w:sz w:val="24"/>
        </w:rPr>
        <w:t>副本报同级政府采购监督管理部门和有关部门备案。合同将在双方签字盖章并由卖方递</w:t>
      </w:r>
    </w:p>
    <w:p w14:paraId="4FD6B9BB">
      <w:pPr>
        <w:spacing w:line="360" w:lineRule="auto"/>
        <w:ind w:left="840" w:hanging="840" w:hangingChars="350"/>
        <w:rPr>
          <w:rFonts w:hint="eastAsia" w:ascii="仿宋" w:hAnsi="仿宋" w:eastAsia="仿宋"/>
          <w:sz w:val="24"/>
        </w:rPr>
      </w:pPr>
      <w:r>
        <w:rPr>
          <w:rFonts w:hint="eastAsia" w:ascii="仿宋" w:hAnsi="仿宋" w:eastAsia="仿宋"/>
          <w:sz w:val="24"/>
        </w:rPr>
        <w:t>交履约保证金后开始生效。</w:t>
      </w:r>
      <w:bookmarkEnd w:id="917"/>
      <w:bookmarkEnd w:id="918"/>
      <w:bookmarkEnd w:id="919"/>
    </w:p>
    <w:p w14:paraId="381C187D">
      <w:pPr>
        <w:spacing w:line="360" w:lineRule="auto"/>
        <w:ind w:left="840" w:hanging="840" w:hangingChars="350"/>
        <w:rPr>
          <w:rFonts w:hint="eastAsia" w:ascii="仿宋" w:hAnsi="仿宋" w:eastAsia="仿宋" w:cs="仿宋"/>
          <w:b/>
          <w:bCs/>
          <w:sz w:val="28"/>
          <w:szCs w:val="28"/>
        </w:rPr>
      </w:pPr>
      <w:r>
        <w:rPr>
          <w:rFonts w:ascii="仿宋" w:hAnsi="仿宋" w:eastAsia="仿宋"/>
          <w:sz w:val="24"/>
        </w:rPr>
        <w:t xml:space="preserve">26.2 </w:t>
      </w:r>
      <w:r>
        <w:rPr>
          <w:rFonts w:hint="eastAsia" w:ascii="仿宋" w:hAnsi="仿宋" w:eastAsia="仿宋"/>
          <w:sz w:val="24"/>
        </w:rPr>
        <w:t>本合同份数按合同专用条款规定，每份合同具有同等法律效力。</w:t>
      </w:r>
      <w:r>
        <w:rPr>
          <w:rFonts w:ascii="仿宋" w:hAnsi="仿宋" w:eastAsia="仿宋"/>
          <w:sz w:val="24"/>
        </w:rPr>
        <w:br w:type="page"/>
      </w:r>
      <w:bookmarkEnd w:id="830"/>
      <w:bookmarkEnd w:id="831"/>
      <w:bookmarkEnd w:id="832"/>
      <w:r>
        <w:rPr>
          <w:rFonts w:hint="eastAsia" w:ascii="仿宋" w:hAnsi="仿宋" w:eastAsia="仿宋"/>
          <w:sz w:val="24"/>
        </w:rPr>
        <w:t xml:space="preserve">                     </w:t>
      </w:r>
      <w:r>
        <w:rPr>
          <w:rFonts w:hint="eastAsia" w:ascii="仿宋" w:hAnsi="仿宋" w:eastAsia="仿宋" w:cs="仿宋"/>
          <w:b/>
          <w:bCs/>
          <w:sz w:val="28"/>
          <w:szCs w:val="28"/>
        </w:rPr>
        <w:t>合同专用条款</w:t>
      </w:r>
    </w:p>
    <w:p w14:paraId="21CACA4F">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合同专用条款是合同一般条款的补充和修改。如果两者之间有抵触，应以特殊条款为准。合同特殊条款的序号将与合同一般条款序号相对应。</w:t>
      </w:r>
    </w:p>
    <w:p w14:paraId="20C40B9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1、定义</w:t>
      </w:r>
    </w:p>
    <w:p w14:paraId="3A881015">
      <w:pPr>
        <w:spacing w:line="360" w:lineRule="auto"/>
        <w:ind w:firstLine="480" w:firstLineChars="200"/>
        <w:rPr>
          <w:rFonts w:hint="eastAsia" w:ascii="仿宋" w:hAnsi="仿宋" w:eastAsia="仿宋" w:cs="仿宋"/>
          <w:sz w:val="24"/>
        </w:rPr>
      </w:pPr>
      <w:r>
        <w:rPr>
          <w:rFonts w:hint="eastAsia" w:ascii="仿宋" w:hAnsi="仿宋" w:eastAsia="仿宋" w:cs="仿宋"/>
          <w:sz w:val="24"/>
        </w:rPr>
        <w:t>1.5 买方：本合同买方系指</w:t>
      </w:r>
      <w:r>
        <w:rPr>
          <w:rFonts w:hint="eastAsia" w:ascii="仿宋" w:hAnsi="仿宋" w:eastAsia="仿宋" w:cs="仿宋"/>
          <w:sz w:val="24"/>
          <w:u w:val="single"/>
        </w:rPr>
        <w:t>北京市顺义区医院</w:t>
      </w:r>
      <w:r>
        <w:rPr>
          <w:rFonts w:hint="eastAsia" w:ascii="仿宋" w:hAnsi="仿宋" w:eastAsia="仿宋" w:cs="仿宋"/>
          <w:sz w:val="24"/>
        </w:rPr>
        <w:t>。</w:t>
      </w:r>
    </w:p>
    <w:p w14:paraId="4A801F52">
      <w:pPr>
        <w:spacing w:line="360" w:lineRule="auto"/>
        <w:ind w:firstLine="480" w:firstLineChars="200"/>
        <w:rPr>
          <w:rFonts w:hint="eastAsia" w:ascii="仿宋" w:hAnsi="仿宋" w:eastAsia="仿宋" w:cs="仿宋"/>
          <w:sz w:val="24"/>
        </w:rPr>
      </w:pPr>
      <w:r>
        <w:rPr>
          <w:rFonts w:hint="eastAsia" w:ascii="仿宋" w:hAnsi="仿宋" w:eastAsia="仿宋" w:cs="仿宋"/>
          <w:sz w:val="24"/>
        </w:rPr>
        <w:t>1.6 卖方：本合同卖方系指</w:t>
      </w:r>
      <w:r>
        <w:rPr>
          <w:rFonts w:hint="eastAsia" w:ascii="仿宋" w:hAnsi="仿宋" w:eastAsia="仿宋"/>
          <w:b/>
          <w:sz w:val="24"/>
          <w:u w:val="single"/>
        </w:rPr>
        <w:t>---------------</w:t>
      </w:r>
      <w:r>
        <w:rPr>
          <w:rFonts w:hint="eastAsia" w:ascii="仿宋" w:hAnsi="仿宋" w:eastAsia="仿宋" w:cs="仿宋"/>
          <w:sz w:val="24"/>
        </w:rPr>
        <w:t>。</w:t>
      </w:r>
    </w:p>
    <w:p w14:paraId="6DCF201B">
      <w:pPr>
        <w:spacing w:line="360" w:lineRule="auto"/>
        <w:ind w:firstLine="480" w:firstLineChars="200"/>
        <w:rPr>
          <w:rFonts w:hint="eastAsia" w:ascii="仿宋" w:hAnsi="仿宋" w:eastAsia="仿宋" w:cs="仿宋"/>
          <w:sz w:val="24"/>
        </w:rPr>
      </w:pPr>
      <w:r>
        <w:rPr>
          <w:rFonts w:hint="eastAsia" w:ascii="仿宋" w:hAnsi="仿宋" w:eastAsia="仿宋" w:cs="仿宋"/>
          <w:sz w:val="24"/>
        </w:rPr>
        <w:t>1.7 现场：本合同项下的货物安装和运行地点位于</w:t>
      </w:r>
      <w:r>
        <w:rPr>
          <w:rFonts w:hint="eastAsia" w:ascii="仿宋" w:hAnsi="仿宋" w:eastAsia="仿宋" w:cs="仿宋"/>
          <w:sz w:val="24"/>
          <w:u w:val="single"/>
        </w:rPr>
        <w:t>北京市顺义区医院</w:t>
      </w:r>
      <w:r>
        <w:rPr>
          <w:rFonts w:hint="eastAsia" w:ascii="仿宋" w:hAnsi="仿宋" w:eastAsia="仿宋"/>
          <w:b/>
          <w:sz w:val="24"/>
          <w:u w:val="single"/>
        </w:rPr>
        <w:t>-----（科室名称）</w:t>
      </w:r>
      <w:r>
        <w:rPr>
          <w:rFonts w:hint="eastAsia" w:ascii="仿宋" w:hAnsi="仿宋" w:eastAsia="仿宋" w:cs="仿宋"/>
          <w:sz w:val="24"/>
        </w:rPr>
        <w:t>。</w:t>
      </w:r>
    </w:p>
    <w:p w14:paraId="2495B7EC">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6、交货方式</w:t>
      </w:r>
    </w:p>
    <w:p w14:paraId="78457D52">
      <w:pPr>
        <w:spacing w:line="360" w:lineRule="auto"/>
        <w:ind w:firstLine="480" w:firstLineChars="200"/>
        <w:rPr>
          <w:rFonts w:hint="eastAsia" w:ascii="仿宋" w:hAnsi="仿宋" w:eastAsia="仿宋" w:cs="仿宋"/>
          <w:sz w:val="24"/>
        </w:rPr>
      </w:pPr>
      <w:r>
        <w:rPr>
          <w:rFonts w:hint="eastAsia" w:ascii="仿宋" w:hAnsi="仿宋" w:eastAsia="仿宋" w:cs="仿宋"/>
          <w:sz w:val="24"/>
        </w:rPr>
        <w:t>6.1　本合同项下的货物交货方式为：买方所在地现场交货并提供伴随服务。</w:t>
      </w:r>
    </w:p>
    <w:p w14:paraId="574B029C">
      <w:pPr>
        <w:spacing w:line="360" w:lineRule="auto"/>
        <w:ind w:firstLine="480" w:firstLineChars="200"/>
        <w:rPr>
          <w:rFonts w:hint="eastAsia" w:ascii="仿宋" w:hAnsi="仿宋" w:eastAsia="仿宋" w:cs="仿宋"/>
          <w:sz w:val="24"/>
        </w:rPr>
      </w:pPr>
      <w:r>
        <w:rPr>
          <w:rFonts w:hint="eastAsia" w:ascii="仿宋" w:hAnsi="仿宋" w:eastAsia="仿宋" w:cs="仿宋"/>
          <w:sz w:val="24"/>
        </w:rPr>
        <w:t>6.1.1 现场交货指卖方负责办理运输和保险，将货物运抵现场。有关运输和保险的一切费用由卖方承担。所有货物运抵现场的日期为交货日期。</w:t>
      </w:r>
    </w:p>
    <w:p w14:paraId="02D075E9">
      <w:pPr>
        <w:spacing w:line="360" w:lineRule="auto"/>
        <w:ind w:firstLine="480" w:firstLineChars="200"/>
        <w:rPr>
          <w:rFonts w:ascii="仿宋" w:hAnsi="仿宋" w:eastAsia="仿宋" w:cs="仿宋"/>
          <w:sz w:val="24"/>
        </w:rPr>
      </w:pPr>
      <w:r>
        <w:rPr>
          <w:rFonts w:hint="eastAsia" w:ascii="仿宋" w:hAnsi="仿宋" w:eastAsia="仿宋" w:cs="仿宋"/>
          <w:sz w:val="24"/>
        </w:rPr>
        <w:t>6.1.2交付到院的医疗设备应是距生产日期6个月以内的设备。</w:t>
      </w:r>
    </w:p>
    <w:p w14:paraId="0922E378">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9、技术资料</w:t>
      </w:r>
    </w:p>
    <w:p w14:paraId="25B3A18F">
      <w:pPr>
        <w:spacing w:line="360" w:lineRule="auto"/>
        <w:ind w:firstLine="480" w:firstLineChars="200"/>
        <w:rPr>
          <w:rFonts w:hint="eastAsia" w:ascii="仿宋" w:hAnsi="仿宋" w:eastAsia="仿宋" w:cs="仿宋"/>
          <w:sz w:val="24"/>
        </w:rPr>
      </w:pPr>
      <w:r>
        <w:rPr>
          <w:rFonts w:hint="eastAsia" w:ascii="仿宋" w:hAnsi="仿宋" w:eastAsia="仿宋" w:cs="仿宋"/>
          <w:sz w:val="24"/>
        </w:rPr>
        <w:t>9.1  货物生产执行标准文号与货物同时抵运现场，在货物包装箱内。</w:t>
      </w:r>
    </w:p>
    <w:p w14:paraId="5789A8D4">
      <w:pPr>
        <w:spacing w:line="360" w:lineRule="auto"/>
        <w:ind w:firstLine="480" w:firstLineChars="200"/>
        <w:rPr>
          <w:rFonts w:hint="eastAsia" w:ascii="仿宋" w:hAnsi="仿宋" w:eastAsia="仿宋" w:cs="仿宋"/>
          <w:sz w:val="24"/>
        </w:rPr>
      </w:pPr>
      <w:r>
        <w:rPr>
          <w:rFonts w:hint="eastAsia" w:ascii="仿宋" w:hAnsi="仿宋" w:eastAsia="仿宋" w:cs="仿宋"/>
          <w:sz w:val="24"/>
        </w:rPr>
        <w:t>9.3  如果买方确认卖方提供的技术资料不完整或在运输过程中丢失，卖方将在买方要求的时间内将这些资料免费寄给买方。</w:t>
      </w:r>
    </w:p>
    <w:p w14:paraId="291F84BC">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10、质量保证</w:t>
      </w:r>
    </w:p>
    <w:p w14:paraId="1A5D5251">
      <w:pPr>
        <w:spacing w:line="360" w:lineRule="auto"/>
        <w:ind w:firstLine="480" w:firstLineChars="200"/>
        <w:rPr>
          <w:rFonts w:hint="eastAsia" w:ascii="仿宋" w:hAnsi="仿宋" w:eastAsia="仿宋" w:cs="仿宋"/>
          <w:sz w:val="24"/>
        </w:rPr>
      </w:pPr>
      <w:r>
        <w:rPr>
          <w:rFonts w:hint="eastAsia" w:ascii="仿宋" w:hAnsi="仿宋" w:eastAsia="仿宋" w:cs="仿宋"/>
          <w:sz w:val="24"/>
        </w:rPr>
        <w:t>10.5 质量保证期：设备安装调试完毕，经验收合格，并经双方代表签字之日起算，保修期为</w:t>
      </w:r>
      <w:r>
        <w:rPr>
          <w:rFonts w:hint="eastAsia" w:ascii="仿宋" w:hAnsi="仿宋" w:eastAsia="仿宋" w:cs="仿宋"/>
          <w:sz w:val="24"/>
          <w:u w:val="single"/>
        </w:rPr>
        <w:t xml:space="preserve"> </w:t>
      </w:r>
      <w:r>
        <w:rPr>
          <w:rFonts w:hint="eastAsia" w:ascii="仿宋" w:hAnsi="仿宋" w:eastAsia="仿宋"/>
          <w:sz w:val="24"/>
          <w:u w:val="single"/>
        </w:rPr>
        <w:t xml:space="preserve">     </w:t>
      </w:r>
      <w:r>
        <w:rPr>
          <w:rFonts w:hint="eastAsia" w:ascii="仿宋" w:hAnsi="仿宋" w:eastAsia="仿宋" w:cs="仿宋"/>
          <w:sz w:val="24"/>
        </w:rPr>
        <w:t>个月。质量保证期内，卖方应免费更换所有存在缺陷的部件或损坏的部件，更换的零部件的质量保证期从更换之日起重新计算，并在使用期间内为买方提供免费软件升级服务。</w:t>
      </w:r>
    </w:p>
    <w:p w14:paraId="00238BE5">
      <w:pPr>
        <w:spacing w:line="360" w:lineRule="auto"/>
        <w:ind w:firstLine="480" w:firstLineChars="200"/>
        <w:rPr>
          <w:rFonts w:hint="eastAsia" w:ascii="仿宋" w:hAnsi="仿宋" w:eastAsia="仿宋" w:cs="仿宋"/>
          <w:sz w:val="24"/>
        </w:rPr>
      </w:pPr>
      <w:r>
        <w:rPr>
          <w:rFonts w:hint="eastAsia" w:ascii="仿宋" w:hAnsi="仿宋" w:eastAsia="仿宋" w:cs="仿宋"/>
          <w:sz w:val="24"/>
        </w:rPr>
        <w:t>10.5.1 在保修期内如果因为卖方原因造成设备的性能和质量与合同规定不符，卖方应在买方要求的时间内，负责完成排除缺陷，修理或替换出现故障的设备（包括软件和硬件）、部件和元件，更换部件或产品的性能不得低于原部件或产品，由此产生的费用及造成的损失全部由卖方承担。</w:t>
      </w:r>
    </w:p>
    <w:p w14:paraId="615D395D">
      <w:pPr>
        <w:spacing w:line="360" w:lineRule="auto"/>
        <w:ind w:firstLine="480" w:firstLineChars="200"/>
        <w:rPr>
          <w:rFonts w:hint="eastAsia" w:ascii="仿宋" w:hAnsi="仿宋" w:eastAsia="仿宋" w:cs="仿宋"/>
          <w:sz w:val="24"/>
        </w:rPr>
      </w:pPr>
      <w:r>
        <w:rPr>
          <w:rFonts w:hint="eastAsia" w:ascii="仿宋" w:hAnsi="仿宋" w:eastAsia="仿宋" w:cs="仿宋"/>
          <w:sz w:val="24"/>
        </w:rPr>
        <w:t>10.5.2质量保证期内，卖方免费提供维修保养。维修保养内容包括：</w:t>
      </w:r>
    </w:p>
    <w:p w14:paraId="0CDAA9B2">
      <w:pPr>
        <w:spacing w:line="360" w:lineRule="auto"/>
        <w:ind w:firstLine="480" w:firstLineChars="200"/>
        <w:rPr>
          <w:rFonts w:hint="eastAsia" w:ascii="仿宋" w:hAnsi="仿宋" w:eastAsia="仿宋" w:cs="仿宋"/>
          <w:sz w:val="24"/>
        </w:rPr>
      </w:pPr>
      <w:r>
        <w:rPr>
          <w:rFonts w:hint="eastAsia" w:ascii="仿宋" w:hAnsi="仿宋" w:eastAsia="仿宋" w:cs="仿宋"/>
          <w:sz w:val="24"/>
        </w:rPr>
        <w:t>1）提供7*24小时电话故障诊断服务；现场故障排除服务，卖方在接到故障报警后1小时内提供解决方案，2小时之内指导修复，如不能排除，采用现场维修的方式解决，卖方技术人员应在收到买方通知后6小时内到达买方现场，</w:t>
      </w:r>
      <w:r>
        <w:rPr>
          <w:rFonts w:hint="eastAsia" w:ascii="仿宋" w:hAnsi="仿宋" w:eastAsia="仿宋"/>
          <w:sz w:val="24"/>
        </w:rPr>
        <w:t>12小时内进行故障排除。主机保修期间，如短时间内无法修复的，可提供备用样机使用。</w:t>
      </w:r>
    </w:p>
    <w:p w14:paraId="24071EE7">
      <w:pPr>
        <w:spacing w:line="360" w:lineRule="auto"/>
        <w:ind w:firstLine="480" w:firstLineChars="200"/>
        <w:rPr>
          <w:rFonts w:hint="eastAsia" w:ascii="仿宋" w:hAnsi="仿宋" w:eastAsia="仿宋" w:cs="仿宋"/>
          <w:sz w:val="24"/>
        </w:rPr>
      </w:pPr>
      <w:r>
        <w:rPr>
          <w:rFonts w:hint="eastAsia" w:ascii="仿宋" w:hAnsi="仿宋" w:eastAsia="仿宋" w:cs="仿宋"/>
          <w:sz w:val="24"/>
        </w:rPr>
        <w:t>2）保修期内无偿更换由于原材料缺陷及制造工艺等问题而发生故障的部件；</w:t>
      </w:r>
    </w:p>
    <w:p w14:paraId="4C2BE8B1">
      <w:pPr>
        <w:spacing w:line="360" w:lineRule="auto"/>
        <w:ind w:firstLine="480" w:firstLineChars="200"/>
        <w:rPr>
          <w:rFonts w:hint="eastAsia" w:ascii="仿宋" w:hAnsi="仿宋" w:eastAsia="仿宋" w:cs="仿宋"/>
          <w:sz w:val="24"/>
        </w:rPr>
      </w:pPr>
      <w:r>
        <w:rPr>
          <w:rFonts w:hint="eastAsia" w:ascii="仿宋" w:hAnsi="仿宋" w:eastAsia="仿宋" w:cs="仿宋"/>
          <w:sz w:val="24"/>
        </w:rPr>
        <w:t>3）定期（每年至少三次）工程质量巡检及客户回访，并向买方提供书面报告。</w:t>
      </w:r>
    </w:p>
    <w:p w14:paraId="28191DD7">
      <w:pPr>
        <w:pStyle w:val="4"/>
        <w:spacing w:before="0" w:after="0" w:line="360" w:lineRule="auto"/>
        <w:ind w:firstLine="480" w:firstLineChars="200"/>
        <w:rPr>
          <w:rFonts w:hint="eastAsia" w:ascii="仿宋" w:hAnsi="仿宋" w:eastAsia="仿宋" w:cs="仿宋"/>
          <w:b w:val="0"/>
          <w:szCs w:val="24"/>
          <w:u w:val="none"/>
        </w:rPr>
      </w:pPr>
      <w:r>
        <w:rPr>
          <w:rFonts w:hint="eastAsia" w:ascii="仿宋" w:hAnsi="仿宋" w:eastAsia="仿宋" w:cs="仿宋"/>
          <w:b w:val="0"/>
          <w:szCs w:val="24"/>
          <w:u w:val="none"/>
        </w:rPr>
        <w:t>10.5.3 保修期内，对保修范围内的保修服务所发生的全部物质损耗和人员费用，均由卖方予以承担。卖方未及时承担保修责任的，买方有权采用其他渠道和方式对货物进行维修，由此产生的费用由卖方承担。</w:t>
      </w:r>
    </w:p>
    <w:p w14:paraId="3DCA940E">
      <w:pPr>
        <w:pStyle w:val="4"/>
        <w:spacing w:before="0" w:after="0" w:line="360" w:lineRule="auto"/>
        <w:ind w:firstLine="480" w:firstLineChars="200"/>
        <w:rPr>
          <w:rFonts w:hint="eastAsia" w:ascii="仿宋" w:hAnsi="仿宋" w:eastAsia="仿宋" w:cs="仿宋"/>
          <w:bCs/>
          <w:szCs w:val="24"/>
          <w:u w:val="none"/>
        </w:rPr>
      </w:pPr>
      <w:r>
        <w:rPr>
          <w:rFonts w:hint="eastAsia" w:ascii="仿宋" w:hAnsi="仿宋" w:eastAsia="仿宋" w:cs="仿宋"/>
          <w:b w:val="0"/>
          <w:szCs w:val="24"/>
          <w:u w:val="none"/>
        </w:rPr>
        <w:t>10.5.4 保修期满，卖方应持续对设备运行期间出现的故障提供维修服务。对维修所需费用，卖方应仅收取正常的成本费用。</w:t>
      </w:r>
    </w:p>
    <w:p w14:paraId="031AF2E3">
      <w:pPr>
        <w:spacing w:line="360" w:lineRule="auto"/>
        <w:ind w:firstLine="480" w:firstLineChars="200"/>
        <w:rPr>
          <w:rFonts w:hint="eastAsia" w:ascii="仿宋" w:hAnsi="仿宋" w:eastAsia="仿宋" w:cs="仿宋"/>
          <w:sz w:val="24"/>
        </w:rPr>
      </w:pPr>
      <w:r>
        <w:rPr>
          <w:rFonts w:hint="eastAsia" w:ascii="仿宋" w:hAnsi="仿宋" w:eastAsia="仿宋" w:cs="仿宋"/>
          <w:sz w:val="24"/>
        </w:rPr>
        <w:t>10.6 备件</w:t>
      </w:r>
    </w:p>
    <w:p w14:paraId="6410B604">
      <w:pPr>
        <w:spacing w:line="360" w:lineRule="auto"/>
        <w:ind w:firstLine="480" w:firstLineChars="200"/>
        <w:rPr>
          <w:rFonts w:hint="eastAsia" w:ascii="仿宋" w:hAnsi="仿宋" w:eastAsia="仿宋" w:cs="仿宋"/>
          <w:sz w:val="24"/>
        </w:rPr>
      </w:pPr>
      <w:r>
        <w:rPr>
          <w:rFonts w:hint="eastAsia" w:ascii="仿宋" w:hAnsi="仿宋" w:eastAsia="仿宋" w:cs="仿宋"/>
          <w:sz w:val="24"/>
        </w:rPr>
        <w:t>备品备件要求：卖方承诺在设备投入使用</w:t>
      </w:r>
      <w:r>
        <w:rPr>
          <w:rFonts w:hint="eastAsia" w:ascii="仿宋" w:hAnsi="仿宋" w:eastAsia="仿宋" w:cs="仿宋"/>
          <w:sz w:val="24"/>
          <w:u w:val="single"/>
        </w:rPr>
        <w:t xml:space="preserve"> 10 </w:t>
      </w:r>
      <w:r>
        <w:rPr>
          <w:rFonts w:hint="eastAsia" w:ascii="仿宋" w:hAnsi="仿宋" w:eastAsia="仿宋" w:cs="仿宋"/>
          <w:sz w:val="24"/>
        </w:rPr>
        <w:t>年内，保证备件的供应，卖方始终能以市场上最优惠的价格（不高于投标承诺的价格让利标准）提供优质的备件。</w:t>
      </w:r>
    </w:p>
    <w:p w14:paraId="43C31EBE">
      <w:pPr>
        <w:spacing w:line="360" w:lineRule="auto"/>
        <w:ind w:firstLine="480" w:firstLineChars="200"/>
        <w:rPr>
          <w:rFonts w:ascii="仿宋" w:hAnsi="仿宋" w:eastAsia="仿宋" w:cs="仿宋"/>
          <w:sz w:val="24"/>
        </w:rPr>
      </w:pPr>
      <w:bookmarkStart w:id="920" w:name="OLE_LINK2"/>
      <w:r>
        <w:rPr>
          <w:rFonts w:hint="eastAsia" w:ascii="仿宋" w:hAnsi="仿宋" w:eastAsia="仿宋" w:cs="仿宋"/>
          <w:sz w:val="24"/>
        </w:rPr>
        <w:t>10.7设备交付时卖方负责为买方根据设备说明书要求制定维护保养手册，并由设备售后服务机构出具承诺书，根据设备维护保养手册规定频次负责设备全生命周期内的免费巡视性维护保养；如发生备件更换，备件费另计。</w:t>
      </w:r>
    </w:p>
    <w:bookmarkEnd w:id="920"/>
    <w:p w14:paraId="49D698C3">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11、 检验和验收</w:t>
      </w:r>
    </w:p>
    <w:p w14:paraId="6B43E62E">
      <w:pPr>
        <w:spacing w:line="360" w:lineRule="auto"/>
        <w:ind w:firstLine="480" w:firstLineChars="200"/>
        <w:rPr>
          <w:rFonts w:hint="eastAsia" w:ascii="仿宋" w:hAnsi="仿宋" w:eastAsia="仿宋" w:cs="仿宋"/>
          <w:sz w:val="24"/>
        </w:rPr>
      </w:pPr>
      <w:r>
        <w:rPr>
          <w:rFonts w:hint="eastAsia" w:ascii="仿宋" w:hAnsi="仿宋" w:eastAsia="仿宋" w:cs="仿宋"/>
          <w:sz w:val="24"/>
        </w:rPr>
        <w:t>11.2  货物运抵现场后，买方应按货物装箱清单当场开箱验收，并制作验收备忘录，签署验收意见（以货物清单为准）。买方在卖方安装、调试完成后三十个工作日内组织验收。</w:t>
      </w:r>
    </w:p>
    <w:p w14:paraId="6CEF3C1E">
      <w:pPr>
        <w:spacing w:line="360" w:lineRule="auto"/>
        <w:ind w:firstLine="480" w:firstLineChars="200"/>
        <w:rPr>
          <w:rFonts w:hint="eastAsia" w:ascii="仿宋" w:hAnsi="仿宋" w:eastAsia="仿宋" w:cs="仿宋"/>
          <w:sz w:val="24"/>
        </w:rPr>
      </w:pPr>
      <w:r>
        <w:rPr>
          <w:rFonts w:hint="eastAsia" w:ascii="仿宋" w:hAnsi="仿宋" w:eastAsia="仿宋" w:cs="仿宋"/>
          <w:sz w:val="24"/>
        </w:rPr>
        <w:t>12、索</w:t>
      </w:r>
      <w:r>
        <w:rPr>
          <w:rFonts w:hint="eastAsia" w:ascii="仿宋" w:hAnsi="仿宋" w:eastAsia="仿宋" w:cs="仿宋"/>
          <w:b/>
          <w:bCs/>
          <w:sz w:val="24"/>
        </w:rPr>
        <w:t>赔</w:t>
      </w:r>
    </w:p>
    <w:p w14:paraId="122E07C2">
      <w:pPr>
        <w:spacing w:line="360" w:lineRule="auto"/>
        <w:ind w:firstLine="480" w:firstLineChars="200"/>
        <w:rPr>
          <w:rFonts w:hint="eastAsia" w:ascii="仿宋" w:hAnsi="仿宋" w:eastAsia="仿宋" w:cs="仿宋"/>
          <w:sz w:val="24"/>
        </w:rPr>
      </w:pPr>
      <w:r>
        <w:rPr>
          <w:rFonts w:hint="eastAsia" w:ascii="仿宋" w:hAnsi="仿宋" w:eastAsia="仿宋" w:cs="仿宋"/>
          <w:sz w:val="24"/>
        </w:rPr>
        <w:t>12.3 如果卖方在买方发出索赔通知后十日内未作答复，上述索赔应视为已被卖方接受。</w:t>
      </w:r>
    </w:p>
    <w:p w14:paraId="0C3B64DD">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14、违约赔偿</w:t>
      </w:r>
    </w:p>
    <w:p w14:paraId="12209308">
      <w:pPr>
        <w:spacing w:line="360" w:lineRule="auto"/>
        <w:ind w:firstLine="480" w:firstLineChars="200"/>
        <w:rPr>
          <w:rFonts w:hint="eastAsia" w:ascii="仿宋" w:hAnsi="仿宋" w:eastAsia="仿宋" w:cs="仿宋"/>
          <w:b/>
          <w:bCs/>
          <w:sz w:val="24"/>
        </w:rPr>
      </w:pPr>
      <w:r>
        <w:rPr>
          <w:rFonts w:hint="eastAsia" w:ascii="仿宋" w:hAnsi="仿宋" w:eastAsia="仿宋" w:cs="仿宋"/>
          <w:sz w:val="24"/>
        </w:rPr>
        <w:t>14.1 除合同第15条规定外，如果卖方没有按照合同规定的时间交货或提供服务，买方可要求卖方支付违约金。违约金每天按货物总价的0.5%计收。如果达到最高限额，买方有权解除合同。违约金的最高限额为合同总价的20%。</w:t>
      </w:r>
    </w:p>
    <w:p w14:paraId="7776980C">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15、不可抗力</w:t>
      </w:r>
    </w:p>
    <w:p w14:paraId="565C5F73">
      <w:pPr>
        <w:spacing w:line="360" w:lineRule="auto"/>
        <w:ind w:firstLine="480" w:firstLineChars="200"/>
        <w:rPr>
          <w:rFonts w:hint="eastAsia" w:ascii="仿宋" w:hAnsi="仿宋" w:eastAsia="仿宋" w:cs="仿宋"/>
          <w:sz w:val="24"/>
        </w:rPr>
      </w:pPr>
      <w:r>
        <w:rPr>
          <w:rFonts w:hint="eastAsia" w:ascii="仿宋" w:hAnsi="仿宋" w:eastAsia="仿宋" w:cs="仿宋"/>
          <w:sz w:val="24"/>
        </w:rPr>
        <w:t>15.2 受事故影响的一方应在不可抗力的事故发生后十个工作日内尽快书面形式通知另一方，并将有关部门出具的证明文件送达另一方。</w:t>
      </w:r>
    </w:p>
    <w:p w14:paraId="3DE2F16C">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17、合同争议的解决</w:t>
      </w:r>
    </w:p>
    <w:p w14:paraId="50C07B65">
      <w:pPr>
        <w:spacing w:line="360" w:lineRule="auto"/>
        <w:ind w:firstLine="480" w:firstLineChars="200"/>
        <w:rPr>
          <w:rFonts w:hint="eastAsia" w:ascii="仿宋" w:hAnsi="仿宋" w:eastAsia="仿宋" w:cs="仿宋"/>
          <w:b/>
          <w:bCs/>
          <w:sz w:val="24"/>
        </w:rPr>
      </w:pPr>
      <w:r>
        <w:rPr>
          <w:rFonts w:hint="eastAsia" w:ascii="仿宋" w:hAnsi="仿宋" w:eastAsia="仿宋" w:cs="仿宋"/>
          <w:sz w:val="24"/>
        </w:rPr>
        <w:t>17.1 因合同履行中发生的争议，合同当事人双方可通过协商解决。协商不成的，双方同意争议由北京市顺义区人民法院诉讼管辖。</w:t>
      </w:r>
    </w:p>
    <w:p w14:paraId="754E119A">
      <w:pPr>
        <w:spacing w:line="360" w:lineRule="auto"/>
        <w:ind w:firstLine="482" w:firstLineChars="200"/>
        <w:textAlignment w:val="baseline"/>
        <w:rPr>
          <w:rFonts w:hint="eastAsia" w:ascii="仿宋" w:hAnsi="仿宋" w:eastAsia="仿宋" w:cs="仿宋"/>
          <w:sz w:val="24"/>
        </w:rPr>
      </w:pPr>
      <w:r>
        <w:rPr>
          <w:rFonts w:hint="eastAsia" w:ascii="仿宋" w:hAnsi="仿宋" w:eastAsia="仿宋" w:cs="仿宋"/>
          <w:b/>
          <w:bCs/>
          <w:sz w:val="24"/>
        </w:rPr>
        <w:t>26、合同生效和其它</w:t>
      </w:r>
    </w:p>
    <w:p w14:paraId="3F56FDD5">
      <w:pPr>
        <w:spacing w:line="360" w:lineRule="auto"/>
        <w:ind w:firstLine="480" w:firstLineChars="200"/>
        <w:rPr>
          <w:rFonts w:hint="eastAsia" w:ascii="仿宋" w:hAnsi="仿宋" w:eastAsia="仿宋" w:cs="仿宋"/>
          <w:sz w:val="24"/>
        </w:rPr>
      </w:pPr>
      <w:r>
        <w:rPr>
          <w:rFonts w:hint="eastAsia" w:ascii="仿宋" w:hAnsi="仿宋" w:eastAsia="仿宋" w:cs="仿宋"/>
          <w:sz w:val="24"/>
        </w:rPr>
        <w:t>26.2  本合同一式陆份，其中买方执伍份，卖方执壹份，</w:t>
      </w:r>
      <w:r>
        <w:rPr>
          <w:rFonts w:hint="eastAsia" w:ascii="仿宋" w:hAnsi="仿宋" w:eastAsia="仿宋"/>
          <w:sz w:val="24"/>
        </w:rPr>
        <w:t>每份合同具有同等法律效力</w:t>
      </w:r>
    </w:p>
    <w:p w14:paraId="7BF0A2ED">
      <w:pPr>
        <w:spacing w:line="360" w:lineRule="auto"/>
        <w:ind w:firstLine="480" w:firstLineChars="200"/>
        <w:rPr>
          <w:rFonts w:hint="eastAsia" w:ascii="仿宋" w:hAnsi="仿宋" w:eastAsia="仿宋"/>
          <w:sz w:val="24"/>
        </w:rPr>
      </w:pPr>
      <w:r>
        <w:rPr>
          <w:rFonts w:hint="eastAsia" w:ascii="仿宋" w:hAnsi="仿宋" w:eastAsia="仿宋" w:cs="仿宋"/>
          <w:sz w:val="24"/>
        </w:rPr>
        <w:t xml:space="preserve">26.3 </w:t>
      </w:r>
      <w:r>
        <w:rPr>
          <w:rFonts w:hint="eastAsia" w:ascii="仿宋" w:hAnsi="仿宋" w:eastAsia="仿宋"/>
          <w:sz w:val="24"/>
        </w:rPr>
        <w:t>其他要求：设备首次计量检定费用由卖方承担，且出具设备省市级以上政府计量检定机构出具的检定合格证书。</w:t>
      </w:r>
    </w:p>
    <w:p w14:paraId="4FD4ABDF">
      <w:pPr>
        <w:spacing w:line="360" w:lineRule="auto"/>
        <w:ind w:firstLine="480" w:firstLineChars="200"/>
        <w:rPr>
          <w:rFonts w:ascii="仿宋" w:hAnsi="仿宋" w:eastAsia="仿宋"/>
          <w:sz w:val="24"/>
        </w:rPr>
      </w:pPr>
      <w:r>
        <w:rPr>
          <w:rFonts w:hint="eastAsia" w:ascii="仿宋" w:hAnsi="仿宋" w:eastAsia="仿宋"/>
          <w:sz w:val="24"/>
        </w:rPr>
        <w:t>26.4 本合同附件：1）法定代表人授权书；2）科室负责人手写签字的货物配置清单；3）加盖公章的售后服务承诺书；4）卖方营业执照副本复印件5）</w:t>
      </w:r>
      <w:r>
        <w:rPr>
          <w:rFonts w:ascii="仿宋" w:hAnsi="仿宋" w:eastAsia="仿宋"/>
          <w:sz w:val="24"/>
        </w:rPr>
        <w:t>生产企业授权书</w:t>
      </w:r>
      <w:r>
        <w:rPr>
          <w:rFonts w:hint="eastAsia" w:ascii="仿宋" w:hAnsi="仿宋" w:eastAsia="仿宋"/>
          <w:sz w:val="24"/>
        </w:rPr>
        <w:t>、生产企业营业执照、生产许可证；6）</w:t>
      </w:r>
      <w:r>
        <w:rPr>
          <w:rFonts w:ascii="仿宋" w:hAnsi="仿宋" w:eastAsia="仿宋"/>
          <w:sz w:val="24"/>
        </w:rPr>
        <w:t>医疗器械经营许可证（正副本、有效期内）</w:t>
      </w:r>
      <w:r>
        <w:rPr>
          <w:rFonts w:hint="eastAsia" w:ascii="仿宋" w:hAnsi="仿宋" w:eastAsia="仿宋"/>
          <w:sz w:val="24"/>
        </w:rPr>
        <w:t>复印件；7）</w:t>
      </w:r>
      <w:r>
        <w:rPr>
          <w:rFonts w:ascii="仿宋" w:hAnsi="仿宋" w:eastAsia="仿宋"/>
          <w:sz w:val="24"/>
        </w:rPr>
        <w:t>卖方资质证明、合同设备的《中华人民共和国医疗器械注册证》及产品注册登记表</w:t>
      </w:r>
      <w:r>
        <w:rPr>
          <w:rFonts w:hint="eastAsia" w:ascii="仿宋" w:hAnsi="仿宋" w:eastAsia="仿宋"/>
          <w:sz w:val="24"/>
        </w:rPr>
        <w:t>；</w:t>
      </w:r>
      <w:r>
        <w:rPr>
          <w:rFonts w:hint="eastAsia" w:ascii="Helvetica" w:hAnsi="Helvetica"/>
          <w:sz w:val="24"/>
        </w:rPr>
        <w:t>8）</w:t>
      </w:r>
      <w:r>
        <w:rPr>
          <w:rFonts w:hint="eastAsia" w:ascii="仿宋" w:hAnsi="仿宋" w:eastAsia="仿宋"/>
          <w:sz w:val="24"/>
        </w:rPr>
        <w:t>中标通知书；9）设备计量检定承诺书；10）法定代表人身份证及被授权人身份证复印件，加盖公章；11）安全生产协议书</w:t>
      </w:r>
    </w:p>
    <w:p w14:paraId="00847BC5">
      <w:pPr>
        <w:spacing w:line="360" w:lineRule="auto"/>
        <w:ind w:firstLine="643" w:firstLineChars="200"/>
        <w:rPr>
          <w:rFonts w:hint="eastAsia" w:ascii="仿宋" w:hAnsi="仿宋" w:eastAsia="仿宋"/>
          <w:b/>
          <w:bCs/>
          <w:sz w:val="32"/>
          <w:szCs w:val="32"/>
        </w:rPr>
      </w:pPr>
      <w:r>
        <w:rPr>
          <w:rFonts w:hint="eastAsia" w:ascii="仿宋" w:hAnsi="仿宋" w:eastAsia="仿宋"/>
          <w:b/>
          <w:bCs/>
          <w:sz w:val="32"/>
          <w:szCs w:val="32"/>
        </w:rPr>
        <w:t>（这个附件要求供应商必须将上述自有的材料附上）</w:t>
      </w:r>
    </w:p>
    <w:p w14:paraId="3F289269">
      <w:pPr>
        <w:spacing w:line="360" w:lineRule="auto"/>
        <w:ind w:left="1081" w:leftChars="86" w:hanging="900"/>
        <w:rPr>
          <w:rFonts w:ascii="仿宋" w:hAnsi="仿宋" w:eastAsia="仿宋"/>
          <w:b/>
          <w:sz w:val="24"/>
        </w:rPr>
      </w:pPr>
    </w:p>
    <w:p w14:paraId="1FBF6F7A">
      <w:pPr>
        <w:widowControl/>
        <w:jc w:val="left"/>
        <w:rPr>
          <w:rFonts w:hint="eastAsia" w:ascii="仿宋" w:hAnsi="仿宋" w:eastAsia="仿宋"/>
          <w:sz w:val="24"/>
        </w:rPr>
      </w:pPr>
      <w:r>
        <w:rPr>
          <w:rFonts w:ascii="仿宋" w:hAnsi="仿宋" w:eastAsia="仿宋"/>
          <w:sz w:val="24"/>
        </w:rPr>
        <w:br w:type="page"/>
      </w:r>
      <w:r>
        <w:rPr>
          <w:rFonts w:hint="eastAsia" w:ascii="仿宋" w:hAnsi="仿宋" w:eastAsia="仿宋"/>
          <w:sz w:val="24"/>
        </w:rPr>
        <w:t>附件一：</w:t>
      </w:r>
    </w:p>
    <w:p w14:paraId="15A651E8">
      <w:pPr>
        <w:spacing w:line="360" w:lineRule="auto"/>
        <w:jc w:val="center"/>
        <w:rPr>
          <w:rFonts w:ascii="仿宋" w:hAnsi="仿宋" w:eastAsia="仿宋"/>
          <w:sz w:val="24"/>
          <w:u w:val="single"/>
        </w:rPr>
      </w:pPr>
      <w:r>
        <w:rPr>
          <w:rFonts w:ascii="仿宋" w:hAnsi="仿宋" w:eastAsia="仿宋"/>
          <w:sz w:val="24"/>
        </w:rPr>
        <w:t>法定代表人授权书</w:t>
      </w:r>
    </w:p>
    <w:p w14:paraId="0258A392">
      <w:pPr>
        <w:pStyle w:val="23"/>
        <w:spacing w:line="360" w:lineRule="auto"/>
        <w:ind w:left="1080" w:leftChars="257" w:hanging="540"/>
        <w:rPr>
          <w:rFonts w:hint="eastAsia" w:ascii="仿宋" w:hAnsi="仿宋" w:eastAsia="仿宋"/>
          <w:sz w:val="24"/>
          <w:szCs w:val="24"/>
        </w:rPr>
      </w:pPr>
      <w:r>
        <w:rPr>
          <w:rFonts w:hint="eastAsia" w:ascii="仿宋" w:hAnsi="仿宋" w:eastAsia="仿宋"/>
          <w:sz w:val="24"/>
          <w:szCs w:val="24"/>
        </w:rPr>
        <w:t xml:space="preserve">            </w:t>
      </w:r>
    </w:p>
    <w:p w14:paraId="1B179D34">
      <w:pPr>
        <w:pStyle w:val="23"/>
        <w:tabs>
          <w:tab w:val="left" w:pos="5580"/>
        </w:tabs>
        <w:spacing w:line="360" w:lineRule="auto"/>
        <w:ind w:left="-540" w:leftChars="-257" w:firstLine="900" w:firstLineChars="375"/>
        <w:rPr>
          <w:rFonts w:hint="eastAsia" w:ascii="仿宋" w:hAnsi="仿宋" w:eastAsia="仿宋"/>
          <w:sz w:val="24"/>
          <w:szCs w:val="24"/>
        </w:rPr>
      </w:pPr>
      <w:r>
        <w:rPr>
          <w:rFonts w:hint="eastAsia" w:ascii="仿宋" w:hAnsi="仿宋" w:eastAsia="仿宋"/>
          <w:sz w:val="24"/>
        </w:rPr>
        <w:t>本授权书声明：注册于</w:t>
      </w:r>
      <w:r>
        <w:rPr>
          <w:rFonts w:hint="eastAsia" w:ascii="仿宋" w:hAnsi="仿宋" w:eastAsia="仿宋"/>
          <w:b/>
          <w:sz w:val="24"/>
          <w:u w:val="single"/>
        </w:rPr>
        <w:t>-----（地点）</w:t>
      </w:r>
      <w:r>
        <w:rPr>
          <w:rFonts w:hint="eastAsia" w:ascii="仿宋" w:hAnsi="仿宋" w:eastAsia="仿宋"/>
          <w:sz w:val="24"/>
        </w:rPr>
        <w:t>的</w:t>
      </w:r>
      <w:r>
        <w:rPr>
          <w:rFonts w:hint="eastAsia" w:ascii="仿宋" w:hAnsi="仿宋" w:eastAsia="仿宋"/>
          <w:b/>
          <w:sz w:val="24"/>
          <w:u w:val="single"/>
        </w:rPr>
        <w:t>--------------------（公司）</w:t>
      </w:r>
      <w:r>
        <w:rPr>
          <w:rFonts w:hint="eastAsia" w:ascii="仿宋" w:hAnsi="仿宋" w:eastAsia="仿宋"/>
          <w:sz w:val="24"/>
        </w:rPr>
        <w:t>的在下面签字的</w:t>
      </w:r>
      <w:r>
        <w:rPr>
          <w:rFonts w:hint="eastAsia" w:ascii="仿宋" w:hAnsi="仿宋" w:eastAsia="仿宋"/>
          <w:b/>
          <w:sz w:val="24"/>
          <w:u w:val="single"/>
        </w:rPr>
        <w:t>---------------</w:t>
      </w:r>
      <w:r>
        <w:rPr>
          <w:rFonts w:hint="eastAsia" w:ascii="仿宋" w:hAnsi="仿宋" w:eastAsia="仿宋"/>
          <w:sz w:val="24"/>
          <w:u w:val="single"/>
        </w:rPr>
        <w:t>经理</w:t>
      </w:r>
      <w:r>
        <w:rPr>
          <w:rFonts w:hint="eastAsia" w:ascii="仿宋" w:hAnsi="仿宋" w:eastAsia="仿宋"/>
          <w:sz w:val="24"/>
        </w:rPr>
        <w:t>代表本公司授权</w:t>
      </w:r>
      <w:r>
        <w:rPr>
          <w:rFonts w:hint="eastAsia" w:ascii="仿宋" w:hAnsi="仿宋" w:eastAsia="仿宋"/>
          <w:b/>
          <w:sz w:val="24"/>
          <w:u w:val="single"/>
        </w:rPr>
        <w:t>-------------------（公司）</w:t>
      </w:r>
      <w:r>
        <w:rPr>
          <w:rFonts w:hint="eastAsia" w:ascii="仿宋" w:hAnsi="仿宋" w:eastAsia="仿宋"/>
          <w:sz w:val="24"/>
        </w:rPr>
        <w:t>的在下面签字的</w:t>
      </w:r>
      <w:r>
        <w:rPr>
          <w:rFonts w:hint="eastAsia" w:ascii="仿宋" w:hAnsi="仿宋" w:eastAsia="仿宋"/>
          <w:b/>
          <w:sz w:val="24"/>
          <w:u w:val="single"/>
        </w:rPr>
        <w:t>------</w:t>
      </w:r>
      <w:r>
        <w:rPr>
          <w:rFonts w:hint="eastAsia" w:ascii="仿宋" w:hAnsi="仿宋" w:eastAsia="仿宋"/>
          <w:sz w:val="24"/>
          <w:u w:val="single"/>
        </w:rPr>
        <w:t>经理</w:t>
      </w:r>
      <w:r>
        <w:rPr>
          <w:rFonts w:hint="eastAsia" w:ascii="仿宋" w:hAnsi="仿宋" w:eastAsia="仿宋"/>
          <w:sz w:val="24"/>
        </w:rPr>
        <w:t>为本公司的合法代理人，就</w:t>
      </w:r>
      <w:r>
        <w:rPr>
          <w:rFonts w:hint="eastAsia" w:ascii="仿宋" w:hAnsi="仿宋" w:eastAsia="仿宋"/>
          <w:sz w:val="24"/>
          <w:u w:val="single"/>
        </w:rPr>
        <w:t>北京市顺义区医院购置</w:t>
      </w:r>
      <w:r>
        <w:rPr>
          <w:rFonts w:hint="eastAsia" w:ascii="仿宋" w:hAnsi="仿宋" w:eastAsia="仿宋"/>
          <w:b/>
          <w:sz w:val="24"/>
          <w:u w:val="single"/>
        </w:rPr>
        <w:t>------------------等</w:t>
      </w:r>
      <w:r>
        <w:rPr>
          <w:rFonts w:hint="eastAsia" w:ascii="仿宋" w:hAnsi="仿宋" w:eastAsia="仿宋"/>
          <w:sz w:val="24"/>
          <w:u w:val="single"/>
        </w:rPr>
        <w:t>设备</w:t>
      </w:r>
      <w:r>
        <w:rPr>
          <w:rFonts w:hint="eastAsia" w:ascii="仿宋" w:hAnsi="仿宋" w:eastAsia="仿宋"/>
          <w:sz w:val="24"/>
        </w:rPr>
        <w:t>，以本公司名义处理一切与之有关的事务。</w:t>
      </w:r>
      <w:r>
        <w:rPr>
          <w:rFonts w:ascii="仿宋" w:hAnsi="仿宋" w:eastAsia="仿宋"/>
          <w:sz w:val="24"/>
          <w:szCs w:val="24"/>
        </w:rPr>
        <w:t xml:space="preserve">      </w:t>
      </w:r>
    </w:p>
    <w:p w14:paraId="4C60E578">
      <w:pPr>
        <w:pStyle w:val="23"/>
        <w:tabs>
          <w:tab w:val="left" w:pos="5580"/>
        </w:tabs>
        <w:spacing w:line="360" w:lineRule="auto"/>
        <w:rPr>
          <w:rFonts w:ascii="仿宋" w:hAnsi="仿宋" w:eastAsia="仿宋"/>
          <w:sz w:val="24"/>
          <w:szCs w:val="24"/>
        </w:rPr>
      </w:pPr>
    </w:p>
    <w:p w14:paraId="0F71B2A8">
      <w:pPr>
        <w:pStyle w:val="23"/>
        <w:tabs>
          <w:tab w:val="left" w:pos="5580"/>
        </w:tabs>
        <w:spacing w:line="360" w:lineRule="auto"/>
        <w:ind w:left="-540" w:leftChars="-257" w:firstLine="900" w:firstLineChars="375"/>
        <w:rPr>
          <w:rFonts w:ascii="仿宋" w:hAnsi="仿宋" w:eastAsia="仿宋"/>
          <w:sz w:val="24"/>
          <w:szCs w:val="24"/>
        </w:rPr>
      </w:pPr>
      <w:r>
        <w:rPr>
          <w:rFonts w:ascii="仿宋" w:hAnsi="仿宋" w:eastAsia="仿宋"/>
          <w:sz w:val="24"/>
          <w:szCs w:val="24"/>
        </w:rPr>
        <w:t xml:space="preserve"> 法定代表人签字或签章</w:t>
      </w:r>
      <w:r>
        <w:rPr>
          <w:rFonts w:hint="eastAsia" w:ascii="仿宋" w:hAnsi="仿宋" w:eastAsia="仿宋"/>
          <w:sz w:val="24"/>
          <w:szCs w:val="24"/>
        </w:rPr>
        <w:t>：</w:t>
      </w:r>
      <w:r>
        <w:rPr>
          <w:rFonts w:ascii="仿宋" w:hAnsi="仿宋" w:eastAsia="仿宋"/>
          <w:sz w:val="24"/>
          <w:szCs w:val="24"/>
          <w:u w:val="single"/>
        </w:rPr>
        <w:t xml:space="preserve">                        </w:t>
      </w:r>
    </w:p>
    <w:p w14:paraId="3A60EBE6">
      <w:pPr>
        <w:pStyle w:val="23"/>
        <w:tabs>
          <w:tab w:val="left" w:pos="5580"/>
        </w:tabs>
        <w:spacing w:line="360" w:lineRule="auto"/>
        <w:ind w:left="-540" w:leftChars="-257" w:firstLine="900" w:firstLineChars="375"/>
        <w:rPr>
          <w:rFonts w:ascii="仿宋" w:hAnsi="仿宋" w:eastAsia="仿宋"/>
          <w:sz w:val="24"/>
          <w:szCs w:val="24"/>
        </w:rPr>
      </w:pPr>
    </w:p>
    <w:p w14:paraId="39FC6A1C">
      <w:pPr>
        <w:pStyle w:val="23"/>
        <w:tabs>
          <w:tab w:val="left" w:pos="5580"/>
        </w:tabs>
        <w:spacing w:line="360" w:lineRule="auto"/>
        <w:ind w:left="-540" w:leftChars="-257" w:firstLine="1020" w:firstLineChars="425"/>
        <w:rPr>
          <w:rFonts w:ascii="仿宋" w:hAnsi="仿宋" w:eastAsia="仿宋"/>
          <w:sz w:val="24"/>
          <w:szCs w:val="24"/>
        </w:rPr>
      </w:pPr>
      <w:r>
        <w:rPr>
          <w:rFonts w:ascii="仿宋" w:hAnsi="仿宋" w:eastAsia="仿宋"/>
          <w:sz w:val="24"/>
          <w:szCs w:val="24"/>
        </w:rPr>
        <w:t>被授权人签字</w:t>
      </w:r>
      <w:r>
        <w:rPr>
          <w:rFonts w:hint="eastAsia" w:ascii="仿宋" w:hAnsi="仿宋" w:eastAsia="仿宋"/>
          <w:sz w:val="24"/>
          <w:szCs w:val="24"/>
        </w:rPr>
        <w:t>：</w:t>
      </w:r>
      <w:r>
        <w:rPr>
          <w:rFonts w:ascii="仿宋" w:hAnsi="仿宋" w:eastAsia="仿宋"/>
          <w:sz w:val="24"/>
          <w:szCs w:val="24"/>
          <w:u w:val="single"/>
        </w:rPr>
        <w:t xml:space="preserve">                                </w:t>
      </w:r>
    </w:p>
    <w:p w14:paraId="3FAB5751">
      <w:pPr>
        <w:pStyle w:val="23"/>
        <w:tabs>
          <w:tab w:val="left" w:pos="5580"/>
        </w:tabs>
        <w:spacing w:line="360" w:lineRule="auto"/>
        <w:ind w:left="1080" w:leftChars="257" w:hanging="540"/>
        <w:rPr>
          <w:rFonts w:ascii="仿宋" w:hAnsi="仿宋" w:eastAsia="仿宋"/>
          <w:sz w:val="24"/>
          <w:szCs w:val="24"/>
        </w:rPr>
      </w:pPr>
    </w:p>
    <w:p w14:paraId="2484116B">
      <w:pPr>
        <w:pStyle w:val="23"/>
        <w:tabs>
          <w:tab w:val="left" w:pos="5580"/>
        </w:tabs>
        <w:spacing w:line="360" w:lineRule="auto"/>
        <w:ind w:left="1080" w:leftChars="257" w:hanging="540"/>
        <w:rPr>
          <w:rFonts w:ascii="仿宋" w:hAnsi="仿宋" w:eastAsia="仿宋"/>
          <w:sz w:val="24"/>
          <w:szCs w:val="24"/>
        </w:rPr>
      </w:pPr>
      <w:r>
        <w:rPr>
          <w:rFonts w:hint="eastAsia" w:ascii="仿宋" w:hAnsi="仿宋" w:eastAsia="仿宋"/>
          <w:sz w:val="24"/>
          <w:szCs w:val="24"/>
        </w:rPr>
        <w:t>中</w:t>
      </w:r>
      <w:r>
        <w:rPr>
          <w:rFonts w:ascii="仿宋" w:hAnsi="仿宋" w:eastAsia="仿宋"/>
          <w:sz w:val="24"/>
          <w:szCs w:val="24"/>
        </w:rPr>
        <w:t>标人盖章</w:t>
      </w:r>
      <w:r>
        <w:rPr>
          <w:rFonts w:hint="eastAsia" w:ascii="仿宋" w:hAnsi="仿宋" w:eastAsia="仿宋"/>
          <w:sz w:val="24"/>
          <w:szCs w:val="24"/>
        </w:rPr>
        <w:t>：</w:t>
      </w:r>
      <w:r>
        <w:rPr>
          <w:rFonts w:hint="eastAsia" w:ascii="仿宋" w:hAnsi="仿宋" w:eastAsia="仿宋"/>
          <w:b/>
          <w:sz w:val="24"/>
          <w:u w:val="single"/>
        </w:rPr>
        <w:t>------------------------------</w:t>
      </w:r>
      <w:r>
        <w:rPr>
          <w:rFonts w:ascii="仿宋" w:hAnsi="仿宋" w:eastAsia="仿宋"/>
          <w:sz w:val="24"/>
          <w:szCs w:val="24"/>
        </w:rPr>
        <w:t xml:space="preserve">                                 </w:t>
      </w:r>
    </w:p>
    <w:p w14:paraId="605DE6AC">
      <w:pPr>
        <w:pStyle w:val="23"/>
        <w:tabs>
          <w:tab w:val="left" w:pos="5580"/>
        </w:tabs>
        <w:spacing w:line="360" w:lineRule="auto"/>
        <w:ind w:left="1080" w:leftChars="257" w:hanging="540"/>
        <w:rPr>
          <w:rFonts w:ascii="仿宋" w:hAnsi="仿宋" w:eastAsia="仿宋"/>
          <w:sz w:val="24"/>
          <w:szCs w:val="24"/>
        </w:rPr>
      </w:pPr>
    </w:p>
    <w:p w14:paraId="4B0D2A87">
      <w:pPr>
        <w:pStyle w:val="23"/>
        <w:tabs>
          <w:tab w:val="left" w:pos="5580"/>
        </w:tabs>
        <w:spacing w:line="360" w:lineRule="auto"/>
        <w:ind w:left="1080" w:leftChars="257" w:hanging="540"/>
        <w:rPr>
          <w:rFonts w:hint="eastAsia" w:ascii="仿宋" w:hAnsi="仿宋" w:eastAsia="仿宋"/>
          <w:sz w:val="24"/>
          <w:szCs w:val="24"/>
        </w:rPr>
      </w:pPr>
      <w:r>
        <w:rPr>
          <w:rFonts w:ascii="仿宋" w:hAnsi="仿宋" w:eastAsia="仿宋"/>
          <w:sz w:val="24"/>
          <w:szCs w:val="24"/>
        </w:rPr>
        <w:t>附</w:t>
      </w:r>
      <w:r>
        <w:rPr>
          <w:rFonts w:hint="eastAsia" w:ascii="仿宋" w:hAnsi="仿宋" w:eastAsia="仿宋"/>
          <w:sz w:val="24"/>
          <w:szCs w:val="24"/>
        </w:rPr>
        <w:t>：</w:t>
      </w:r>
    </w:p>
    <w:p w14:paraId="1B0D5302">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被授权人姓名：</w:t>
      </w:r>
      <w:r>
        <w:rPr>
          <w:rFonts w:hint="eastAsia" w:ascii="仿宋" w:hAnsi="仿宋" w:eastAsia="仿宋"/>
          <w:b/>
          <w:sz w:val="24"/>
          <w:u w:val="single"/>
        </w:rPr>
        <w:t>------------</w:t>
      </w:r>
    </w:p>
    <w:p w14:paraId="2921D7A3">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职　　　　务：</w:t>
      </w:r>
      <w:r>
        <w:rPr>
          <w:rFonts w:hint="eastAsia" w:ascii="仿宋" w:hAnsi="仿宋" w:eastAsia="仿宋"/>
          <w:b/>
          <w:sz w:val="24"/>
          <w:u w:val="single"/>
        </w:rPr>
        <w:t>------------</w:t>
      </w:r>
    </w:p>
    <w:p w14:paraId="7ACCCE81">
      <w:pPr>
        <w:pStyle w:val="23"/>
        <w:tabs>
          <w:tab w:val="left" w:pos="5580"/>
        </w:tabs>
        <w:spacing w:line="360" w:lineRule="auto"/>
        <w:ind w:left="1080" w:leftChars="257" w:hanging="540"/>
        <w:rPr>
          <w:rFonts w:hint="eastAsia" w:ascii="仿宋" w:hAnsi="仿宋" w:eastAsia="仿宋"/>
          <w:b/>
          <w:sz w:val="24"/>
          <w:u w:val="single"/>
        </w:rPr>
      </w:pPr>
      <w:r>
        <w:rPr>
          <w:rFonts w:hint="eastAsia" w:ascii="仿宋" w:hAnsi="仿宋" w:eastAsia="仿宋"/>
          <w:sz w:val="24"/>
        </w:rPr>
        <w:t>详细通讯地址：</w:t>
      </w:r>
      <w:r>
        <w:rPr>
          <w:rFonts w:hint="eastAsia" w:ascii="仿宋" w:hAnsi="仿宋" w:eastAsia="仿宋"/>
          <w:b/>
          <w:sz w:val="24"/>
          <w:u w:val="single"/>
        </w:rPr>
        <w:t>-------------------------------</w:t>
      </w:r>
    </w:p>
    <w:p w14:paraId="23A4DF8A">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邮 政 编 码 ：</w:t>
      </w:r>
      <w:r>
        <w:rPr>
          <w:rFonts w:hint="eastAsia" w:ascii="仿宋" w:hAnsi="仿宋" w:eastAsia="仿宋"/>
          <w:b/>
          <w:sz w:val="24"/>
          <w:u w:val="single"/>
        </w:rPr>
        <w:t>------------</w:t>
      </w:r>
    </w:p>
    <w:p w14:paraId="09D2BDE1">
      <w:pPr>
        <w:pStyle w:val="23"/>
        <w:tabs>
          <w:tab w:val="left" w:pos="5580"/>
        </w:tabs>
        <w:spacing w:line="360" w:lineRule="auto"/>
        <w:ind w:left="1080" w:leftChars="257" w:hanging="540"/>
        <w:rPr>
          <w:rFonts w:ascii="仿宋" w:hAnsi="仿宋" w:eastAsia="仿宋"/>
          <w:sz w:val="24"/>
        </w:rPr>
      </w:pPr>
      <w:r>
        <w:rPr>
          <w:rFonts w:hint="eastAsia" w:ascii="仿宋" w:hAnsi="仿宋" w:eastAsia="仿宋"/>
          <w:sz w:val="24"/>
        </w:rPr>
        <w:t>传　　　　真：</w:t>
      </w:r>
      <w:r>
        <w:rPr>
          <w:rFonts w:hint="eastAsia" w:ascii="仿宋" w:hAnsi="仿宋" w:eastAsia="仿宋"/>
          <w:b/>
          <w:sz w:val="24"/>
          <w:u w:val="single"/>
        </w:rPr>
        <w:t>------------------</w:t>
      </w:r>
    </w:p>
    <w:p w14:paraId="5B15AE83">
      <w:pPr>
        <w:pStyle w:val="23"/>
        <w:tabs>
          <w:tab w:val="left" w:pos="5580"/>
        </w:tabs>
        <w:spacing w:line="360" w:lineRule="auto"/>
        <w:ind w:left="1080" w:leftChars="257" w:hanging="540"/>
        <w:rPr>
          <w:rFonts w:ascii="仿宋" w:hAnsi="仿宋" w:eastAsia="仿宋"/>
          <w:sz w:val="24"/>
          <w:szCs w:val="24"/>
        </w:rPr>
      </w:pPr>
      <w:r>
        <w:rPr>
          <w:rFonts w:hint="eastAsia" w:ascii="仿宋" w:hAnsi="仿宋" w:eastAsia="仿宋"/>
          <w:sz w:val="24"/>
        </w:rPr>
        <w:t>电　　　　话：</w:t>
      </w:r>
      <w:r>
        <w:rPr>
          <w:rFonts w:hint="eastAsia" w:ascii="仿宋" w:hAnsi="仿宋" w:eastAsia="仿宋"/>
          <w:b/>
          <w:sz w:val="24"/>
          <w:u w:val="single"/>
        </w:rPr>
        <w:t>------------------</w:t>
      </w:r>
    </w:p>
    <w:p w14:paraId="3914A563">
      <w:pPr>
        <w:widowControl/>
        <w:jc w:val="left"/>
        <w:rPr>
          <w:rFonts w:hint="eastAsia" w:ascii="仿宋" w:hAnsi="仿宋" w:eastAsia="仿宋"/>
          <w:sz w:val="24"/>
        </w:rPr>
      </w:pPr>
    </w:p>
    <w:p w14:paraId="5F3353BA">
      <w:pPr>
        <w:widowControl/>
        <w:jc w:val="left"/>
        <w:rPr>
          <w:rFonts w:hint="eastAsia" w:ascii="仿宋" w:hAnsi="仿宋" w:eastAsia="仿宋"/>
          <w:sz w:val="24"/>
        </w:rPr>
      </w:pPr>
    </w:p>
    <w:p w14:paraId="29DB8198">
      <w:pPr>
        <w:widowControl/>
        <w:jc w:val="left"/>
        <w:rPr>
          <w:rFonts w:hint="eastAsia" w:ascii="仿宋" w:hAnsi="仿宋" w:eastAsia="仿宋"/>
          <w:sz w:val="24"/>
        </w:rPr>
      </w:pPr>
    </w:p>
    <w:p w14:paraId="46CCFC80">
      <w:pPr>
        <w:widowControl/>
        <w:jc w:val="left"/>
        <w:rPr>
          <w:rFonts w:hint="eastAsia" w:ascii="仿宋" w:hAnsi="仿宋" w:eastAsia="仿宋"/>
          <w:sz w:val="24"/>
        </w:rPr>
      </w:pPr>
    </w:p>
    <w:p w14:paraId="6ECCB56C">
      <w:pPr>
        <w:widowControl/>
        <w:jc w:val="left"/>
        <w:rPr>
          <w:rFonts w:hint="eastAsia" w:ascii="仿宋" w:hAnsi="仿宋" w:eastAsia="仿宋"/>
          <w:sz w:val="24"/>
        </w:rPr>
      </w:pPr>
    </w:p>
    <w:p w14:paraId="3497D7F3">
      <w:pPr>
        <w:widowControl/>
        <w:jc w:val="left"/>
        <w:rPr>
          <w:rFonts w:hint="eastAsia" w:ascii="仿宋" w:hAnsi="仿宋" w:eastAsia="仿宋"/>
          <w:sz w:val="24"/>
        </w:rPr>
      </w:pPr>
    </w:p>
    <w:p w14:paraId="68B14B53">
      <w:pPr>
        <w:widowControl/>
        <w:jc w:val="left"/>
        <w:rPr>
          <w:rFonts w:hint="eastAsia" w:ascii="仿宋" w:hAnsi="仿宋" w:eastAsia="仿宋"/>
          <w:sz w:val="24"/>
        </w:rPr>
      </w:pPr>
    </w:p>
    <w:p w14:paraId="4CB391D4">
      <w:pPr>
        <w:widowControl/>
        <w:jc w:val="left"/>
        <w:rPr>
          <w:rFonts w:hint="eastAsia" w:ascii="仿宋" w:hAnsi="仿宋" w:eastAsia="仿宋"/>
          <w:sz w:val="24"/>
        </w:rPr>
      </w:pPr>
    </w:p>
    <w:p w14:paraId="1444DFB6">
      <w:pPr>
        <w:widowControl/>
        <w:jc w:val="left"/>
        <w:rPr>
          <w:rFonts w:hint="eastAsia" w:ascii="仿宋" w:hAnsi="仿宋" w:eastAsia="仿宋"/>
          <w:sz w:val="24"/>
        </w:rPr>
      </w:pPr>
    </w:p>
    <w:p w14:paraId="3AED8C62">
      <w:pPr>
        <w:widowControl/>
        <w:jc w:val="left"/>
        <w:rPr>
          <w:rFonts w:hint="eastAsia" w:ascii="仿宋" w:hAnsi="仿宋" w:eastAsia="仿宋"/>
          <w:sz w:val="24"/>
        </w:rPr>
      </w:pPr>
    </w:p>
    <w:p w14:paraId="31754656">
      <w:pPr>
        <w:widowControl/>
        <w:jc w:val="left"/>
        <w:rPr>
          <w:rFonts w:hint="eastAsia" w:ascii="仿宋" w:hAnsi="仿宋" w:eastAsia="仿宋"/>
          <w:sz w:val="24"/>
        </w:rPr>
      </w:pPr>
    </w:p>
    <w:p w14:paraId="47696EB4">
      <w:pPr>
        <w:widowControl/>
        <w:jc w:val="left"/>
        <w:rPr>
          <w:rFonts w:hint="eastAsia" w:ascii="仿宋" w:hAnsi="仿宋" w:eastAsia="仿宋"/>
          <w:sz w:val="24"/>
        </w:rPr>
      </w:pPr>
    </w:p>
    <w:p w14:paraId="0D7D7612">
      <w:pPr>
        <w:widowControl/>
        <w:jc w:val="left"/>
        <w:rPr>
          <w:rFonts w:hint="eastAsia" w:ascii="仿宋" w:hAnsi="仿宋" w:eastAsia="仿宋"/>
          <w:sz w:val="24"/>
        </w:rPr>
      </w:pPr>
    </w:p>
    <w:p w14:paraId="4EA66319">
      <w:pPr>
        <w:widowControl/>
        <w:jc w:val="left"/>
        <w:rPr>
          <w:rFonts w:hint="eastAsia" w:ascii="仿宋" w:hAnsi="仿宋" w:eastAsia="仿宋"/>
          <w:sz w:val="24"/>
        </w:rPr>
      </w:pPr>
    </w:p>
    <w:p w14:paraId="5C4E47E8">
      <w:pPr>
        <w:widowControl/>
        <w:jc w:val="left"/>
        <w:rPr>
          <w:rFonts w:hint="eastAsia" w:ascii="仿宋" w:hAnsi="仿宋" w:eastAsia="仿宋"/>
          <w:sz w:val="24"/>
        </w:rPr>
      </w:pPr>
    </w:p>
    <w:p w14:paraId="545AA3EF">
      <w:pPr>
        <w:widowControl/>
        <w:jc w:val="left"/>
        <w:rPr>
          <w:rFonts w:hint="eastAsia" w:ascii="仿宋" w:hAnsi="仿宋" w:eastAsia="仿宋"/>
          <w:sz w:val="24"/>
        </w:rPr>
      </w:pPr>
      <w:r>
        <w:rPr>
          <w:rFonts w:hint="eastAsia" w:ascii="仿宋" w:hAnsi="仿宋" w:eastAsia="仿宋"/>
          <w:sz w:val="24"/>
        </w:rPr>
        <w:t>附件二：</w:t>
      </w:r>
    </w:p>
    <w:p w14:paraId="174BEF02">
      <w:pPr>
        <w:widowControl/>
        <w:jc w:val="center"/>
        <w:rPr>
          <w:rFonts w:hint="eastAsia" w:ascii="仿宋" w:hAnsi="仿宋" w:eastAsia="仿宋"/>
          <w:b/>
          <w:sz w:val="24"/>
        </w:rPr>
      </w:pPr>
      <w:r>
        <w:rPr>
          <w:rFonts w:hint="eastAsia" w:ascii="仿宋" w:hAnsi="仿宋" w:eastAsia="仿宋"/>
          <w:b/>
          <w:sz w:val="24"/>
        </w:rPr>
        <w:t>配置清单</w:t>
      </w:r>
    </w:p>
    <w:p w14:paraId="7DD108B7">
      <w:pPr>
        <w:spacing w:line="360" w:lineRule="auto"/>
        <w:ind w:right="718" w:rightChars="342"/>
        <w:rPr>
          <w:rFonts w:hint="eastAsia" w:ascii="仿宋" w:hAnsi="仿宋" w:eastAsia="仿宋"/>
          <w:b/>
          <w:bCs/>
          <w:szCs w:val="21"/>
        </w:rPr>
      </w:pPr>
    </w:p>
    <w:p w14:paraId="26C36ADB">
      <w:pPr>
        <w:spacing w:line="360" w:lineRule="auto"/>
        <w:ind w:right="718" w:rightChars="342"/>
        <w:rPr>
          <w:rFonts w:hint="eastAsia" w:ascii="仿宋" w:hAnsi="仿宋" w:eastAsia="仿宋"/>
          <w:szCs w:val="21"/>
        </w:rPr>
      </w:pPr>
      <w:r>
        <w:rPr>
          <w:rFonts w:hint="eastAsia" w:ascii="仿宋" w:hAnsi="仿宋" w:eastAsia="仿宋"/>
          <w:b/>
          <w:bCs/>
          <w:szCs w:val="21"/>
        </w:rPr>
        <w:t>产品名称：</w:t>
      </w:r>
      <w:r>
        <w:rPr>
          <w:rFonts w:hint="eastAsia" w:ascii="仿宋" w:hAnsi="仿宋" w:eastAsia="仿宋"/>
          <w:b/>
          <w:sz w:val="24"/>
          <w:u w:val="single"/>
        </w:rPr>
        <w:t>------------------------------</w:t>
      </w:r>
    </w:p>
    <w:p w14:paraId="0D3CE186">
      <w:pPr>
        <w:spacing w:line="360" w:lineRule="auto"/>
        <w:ind w:right="718" w:rightChars="342"/>
        <w:rPr>
          <w:rFonts w:hint="eastAsia" w:ascii="仿宋" w:hAnsi="仿宋" w:eastAsia="仿宋"/>
          <w:szCs w:val="21"/>
        </w:rPr>
      </w:pPr>
      <w:r>
        <w:rPr>
          <w:rFonts w:hint="eastAsia" w:ascii="仿宋" w:hAnsi="仿宋" w:eastAsia="仿宋"/>
          <w:b/>
          <w:bCs/>
          <w:szCs w:val="21"/>
        </w:rPr>
        <w:t>制 造 商：</w:t>
      </w:r>
      <w:r>
        <w:rPr>
          <w:rFonts w:hint="eastAsia" w:ascii="仿宋" w:hAnsi="仿宋" w:eastAsia="仿宋"/>
          <w:b/>
          <w:sz w:val="24"/>
          <w:u w:val="single"/>
        </w:rPr>
        <w:t>------------------------</w:t>
      </w:r>
    </w:p>
    <w:p w14:paraId="62A314EF">
      <w:pPr>
        <w:spacing w:line="360" w:lineRule="auto"/>
        <w:ind w:right="718" w:rightChars="342"/>
        <w:rPr>
          <w:rFonts w:hint="eastAsia" w:ascii="仿宋" w:hAnsi="仿宋" w:eastAsia="仿宋"/>
          <w:b/>
          <w:sz w:val="24"/>
          <w:u w:val="single"/>
        </w:rPr>
      </w:pPr>
      <w:r>
        <w:rPr>
          <w:rFonts w:hint="eastAsia" w:ascii="仿宋" w:hAnsi="仿宋" w:eastAsia="仿宋"/>
          <w:b/>
          <w:bCs/>
          <w:szCs w:val="21"/>
        </w:rPr>
        <w:t>产品型号：</w:t>
      </w:r>
      <w:r>
        <w:rPr>
          <w:rFonts w:hint="eastAsia" w:ascii="仿宋" w:hAnsi="仿宋" w:eastAsia="仿宋"/>
          <w:b/>
          <w:sz w:val="24"/>
          <w:u w:val="single"/>
        </w:rPr>
        <w:t>------------</w:t>
      </w:r>
    </w:p>
    <w:p w14:paraId="5846BFEE">
      <w:pPr>
        <w:spacing w:line="360" w:lineRule="auto"/>
        <w:ind w:right="718" w:rightChars="342"/>
        <w:rPr>
          <w:rFonts w:hint="eastAsia" w:ascii="仿宋" w:hAnsi="仿宋" w:eastAsia="仿宋"/>
          <w:b/>
          <w:sz w:val="24"/>
          <w:u w:val="single"/>
        </w:rPr>
      </w:pPr>
      <w:r>
        <w:rPr>
          <w:rFonts w:hint="eastAsia" w:ascii="仿宋" w:hAnsi="仿宋" w:eastAsia="仿宋"/>
          <w:b/>
          <w:bCs/>
          <w:szCs w:val="21"/>
        </w:rPr>
        <w:t>产品特点：</w:t>
      </w:r>
      <w:r>
        <w:rPr>
          <w:rFonts w:hint="eastAsia" w:ascii="仿宋" w:hAnsi="仿宋" w:eastAsia="仿宋"/>
          <w:b/>
          <w:sz w:val="24"/>
          <w:u w:val="single"/>
        </w:rPr>
        <w:t>------------------------------------------------------------------------</w:t>
      </w:r>
    </w:p>
    <w:p w14:paraId="05EED947">
      <w:pPr>
        <w:spacing w:line="360" w:lineRule="auto"/>
        <w:ind w:right="718" w:rightChars="342"/>
        <w:rPr>
          <w:rFonts w:hint="eastAsia" w:ascii="仿宋" w:hAnsi="仿宋" w:eastAsia="仿宋"/>
          <w:szCs w:val="21"/>
        </w:rPr>
      </w:pPr>
      <w:r>
        <w:rPr>
          <w:rFonts w:hint="eastAsia" w:ascii="仿宋" w:hAnsi="仿宋" w:eastAsia="仿宋"/>
          <w:b/>
          <w:bCs/>
          <w:szCs w:val="21"/>
        </w:rPr>
        <w:t>产品配置：</w:t>
      </w:r>
    </w:p>
    <w:tbl>
      <w:tblPr>
        <w:tblStyle w:val="46"/>
        <w:tblpPr w:leftFromText="180" w:rightFromText="180" w:vertAnchor="text" w:horzAnchor="margin" w:tblpXSpec="center" w:tblpY="314"/>
        <w:tblW w:w="0" w:type="auto"/>
        <w:tblInd w:w="0" w:type="dxa"/>
        <w:tblLayout w:type="fixed"/>
        <w:tblCellMar>
          <w:top w:w="0" w:type="dxa"/>
          <w:left w:w="108" w:type="dxa"/>
          <w:bottom w:w="0" w:type="dxa"/>
          <w:right w:w="108" w:type="dxa"/>
        </w:tblCellMar>
      </w:tblPr>
      <w:tblGrid>
        <w:gridCol w:w="1367"/>
        <w:gridCol w:w="2420"/>
        <w:gridCol w:w="2025"/>
        <w:gridCol w:w="1939"/>
        <w:gridCol w:w="1637"/>
      </w:tblGrid>
      <w:tr w14:paraId="62E011DD">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33CB78A8">
            <w:pPr>
              <w:widowControl/>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2420" w:type="dxa"/>
            <w:tcBorders>
              <w:top w:val="single" w:color="auto" w:sz="8" w:space="0"/>
              <w:left w:val="nil"/>
              <w:bottom w:val="single" w:color="auto" w:sz="8" w:space="0"/>
              <w:right w:val="single" w:color="auto" w:sz="8" w:space="0"/>
            </w:tcBorders>
            <w:noWrap w:val="0"/>
            <w:vAlign w:val="center"/>
          </w:tcPr>
          <w:p w14:paraId="3B33569C">
            <w:pPr>
              <w:widowControl/>
              <w:jc w:val="center"/>
              <w:rPr>
                <w:rFonts w:ascii="仿宋" w:hAnsi="仿宋" w:eastAsia="仿宋" w:cs="宋体"/>
                <w:b/>
                <w:bCs/>
                <w:kern w:val="0"/>
                <w:szCs w:val="21"/>
              </w:rPr>
            </w:pPr>
            <w:r>
              <w:rPr>
                <w:rFonts w:hint="eastAsia" w:ascii="仿宋" w:hAnsi="仿宋" w:eastAsia="仿宋" w:cs="宋体"/>
                <w:b/>
                <w:bCs/>
                <w:kern w:val="0"/>
                <w:szCs w:val="21"/>
              </w:rPr>
              <w:t>名称</w:t>
            </w:r>
          </w:p>
        </w:tc>
        <w:tc>
          <w:tcPr>
            <w:tcW w:w="2025" w:type="dxa"/>
            <w:tcBorders>
              <w:top w:val="single" w:color="auto" w:sz="8" w:space="0"/>
              <w:left w:val="nil"/>
              <w:bottom w:val="single" w:color="auto" w:sz="8" w:space="0"/>
              <w:right w:val="single" w:color="auto" w:sz="8" w:space="0"/>
            </w:tcBorders>
            <w:noWrap w:val="0"/>
            <w:vAlign w:val="center"/>
          </w:tcPr>
          <w:p w14:paraId="6B55A70D">
            <w:pPr>
              <w:widowControl/>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1939" w:type="dxa"/>
            <w:tcBorders>
              <w:top w:val="single" w:color="auto" w:sz="8" w:space="0"/>
              <w:left w:val="nil"/>
              <w:bottom w:val="single" w:color="auto" w:sz="8" w:space="0"/>
              <w:right w:val="single" w:color="auto" w:sz="8" w:space="0"/>
            </w:tcBorders>
            <w:noWrap w:val="0"/>
            <w:vAlign w:val="center"/>
          </w:tcPr>
          <w:p w14:paraId="48EDB110">
            <w:pPr>
              <w:widowControl/>
              <w:jc w:val="center"/>
              <w:rPr>
                <w:rFonts w:hint="eastAsia" w:ascii="仿宋" w:hAnsi="仿宋" w:eastAsia="仿宋" w:cs="宋体"/>
                <w:b/>
                <w:bCs/>
                <w:kern w:val="0"/>
                <w:szCs w:val="21"/>
              </w:rPr>
            </w:pPr>
            <w:r>
              <w:rPr>
                <w:rFonts w:hint="eastAsia" w:ascii="仿宋" w:hAnsi="仿宋" w:eastAsia="仿宋" w:cs="宋体"/>
                <w:b/>
                <w:bCs/>
                <w:kern w:val="0"/>
                <w:szCs w:val="21"/>
              </w:rPr>
              <w:t>单价（元）</w:t>
            </w:r>
          </w:p>
        </w:tc>
        <w:tc>
          <w:tcPr>
            <w:tcW w:w="1637" w:type="dxa"/>
            <w:tcBorders>
              <w:top w:val="single" w:color="auto" w:sz="8" w:space="0"/>
              <w:left w:val="nil"/>
              <w:bottom w:val="single" w:color="auto" w:sz="8" w:space="0"/>
              <w:right w:val="single" w:color="auto" w:sz="8" w:space="0"/>
            </w:tcBorders>
            <w:noWrap w:val="0"/>
            <w:vAlign w:val="center"/>
          </w:tcPr>
          <w:p w14:paraId="481DD7B4">
            <w:pPr>
              <w:widowControl/>
              <w:jc w:val="center"/>
              <w:rPr>
                <w:rFonts w:hint="eastAsia" w:ascii="仿宋" w:hAnsi="仿宋" w:eastAsia="仿宋" w:cs="宋体"/>
                <w:b/>
                <w:bCs/>
                <w:kern w:val="0"/>
                <w:szCs w:val="21"/>
              </w:rPr>
            </w:pPr>
            <w:r>
              <w:rPr>
                <w:rFonts w:hint="eastAsia" w:ascii="仿宋" w:hAnsi="仿宋" w:eastAsia="仿宋" w:cs="宋体"/>
                <w:b/>
                <w:bCs/>
                <w:kern w:val="0"/>
                <w:szCs w:val="21"/>
              </w:rPr>
              <w:t>金额合计（元）</w:t>
            </w:r>
          </w:p>
        </w:tc>
      </w:tr>
      <w:tr w14:paraId="4931BBF7">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16ED3C12">
            <w:pPr>
              <w:widowControl/>
              <w:jc w:val="center"/>
              <w:rPr>
                <w:rFonts w:ascii="仿宋" w:hAnsi="仿宋" w:eastAsia="仿宋"/>
                <w:kern w:val="0"/>
                <w:szCs w:val="21"/>
              </w:rPr>
            </w:pPr>
            <w:r>
              <w:rPr>
                <w:rFonts w:hint="eastAsia" w:ascii="仿宋" w:hAnsi="仿宋" w:eastAsia="仿宋"/>
                <w:kern w:val="0"/>
                <w:szCs w:val="21"/>
              </w:rPr>
              <w:t>1</w:t>
            </w:r>
          </w:p>
        </w:tc>
        <w:tc>
          <w:tcPr>
            <w:tcW w:w="2420" w:type="dxa"/>
            <w:tcBorders>
              <w:top w:val="nil"/>
              <w:left w:val="nil"/>
              <w:bottom w:val="single" w:color="auto" w:sz="8" w:space="0"/>
              <w:right w:val="single" w:color="auto" w:sz="8" w:space="0"/>
            </w:tcBorders>
            <w:noWrap w:val="0"/>
            <w:vAlign w:val="center"/>
          </w:tcPr>
          <w:p w14:paraId="532D812A">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3B4F68A4">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509A3BF9">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098225E4">
            <w:pPr>
              <w:widowControl/>
              <w:jc w:val="center"/>
              <w:rPr>
                <w:rFonts w:hint="eastAsia" w:ascii="仿宋" w:hAnsi="仿宋" w:eastAsia="仿宋"/>
                <w:b/>
                <w:sz w:val="24"/>
                <w:u w:val="single"/>
              </w:rPr>
            </w:pPr>
          </w:p>
        </w:tc>
      </w:tr>
      <w:tr w14:paraId="56828F28">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3ED48C4D">
            <w:pPr>
              <w:widowControl/>
              <w:jc w:val="center"/>
              <w:rPr>
                <w:rFonts w:ascii="仿宋" w:hAnsi="仿宋" w:eastAsia="仿宋"/>
                <w:kern w:val="0"/>
                <w:szCs w:val="21"/>
              </w:rPr>
            </w:pPr>
            <w:r>
              <w:rPr>
                <w:rFonts w:hint="eastAsia" w:ascii="仿宋" w:hAnsi="仿宋" w:eastAsia="仿宋"/>
                <w:kern w:val="0"/>
                <w:szCs w:val="21"/>
              </w:rPr>
              <w:t>2</w:t>
            </w:r>
          </w:p>
        </w:tc>
        <w:tc>
          <w:tcPr>
            <w:tcW w:w="2420" w:type="dxa"/>
            <w:tcBorders>
              <w:top w:val="nil"/>
              <w:left w:val="nil"/>
              <w:bottom w:val="single" w:color="auto" w:sz="8" w:space="0"/>
              <w:right w:val="single" w:color="auto" w:sz="8" w:space="0"/>
            </w:tcBorders>
            <w:noWrap w:val="0"/>
            <w:vAlign w:val="center"/>
          </w:tcPr>
          <w:p w14:paraId="47B1B734">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5F4E8260">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4E4EB738">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49D4ED1E">
            <w:pPr>
              <w:widowControl/>
              <w:jc w:val="center"/>
              <w:rPr>
                <w:rFonts w:hint="eastAsia" w:ascii="仿宋" w:hAnsi="仿宋" w:eastAsia="仿宋"/>
                <w:b/>
                <w:sz w:val="24"/>
                <w:u w:val="single"/>
              </w:rPr>
            </w:pPr>
          </w:p>
        </w:tc>
      </w:tr>
      <w:tr w14:paraId="7855C985">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48296B95">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2420" w:type="dxa"/>
            <w:tcBorders>
              <w:top w:val="nil"/>
              <w:left w:val="nil"/>
              <w:bottom w:val="single" w:color="auto" w:sz="8" w:space="0"/>
              <w:right w:val="single" w:color="auto" w:sz="8" w:space="0"/>
            </w:tcBorders>
            <w:noWrap w:val="0"/>
            <w:vAlign w:val="center"/>
          </w:tcPr>
          <w:p w14:paraId="5AC0920F">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33182506">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0E91C141">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16C72A0E">
            <w:pPr>
              <w:widowControl/>
              <w:jc w:val="center"/>
              <w:rPr>
                <w:rFonts w:hint="eastAsia" w:ascii="仿宋" w:hAnsi="仿宋" w:eastAsia="仿宋"/>
                <w:b/>
                <w:sz w:val="24"/>
                <w:u w:val="single"/>
              </w:rPr>
            </w:pPr>
          </w:p>
        </w:tc>
      </w:tr>
      <w:tr w14:paraId="47929B28">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166ECCEA">
            <w:pPr>
              <w:widowControl/>
              <w:jc w:val="center"/>
              <w:rPr>
                <w:rFonts w:hint="eastAsia" w:ascii="仿宋" w:hAnsi="仿宋" w:eastAsia="仿宋" w:cs="宋体"/>
                <w:kern w:val="0"/>
                <w:szCs w:val="21"/>
              </w:rPr>
            </w:pPr>
            <w:r>
              <w:rPr>
                <w:rFonts w:hint="eastAsia" w:ascii="仿宋" w:hAnsi="仿宋" w:eastAsia="仿宋" w:cs="宋体"/>
                <w:kern w:val="0"/>
                <w:szCs w:val="21"/>
              </w:rPr>
              <w:t>4</w:t>
            </w:r>
          </w:p>
        </w:tc>
        <w:tc>
          <w:tcPr>
            <w:tcW w:w="2420" w:type="dxa"/>
            <w:tcBorders>
              <w:top w:val="nil"/>
              <w:left w:val="nil"/>
              <w:bottom w:val="single" w:color="auto" w:sz="8" w:space="0"/>
              <w:right w:val="single" w:color="auto" w:sz="8" w:space="0"/>
            </w:tcBorders>
            <w:noWrap w:val="0"/>
            <w:vAlign w:val="center"/>
          </w:tcPr>
          <w:p w14:paraId="10326127">
            <w:pPr>
              <w:widowControl/>
              <w:jc w:val="center"/>
              <w:rPr>
                <w:rFonts w:ascii="仿宋" w:hAnsi="仿宋" w:eastAsia="仿宋"/>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08F7748C">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3BE044FF">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06738BC3">
            <w:pPr>
              <w:widowControl/>
              <w:jc w:val="center"/>
              <w:rPr>
                <w:rFonts w:hint="eastAsia" w:ascii="仿宋" w:hAnsi="仿宋" w:eastAsia="仿宋"/>
                <w:b/>
                <w:sz w:val="24"/>
                <w:u w:val="single"/>
              </w:rPr>
            </w:pPr>
          </w:p>
        </w:tc>
      </w:tr>
      <w:tr w14:paraId="724FCCC9">
        <w:tblPrEx>
          <w:tblCellMar>
            <w:top w:w="0" w:type="dxa"/>
            <w:left w:w="108" w:type="dxa"/>
            <w:bottom w:w="0" w:type="dxa"/>
            <w:right w:w="108" w:type="dxa"/>
          </w:tblCellMar>
        </w:tblPrEx>
        <w:trPr>
          <w:trHeight w:val="457" w:hRule="atLeast"/>
        </w:trPr>
        <w:tc>
          <w:tcPr>
            <w:tcW w:w="1367" w:type="dxa"/>
            <w:tcBorders>
              <w:top w:val="nil"/>
              <w:left w:val="single" w:color="auto" w:sz="8" w:space="0"/>
              <w:bottom w:val="single" w:color="auto" w:sz="8" w:space="0"/>
              <w:right w:val="single" w:color="auto" w:sz="8" w:space="0"/>
            </w:tcBorders>
            <w:noWrap w:val="0"/>
            <w:vAlign w:val="center"/>
          </w:tcPr>
          <w:p w14:paraId="44277F0D">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2420" w:type="dxa"/>
            <w:tcBorders>
              <w:top w:val="nil"/>
              <w:left w:val="nil"/>
              <w:bottom w:val="single" w:color="auto" w:sz="8" w:space="0"/>
              <w:right w:val="single" w:color="auto" w:sz="8" w:space="0"/>
            </w:tcBorders>
            <w:noWrap w:val="0"/>
            <w:vAlign w:val="center"/>
          </w:tcPr>
          <w:p w14:paraId="45BF2870">
            <w:pPr>
              <w:widowControl/>
              <w:jc w:val="center"/>
              <w:rPr>
                <w:rFonts w:ascii="仿宋" w:hAnsi="仿宋" w:eastAsia="仿宋" w:cs="宋体"/>
                <w:kern w:val="0"/>
                <w:szCs w:val="21"/>
              </w:rPr>
            </w:pPr>
            <w:r>
              <w:rPr>
                <w:rFonts w:hint="eastAsia" w:ascii="仿宋" w:hAnsi="仿宋" w:eastAsia="仿宋"/>
                <w:b/>
                <w:sz w:val="24"/>
                <w:u w:val="single"/>
              </w:rPr>
              <w:t>------</w:t>
            </w:r>
          </w:p>
        </w:tc>
        <w:tc>
          <w:tcPr>
            <w:tcW w:w="2025" w:type="dxa"/>
            <w:tcBorders>
              <w:top w:val="nil"/>
              <w:left w:val="nil"/>
              <w:bottom w:val="single" w:color="auto" w:sz="8" w:space="0"/>
              <w:right w:val="single" w:color="auto" w:sz="8" w:space="0"/>
            </w:tcBorders>
            <w:noWrap w:val="0"/>
            <w:vAlign w:val="center"/>
          </w:tcPr>
          <w:p w14:paraId="5DFB9C86">
            <w:pPr>
              <w:widowControl/>
              <w:jc w:val="center"/>
              <w:rPr>
                <w:rFonts w:ascii="仿宋" w:hAnsi="仿宋" w:eastAsia="仿宋"/>
                <w:kern w:val="0"/>
                <w:szCs w:val="21"/>
              </w:rPr>
            </w:pPr>
            <w:r>
              <w:rPr>
                <w:rFonts w:hint="eastAsia" w:ascii="仿宋" w:hAnsi="仿宋" w:eastAsia="仿宋"/>
                <w:b/>
                <w:sz w:val="24"/>
                <w:u w:val="single"/>
              </w:rPr>
              <w:t>------</w:t>
            </w:r>
          </w:p>
        </w:tc>
        <w:tc>
          <w:tcPr>
            <w:tcW w:w="1939" w:type="dxa"/>
            <w:tcBorders>
              <w:top w:val="nil"/>
              <w:left w:val="nil"/>
              <w:bottom w:val="single" w:color="auto" w:sz="8" w:space="0"/>
              <w:right w:val="single" w:color="auto" w:sz="8" w:space="0"/>
            </w:tcBorders>
            <w:noWrap w:val="0"/>
            <w:vAlign w:val="center"/>
          </w:tcPr>
          <w:p w14:paraId="30F9A757">
            <w:pPr>
              <w:widowControl/>
              <w:jc w:val="center"/>
              <w:rPr>
                <w:rFonts w:hint="eastAsia" w:ascii="仿宋" w:hAnsi="仿宋" w:eastAsia="仿宋"/>
                <w:b/>
                <w:sz w:val="24"/>
                <w:u w:val="single"/>
              </w:rPr>
            </w:pPr>
          </w:p>
        </w:tc>
        <w:tc>
          <w:tcPr>
            <w:tcW w:w="1637" w:type="dxa"/>
            <w:tcBorders>
              <w:top w:val="nil"/>
              <w:left w:val="nil"/>
              <w:bottom w:val="single" w:color="auto" w:sz="8" w:space="0"/>
              <w:right w:val="single" w:color="auto" w:sz="8" w:space="0"/>
            </w:tcBorders>
            <w:noWrap w:val="0"/>
            <w:vAlign w:val="center"/>
          </w:tcPr>
          <w:p w14:paraId="6677BCA8">
            <w:pPr>
              <w:widowControl/>
              <w:jc w:val="center"/>
              <w:rPr>
                <w:rFonts w:hint="eastAsia" w:ascii="仿宋" w:hAnsi="仿宋" w:eastAsia="仿宋"/>
                <w:b/>
                <w:sz w:val="24"/>
                <w:u w:val="single"/>
              </w:rPr>
            </w:pPr>
          </w:p>
        </w:tc>
      </w:tr>
      <w:tr w14:paraId="7925C105">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1F0294A1">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3A0573F5">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7BD74836">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1E337EA2">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4F66EC1D">
            <w:pPr>
              <w:widowControl/>
              <w:jc w:val="center"/>
              <w:rPr>
                <w:rFonts w:ascii="仿宋" w:hAnsi="仿宋" w:eastAsia="仿宋"/>
                <w:kern w:val="0"/>
                <w:szCs w:val="21"/>
              </w:rPr>
            </w:pPr>
          </w:p>
        </w:tc>
      </w:tr>
      <w:tr w14:paraId="758DF494">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5244F27D">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434E03F3">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0B5F7B53">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79D4453F">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0F88BCCD">
            <w:pPr>
              <w:widowControl/>
              <w:jc w:val="center"/>
              <w:rPr>
                <w:rFonts w:ascii="仿宋" w:hAnsi="仿宋" w:eastAsia="仿宋"/>
                <w:kern w:val="0"/>
                <w:szCs w:val="21"/>
              </w:rPr>
            </w:pPr>
          </w:p>
        </w:tc>
      </w:tr>
      <w:tr w14:paraId="6447A9E6">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528F7C2E">
            <w:pPr>
              <w:widowControl/>
              <w:jc w:val="center"/>
              <w:rPr>
                <w:rFonts w:hint="eastAsia" w:ascii="仿宋" w:hAnsi="仿宋" w:eastAsia="仿宋" w:cs="宋体"/>
                <w:kern w:val="0"/>
                <w:szCs w:val="21"/>
              </w:rPr>
            </w:pPr>
            <w:r>
              <w:rPr>
                <w:rFonts w:hint="eastAsia" w:ascii="仿宋" w:hAnsi="仿宋" w:eastAsia="仿宋" w:cs="宋体"/>
                <w:kern w:val="0"/>
                <w:szCs w:val="21"/>
              </w:rPr>
              <w:t>……</w:t>
            </w:r>
          </w:p>
        </w:tc>
        <w:tc>
          <w:tcPr>
            <w:tcW w:w="2420" w:type="dxa"/>
            <w:tcBorders>
              <w:top w:val="single" w:color="auto" w:sz="8" w:space="0"/>
              <w:left w:val="nil"/>
              <w:bottom w:val="single" w:color="auto" w:sz="8" w:space="0"/>
              <w:right w:val="single" w:color="auto" w:sz="8" w:space="0"/>
            </w:tcBorders>
            <w:noWrap w:val="0"/>
            <w:vAlign w:val="center"/>
          </w:tcPr>
          <w:p w14:paraId="16865941">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42E39021">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1F74B589">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00DEA1F5">
            <w:pPr>
              <w:widowControl/>
              <w:jc w:val="center"/>
              <w:rPr>
                <w:rFonts w:ascii="仿宋" w:hAnsi="仿宋" w:eastAsia="仿宋"/>
                <w:kern w:val="0"/>
                <w:szCs w:val="21"/>
              </w:rPr>
            </w:pPr>
          </w:p>
        </w:tc>
      </w:tr>
      <w:tr w14:paraId="5E2EE540">
        <w:tblPrEx>
          <w:tblCellMar>
            <w:top w:w="0" w:type="dxa"/>
            <w:left w:w="108" w:type="dxa"/>
            <w:bottom w:w="0" w:type="dxa"/>
            <w:right w:w="108" w:type="dxa"/>
          </w:tblCellMar>
        </w:tblPrEx>
        <w:trPr>
          <w:trHeight w:val="457" w:hRule="atLeast"/>
        </w:trPr>
        <w:tc>
          <w:tcPr>
            <w:tcW w:w="1367" w:type="dxa"/>
            <w:tcBorders>
              <w:top w:val="single" w:color="auto" w:sz="8" w:space="0"/>
              <w:left w:val="single" w:color="auto" w:sz="8" w:space="0"/>
              <w:bottom w:val="single" w:color="auto" w:sz="8" w:space="0"/>
              <w:right w:val="single" w:color="auto" w:sz="8" w:space="0"/>
            </w:tcBorders>
            <w:noWrap w:val="0"/>
            <w:vAlign w:val="center"/>
          </w:tcPr>
          <w:p w14:paraId="728E66CB">
            <w:pPr>
              <w:widowControl/>
              <w:jc w:val="center"/>
              <w:rPr>
                <w:rFonts w:hint="eastAsia" w:ascii="仿宋" w:hAnsi="仿宋" w:eastAsia="仿宋" w:cs="宋体"/>
                <w:kern w:val="0"/>
                <w:szCs w:val="21"/>
              </w:rPr>
            </w:pPr>
            <w:r>
              <w:rPr>
                <w:rFonts w:hint="eastAsia" w:ascii="仿宋" w:hAnsi="仿宋" w:eastAsia="仿宋" w:cs="宋体"/>
                <w:kern w:val="0"/>
                <w:szCs w:val="21"/>
              </w:rPr>
              <w:t>总计……</w:t>
            </w:r>
          </w:p>
        </w:tc>
        <w:tc>
          <w:tcPr>
            <w:tcW w:w="2420" w:type="dxa"/>
            <w:tcBorders>
              <w:top w:val="single" w:color="auto" w:sz="8" w:space="0"/>
              <w:left w:val="nil"/>
              <w:bottom w:val="single" w:color="auto" w:sz="8" w:space="0"/>
              <w:right w:val="single" w:color="auto" w:sz="8" w:space="0"/>
            </w:tcBorders>
            <w:noWrap w:val="0"/>
            <w:vAlign w:val="center"/>
          </w:tcPr>
          <w:p w14:paraId="10550A59">
            <w:pPr>
              <w:widowControl/>
              <w:jc w:val="center"/>
              <w:rPr>
                <w:rFonts w:hint="eastAsia" w:ascii="仿宋" w:hAnsi="仿宋" w:eastAsia="仿宋" w:cs="宋体"/>
                <w:kern w:val="0"/>
                <w:szCs w:val="21"/>
              </w:rPr>
            </w:pPr>
          </w:p>
        </w:tc>
        <w:tc>
          <w:tcPr>
            <w:tcW w:w="2025" w:type="dxa"/>
            <w:tcBorders>
              <w:top w:val="single" w:color="auto" w:sz="8" w:space="0"/>
              <w:left w:val="nil"/>
              <w:bottom w:val="single" w:color="auto" w:sz="8" w:space="0"/>
              <w:right w:val="single" w:color="auto" w:sz="8" w:space="0"/>
            </w:tcBorders>
            <w:noWrap w:val="0"/>
            <w:vAlign w:val="center"/>
          </w:tcPr>
          <w:p w14:paraId="0D8D1FC5">
            <w:pPr>
              <w:widowControl/>
              <w:jc w:val="center"/>
              <w:rPr>
                <w:rFonts w:ascii="仿宋" w:hAnsi="仿宋" w:eastAsia="仿宋"/>
                <w:kern w:val="0"/>
                <w:szCs w:val="21"/>
              </w:rPr>
            </w:pPr>
          </w:p>
        </w:tc>
        <w:tc>
          <w:tcPr>
            <w:tcW w:w="1939" w:type="dxa"/>
            <w:tcBorders>
              <w:top w:val="single" w:color="auto" w:sz="8" w:space="0"/>
              <w:left w:val="nil"/>
              <w:bottom w:val="single" w:color="auto" w:sz="8" w:space="0"/>
              <w:right w:val="single" w:color="auto" w:sz="8" w:space="0"/>
            </w:tcBorders>
            <w:noWrap w:val="0"/>
            <w:vAlign w:val="center"/>
          </w:tcPr>
          <w:p w14:paraId="1C12BCE1">
            <w:pPr>
              <w:widowControl/>
              <w:jc w:val="center"/>
              <w:rPr>
                <w:rFonts w:ascii="仿宋" w:hAnsi="仿宋" w:eastAsia="仿宋"/>
                <w:kern w:val="0"/>
                <w:szCs w:val="21"/>
              </w:rPr>
            </w:pPr>
          </w:p>
        </w:tc>
        <w:tc>
          <w:tcPr>
            <w:tcW w:w="1637" w:type="dxa"/>
            <w:tcBorders>
              <w:top w:val="single" w:color="auto" w:sz="8" w:space="0"/>
              <w:left w:val="nil"/>
              <w:bottom w:val="single" w:color="auto" w:sz="8" w:space="0"/>
              <w:right w:val="single" w:color="auto" w:sz="8" w:space="0"/>
            </w:tcBorders>
            <w:noWrap w:val="0"/>
            <w:vAlign w:val="center"/>
          </w:tcPr>
          <w:p w14:paraId="525D81E8">
            <w:pPr>
              <w:widowControl/>
              <w:jc w:val="center"/>
              <w:rPr>
                <w:rFonts w:ascii="仿宋" w:hAnsi="仿宋" w:eastAsia="仿宋"/>
                <w:kern w:val="0"/>
                <w:szCs w:val="21"/>
              </w:rPr>
            </w:pPr>
          </w:p>
        </w:tc>
      </w:tr>
    </w:tbl>
    <w:p w14:paraId="5E1B37BD">
      <w:pPr>
        <w:spacing w:line="360" w:lineRule="auto"/>
        <w:ind w:right="718" w:rightChars="342"/>
        <w:rPr>
          <w:rFonts w:hint="eastAsia" w:ascii="仿宋" w:hAnsi="仿宋" w:eastAsia="仿宋"/>
          <w:b/>
          <w:i/>
        </w:rPr>
      </w:pPr>
    </w:p>
    <w:p w14:paraId="7D9755AD">
      <w:pPr>
        <w:jc w:val="center"/>
        <w:rPr>
          <w:rFonts w:hint="eastAsia" w:ascii="仿宋" w:hAnsi="仿宋" w:eastAsia="仿宋"/>
          <w:b/>
          <w:sz w:val="24"/>
        </w:rPr>
      </w:pPr>
    </w:p>
    <w:p w14:paraId="54D654BA">
      <w:pPr>
        <w:jc w:val="center"/>
        <w:rPr>
          <w:rFonts w:hint="eastAsia" w:ascii="仿宋" w:hAnsi="仿宋" w:eastAsia="仿宋"/>
          <w:b/>
          <w:sz w:val="24"/>
        </w:rPr>
      </w:pPr>
    </w:p>
    <w:p w14:paraId="543B28D2">
      <w:pPr>
        <w:rPr>
          <w:rFonts w:hint="eastAsia" w:ascii="仿宋" w:hAnsi="仿宋" w:eastAsia="仿宋"/>
          <w:sz w:val="24"/>
        </w:rPr>
      </w:pPr>
    </w:p>
    <w:p w14:paraId="0BC1D6EA">
      <w:pPr>
        <w:rPr>
          <w:rFonts w:hint="eastAsia" w:ascii="仿宋" w:hAnsi="仿宋" w:eastAsia="仿宋"/>
          <w:sz w:val="24"/>
        </w:rPr>
      </w:pPr>
    </w:p>
    <w:p w14:paraId="335FFA69">
      <w:pPr>
        <w:rPr>
          <w:rFonts w:hint="eastAsia" w:ascii="仿宋" w:hAnsi="仿宋" w:eastAsia="仿宋"/>
          <w:sz w:val="24"/>
        </w:rPr>
      </w:pPr>
    </w:p>
    <w:p w14:paraId="3106F1FF">
      <w:pPr>
        <w:rPr>
          <w:rFonts w:hint="eastAsia" w:ascii="仿宋" w:hAnsi="仿宋" w:eastAsia="仿宋"/>
          <w:sz w:val="24"/>
        </w:rPr>
      </w:pPr>
    </w:p>
    <w:p w14:paraId="13A2A270">
      <w:pPr>
        <w:rPr>
          <w:rFonts w:hint="eastAsia" w:ascii="仿宋" w:hAnsi="仿宋" w:eastAsia="仿宋"/>
          <w:sz w:val="24"/>
        </w:rPr>
      </w:pPr>
    </w:p>
    <w:p w14:paraId="0039DB0D">
      <w:pPr>
        <w:rPr>
          <w:rFonts w:hint="eastAsia" w:ascii="仿宋" w:hAnsi="仿宋" w:eastAsia="仿宋"/>
          <w:sz w:val="24"/>
        </w:rPr>
      </w:pPr>
    </w:p>
    <w:p w14:paraId="62758C73">
      <w:pPr>
        <w:rPr>
          <w:rFonts w:hint="eastAsia" w:ascii="仿宋" w:hAnsi="仿宋" w:eastAsia="仿宋"/>
          <w:sz w:val="24"/>
        </w:rPr>
      </w:pPr>
      <w:r>
        <w:rPr>
          <w:rFonts w:ascii="仿宋" w:hAnsi="仿宋" w:eastAsia="仿宋"/>
          <w:sz w:val="24"/>
        </w:rPr>
        <w:br w:type="page"/>
      </w:r>
      <w:r>
        <w:rPr>
          <w:rFonts w:hint="eastAsia" w:ascii="仿宋" w:hAnsi="仿宋" w:eastAsia="仿宋"/>
          <w:sz w:val="24"/>
        </w:rPr>
        <w:t>附件三：</w:t>
      </w:r>
    </w:p>
    <w:p w14:paraId="3791C085">
      <w:pPr>
        <w:jc w:val="center"/>
        <w:rPr>
          <w:rFonts w:ascii="仿宋" w:hAnsi="仿宋" w:eastAsia="仿宋"/>
          <w:b/>
          <w:sz w:val="24"/>
        </w:rPr>
      </w:pPr>
      <w:r>
        <w:rPr>
          <w:rFonts w:ascii="仿宋" w:hAnsi="仿宋" w:eastAsia="仿宋"/>
          <w:b/>
          <w:sz w:val="24"/>
        </w:rPr>
        <w:t>售后服务承诺</w:t>
      </w:r>
      <w:r>
        <w:rPr>
          <w:rFonts w:hint="eastAsia" w:ascii="仿宋" w:hAnsi="仿宋" w:eastAsia="仿宋"/>
          <w:b/>
          <w:sz w:val="24"/>
        </w:rPr>
        <w:t>书</w:t>
      </w:r>
    </w:p>
    <w:p w14:paraId="6AAA3885">
      <w:pPr>
        <w:spacing w:line="360" w:lineRule="auto"/>
        <w:rPr>
          <w:rFonts w:hint="eastAsia" w:ascii="仿宋" w:hAnsi="仿宋" w:eastAsia="仿宋"/>
        </w:rPr>
      </w:pPr>
    </w:p>
    <w:p w14:paraId="345F4E16">
      <w:pPr>
        <w:spacing w:line="360" w:lineRule="auto"/>
        <w:ind w:firstLine="480" w:firstLineChars="200"/>
        <w:rPr>
          <w:rFonts w:hint="eastAsia" w:ascii="仿宋" w:hAnsi="仿宋" w:eastAsia="仿宋"/>
          <w:sz w:val="24"/>
        </w:rPr>
      </w:pPr>
      <w:r>
        <w:rPr>
          <w:rFonts w:hint="eastAsia" w:ascii="仿宋" w:hAnsi="仿宋" w:eastAsia="仿宋"/>
          <w:sz w:val="24"/>
        </w:rPr>
        <w:t>1、本公司所售------机器整机免费保修期为------个月。保修期内，所有服务和配件全部免费费用均包含在此次报价中，因使用者使用不当造成的机器损坏，酌情收取零件费。保修期满后，不收取维修费（即人工费），只收取配件费。</w:t>
      </w:r>
    </w:p>
    <w:p w14:paraId="485BEE07">
      <w:pPr>
        <w:spacing w:line="360" w:lineRule="auto"/>
        <w:ind w:firstLine="480" w:firstLineChars="200"/>
        <w:rPr>
          <w:rFonts w:hint="eastAsia" w:ascii="仿宋" w:hAnsi="仿宋" w:eastAsia="仿宋"/>
          <w:sz w:val="24"/>
        </w:rPr>
      </w:pPr>
      <w:r>
        <w:rPr>
          <w:rFonts w:hint="eastAsia" w:ascii="仿宋" w:hAnsi="仿宋" w:eastAsia="仿宋"/>
          <w:sz w:val="24"/>
        </w:rPr>
        <w:t>2、按照合同要求装机，装机时提供完整的资料，包括中英文操作和维修手册、相应的质检证明文件。</w:t>
      </w:r>
    </w:p>
    <w:p w14:paraId="0843FD0E">
      <w:pPr>
        <w:spacing w:line="360" w:lineRule="auto"/>
        <w:ind w:firstLine="480" w:firstLineChars="200"/>
        <w:rPr>
          <w:rFonts w:hint="eastAsia" w:ascii="仿宋" w:hAnsi="仿宋" w:eastAsia="仿宋"/>
          <w:sz w:val="24"/>
        </w:rPr>
      </w:pPr>
      <w:r>
        <w:rPr>
          <w:rFonts w:hint="eastAsia" w:ascii="仿宋" w:hAnsi="仿宋" w:eastAsia="仿宋"/>
          <w:sz w:val="24"/>
        </w:rPr>
        <w:t>3、我公司负责免费运输到指定地点，并负责免费的安装、调试、培训。</w:t>
      </w:r>
    </w:p>
    <w:p w14:paraId="0A150623">
      <w:pPr>
        <w:spacing w:line="360" w:lineRule="auto"/>
        <w:ind w:firstLine="480" w:firstLineChars="200"/>
        <w:rPr>
          <w:rFonts w:hint="eastAsia" w:ascii="仿宋" w:hAnsi="仿宋" w:eastAsia="仿宋"/>
          <w:sz w:val="24"/>
        </w:rPr>
      </w:pPr>
      <w:r>
        <w:rPr>
          <w:rFonts w:hint="eastAsia" w:ascii="仿宋" w:hAnsi="仿宋" w:eastAsia="仿宋"/>
          <w:sz w:val="24"/>
        </w:rPr>
        <w:t>4、本公司建有------机器所有消耗品库和配件库，负责提供给客户所需的各种型号的------及维修配件。</w:t>
      </w:r>
    </w:p>
    <w:p w14:paraId="1FD710AD">
      <w:pPr>
        <w:spacing w:line="360" w:lineRule="auto"/>
        <w:ind w:firstLine="480" w:firstLineChars="200"/>
        <w:rPr>
          <w:rFonts w:hint="eastAsia" w:ascii="仿宋" w:hAnsi="仿宋" w:eastAsia="仿宋"/>
          <w:sz w:val="24"/>
        </w:rPr>
      </w:pPr>
      <w:r>
        <w:rPr>
          <w:rFonts w:hint="eastAsia" w:ascii="仿宋" w:hAnsi="仿宋" w:eastAsia="仿宋"/>
          <w:sz w:val="24"/>
        </w:rPr>
        <w:t>5、公司设有专门的客服部，</w:t>
      </w:r>
      <w:r>
        <w:rPr>
          <w:rFonts w:hint="eastAsia" w:ascii="仿宋" w:hAnsi="仿宋" w:eastAsia="仿宋" w:cs="仿宋"/>
          <w:sz w:val="24"/>
        </w:rPr>
        <w:t>提供7*24小时电话故障诊断服务；现场故障排除服务，在接到故障报警后1小时内提供解决方案，2小时之内指导修复，如不能排除，采用现场维修的方式解决，技术人员应在收到通知后6小时内到达买方现场，</w:t>
      </w:r>
      <w:r>
        <w:rPr>
          <w:rFonts w:hint="eastAsia" w:ascii="仿宋" w:hAnsi="仿宋" w:eastAsia="仿宋"/>
          <w:sz w:val="24"/>
        </w:rPr>
        <w:t>12小时内进行故障排除。主机保修期间，如短时间内无法修复的，可提供备用样机使用。</w:t>
      </w:r>
    </w:p>
    <w:p w14:paraId="47FE3D07">
      <w:pPr>
        <w:spacing w:line="360" w:lineRule="auto"/>
        <w:ind w:firstLine="480" w:firstLineChars="200"/>
        <w:rPr>
          <w:rFonts w:hint="eastAsia" w:ascii="仿宋" w:hAnsi="仿宋" w:eastAsia="仿宋"/>
          <w:sz w:val="24"/>
        </w:rPr>
      </w:pPr>
      <w:r>
        <w:rPr>
          <w:rFonts w:hint="eastAsia" w:ascii="仿宋" w:hAnsi="仿宋" w:eastAsia="仿宋"/>
          <w:sz w:val="24"/>
        </w:rPr>
        <w:t>6、具有5年以上------应用和维修经验的专职工程师------余人，负责对每台售出的机器进行定期保养和维修。</w:t>
      </w:r>
    </w:p>
    <w:p w14:paraId="6C5324ED">
      <w:pPr>
        <w:spacing w:line="360" w:lineRule="auto"/>
        <w:ind w:firstLine="480" w:firstLineChars="200"/>
        <w:rPr>
          <w:rFonts w:hint="eastAsia" w:ascii="仿宋" w:hAnsi="仿宋" w:eastAsia="仿宋"/>
          <w:sz w:val="24"/>
        </w:rPr>
      </w:pPr>
      <w:r>
        <w:rPr>
          <w:rFonts w:hint="eastAsia" w:ascii="仿宋" w:hAnsi="仿宋" w:eastAsia="仿宋"/>
          <w:sz w:val="24"/>
        </w:rPr>
        <w:t>7、每台售出------机器都建有档案，集中管理，并可享受原厂提供的免费升级服务。</w:t>
      </w:r>
    </w:p>
    <w:p w14:paraId="724D31CA">
      <w:pPr>
        <w:spacing w:line="360" w:lineRule="auto"/>
        <w:ind w:firstLine="480" w:firstLineChars="200"/>
        <w:rPr>
          <w:rFonts w:ascii="仿宋" w:hAnsi="仿宋" w:eastAsia="仿宋"/>
          <w:sz w:val="24"/>
        </w:rPr>
      </w:pPr>
      <w:r>
        <w:rPr>
          <w:rFonts w:hint="eastAsia" w:ascii="仿宋" w:hAnsi="仿宋" w:eastAsia="仿宋"/>
          <w:sz w:val="24"/>
        </w:rPr>
        <w:t>8、承诺设备生命周期内按产品说明书规定频次提供巡视性维护保养。</w:t>
      </w:r>
    </w:p>
    <w:p w14:paraId="3E24B05F">
      <w:pPr>
        <w:spacing w:line="360" w:lineRule="auto"/>
        <w:ind w:firstLine="480" w:firstLineChars="200"/>
        <w:rPr>
          <w:rFonts w:hint="eastAsia" w:ascii="仿宋" w:hAnsi="仿宋" w:eastAsia="仿宋"/>
          <w:sz w:val="24"/>
        </w:rPr>
      </w:pPr>
    </w:p>
    <w:p w14:paraId="461E732D">
      <w:pPr>
        <w:spacing w:line="360" w:lineRule="auto"/>
        <w:ind w:firstLine="480" w:firstLineChars="200"/>
        <w:rPr>
          <w:rFonts w:hint="eastAsia" w:ascii="仿宋" w:hAnsi="仿宋" w:eastAsia="仿宋"/>
          <w:sz w:val="24"/>
        </w:rPr>
      </w:pPr>
    </w:p>
    <w:p w14:paraId="74E77220">
      <w:pPr>
        <w:spacing w:line="360" w:lineRule="auto"/>
        <w:ind w:firstLine="480" w:firstLineChars="200"/>
        <w:rPr>
          <w:rFonts w:hint="eastAsia" w:ascii="仿宋" w:hAnsi="仿宋" w:eastAsia="仿宋"/>
          <w:sz w:val="24"/>
        </w:rPr>
      </w:pPr>
    </w:p>
    <w:p w14:paraId="24A314D0">
      <w:pPr>
        <w:spacing w:line="360" w:lineRule="auto"/>
        <w:ind w:firstLine="480" w:firstLineChars="200"/>
        <w:rPr>
          <w:rFonts w:hint="eastAsia" w:ascii="仿宋" w:hAnsi="仿宋" w:eastAsia="仿宋"/>
          <w:sz w:val="24"/>
        </w:rPr>
      </w:pPr>
    </w:p>
    <w:p w14:paraId="5AB648A6">
      <w:pPr>
        <w:spacing w:line="360" w:lineRule="auto"/>
        <w:ind w:firstLine="480" w:firstLineChars="200"/>
        <w:rPr>
          <w:rFonts w:hint="eastAsia" w:ascii="仿宋" w:hAnsi="仿宋" w:eastAsia="仿宋"/>
          <w:sz w:val="24"/>
        </w:rPr>
      </w:pPr>
    </w:p>
    <w:p w14:paraId="36847A98">
      <w:pPr>
        <w:spacing w:line="360" w:lineRule="auto"/>
        <w:ind w:firstLine="480" w:firstLineChars="200"/>
        <w:rPr>
          <w:rFonts w:hint="eastAsia" w:ascii="仿宋" w:hAnsi="仿宋" w:eastAsia="仿宋"/>
          <w:sz w:val="24"/>
        </w:rPr>
      </w:pPr>
    </w:p>
    <w:p w14:paraId="1F08C183">
      <w:pPr>
        <w:spacing w:line="360" w:lineRule="auto"/>
        <w:ind w:firstLine="480" w:firstLineChars="200"/>
        <w:rPr>
          <w:rFonts w:hint="eastAsia" w:ascii="仿宋" w:hAnsi="仿宋" w:eastAsia="仿宋"/>
          <w:sz w:val="24"/>
        </w:rPr>
      </w:pPr>
    </w:p>
    <w:p w14:paraId="36904B51">
      <w:pPr>
        <w:spacing w:line="360" w:lineRule="auto"/>
        <w:ind w:firstLine="480" w:firstLineChars="200"/>
        <w:rPr>
          <w:rFonts w:hint="eastAsia" w:ascii="仿宋" w:hAnsi="仿宋" w:eastAsia="仿宋"/>
          <w:sz w:val="24"/>
        </w:rPr>
      </w:pPr>
    </w:p>
    <w:p w14:paraId="6C0B406E">
      <w:pPr>
        <w:spacing w:line="360" w:lineRule="auto"/>
        <w:ind w:firstLine="480" w:firstLineChars="200"/>
        <w:rPr>
          <w:rFonts w:hint="eastAsia" w:ascii="仿宋" w:hAnsi="仿宋" w:eastAsia="仿宋"/>
          <w:sz w:val="24"/>
        </w:rPr>
      </w:pPr>
    </w:p>
    <w:p w14:paraId="5E373052">
      <w:pPr>
        <w:spacing w:line="360" w:lineRule="auto"/>
        <w:ind w:firstLine="480" w:firstLineChars="200"/>
        <w:rPr>
          <w:rFonts w:hint="eastAsia" w:ascii="仿宋" w:hAnsi="仿宋" w:eastAsia="仿宋"/>
          <w:sz w:val="24"/>
        </w:rPr>
      </w:pPr>
    </w:p>
    <w:p w14:paraId="5259DEE1">
      <w:pPr>
        <w:spacing w:line="360" w:lineRule="auto"/>
        <w:rPr>
          <w:rFonts w:hint="eastAsia" w:ascii="仿宋" w:hAnsi="仿宋" w:eastAsia="仿宋"/>
          <w:sz w:val="24"/>
        </w:rPr>
      </w:pPr>
      <w:r>
        <w:rPr>
          <w:rFonts w:hint="eastAsia" w:ascii="仿宋" w:hAnsi="仿宋" w:eastAsia="仿宋"/>
          <w:sz w:val="24"/>
        </w:rPr>
        <w:t>附件四：</w:t>
      </w:r>
    </w:p>
    <w:p w14:paraId="25CF4BD1">
      <w:pPr>
        <w:spacing w:line="360" w:lineRule="auto"/>
        <w:rPr>
          <w:rFonts w:hint="eastAsia" w:ascii="仿宋" w:hAnsi="仿宋" w:eastAsia="仿宋"/>
          <w:sz w:val="24"/>
        </w:rPr>
      </w:pPr>
      <w:r>
        <w:rPr>
          <w:rFonts w:hint="eastAsia" w:ascii="仿宋" w:hAnsi="仿宋" w:eastAsia="仿宋"/>
          <w:sz w:val="24"/>
        </w:rPr>
        <w:t>附件五：</w:t>
      </w:r>
    </w:p>
    <w:p w14:paraId="219DF7A7">
      <w:pPr>
        <w:spacing w:line="360" w:lineRule="auto"/>
        <w:rPr>
          <w:rFonts w:hint="eastAsia" w:ascii="仿宋" w:hAnsi="仿宋" w:eastAsia="仿宋"/>
          <w:sz w:val="24"/>
        </w:rPr>
      </w:pPr>
      <w:r>
        <w:rPr>
          <w:rFonts w:hint="eastAsia" w:ascii="仿宋" w:hAnsi="仿宋" w:eastAsia="仿宋"/>
          <w:sz w:val="24"/>
        </w:rPr>
        <w:t>附件六：</w:t>
      </w:r>
    </w:p>
    <w:p w14:paraId="4A13D622">
      <w:pPr>
        <w:spacing w:line="360" w:lineRule="auto"/>
        <w:rPr>
          <w:rFonts w:hint="eastAsia" w:ascii="仿宋" w:hAnsi="仿宋" w:eastAsia="仿宋"/>
          <w:sz w:val="24"/>
        </w:rPr>
      </w:pPr>
      <w:r>
        <w:rPr>
          <w:rFonts w:hint="eastAsia" w:ascii="仿宋" w:hAnsi="仿宋" w:eastAsia="仿宋"/>
          <w:sz w:val="24"/>
        </w:rPr>
        <w:t>附件七：</w:t>
      </w:r>
    </w:p>
    <w:p w14:paraId="4F6C0A6D">
      <w:pPr>
        <w:spacing w:line="360" w:lineRule="auto"/>
        <w:rPr>
          <w:rFonts w:hint="eastAsia" w:ascii="仿宋" w:hAnsi="仿宋" w:eastAsia="仿宋"/>
          <w:sz w:val="24"/>
        </w:rPr>
      </w:pPr>
      <w:r>
        <w:rPr>
          <w:rFonts w:hint="eastAsia" w:ascii="仿宋" w:hAnsi="仿宋" w:eastAsia="仿宋"/>
          <w:sz w:val="24"/>
        </w:rPr>
        <w:t>附件八：</w:t>
      </w:r>
    </w:p>
    <w:p w14:paraId="027B35E6">
      <w:pPr>
        <w:spacing w:line="360" w:lineRule="auto"/>
        <w:rPr>
          <w:rFonts w:hint="eastAsia" w:ascii="仿宋" w:hAnsi="仿宋" w:eastAsia="仿宋"/>
          <w:sz w:val="24"/>
        </w:rPr>
      </w:pPr>
      <w:r>
        <w:rPr>
          <w:rFonts w:hint="eastAsia" w:ascii="仿宋" w:hAnsi="仿宋" w:eastAsia="仿宋"/>
          <w:sz w:val="24"/>
        </w:rPr>
        <w:t>附件九：</w:t>
      </w:r>
    </w:p>
    <w:p w14:paraId="5FD7E24A">
      <w:pPr>
        <w:spacing w:line="360" w:lineRule="auto"/>
        <w:rPr>
          <w:rFonts w:hint="eastAsia" w:ascii="仿宋" w:hAnsi="仿宋" w:eastAsia="仿宋"/>
          <w:sz w:val="24"/>
        </w:rPr>
      </w:pPr>
      <w:r>
        <w:rPr>
          <w:rFonts w:hint="eastAsia" w:ascii="仿宋" w:hAnsi="仿宋" w:eastAsia="仿宋"/>
          <w:sz w:val="24"/>
        </w:rPr>
        <w:t>附件十：</w:t>
      </w:r>
    </w:p>
    <w:p w14:paraId="06F37EDC">
      <w:pPr>
        <w:rPr>
          <w:rFonts w:hint="eastAsia" w:ascii="仿宋" w:hAnsi="仿宋" w:eastAsia="仿宋"/>
          <w:sz w:val="24"/>
        </w:rPr>
      </w:pPr>
      <w:bookmarkStart w:id="921" w:name="OLE_LINK3"/>
      <w:r>
        <w:rPr>
          <w:rFonts w:hint="eastAsia" w:ascii="仿宋" w:hAnsi="仿宋" w:eastAsia="仿宋"/>
          <w:sz w:val="24"/>
        </w:rPr>
        <w:br w:type="page"/>
      </w:r>
    </w:p>
    <w:p w14:paraId="3E05606D">
      <w:pPr>
        <w:spacing w:line="560" w:lineRule="exact"/>
        <w:rPr>
          <w:rFonts w:hint="eastAsia" w:ascii="仿宋" w:hAnsi="仿宋" w:eastAsia="仿宋"/>
          <w:sz w:val="24"/>
        </w:rPr>
      </w:pPr>
      <w:r>
        <w:rPr>
          <w:rFonts w:hint="eastAsia" w:ascii="仿宋" w:hAnsi="仿宋" w:eastAsia="仿宋"/>
          <w:sz w:val="24"/>
        </w:rPr>
        <w:t>附件十一：</w:t>
      </w:r>
    </w:p>
    <w:p w14:paraId="3CF83087">
      <w:pPr>
        <w:autoSpaceDE w:val="0"/>
        <w:autoSpaceDN w:val="0"/>
        <w:adjustRightInd w:val="0"/>
        <w:spacing w:line="540" w:lineRule="exact"/>
        <w:ind w:firstLine="3600" w:firstLineChars="1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安全生产协议书</w:t>
      </w:r>
    </w:p>
    <w:p w14:paraId="45229FAC">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买方：</w:t>
      </w:r>
      <w:r>
        <w:rPr>
          <w:rFonts w:hint="eastAsia" w:ascii="仿宋" w:hAnsi="仿宋" w:eastAsia="仿宋" w:cs="仿宋"/>
          <w:color w:val="000000"/>
          <w:kern w:val="0"/>
          <w:sz w:val="30"/>
          <w:szCs w:val="30"/>
          <w:lang w:val="zh-CN"/>
        </w:rPr>
        <w:t>北京市顺义区医院</w:t>
      </w:r>
    </w:p>
    <w:p w14:paraId="27E9C2F5">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住所地：</w:t>
      </w:r>
      <w:r>
        <w:rPr>
          <w:rFonts w:hint="eastAsia" w:ascii="仿宋" w:hAnsi="仿宋" w:eastAsia="仿宋" w:cs="仿宋"/>
          <w:color w:val="000000"/>
          <w:kern w:val="0"/>
          <w:sz w:val="30"/>
          <w:szCs w:val="30"/>
          <w:lang w:val="zh-CN"/>
        </w:rPr>
        <w:t>北京市顺义区光明南街3号</w:t>
      </w:r>
    </w:p>
    <w:p w14:paraId="001ACF34">
      <w:pPr>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卖方：</w:t>
      </w:r>
    </w:p>
    <w:p w14:paraId="11519DFE">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住所地：</w:t>
      </w:r>
    </w:p>
    <w:p w14:paraId="1DD8B7D8">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为确保顺义医院区域工作正常有序，预防安全生产事故、消防事故及治安案件、刑事案件的发生，依据《中华人民共和国安全生产法》、《中华人民共和国消防法》、《北京市消防条例》等相关法律法规的规定，经甲、乙双方商定一致，就安全管理工作事宜签订本协议如下：</w:t>
      </w:r>
    </w:p>
    <w:p w14:paraId="6A1B9C3D">
      <w:pPr>
        <w:autoSpaceDE w:val="0"/>
        <w:autoSpaceDN w:val="0"/>
        <w:adjustRightInd w:val="0"/>
        <w:spacing w:line="540" w:lineRule="exact"/>
        <w:ind w:firstLine="602" w:firstLineChars="200"/>
        <w:rPr>
          <w:rFonts w:hint="eastAsia" w:ascii="仿宋" w:hAnsi="仿宋" w:eastAsia="仿宋" w:cs="仿宋"/>
          <w:b/>
          <w:bCs/>
          <w:kern w:val="0"/>
          <w:sz w:val="30"/>
          <w:szCs w:val="30"/>
        </w:rPr>
      </w:pPr>
      <w:r>
        <w:rPr>
          <w:rFonts w:hint="eastAsia" w:ascii="仿宋" w:hAnsi="仿宋" w:eastAsia="仿宋" w:cs="仿宋"/>
          <w:b/>
          <w:bCs/>
          <w:kern w:val="0"/>
          <w:sz w:val="30"/>
          <w:szCs w:val="30"/>
        </w:rPr>
        <w:t>第一条：</w:t>
      </w:r>
    </w:p>
    <w:p w14:paraId="6778217C">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rPr>
        <w:t>一.卖方在日常服务或运维过程中，如需开展</w:t>
      </w:r>
      <w:r>
        <w:rPr>
          <w:rFonts w:hint="eastAsia" w:ascii="仿宋" w:hAnsi="仿宋" w:eastAsia="仿宋" w:cs="仿宋"/>
          <w:kern w:val="0"/>
          <w:sz w:val="30"/>
          <w:szCs w:val="30"/>
          <w:lang w:val="zh-CN"/>
        </w:rPr>
        <w:t>有限空间作业、动火作业、外墙清洗、烟道清洗、冷库作业；水、电、气、暖作业及各类特种作业等，应按医院相关要求进行作业审批报备，完善审批手续后方可施工作业；</w:t>
      </w:r>
      <w:r>
        <w:rPr>
          <w:rFonts w:hint="eastAsia" w:ascii="仿宋" w:hAnsi="仿宋" w:eastAsia="仿宋" w:cs="仿宋"/>
          <w:kern w:val="0"/>
          <w:sz w:val="30"/>
          <w:szCs w:val="30"/>
        </w:rPr>
        <w:t>严禁违规私自作业，私自作业的由卖方承担相应责任。对于开展施工作业的，卖方须制定</w:t>
      </w:r>
      <w:r>
        <w:rPr>
          <w:rFonts w:hint="eastAsia" w:ascii="仿宋" w:hAnsi="仿宋" w:eastAsia="仿宋" w:cs="仿宋"/>
          <w:kern w:val="0"/>
          <w:sz w:val="30"/>
          <w:szCs w:val="30"/>
          <w:lang w:val="zh-CN"/>
        </w:rPr>
        <w:t>作业方案</w:t>
      </w:r>
      <w:r>
        <w:rPr>
          <w:rFonts w:hint="eastAsia" w:ascii="仿宋" w:hAnsi="仿宋" w:eastAsia="仿宋" w:cs="仿宋"/>
          <w:kern w:val="0"/>
          <w:sz w:val="30"/>
          <w:szCs w:val="30"/>
        </w:rPr>
        <w:t>、配备劳动防护用品、安全警示标志和应急救援设备，</w:t>
      </w:r>
      <w:r>
        <w:rPr>
          <w:rFonts w:hint="eastAsia" w:ascii="仿宋" w:hAnsi="仿宋" w:eastAsia="仿宋" w:cs="仿宋"/>
          <w:kern w:val="0"/>
          <w:sz w:val="30"/>
          <w:szCs w:val="30"/>
          <w:lang w:val="zh-CN"/>
        </w:rPr>
        <w:t>落实安全防范措施、并</w:t>
      </w:r>
      <w:r>
        <w:rPr>
          <w:rFonts w:hint="eastAsia" w:ascii="仿宋" w:hAnsi="仿宋" w:eastAsia="仿宋" w:cs="仿宋"/>
          <w:kern w:val="0"/>
          <w:sz w:val="30"/>
          <w:szCs w:val="30"/>
        </w:rPr>
        <w:t>安排专门人员进行现场管理，确保人员遵守操作规程并落实安全防范措施，</w:t>
      </w:r>
      <w:r>
        <w:rPr>
          <w:rFonts w:hint="eastAsia" w:ascii="仿宋" w:hAnsi="仿宋" w:eastAsia="仿宋" w:cs="仿宋"/>
          <w:kern w:val="0"/>
          <w:sz w:val="30"/>
          <w:szCs w:val="30"/>
          <w:lang w:val="zh-CN"/>
        </w:rPr>
        <w:t>同时制定</w:t>
      </w:r>
      <w:r>
        <w:rPr>
          <w:rFonts w:hint="eastAsia" w:ascii="仿宋" w:hAnsi="仿宋" w:eastAsia="仿宋" w:cs="仿宋"/>
          <w:kern w:val="0"/>
          <w:sz w:val="30"/>
          <w:szCs w:val="30"/>
        </w:rPr>
        <w:t>事故报告和应急救援预案等措施。</w:t>
      </w:r>
    </w:p>
    <w:p w14:paraId="6BA251A8">
      <w:pPr>
        <w:autoSpaceDE w:val="0"/>
        <w:autoSpaceDN w:val="0"/>
        <w:adjustRightInd w:val="0"/>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二.卖方应加强现场作业人员安全教育、风险辨识和管控，督促从业人员遵守安全操作规程。向作业人员告知作业现场和工作岗位存在的危险因素、防范措施以及事故应急措施。</w:t>
      </w:r>
    </w:p>
    <w:p w14:paraId="6BD3ED49">
      <w:pPr>
        <w:autoSpaceDE w:val="0"/>
        <w:autoSpaceDN w:val="0"/>
        <w:adjustRightInd w:val="0"/>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三.卖方应保障所辖区域的安全出口和疏散通道畅通，不得埋压、圈占、遮挡消火栓。不得违规存放易燃易爆物品、危险化学品、放射性物品等危险物品。</w:t>
      </w:r>
    </w:p>
    <w:p w14:paraId="1AD66181">
      <w:pPr>
        <w:autoSpaceDE w:val="0"/>
        <w:autoSpaceDN w:val="0"/>
        <w:adjustRightInd w:val="0"/>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四.</w:t>
      </w:r>
      <w:r>
        <w:rPr>
          <w:rFonts w:hint="eastAsia" w:ascii="仿宋" w:hAnsi="仿宋" w:eastAsia="仿宋" w:cs="仿宋"/>
          <w:kern w:val="0"/>
          <w:sz w:val="30"/>
          <w:szCs w:val="30"/>
          <w:lang w:val="zh-CN"/>
        </w:rPr>
        <w:t>医院主管职能科室负责审查卖方的资质、信用记录、安全生产条件、特种作业人员资格等，并对相关资料进行存档。开展</w:t>
      </w:r>
      <w:r>
        <w:rPr>
          <w:rFonts w:hint="eastAsia" w:ascii="仿宋" w:hAnsi="仿宋" w:eastAsia="仿宋" w:cs="仿宋"/>
          <w:kern w:val="0"/>
          <w:sz w:val="30"/>
          <w:szCs w:val="30"/>
        </w:rPr>
        <w:t>特种作业的人员须持真实有效、符合操作类别的特种作业操作证件上岗作业。</w:t>
      </w:r>
      <w:r>
        <w:rPr>
          <w:rFonts w:hint="eastAsia" w:ascii="仿宋" w:hAnsi="仿宋" w:eastAsia="仿宋" w:cs="仿宋"/>
          <w:kern w:val="0"/>
          <w:sz w:val="30"/>
          <w:szCs w:val="30"/>
          <w:lang w:val="zh-CN"/>
        </w:rPr>
        <w:t>不具备资质的严禁作业或终止合同。</w:t>
      </w:r>
    </w:p>
    <w:p w14:paraId="641E5D9F">
      <w:pPr>
        <w:autoSpaceDE w:val="0"/>
        <w:autoSpaceDN w:val="0"/>
        <w:adjustRightInd w:val="0"/>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五.</w:t>
      </w:r>
      <w:r>
        <w:rPr>
          <w:rFonts w:hint="eastAsia" w:ascii="仿宋" w:hAnsi="仿宋" w:eastAsia="仿宋" w:cs="仿宋"/>
          <w:kern w:val="0"/>
          <w:sz w:val="30"/>
          <w:szCs w:val="30"/>
          <w:lang w:val="zh-CN"/>
        </w:rPr>
        <w:t>医院主管职能科室应与卖方</w:t>
      </w:r>
      <w:r>
        <w:rPr>
          <w:rFonts w:hint="eastAsia" w:ascii="仿宋" w:hAnsi="仿宋" w:eastAsia="仿宋" w:cs="仿宋"/>
          <w:kern w:val="0"/>
          <w:sz w:val="30"/>
          <w:szCs w:val="30"/>
        </w:rPr>
        <w:t>约定管理区域、人员和设施设备。卖方应加强对相关区域、人员及设施设备的安全运维保障及巡查，并负直接管理责任。</w:t>
      </w:r>
    </w:p>
    <w:p w14:paraId="6266DB7F">
      <w:pPr>
        <w:autoSpaceDE w:val="0"/>
        <w:autoSpaceDN w:val="0"/>
        <w:adjustRightInd w:val="0"/>
        <w:spacing w:line="540" w:lineRule="exact"/>
        <w:ind w:firstLine="600" w:firstLineChars="200"/>
        <w:rPr>
          <w:rFonts w:hint="eastAsia" w:ascii="仿宋" w:hAnsi="仿宋" w:eastAsia="仿宋" w:cs="仿宋"/>
          <w:kern w:val="0"/>
          <w:sz w:val="30"/>
          <w:szCs w:val="30"/>
        </w:rPr>
      </w:pPr>
      <w:r>
        <w:rPr>
          <w:rFonts w:hint="eastAsia" w:ascii="仿宋" w:hAnsi="仿宋" w:eastAsia="仿宋" w:cs="仿宋"/>
          <w:kern w:val="0"/>
          <w:sz w:val="30"/>
          <w:szCs w:val="30"/>
        </w:rPr>
        <w:t>六.</w:t>
      </w:r>
      <w:r>
        <w:rPr>
          <w:rFonts w:hint="eastAsia" w:ascii="仿宋" w:hAnsi="仿宋" w:eastAsia="仿宋" w:cs="仿宋"/>
          <w:kern w:val="0"/>
          <w:sz w:val="30"/>
          <w:szCs w:val="30"/>
          <w:lang w:val="zh-CN"/>
        </w:rPr>
        <w:t>医院主管职能科室应</w:t>
      </w:r>
      <w:r>
        <w:rPr>
          <w:rFonts w:hint="eastAsia" w:ascii="仿宋" w:hAnsi="仿宋" w:eastAsia="仿宋" w:cs="仿宋"/>
          <w:kern w:val="0"/>
          <w:sz w:val="30"/>
          <w:szCs w:val="30"/>
        </w:rPr>
        <w:t>对卖方落实安全生产工作进行评估考核，定期进行安全检查，并做好检查记录。发现有安全隐患的，督促卖方采取措施及时消除。安全隐患不能及时消除或者排除过程中无法确保安全的，应当采取措施暂停作业或停止场所、设施设备使用。拒不执行的，医院有权对卖方进行处罚，并及时报告属地政府或行业主管部门。</w:t>
      </w:r>
    </w:p>
    <w:p w14:paraId="4E4A537C">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rPr>
        <w:t>七.卖方应督促全员积极参加医院组织的消防安全培训、疏散演练等，并对所管辖人员定期开展应急演练。</w:t>
      </w:r>
    </w:p>
    <w:p w14:paraId="56F5BAFD">
      <w:pPr>
        <w:autoSpaceDE w:val="0"/>
        <w:autoSpaceDN w:val="0"/>
        <w:adjustRightInd w:val="0"/>
        <w:spacing w:line="540" w:lineRule="exact"/>
        <w:ind w:firstLine="602" w:firstLineChars="200"/>
        <w:rPr>
          <w:rFonts w:hint="eastAsia" w:ascii="仿宋" w:hAnsi="仿宋" w:eastAsia="仿宋" w:cs="仿宋"/>
          <w:kern w:val="0"/>
          <w:sz w:val="30"/>
          <w:szCs w:val="30"/>
          <w:lang w:val="zh-CN"/>
        </w:rPr>
      </w:pPr>
      <w:r>
        <w:rPr>
          <w:rFonts w:hint="eastAsia" w:ascii="仿宋" w:hAnsi="仿宋" w:eastAsia="仿宋" w:cs="仿宋"/>
          <w:b/>
          <w:bCs/>
          <w:kern w:val="0"/>
          <w:sz w:val="30"/>
          <w:szCs w:val="30"/>
          <w:lang w:val="zh-CN"/>
        </w:rPr>
        <w:t>第二条：</w:t>
      </w:r>
      <w:r>
        <w:rPr>
          <w:rFonts w:hint="eastAsia" w:ascii="仿宋" w:hAnsi="仿宋" w:eastAsia="仿宋" w:cs="仿宋"/>
          <w:kern w:val="0"/>
          <w:sz w:val="30"/>
          <w:szCs w:val="30"/>
          <w:lang w:val="zh-CN"/>
        </w:rPr>
        <w:t>卖方及卖方人员进入北京市顺义区医院工作，必须遵守本协议。本协议所称卖方人员包括卖方管理人员和工作人员等。</w:t>
      </w:r>
    </w:p>
    <w:p w14:paraId="14048225">
      <w:pPr>
        <w:autoSpaceDE w:val="0"/>
        <w:autoSpaceDN w:val="0"/>
        <w:adjustRightInd w:val="0"/>
        <w:spacing w:line="540" w:lineRule="exact"/>
        <w:ind w:firstLine="602" w:firstLineChars="200"/>
        <w:rPr>
          <w:rFonts w:hint="eastAsia" w:ascii="仿宋" w:hAnsi="仿宋" w:eastAsia="仿宋" w:cs="仿宋"/>
          <w:kern w:val="0"/>
          <w:sz w:val="30"/>
          <w:szCs w:val="30"/>
          <w:lang w:val="zh-CN"/>
        </w:rPr>
      </w:pPr>
      <w:r>
        <w:rPr>
          <w:rFonts w:hint="eastAsia" w:ascii="仿宋" w:hAnsi="仿宋" w:eastAsia="仿宋" w:cs="仿宋"/>
          <w:b/>
          <w:bCs/>
          <w:kern w:val="0"/>
          <w:sz w:val="30"/>
          <w:szCs w:val="30"/>
          <w:lang w:val="zh-CN"/>
        </w:rPr>
        <w:t>第三条：</w:t>
      </w:r>
      <w:r>
        <w:rPr>
          <w:rFonts w:hint="eastAsia" w:ascii="仿宋" w:hAnsi="仿宋" w:eastAsia="仿宋" w:cs="仿宋"/>
          <w:kern w:val="0"/>
          <w:sz w:val="30"/>
          <w:szCs w:val="30"/>
          <w:lang w:val="zh-CN"/>
        </w:rPr>
        <w:t>卖方接受买方安全监督的内容包括但不限于作业安全、人身安全、设备安全、环境保护、治安、消防等方面。</w:t>
      </w:r>
    </w:p>
    <w:p w14:paraId="3F3254DC">
      <w:pPr>
        <w:autoSpaceDE w:val="0"/>
        <w:autoSpaceDN w:val="0"/>
        <w:adjustRightInd w:val="0"/>
        <w:spacing w:line="540" w:lineRule="exact"/>
        <w:ind w:firstLine="602" w:firstLineChars="200"/>
        <w:rPr>
          <w:rFonts w:hint="eastAsia" w:ascii="仿宋" w:hAnsi="仿宋" w:eastAsia="仿宋" w:cs="仿宋"/>
          <w:b/>
          <w:bCs/>
          <w:kern w:val="0"/>
          <w:sz w:val="30"/>
          <w:szCs w:val="30"/>
          <w:lang w:val="zh-CN"/>
        </w:rPr>
      </w:pPr>
      <w:r>
        <w:rPr>
          <w:rFonts w:hint="eastAsia" w:ascii="仿宋" w:hAnsi="仿宋" w:eastAsia="仿宋" w:cs="仿宋"/>
          <w:b/>
          <w:bCs/>
          <w:kern w:val="0"/>
          <w:sz w:val="30"/>
          <w:szCs w:val="30"/>
          <w:lang w:val="zh-CN"/>
        </w:rPr>
        <w:t>第四条：买方的权利和义务</w:t>
      </w:r>
    </w:p>
    <w:p w14:paraId="72949220">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一、买方有权对卖方的工作区域、工作内容进行安全监督和检查，发现存在重大安全隐患的，买方有权下发隐患整改通知书，责令卖方进行整改。对存在重大安全隐患或卖方整改不力的，买方有权暂停卖方的工作。</w:t>
      </w:r>
    </w:p>
    <w:p w14:paraId="6D312A53">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二、卖方违规操作或不服从买方监督的，买方有权下发整改通知。对卖方未按照买方要求整改或拒不改正的，买方有权停止卖方的工作并解除《</w:t>
      </w:r>
      <w:r>
        <w:rPr>
          <w:rFonts w:hint="eastAsia" w:ascii="仿宋" w:hAnsi="仿宋" w:eastAsia="仿宋" w:cs="仿宋"/>
          <w:sz w:val="30"/>
          <w:szCs w:val="30"/>
        </w:rPr>
        <w:t>xxxxxxxxxxxxxxx</w:t>
      </w:r>
      <w:r>
        <w:rPr>
          <w:rFonts w:hint="eastAsia" w:ascii="仿宋" w:hAnsi="仿宋" w:eastAsia="仿宋" w:cs="仿宋"/>
          <w:kern w:val="0"/>
          <w:sz w:val="30"/>
          <w:szCs w:val="30"/>
          <w:lang w:val="zh-CN"/>
        </w:rPr>
        <w:t>合同》。</w:t>
      </w:r>
    </w:p>
    <w:p w14:paraId="33F1289C">
      <w:pPr>
        <w:autoSpaceDE w:val="0"/>
        <w:autoSpaceDN w:val="0"/>
        <w:adjustRightInd w:val="0"/>
        <w:spacing w:line="540" w:lineRule="exact"/>
        <w:ind w:firstLine="602" w:firstLineChars="200"/>
        <w:rPr>
          <w:rFonts w:hint="eastAsia" w:ascii="仿宋" w:hAnsi="仿宋" w:eastAsia="仿宋" w:cs="仿宋"/>
          <w:b/>
          <w:bCs/>
          <w:kern w:val="0"/>
          <w:sz w:val="30"/>
          <w:szCs w:val="30"/>
          <w:lang w:val="zh-CN"/>
        </w:rPr>
      </w:pPr>
      <w:r>
        <w:rPr>
          <w:rFonts w:hint="eastAsia" w:ascii="仿宋" w:hAnsi="仿宋" w:eastAsia="仿宋" w:cs="仿宋"/>
          <w:b/>
          <w:bCs/>
          <w:kern w:val="0"/>
          <w:sz w:val="30"/>
          <w:szCs w:val="30"/>
          <w:lang w:val="zh-CN"/>
        </w:rPr>
        <w:t>第五条：卖方的权利和义务</w:t>
      </w:r>
    </w:p>
    <w:p w14:paraId="434B7169">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一、卖方应符合相关法律、法规等规定的要求，具备</w:t>
      </w:r>
      <w:r>
        <w:rPr>
          <w:rFonts w:hint="eastAsia" w:ascii="仿宋" w:hAnsi="仿宋" w:eastAsia="仿宋" w:cs="仿宋"/>
          <w:kern w:val="0"/>
          <w:sz w:val="30"/>
          <w:szCs w:val="30"/>
        </w:rPr>
        <w:t>消防</w:t>
      </w:r>
      <w:r>
        <w:rPr>
          <w:rFonts w:hint="eastAsia" w:ascii="仿宋" w:hAnsi="仿宋" w:eastAsia="仿宋" w:cs="仿宋"/>
          <w:kern w:val="0"/>
          <w:sz w:val="30"/>
          <w:szCs w:val="30"/>
          <w:lang w:val="zh-CN"/>
        </w:rPr>
        <w:t>相关业务相应的资质条件和履行能力。</w:t>
      </w:r>
    </w:p>
    <w:p w14:paraId="5D1AED43">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二、卖方应当遵守买方的安全规章制度，接受买方的安全监督，并有义务教育和督促卖方人员严格执行安全生产规章制度和安全操作规程，如实告知作业场所和工作岗位存在的危险因素、防范措施以及事故应急措施，留有教育记录。</w:t>
      </w:r>
    </w:p>
    <w:p w14:paraId="56A0570D">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三、卖方应根据工作特点，合理安排身体素质、技术水平、安全意识都符合要求的人员上岗，严禁使用未成年工，严禁使用有职业禁忌、患有妨碍工作病症的人员。严禁使用患有传染病、精神病的人员。严禁使用身份不明的人员。</w:t>
      </w:r>
    </w:p>
    <w:p w14:paraId="7598D9E7">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四、卖方对作业地点的安全工作负责，指定一名现场负责人负责日常安全管理工作并接受买方监督指导。</w:t>
      </w:r>
    </w:p>
    <w:p w14:paraId="289B1E9C">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五、卖方有义务对卖方人员进行安全生产、消防、治安、交通、卫生、业务、服务技能等教育和培训。</w:t>
      </w:r>
    </w:p>
    <w:p w14:paraId="6440A461">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六、卖方负责属地安全设施的日常检查，确保设施正常运行。</w:t>
      </w:r>
    </w:p>
    <w:p w14:paraId="08F4F76E">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七、卖方定期组织保持卖方工作卫生环境整洁。</w:t>
      </w:r>
    </w:p>
    <w:p w14:paraId="2F4DBB9C">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八、卖方应依法为其工作人员签订劳动合同、缴纳各项社会保险，卖方工作人员如发生工伤，由卖方为其工作人员办理工伤理赔并承担相应的法律责任，为卖方人员提供符合国家标准或者行业标准的劳动防护用品，并监督、教育从业人员按照使用规则佩戴、使用。卖方工作人员花名册应向买方备案，如人员发生变化及时向买方上报。</w:t>
      </w:r>
    </w:p>
    <w:p w14:paraId="136675ED">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九、卖方作业前应对工作区域进行安全检查，如发现存在安全隐患或者其他不安全因素，卖方应立即向买方报告并要求买方整改，不得冒险作业。</w:t>
      </w:r>
    </w:p>
    <w:p w14:paraId="0A0B6954">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十、卖方应爱护买方的设备、物资和各种设施，未经买方许可不得使用，否则由此造成的损失由卖方负责相应赔偿;卖方自备的各类物资由卖方自行妥善保管，由于卖方保管不善而造成的丢失、损坏，由卖方自负。</w:t>
      </w:r>
    </w:p>
    <w:p w14:paraId="51D7DF59">
      <w:pPr>
        <w:autoSpaceDE w:val="0"/>
        <w:autoSpaceDN w:val="0"/>
        <w:adjustRightInd w:val="0"/>
        <w:spacing w:line="540" w:lineRule="exact"/>
        <w:ind w:firstLine="600" w:firstLineChars="200"/>
        <w:rPr>
          <w:rFonts w:hint="eastAsia" w:ascii="仿宋" w:hAnsi="仿宋" w:eastAsia="仿宋" w:cs="仿宋"/>
          <w:kern w:val="0"/>
          <w:sz w:val="30"/>
          <w:szCs w:val="30"/>
          <w:lang w:val="zh-CN"/>
        </w:rPr>
      </w:pPr>
      <w:r>
        <w:rPr>
          <w:rFonts w:hint="eastAsia" w:ascii="仿宋" w:hAnsi="仿宋" w:eastAsia="仿宋" w:cs="仿宋"/>
          <w:kern w:val="0"/>
          <w:sz w:val="30"/>
          <w:szCs w:val="30"/>
          <w:lang w:val="zh-CN"/>
        </w:rPr>
        <w:t>十一、卖方在接到买方发出的隐患整改通知书后，必须按整改要求、整改期限落实整改;如解决不力而被买方责令停工，由此造成的损失由卖方相应承担。</w:t>
      </w:r>
    </w:p>
    <w:p w14:paraId="4533F2E1">
      <w:pPr>
        <w:autoSpaceDE w:val="0"/>
        <w:autoSpaceDN w:val="0"/>
        <w:adjustRightInd w:val="0"/>
        <w:spacing w:line="540" w:lineRule="exact"/>
        <w:ind w:firstLine="602" w:firstLineChars="200"/>
        <w:rPr>
          <w:rFonts w:hint="eastAsia" w:ascii="仿宋" w:hAnsi="仿宋" w:eastAsia="仿宋" w:cs="仿宋"/>
          <w:kern w:val="0"/>
          <w:sz w:val="30"/>
          <w:szCs w:val="30"/>
          <w:lang w:val="zh-CN"/>
        </w:rPr>
      </w:pPr>
      <w:r>
        <w:rPr>
          <w:rFonts w:hint="eastAsia" w:ascii="仿宋" w:hAnsi="仿宋" w:eastAsia="仿宋" w:cs="仿宋"/>
          <w:b/>
          <w:bCs/>
          <w:kern w:val="0"/>
          <w:sz w:val="30"/>
          <w:szCs w:val="30"/>
          <w:lang w:val="zh-CN"/>
        </w:rPr>
        <w:t>第六条：</w:t>
      </w:r>
      <w:r>
        <w:rPr>
          <w:rFonts w:hint="eastAsia" w:ascii="仿宋" w:hAnsi="仿宋" w:eastAsia="仿宋" w:cs="仿宋"/>
          <w:kern w:val="0"/>
          <w:sz w:val="30"/>
          <w:szCs w:val="30"/>
          <w:lang w:val="zh-CN"/>
        </w:rPr>
        <w:t>如卖方违反本协议规定的义务，依法应当承担相应的法律责任。</w:t>
      </w:r>
    </w:p>
    <w:p w14:paraId="7D51BCD4">
      <w:pPr>
        <w:autoSpaceDE w:val="0"/>
        <w:autoSpaceDN w:val="0"/>
        <w:adjustRightInd w:val="0"/>
        <w:spacing w:line="540" w:lineRule="exact"/>
        <w:ind w:firstLine="602" w:firstLineChars="200"/>
        <w:rPr>
          <w:rFonts w:hint="eastAsia" w:ascii="仿宋" w:hAnsi="仿宋" w:eastAsia="仿宋" w:cs="仿宋"/>
          <w:kern w:val="0"/>
          <w:sz w:val="30"/>
          <w:szCs w:val="30"/>
          <w:lang w:val="zh-CN"/>
        </w:rPr>
      </w:pPr>
      <w:r>
        <w:rPr>
          <w:rFonts w:hint="eastAsia" w:ascii="仿宋" w:hAnsi="仿宋" w:eastAsia="仿宋" w:cs="仿宋"/>
          <w:b/>
          <w:bCs/>
          <w:kern w:val="0"/>
          <w:sz w:val="30"/>
          <w:szCs w:val="30"/>
          <w:lang w:val="zh-CN"/>
        </w:rPr>
        <w:t>第七条：</w:t>
      </w:r>
      <w:r>
        <w:rPr>
          <w:rFonts w:hint="eastAsia" w:ascii="仿宋" w:hAnsi="仿宋" w:eastAsia="仿宋" w:cs="仿宋"/>
          <w:kern w:val="0"/>
          <w:sz w:val="30"/>
          <w:szCs w:val="30"/>
          <w:lang w:val="zh-CN"/>
        </w:rPr>
        <w:t>卖方工作和生活区域的安全责任由卖方相应承担，如发生意外或事故造成人身、财产损失的，卖方应承担相应赔偿责任。如该意外或事故导致买方承担赔偿责任的，卖方应赔偿买方因此造成相应损失。卖方应约束卖方人员的行为，使之符合有关法律、法规及顺义医院的规章制度。如因上述人员侵害买方或第三方的人身或财产权益，卖方应赔偿由此给买方或第三方造成的相应损失。</w:t>
      </w:r>
    </w:p>
    <w:p w14:paraId="232E4784">
      <w:pPr>
        <w:autoSpaceDE w:val="0"/>
        <w:autoSpaceDN w:val="0"/>
        <w:adjustRightInd w:val="0"/>
        <w:spacing w:line="540" w:lineRule="exact"/>
        <w:ind w:firstLine="602" w:firstLineChars="200"/>
        <w:rPr>
          <w:rFonts w:hint="eastAsia" w:ascii="仿宋" w:hAnsi="仿宋" w:eastAsia="仿宋" w:cs="仿宋"/>
          <w:color w:val="000000"/>
          <w:kern w:val="0"/>
          <w:sz w:val="30"/>
          <w:szCs w:val="30"/>
          <w:lang w:val="zh-CN"/>
        </w:rPr>
      </w:pPr>
      <w:r>
        <w:rPr>
          <w:rFonts w:hint="eastAsia" w:ascii="仿宋" w:hAnsi="仿宋" w:eastAsia="仿宋" w:cs="仿宋"/>
          <w:b/>
          <w:bCs/>
          <w:color w:val="000000"/>
          <w:kern w:val="0"/>
          <w:sz w:val="30"/>
          <w:szCs w:val="30"/>
          <w:lang w:val="zh-CN"/>
        </w:rPr>
        <w:t>第八条：</w:t>
      </w:r>
      <w:r>
        <w:rPr>
          <w:rFonts w:hint="eastAsia" w:ascii="仿宋" w:hAnsi="仿宋" w:eastAsia="仿宋" w:cs="仿宋"/>
          <w:color w:val="000000"/>
          <w:kern w:val="0"/>
          <w:sz w:val="30"/>
          <w:szCs w:val="30"/>
          <w:lang w:val="zh-CN"/>
        </w:rPr>
        <w:t>本协议一式捌份，买方执陆份，卖方执两份，经双方签字盖章后与《</w:t>
      </w:r>
      <w:r>
        <w:rPr>
          <w:rFonts w:hint="eastAsia" w:ascii="仿宋" w:hAnsi="仿宋" w:eastAsia="仿宋" w:cs="仿宋"/>
          <w:sz w:val="30"/>
          <w:szCs w:val="30"/>
        </w:rPr>
        <w:t>xxxxxxxxxxxxxxxxx</w:t>
      </w:r>
      <w:r>
        <w:rPr>
          <w:rFonts w:hint="eastAsia" w:ascii="仿宋" w:hAnsi="仿宋" w:eastAsia="仿宋" w:cs="仿宋"/>
          <w:color w:val="000000"/>
          <w:kern w:val="0"/>
          <w:sz w:val="30"/>
          <w:szCs w:val="30"/>
          <w:lang w:val="zh-CN"/>
        </w:rPr>
        <w:t>合同》同时生效。</w:t>
      </w:r>
    </w:p>
    <w:p w14:paraId="6A17C91D">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买方（盖章）：北京市顺义区医院</w:t>
      </w:r>
    </w:p>
    <w:p w14:paraId="2C3FEDF7">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法定代表或授权代表人签字：</w:t>
      </w:r>
    </w:p>
    <w:p w14:paraId="39D674B2">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签署日期：</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年</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月</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日</w:t>
      </w:r>
    </w:p>
    <w:p w14:paraId="54BCE8F8">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p>
    <w:p w14:paraId="59CE7BD8">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卖方（盖章）：</w:t>
      </w:r>
    </w:p>
    <w:p w14:paraId="31043AD2">
      <w:pPr>
        <w:autoSpaceDE w:val="0"/>
        <w:autoSpaceDN w:val="0"/>
        <w:adjustRightInd w:val="0"/>
        <w:spacing w:line="540" w:lineRule="exact"/>
        <w:ind w:firstLine="600" w:firstLineChars="200"/>
        <w:rPr>
          <w:rFonts w:hint="eastAsia" w:ascii="仿宋" w:hAnsi="仿宋" w:eastAsia="仿宋" w:cs="仿宋"/>
          <w:color w:val="000000"/>
          <w:kern w:val="0"/>
          <w:sz w:val="30"/>
          <w:szCs w:val="30"/>
          <w:lang w:val="zh-CN"/>
        </w:rPr>
      </w:pPr>
      <w:r>
        <w:rPr>
          <w:rFonts w:hint="eastAsia" w:ascii="仿宋" w:hAnsi="仿宋" w:eastAsia="仿宋" w:cs="仿宋"/>
          <w:color w:val="000000"/>
          <w:kern w:val="0"/>
          <w:sz w:val="30"/>
          <w:szCs w:val="30"/>
          <w:lang w:val="zh-CN"/>
        </w:rPr>
        <w:t>法定代表或授权代表人签字：</w:t>
      </w:r>
    </w:p>
    <w:p w14:paraId="2D78326C">
      <w:pPr>
        <w:autoSpaceDE w:val="0"/>
        <w:autoSpaceDN w:val="0"/>
        <w:adjustRightInd w:val="0"/>
        <w:spacing w:line="540" w:lineRule="exact"/>
        <w:ind w:firstLine="600" w:firstLineChars="200"/>
        <w:rPr>
          <w:rFonts w:hint="eastAsia" w:ascii="仿宋" w:hAnsi="仿宋" w:eastAsia="仿宋" w:cs="仿宋"/>
          <w:sz w:val="30"/>
          <w:szCs w:val="30"/>
        </w:rPr>
      </w:pPr>
      <w:r>
        <w:rPr>
          <w:rFonts w:hint="eastAsia" w:ascii="仿宋" w:hAnsi="仿宋" w:eastAsia="仿宋" w:cs="仿宋"/>
          <w:color w:val="000000"/>
          <w:kern w:val="0"/>
          <w:sz w:val="30"/>
          <w:szCs w:val="30"/>
          <w:lang w:val="zh-CN"/>
        </w:rPr>
        <w:t>签署日期：</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年</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月</w:t>
      </w:r>
      <w:r>
        <w:rPr>
          <w:rFonts w:hint="eastAsia" w:ascii="仿宋" w:hAnsi="仿宋" w:eastAsia="仿宋" w:cs="仿宋"/>
          <w:color w:val="000000"/>
          <w:kern w:val="0"/>
          <w:sz w:val="30"/>
          <w:szCs w:val="30"/>
        </w:rPr>
        <w:t xml:space="preserve">  </w:t>
      </w:r>
      <w:r>
        <w:rPr>
          <w:rFonts w:hint="eastAsia" w:ascii="仿宋" w:hAnsi="仿宋" w:eastAsia="仿宋" w:cs="仿宋"/>
          <w:color w:val="000000"/>
          <w:kern w:val="0"/>
          <w:sz w:val="30"/>
          <w:szCs w:val="30"/>
          <w:lang w:val="zh-CN"/>
        </w:rPr>
        <w:t>日</w:t>
      </w:r>
    </w:p>
    <w:bookmarkEnd w:id="921"/>
    <w:p w14:paraId="5FD3ACEE">
      <w:pPr>
        <w:spacing w:line="540" w:lineRule="exact"/>
        <w:rPr>
          <w:rFonts w:hint="eastAsia" w:ascii="仿宋" w:hAnsi="仿宋" w:eastAsia="仿宋" w:cs="仿宋"/>
          <w:sz w:val="30"/>
          <w:szCs w:val="30"/>
        </w:rPr>
      </w:pPr>
    </w:p>
    <w:p w14:paraId="6F80F2D5">
      <w:pPr>
        <w:spacing w:line="360" w:lineRule="auto"/>
        <w:rPr>
          <w:rFonts w:ascii="仿宋" w:hAnsi="仿宋" w:eastAsia="仿宋"/>
          <w:sz w:val="24"/>
        </w:rPr>
      </w:pPr>
    </w:p>
    <w:p w14:paraId="7CEACA40">
      <w:pPr>
        <w:rPr>
          <w:rFonts w:hint="eastAsia"/>
          <w:lang w:val="en-US" w:eastAsia="zh-CN"/>
        </w:rPr>
      </w:pPr>
    </w:p>
    <w:p w14:paraId="75D4A4EE">
      <w:pPr>
        <w:rPr>
          <w:rFonts w:hint="eastAsia"/>
          <w:sz w:val="24"/>
          <w:szCs w:val="24"/>
          <w:lang w:val="en-US" w:eastAsia="zh-CN"/>
        </w:rPr>
      </w:pPr>
      <w:r>
        <w:rPr>
          <w:rFonts w:hint="eastAsia"/>
          <w:sz w:val="24"/>
          <w:szCs w:val="24"/>
          <w:lang w:val="en-US" w:eastAsia="zh-CN"/>
        </w:rPr>
        <w:br w:type="page"/>
      </w:r>
    </w:p>
    <w:p w14:paraId="2C21A664">
      <w:pPr>
        <w:pStyle w:val="2"/>
        <w:rPr>
          <w:color w:val="auto"/>
          <w:highlight w:val="none"/>
        </w:rPr>
      </w:pPr>
      <w:bookmarkStart w:id="922" w:name="_Toc30520"/>
      <w:r>
        <w:rPr>
          <w:color w:val="auto"/>
          <w:highlight w:val="none"/>
        </w:rPr>
        <w:t>第七章   投标文件格式</w:t>
      </w:r>
      <w:bookmarkEnd w:id="922"/>
    </w:p>
    <w:p w14:paraId="616527FD">
      <w:pPr>
        <w:tabs>
          <w:tab w:val="left" w:pos="900"/>
          <w:tab w:val="left" w:pos="1980"/>
        </w:tabs>
        <w:snapToGrid w:val="0"/>
        <w:spacing w:line="360" w:lineRule="auto"/>
        <w:ind w:left="142"/>
        <w:rPr>
          <w:b/>
          <w:color w:val="auto"/>
          <w:sz w:val="24"/>
          <w:highlight w:val="none"/>
        </w:rPr>
      </w:pPr>
    </w:p>
    <w:p w14:paraId="11332373">
      <w:pPr>
        <w:tabs>
          <w:tab w:val="left" w:pos="900"/>
          <w:tab w:val="left" w:pos="1980"/>
        </w:tabs>
        <w:snapToGrid w:val="0"/>
        <w:spacing w:line="360" w:lineRule="auto"/>
        <w:ind w:left="142"/>
        <w:rPr>
          <w:color w:val="auto"/>
          <w:sz w:val="24"/>
          <w:highlight w:val="none"/>
        </w:rPr>
      </w:pPr>
      <w:r>
        <w:rPr>
          <w:b/>
          <w:color w:val="auto"/>
          <w:sz w:val="24"/>
          <w:highlight w:val="none"/>
        </w:rPr>
        <w:t>投标人编制文件须知</w:t>
      </w:r>
    </w:p>
    <w:p w14:paraId="7BE947EA">
      <w:pPr>
        <w:tabs>
          <w:tab w:val="left" w:pos="900"/>
          <w:tab w:val="left" w:pos="1980"/>
        </w:tabs>
        <w:snapToGrid w:val="0"/>
        <w:spacing w:line="360" w:lineRule="auto"/>
        <w:ind w:left="142"/>
        <w:rPr>
          <w:color w:val="auto"/>
          <w:sz w:val="24"/>
          <w:highlight w:val="none"/>
        </w:rPr>
      </w:pPr>
      <w:r>
        <w:rPr>
          <w:color w:val="auto"/>
          <w:sz w:val="24"/>
          <w:highlight w:val="none"/>
        </w:rPr>
        <w:t>1、投标人按照本部分的顺序编制投标文件（资格证明文件）、投标文件（商务技术文件），编制中涉及格式资料的，应按照本部分提供的内容和格式（所有表格的格式可扩展）填写提交。</w:t>
      </w:r>
    </w:p>
    <w:p w14:paraId="4A875C9C">
      <w:pPr>
        <w:tabs>
          <w:tab w:val="left" w:pos="900"/>
          <w:tab w:val="left" w:pos="1980"/>
        </w:tabs>
        <w:snapToGrid w:val="0"/>
        <w:spacing w:line="360" w:lineRule="auto"/>
        <w:ind w:left="142"/>
        <w:rPr>
          <w:color w:val="auto"/>
          <w:kern w:val="0"/>
          <w:sz w:val="24"/>
          <w:highlight w:val="none"/>
        </w:rPr>
      </w:pPr>
      <w:r>
        <w:rPr>
          <w:color w:val="auto"/>
          <w:sz w:val="24"/>
          <w:highlight w:val="none"/>
        </w:rPr>
        <w:t>2、</w:t>
      </w:r>
      <w:r>
        <w:rPr>
          <w:color w:val="auto"/>
          <w:kern w:val="0"/>
          <w:sz w:val="24"/>
          <w:highlight w:val="none"/>
        </w:rPr>
        <w:t>对于招标文件中标记了“实质性格式”文件的，</w:t>
      </w:r>
      <w:r>
        <w:rPr>
          <w:color w:val="auto"/>
          <w:sz w:val="24"/>
          <w:highlight w:val="none"/>
        </w:rPr>
        <w:t>投标人不得改变格式中给定的文字所表达的含义，不得删减格式中的实质性内容，不得自行添加与格式中给定的文字内容相矛盾的内容，不得对应当填写的空格不填写或不实质性响应，</w:t>
      </w:r>
      <w:r>
        <w:rPr>
          <w:color w:val="auto"/>
          <w:kern w:val="0"/>
          <w:sz w:val="24"/>
          <w:highlight w:val="none"/>
        </w:rPr>
        <w:t>否则</w:t>
      </w:r>
      <w:r>
        <w:rPr>
          <w:b/>
          <w:color w:val="auto"/>
          <w:kern w:val="0"/>
          <w:sz w:val="24"/>
          <w:highlight w:val="none"/>
        </w:rPr>
        <w:t>投标无效</w:t>
      </w:r>
      <w:r>
        <w:rPr>
          <w:color w:val="auto"/>
          <w:kern w:val="0"/>
          <w:sz w:val="24"/>
          <w:highlight w:val="none"/>
        </w:rPr>
        <w:t>。未标记“实质性格式”的文件和招标文件未提供格式的内容，可由投标人自行编写。</w:t>
      </w:r>
    </w:p>
    <w:p w14:paraId="7AEE390A">
      <w:pPr>
        <w:tabs>
          <w:tab w:val="left" w:pos="900"/>
          <w:tab w:val="left" w:pos="1980"/>
        </w:tabs>
        <w:snapToGrid w:val="0"/>
        <w:spacing w:line="360" w:lineRule="auto"/>
        <w:ind w:left="142"/>
        <w:rPr>
          <w:color w:val="auto"/>
          <w:sz w:val="24"/>
          <w:highlight w:val="none"/>
        </w:rPr>
      </w:pPr>
      <w:r>
        <w:rPr>
          <w:color w:val="auto"/>
          <w:sz w:val="24"/>
          <w:highlight w:val="none"/>
        </w:rPr>
        <w:t>3、全部声明和问题的回答及所附材料必须是真实的、准确的和完整的。</w:t>
      </w:r>
    </w:p>
    <w:p w14:paraId="1029A5F1">
      <w:pPr>
        <w:widowControl/>
        <w:jc w:val="left"/>
        <w:rPr>
          <w:color w:val="auto"/>
          <w:sz w:val="24"/>
          <w:highlight w:val="none"/>
        </w:rPr>
      </w:pPr>
      <w:r>
        <w:rPr>
          <w:color w:val="auto"/>
          <w:sz w:val="24"/>
          <w:highlight w:val="none"/>
        </w:rPr>
        <w:br w:type="page"/>
      </w:r>
    </w:p>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3DA19EC2">
      <w:pPr>
        <w:keepNext/>
        <w:keepLines/>
        <w:autoSpaceDE w:val="0"/>
        <w:autoSpaceDN w:val="0"/>
        <w:adjustRightInd w:val="0"/>
        <w:spacing w:before="120" w:line="300" w:lineRule="auto"/>
        <w:jc w:val="left"/>
        <w:outlineLvl w:val="1"/>
        <w:rPr>
          <w:b/>
          <w:color w:val="auto"/>
          <w:kern w:val="0"/>
          <w:sz w:val="30"/>
          <w:szCs w:val="20"/>
          <w:highlight w:val="none"/>
        </w:rPr>
      </w:pPr>
      <w:r>
        <w:rPr>
          <w:b/>
          <w:color w:val="auto"/>
          <w:spacing w:val="20"/>
          <w:sz w:val="24"/>
          <w:highlight w:val="none"/>
        </w:rPr>
        <w:t>一、资格证明文件格式</w:t>
      </w:r>
    </w:p>
    <w:p w14:paraId="2E5967C3">
      <w:pPr>
        <w:rPr>
          <w:b/>
          <w:color w:val="auto"/>
          <w:spacing w:val="20"/>
          <w:szCs w:val="21"/>
          <w:highlight w:val="none"/>
        </w:rPr>
      </w:pPr>
    </w:p>
    <w:p w14:paraId="272F0F7B">
      <w:pPr>
        <w:rPr>
          <w:b/>
          <w:color w:val="auto"/>
          <w:sz w:val="24"/>
          <w:highlight w:val="none"/>
        </w:rPr>
      </w:pPr>
      <w:r>
        <w:rPr>
          <w:b/>
          <w:color w:val="auto"/>
          <w:spacing w:val="20"/>
          <w:sz w:val="24"/>
          <w:highlight w:val="none"/>
        </w:rPr>
        <w:t>投标文件（资格证明文件）</w:t>
      </w:r>
      <w:r>
        <w:rPr>
          <w:b/>
          <w:color w:val="auto"/>
          <w:sz w:val="24"/>
          <w:highlight w:val="none"/>
        </w:rPr>
        <w:t>封面（非实质性格式）</w:t>
      </w:r>
    </w:p>
    <w:p w14:paraId="70A6A2F2">
      <w:pPr>
        <w:jc w:val="center"/>
        <w:rPr>
          <w:b/>
          <w:color w:val="auto"/>
          <w:spacing w:val="60"/>
          <w:sz w:val="84"/>
          <w:szCs w:val="84"/>
          <w:highlight w:val="none"/>
        </w:rPr>
      </w:pPr>
    </w:p>
    <w:p w14:paraId="54CFCFE4">
      <w:pPr>
        <w:jc w:val="center"/>
        <w:rPr>
          <w:b/>
          <w:color w:val="auto"/>
          <w:spacing w:val="60"/>
          <w:sz w:val="84"/>
          <w:szCs w:val="84"/>
          <w:highlight w:val="none"/>
        </w:rPr>
      </w:pPr>
      <w:bookmarkStart w:id="1047" w:name="_GoBack"/>
      <w:bookmarkEnd w:id="1047"/>
    </w:p>
    <w:p w14:paraId="221F997A">
      <w:pPr>
        <w:jc w:val="center"/>
        <w:rPr>
          <w:b/>
          <w:color w:val="auto"/>
          <w:spacing w:val="60"/>
          <w:sz w:val="84"/>
          <w:szCs w:val="84"/>
          <w:highlight w:val="none"/>
        </w:rPr>
      </w:pPr>
    </w:p>
    <w:p w14:paraId="262B8F35">
      <w:pPr>
        <w:jc w:val="center"/>
        <w:rPr>
          <w:b/>
          <w:color w:val="auto"/>
          <w:spacing w:val="60"/>
          <w:sz w:val="84"/>
          <w:szCs w:val="84"/>
          <w:highlight w:val="none"/>
        </w:rPr>
      </w:pPr>
      <w:r>
        <w:rPr>
          <w:b/>
          <w:color w:val="auto"/>
          <w:spacing w:val="60"/>
          <w:sz w:val="84"/>
          <w:szCs w:val="84"/>
          <w:highlight w:val="none"/>
        </w:rPr>
        <w:t>投 标 文 件</w:t>
      </w:r>
    </w:p>
    <w:p w14:paraId="1EE08AB7">
      <w:pPr>
        <w:jc w:val="center"/>
        <w:rPr>
          <w:b/>
          <w:color w:val="auto"/>
          <w:spacing w:val="60"/>
          <w:sz w:val="52"/>
          <w:szCs w:val="52"/>
          <w:highlight w:val="none"/>
        </w:rPr>
      </w:pPr>
      <w:r>
        <w:rPr>
          <w:b/>
          <w:color w:val="auto"/>
          <w:spacing w:val="60"/>
          <w:sz w:val="52"/>
          <w:szCs w:val="52"/>
          <w:highlight w:val="none"/>
        </w:rPr>
        <w:t>（资格证明文件）</w:t>
      </w:r>
    </w:p>
    <w:p w14:paraId="1DCF1833">
      <w:pPr>
        <w:ind w:firstLine="542" w:firstLineChars="150"/>
        <w:rPr>
          <w:b/>
          <w:color w:val="auto"/>
          <w:spacing w:val="20"/>
          <w:sz w:val="32"/>
          <w:szCs w:val="32"/>
          <w:highlight w:val="none"/>
        </w:rPr>
      </w:pPr>
    </w:p>
    <w:p w14:paraId="47138A6A">
      <w:pPr>
        <w:pStyle w:val="44"/>
        <w:ind w:firstLine="361"/>
        <w:rPr>
          <w:b/>
          <w:color w:val="auto"/>
          <w:spacing w:val="20"/>
          <w:sz w:val="32"/>
          <w:szCs w:val="32"/>
          <w:highlight w:val="none"/>
        </w:rPr>
      </w:pPr>
    </w:p>
    <w:p w14:paraId="605DFB88">
      <w:pPr>
        <w:pStyle w:val="44"/>
        <w:ind w:firstLine="361"/>
        <w:rPr>
          <w:b/>
          <w:color w:val="auto"/>
          <w:spacing w:val="20"/>
          <w:sz w:val="32"/>
          <w:szCs w:val="32"/>
          <w:highlight w:val="none"/>
        </w:rPr>
      </w:pPr>
    </w:p>
    <w:p w14:paraId="68935C30">
      <w:pPr>
        <w:pStyle w:val="44"/>
        <w:ind w:firstLine="361"/>
        <w:rPr>
          <w:b/>
          <w:color w:val="auto"/>
          <w:spacing w:val="20"/>
          <w:sz w:val="32"/>
          <w:szCs w:val="32"/>
          <w:highlight w:val="none"/>
        </w:rPr>
      </w:pPr>
    </w:p>
    <w:p w14:paraId="2658D161">
      <w:pPr>
        <w:pStyle w:val="44"/>
        <w:ind w:firstLine="361"/>
        <w:rPr>
          <w:b/>
          <w:color w:val="auto"/>
          <w:spacing w:val="20"/>
          <w:sz w:val="32"/>
          <w:szCs w:val="32"/>
          <w:highlight w:val="none"/>
        </w:rPr>
      </w:pPr>
    </w:p>
    <w:p w14:paraId="36BFE7BF">
      <w:pPr>
        <w:pStyle w:val="44"/>
        <w:ind w:firstLine="361"/>
        <w:rPr>
          <w:b/>
          <w:color w:val="auto"/>
          <w:spacing w:val="20"/>
          <w:sz w:val="32"/>
          <w:szCs w:val="32"/>
          <w:highlight w:val="none"/>
        </w:rPr>
      </w:pPr>
    </w:p>
    <w:p w14:paraId="78980300">
      <w:pPr>
        <w:ind w:firstLine="542" w:firstLineChars="150"/>
        <w:rPr>
          <w:b/>
          <w:color w:val="auto"/>
          <w:spacing w:val="20"/>
          <w:sz w:val="32"/>
          <w:szCs w:val="32"/>
          <w:highlight w:val="none"/>
        </w:rPr>
      </w:pPr>
    </w:p>
    <w:p w14:paraId="592F64A7">
      <w:pPr>
        <w:spacing w:line="360" w:lineRule="auto"/>
        <w:ind w:firstLine="602" w:firstLineChars="150"/>
        <w:rPr>
          <w:b/>
          <w:color w:val="auto"/>
          <w:spacing w:val="20"/>
          <w:sz w:val="36"/>
          <w:szCs w:val="36"/>
          <w:highlight w:val="none"/>
        </w:rPr>
      </w:pPr>
    </w:p>
    <w:p w14:paraId="19D3B4F0">
      <w:pPr>
        <w:spacing w:line="360" w:lineRule="auto"/>
        <w:ind w:firstLine="602" w:firstLineChars="150"/>
        <w:rPr>
          <w:b/>
          <w:color w:val="auto"/>
          <w:spacing w:val="20"/>
          <w:sz w:val="36"/>
          <w:szCs w:val="36"/>
          <w:highlight w:val="none"/>
        </w:rPr>
      </w:pPr>
      <w:r>
        <w:rPr>
          <w:b/>
          <w:color w:val="auto"/>
          <w:spacing w:val="20"/>
          <w:sz w:val="36"/>
          <w:szCs w:val="36"/>
          <w:highlight w:val="none"/>
        </w:rPr>
        <w:t>项目名称:</w:t>
      </w:r>
    </w:p>
    <w:p w14:paraId="3E891800">
      <w:pPr>
        <w:spacing w:line="360" w:lineRule="auto"/>
        <w:ind w:firstLine="602" w:firstLineChars="150"/>
        <w:rPr>
          <w:b/>
          <w:color w:val="auto"/>
          <w:spacing w:val="20"/>
          <w:sz w:val="36"/>
          <w:szCs w:val="36"/>
          <w:highlight w:val="none"/>
        </w:rPr>
      </w:pPr>
      <w:r>
        <w:rPr>
          <w:b/>
          <w:color w:val="auto"/>
          <w:spacing w:val="20"/>
          <w:sz w:val="36"/>
          <w:szCs w:val="36"/>
          <w:highlight w:val="none"/>
        </w:rPr>
        <w:t>项目编号：</w:t>
      </w:r>
    </w:p>
    <w:p w14:paraId="614A9B77">
      <w:pPr>
        <w:spacing w:line="360" w:lineRule="auto"/>
        <w:ind w:firstLine="602" w:firstLineChars="150"/>
        <w:rPr>
          <w:b/>
          <w:color w:val="auto"/>
          <w:spacing w:val="20"/>
          <w:sz w:val="36"/>
          <w:szCs w:val="36"/>
          <w:highlight w:val="none"/>
        </w:rPr>
      </w:pPr>
      <w:r>
        <w:rPr>
          <w:b/>
          <w:color w:val="auto"/>
          <w:spacing w:val="20"/>
          <w:sz w:val="36"/>
          <w:szCs w:val="36"/>
          <w:highlight w:val="none"/>
        </w:rPr>
        <w:t>投标人名称：</w:t>
      </w:r>
    </w:p>
    <w:p w14:paraId="45FC0042">
      <w:pPr>
        <w:jc w:val="center"/>
        <w:rPr>
          <w:b/>
          <w:color w:val="auto"/>
          <w:sz w:val="32"/>
          <w:szCs w:val="32"/>
          <w:highlight w:val="none"/>
        </w:rPr>
      </w:pPr>
    </w:p>
    <w:p w14:paraId="795116DE">
      <w:pPr>
        <w:rPr>
          <w:b/>
          <w:color w:val="auto"/>
          <w:highlight w:val="none"/>
        </w:rPr>
      </w:pPr>
      <w:r>
        <w:rPr>
          <w:b/>
          <w:color w:val="auto"/>
          <w:spacing w:val="20"/>
          <w:sz w:val="32"/>
          <w:szCs w:val="32"/>
          <w:highlight w:val="none"/>
        </w:rPr>
        <w:br w:type="page"/>
      </w:r>
    </w:p>
    <w:p w14:paraId="2DCB1736">
      <w:pPr>
        <w:spacing w:line="360" w:lineRule="auto"/>
        <w:outlineLvl w:val="2"/>
        <w:rPr>
          <w:color w:val="auto"/>
          <w:sz w:val="24"/>
          <w:szCs w:val="20"/>
          <w:highlight w:val="none"/>
        </w:rPr>
      </w:pPr>
      <w:r>
        <w:rPr>
          <w:color w:val="auto"/>
          <w:sz w:val="24"/>
          <w:szCs w:val="20"/>
          <w:highlight w:val="none"/>
        </w:rPr>
        <w:t xml:space="preserve">1 </w:t>
      </w:r>
      <w:r>
        <w:rPr>
          <w:color w:val="auto"/>
          <w:sz w:val="24"/>
          <w:highlight w:val="none"/>
        </w:rPr>
        <w:t>满足《中华人民共和国政府采购法》第二十二条规定</w:t>
      </w:r>
    </w:p>
    <w:p w14:paraId="167BA4DC">
      <w:pPr>
        <w:spacing w:line="360" w:lineRule="auto"/>
        <w:outlineLvl w:val="2"/>
        <w:rPr>
          <w:color w:val="auto"/>
          <w:sz w:val="24"/>
          <w:szCs w:val="20"/>
          <w:highlight w:val="none"/>
        </w:rPr>
      </w:pPr>
      <w:r>
        <w:rPr>
          <w:color w:val="auto"/>
          <w:sz w:val="24"/>
          <w:szCs w:val="20"/>
          <w:highlight w:val="none"/>
        </w:rPr>
        <w:t>1-1营业执照等证明文件</w:t>
      </w:r>
    </w:p>
    <w:p w14:paraId="0B930618">
      <w:pPr>
        <w:tabs>
          <w:tab w:val="left" w:pos="1080"/>
        </w:tabs>
        <w:snapToGrid w:val="0"/>
        <w:rPr>
          <w:color w:val="auto"/>
          <w:sz w:val="24"/>
          <w:highlight w:val="none"/>
        </w:rPr>
      </w:pPr>
    </w:p>
    <w:p w14:paraId="35ED96F3">
      <w:pPr>
        <w:widowControl/>
        <w:jc w:val="left"/>
        <w:rPr>
          <w:color w:val="auto"/>
          <w:sz w:val="24"/>
          <w:szCs w:val="20"/>
          <w:highlight w:val="none"/>
        </w:rPr>
      </w:pPr>
      <w:r>
        <w:rPr>
          <w:color w:val="auto"/>
          <w:sz w:val="24"/>
          <w:highlight w:val="none"/>
        </w:rPr>
        <w:br w:type="page"/>
      </w:r>
    </w:p>
    <w:p w14:paraId="2DE89DB0">
      <w:pPr>
        <w:pStyle w:val="4"/>
        <w:rPr>
          <w:rFonts w:ascii="Times New Roman"/>
          <w:b w:val="0"/>
          <w:bCs/>
          <w:color w:val="auto"/>
          <w:highlight w:val="none"/>
          <w:u w:val="none"/>
        </w:rPr>
      </w:pPr>
      <w:r>
        <w:rPr>
          <w:rFonts w:ascii="Times New Roman"/>
          <w:b w:val="0"/>
          <w:color w:val="auto"/>
          <w:highlight w:val="none"/>
          <w:u w:val="none"/>
        </w:rPr>
        <w:t>1-2 投标人资格声明书</w:t>
      </w:r>
    </w:p>
    <w:p w14:paraId="3BB7859C">
      <w:pPr>
        <w:jc w:val="center"/>
        <w:rPr>
          <w:b/>
          <w:color w:val="auto"/>
          <w:sz w:val="36"/>
          <w:szCs w:val="36"/>
          <w:highlight w:val="none"/>
        </w:rPr>
      </w:pPr>
      <w:r>
        <w:rPr>
          <w:rFonts w:hint="eastAsia"/>
          <w:b/>
          <w:color w:val="auto"/>
          <w:sz w:val="36"/>
          <w:szCs w:val="36"/>
          <w:highlight w:val="none"/>
        </w:rPr>
        <w:t>投标人资格声明书</w:t>
      </w:r>
    </w:p>
    <w:p w14:paraId="338D8CB9">
      <w:pPr>
        <w:tabs>
          <w:tab w:val="left" w:pos="5580"/>
        </w:tabs>
        <w:spacing w:line="360" w:lineRule="auto"/>
        <w:rPr>
          <w:color w:val="auto"/>
          <w:sz w:val="24"/>
          <w:highlight w:val="none"/>
        </w:rPr>
      </w:pPr>
      <w:r>
        <w:rPr>
          <w:color w:val="auto"/>
          <w:sz w:val="24"/>
          <w:highlight w:val="none"/>
        </w:rPr>
        <w:t>致：</w:t>
      </w:r>
      <w:r>
        <w:rPr>
          <w:color w:val="auto"/>
          <w:sz w:val="24"/>
          <w:highlight w:val="none"/>
          <w:u w:val="single"/>
        </w:rPr>
        <w:t>采购人</w:t>
      </w:r>
    </w:p>
    <w:p w14:paraId="5CBB54E0">
      <w:pPr>
        <w:spacing w:line="360" w:lineRule="auto"/>
        <w:ind w:firstLine="480" w:firstLineChars="200"/>
        <w:rPr>
          <w:color w:val="auto"/>
          <w:sz w:val="24"/>
          <w:highlight w:val="none"/>
        </w:rPr>
      </w:pPr>
      <w:r>
        <w:rPr>
          <w:color w:val="auto"/>
          <w:sz w:val="24"/>
          <w:highlight w:val="none"/>
        </w:rPr>
        <w:t>在参与本次项目投标中，我单位承诺：</w:t>
      </w:r>
    </w:p>
    <w:p w14:paraId="5FE4F4AB">
      <w:pPr>
        <w:numPr>
          <w:ilvl w:val="0"/>
          <w:numId w:val="19"/>
        </w:numPr>
        <w:spacing w:line="360" w:lineRule="auto"/>
        <w:ind w:left="1134"/>
        <w:rPr>
          <w:color w:val="auto"/>
          <w:sz w:val="24"/>
          <w:szCs w:val="22"/>
          <w:highlight w:val="none"/>
        </w:rPr>
      </w:pPr>
      <w:r>
        <w:rPr>
          <w:color w:val="auto"/>
          <w:sz w:val="24"/>
          <w:szCs w:val="22"/>
          <w:highlight w:val="none"/>
        </w:rPr>
        <w:t>具有良好的商业信誉和健全的财务会计制度；</w:t>
      </w:r>
    </w:p>
    <w:p w14:paraId="6AB6808A">
      <w:pPr>
        <w:numPr>
          <w:ilvl w:val="0"/>
          <w:numId w:val="19"/>
        </w:numPr>
        <w:spacing w:line="360" w:lineRule="auto"/>
        <w:ind w:left="1134"/>
        <w:rPr>
          <w:color w:val="auto"/>
          <w:sz w:val="24"/>
          <w:szCs w:val="22"/>
          <w:highlight w:val="none"/>
        </w:rPr>
      </w:pPr>
      <w:r>
        <w:rPr>
          <w:color w:val="auto"/>
          <w:sz w:val="24"/>
          <w:szCs w:val="22"/>
          <w:highlight w:val="none"/>
        </w:rPr>
        <w:t>具有履行合同所必需的设备和专业技术能力；</w:t>
      </w:r>
    </w:p>
    <w:p w14:paraId="11630009">
      <w:pPr>
        <w:numPr>
          <w:ilvl w:val="0"/>
          <w:numId w:val="19"/>
        </w:numPr>
        <w:spacing w:line="360" w:lineRule="auto"/>
        <w:ind w:left="1134"/>
        <w:rPr>
          <w:color w:val="auto"/>
          <w:sz w:val="24"/>
          <w:szCs w:val="22"/>
          <w:highlight w:val="none"/>
        </w:rPr>
      </w:pPr>
      <w:r>
        <w:rPr>
          <w:color w:val="auto"/>
          <w:sz w:val="24"/>
          <w:szCs w:val="22"/>
          <w:highlight w:val="none"/>
        </w:rPr>
        <w:t>有依法缴纳税收和社会保障资金的良好记录；</w:t>
      </w:r>
    </w:p>
    <w:p w14:paraId="0832781D">
      <w:pPr>
        <w:numPr>
          <w:ilvl w:val="0"/>
          <w:numId w:val="19"/>
        </w:numPr>
        <w:spacing w:line="360" w:lineRule="auto"/>
        <w:ind w:left="1134"/>
        <w:rPr>
          <w:color w:val="auto"/>
          <w:sz w:val="24"/>
          <w:szCs w:val="22"/>
          <w:highlight w:val="none"/>
        </w:rPr>
      </w:pPr>
      <w:r>
        <w:rPr>
          <w:color w:val="auto"/>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8D96C04">
      <w:pPr>
        <w:numPr>
          <w:ilvl w:val="0"/>
          <w:numId w:val="19"/>
        </w:numPr>
        <w:spacing w:line="360" w:lineRule="auto"/>
        <w:ind w:left="1134"/>
        <w:rPr>
          <w:color w:val="auto"/>
          <w:sz w:val="24"/>
          <w:szCs w:val="22"/>
          <w:highlight w:val="none"/>
        </w:rPr>
      </w:pPr>
      <w:r>
        <w:rPr>
          <w:color w:val="auto"/>
          <w:sz w:val="24"/>
          <w:szCs w:val="22"/>
          <w:highlight w:val="none"/>
        </w:rPr>
        <w:t>我单位不属于政府采购法律、行政法规规定的公益一类事业单位、或使用事业编制且由财政拨款保障的群团组织（仅适用于政府购买服务项目）；</w:t>
      </w:r>
    </w:p>
    <w:p w14:paraId="0D916ACF">
      <w:pPr>
        <w:numPr>
          <w:ilvl w:val="0"/>
          <w:numId w:val="19"/>
        </w:numPr>
        <w:spacing w:line="360" w:lineRule="auto"/>
        <w:ind w:left="1134"/>
        <w:rPr>
          <w:color w:val="auto"/>
          <w:sz w:val="24"/>
          <w:szCs w:val="22"/>
          <w:highlight w:val="none"/>
        </w:rPr>
      </w:pPr>
      <w:r>
        <w:rPr>
          <w:color w:val="auto"/>
          <w:sz w:val="24"/>
          <w:szCs w:val="22"/>
          <w:highlight w:val="none"/>
        </w:rPr>
        <w:t>我单位不存在为采购项目提供整体设计、规范编制或者项目管理、监理、检测等服务后，再参加该采购项目的其他采购活动的情形（单一来源采购项目除外）；</w:t>
      </w:r>
    </w:p>
    <w:p w14:paraId="46638876">
      <w:pPr>
        <w:numPr>
          <w:ilvl w:val="0"/>
          <w:numId w:val="19"/>
        </w:numPr>
        <w:spacing w:line="360" w:lineRule="auto"/>
        <w:ind w:left="1134"/>
        <w:rPr>
          <w:color w:val="auto"/>
          <w:sz w:val="24"/>
          <w:szCs w:val="22"/>
          <w:highlight w:val="none"/>
        </w:rPr>
      </w:pPr>
      <w:r>
        <w:rPr>
          <w:color w:val="auto"/>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6"/>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3F93C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950" w:type="dxa"/>
            <w:vAlign w:val="center"/>
          </w:tcPr>
          <w:p w14:paraId="3D393A1A">
            <w:pPr>
              <w:jc w:val="center"/>
              <w:rPr>
                <w:color w:val="auto"/>
                <w:sz w:val="24"/>
                <w:highlight w:val="none"/>
              </w:rPr>
            </w:pPr>
            <w:r>
              <w:rPr>
                <w:color w:val="auto"/>
                <w:sz w:val="24"/>
                <w:highlight w:val="none"/>
              </w:rPr>
              <w:t>序号</w:t>
            </w:r>
          </w:p>
        </w:tc>
        <w:tc>
          <w:tcPr>
            <w:tcW w:w="4574" w:type="dxa"/>
            <w:vAlign w:val="center"/>
          </w:tcPr>
          <w:p w14:paraId="5C739892">
            <w:pPr>
              <w:jc w:val="center"/>
              <w:rPr>
                <w:color w:val="auto"/>
                <w:sz w:val="24"/>
                <w:highlight w:val="none"/>
              </w:rPr>
            </w:pPr>
            <w:r>
              <w:rPr>
                <w:color w:val="auto"/>
                <w:sz w:val="24"/>
                <w:highlight w:val="none"/>
              </w:rPr>
              <w:t>单位名称</w:t>
            </w:r>
          </w:p>
        </w:tc>
        <w:tc>
          <w:tcPr>
            <w:tcW w:w="2976" w:type="dxa"/>
            <w:vAlign w:val="center"/>
          </w:tcPr>
          <w:p w14:paraId="0FB78D9F">
            <w:pPr>
              <w:jc w:val="center"/>
              <w:rPr>
                <w:color w:val="auto"/>
                <w:sz w:val="24"/>
                <w:highlight w:val="none"/>
              </w:rPr>
            </w:pPr>
            <w:r>
              <w:rPr>
                <w:color w:val="auto"/>
                <w:sz w:val="24"/>
                <w:highlight w:val="none"/>
              </w:rPr>
              <w:t>相互关系</w:t>
            </w:r>
          </w:p>
        </w:tc>
      </w:tr>
      <w:tr w14:paraId="569E0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188CC27">
            <w:pPr>
              <w:jc w:val="center"/>
              <w:rPr>
                <w:color w:val="auto"/>
                <w:sz w:val="24"/>
                <w:highlight w:val="none"/>
              </w:rPr>
            </w:pPr>
            <w:r>
              <w:rPr>
                <w:color w:val="auto"/>
                <w:sz w:val="24"/>
                <w:highlight w:val="none"/>
              </w:rPr>
              <w:t>1</w:t>
            </w:r>
          </w:p>
        </w:tc>
        <w:tc>
          <w:tcPr>
            <w:tcW w:w="4574" w:type="dxa"/>
            <w:vAlign w:val="center"/>
          </w:tcPr>
          <w:p w14:paraId="44CAC317">
            <w:pPr>
              <w:jc w:val="center"/>
              <w:rPr>
                <w:color w:val="auto"/>
                <w:sz w:val="24"/>
                <w:highlight w:val="none"/>
              </w:rPr>
            </w:pPr>
          </w:p>
        </w:tc>
        <w:tc>
          <w:tcPr>
            <w:tcW w:w="2976" w:type="dxa"/>
            <w:vAlign w:val="center"/>
          </w:tcPr>
          <w:p w14:paraId="426430FF">
            <w:pPr>
              <w:jc w:val="center"/>
              <w:rPr>
                <w:color w:val="auto"/>
                <w:sz w:val="24"/>
                <w:highlight w:val="none"/>
              </w:rPr>
            </w:pPr>
          </w:p>
        </w:tc>
      </w:tr>
      <w:tr w14:paraId="3707C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2F8746F">
            <w:pPr>
              <w:jc w:val="center"/>
              <w:rPr>
                <w:color w:val="auto"/>
                <w:sz w:val="24"/>
                <w:highlight w:val="none"/>
              </w:rPr>
            </w:pPr>
            <w:r>
              <w:rPr>
                <w:color w:val="auto"/>
                <w:sz w:val="24"/>
                <w:highlight w:val="none"/>
              </w:rPr>
              <w:t>2</w:t>
            </w:r>
          </w:p>
        </w:tc>
        <w:tc>
          <w:tcPr>
            <w:tcW w:w="4574" w:type="dxa"/>
            <w:vAlign w:val="center"/>
          </w:tcPr>
          <w:p w14:paraId="1E21D273">
            <w:pPr>
              <w:jc w:val="center"/>
              <w:rPr>
                <w:color w:val="auto"/>
                <w:sz w:val="24"/>
                <w:highlight w:val="none"/>
              </w:rPr>
            </w:pPr>
          </w:p>
        </w:tc>
        <w:tc>
          <w:tcPr>
            <w:tcW w:w="2976" w:type="dxa"/>
            <w:vAlign w:val="center"/>
          </w:tcPr>
          <w:p w14:paraId="1C5D3419">
            <w:pPr>
              <w:jc w:val="center"/>
              <w:rPr>
                <w:color w:val="auto"/>
                <w:sz w:val="24"/>
                <w:highlight w:val="none"/>
              </w:rPr>
            </w:pPr>
          </w:p>
        </w:tc>
      </w:tr>
      <w:tr w14:paraId="63804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279DDE9">
            <w:pPr>
              <w:jc w:val="center"/>
              <w:rPr>
                <w:color w:val="auto"/>
                <w:sz w:val="24"/>
                <w:highlight w:val="none"/>
              </w:rPr>
            </w:pPr>
            <w:r>
              <w:rPr>
                <w:color w:val="auto"/>
                <w:sz w:val="24"/>
                <w:highlight w:val="none"/>
              </w:rPr>
              <w:t>…</w:t>
            </w:r>
          </w:p>
        </w:tc>
        <w:tc>
          <w:tcPr>
            <w:tcW w:w="4574" w:type="dxa"/>
            <w:vAlign w:val="center"/>
          </w:tcPr>
          <w:p w14:paraId="6F5AC173">
            <w:pPr>
              <w:jc w:val="center"/>
              <w:rPr>
                <w:color w:val="auto"/>
                <w:sz w:val="24"/>
                <w:highlight w:val="none"/>
              </w:rPr>
            </w:pPr>
          </w:p>
        </w:tc>
        <w:tc>
          <w:tcPr>
            <w:tcW w:w="2976" w:type="dxa"/>
            <w:vAlign w:val="center"/>
          </w:tcPr>
          <w:p w14:paraId="2176B849">
            <w:pPr>
              <w:jc w:val="center"/>
              <w:rPr>
                <w:color w:val="auto"/>
                <w:sz w:val="24"/>
                <w:highlight w:val="none"/>
              </w:rPr>
            </w:pPr>
          </w:p>
        </w:tc>
      </w:tr>
    </w:tbl>
    <w:p w14:paraId="4F9CE48E">
      <w:pPr>
        <w:rPr>
          <w:color w:val="auto"/>
          <w:highlight w:val="none"/>
        </w:rPr>
      </w:pPr>
    </w:p>
    <w:p w14:paraId="177EC6EE">
      <w:pPr>
        <w:ind w:firstLine="480" w:firstLineChars="200"/>
        <w:rPr>
          <w:color w:val="auto"/>
          <w:sz w:val="24"/>
          <w:szCs w:val="22"/>
          <w:highlight w:val="none"/>
        </w:rPr>
      </w:pPr>
      <w:r>
        <w:rPr>
          <w:color w:val="auto"/>
          <w:sz w:val="24"/>
          <w:highlight w:val="none"/>
        </w:rPr>
        <w:t>上述声明真实有效，否则我方负全部责任。</w:t>
      </w:r>
    </w:p>
    <w:p w14:paraId="126AF68C">
      <w:pPr>
        <w:spacing w:line="360" w:lineRule="auto"/>
        <w:rPr>
          <w:color w:val="auto"/>
          <w:sz w:val="24"/>
          <w:highlight w:val="none"/>
        </w:rPr>
      </w:pPr>
    </w:p>
    <w:p w14:paraId="5489E15A">
      <w:pPr>
        <w:autoSpaceDE w:val="0"/>
        <w:autoSpaceDN w:val="0"/>
        <w:adjustRightInd w:val="0"/>
        <w:snapToGrid w:val="0"/>
        <w:spacing w:before="25" w:after="25" w:line="480" w:lineRule="auto"/>
        <w:jc w:val="right"/>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291A667D">
      <w:pPr>
        <w:spacing w:line="480" w:lineRule="auto"/>
        <w:ind w:right="360" w:firstLine="480"/>
        <w:jc w:val="right"/>
        <w:rPr>
          <w:color w:val="auto"/>
          <w:sz w:val="24"/>
          <w:highlight w:val="none"/>
        </w:rPr>
      </w:pPr>
      <w:r>
        <w:rPr>
          <w:rFonts w:hint="eastAsia"/>
          <w:color w:val="auto"/>
          <w:sz w:val="24"/>
          <w:szCs w:val="20"/>
          <w:highlight w:val="none"/>
        </w:rPr>
        <w:t xml:space="preserve">  </w:t>
      </w:r>
      <w:r>
        <w:rPr>
          <w:color w:val="auto"/>
          <w:sz w:val="24"/>
          <w:szCs w:val="20"/>
          <w:highlight w:val="none"/>
        </w:rPr>
        <w:t xml:space="preserve">日期：_____年______月______日   </w:t>
      </w:r>
    </w:p>
    <w:p w14:paraId="2DD7D264">
      <w:pPr>
        <w:spacing w:line="360" w:lineRule="auto"/>
        <w:rPr>
          <w:color w:val="auto"/>
          <w:sz w:val="24"/>
          <w:highlight w:val="none"/>
        </w:rPr>
      </w:pPr>
      <w:r>
        <w:rPr>
          <w:color w:val="auto"/>
          <w:sz w:val="24"/>
          <w:highlight w:val="none"/>
        </w:rPr>
        <w:t>说明：</w:t>
      </w:r>
      <w:r>
        <w:rPr>
          <w:rFonts w:hint="eastAsia"/>
          <w:color w:val="auto"/>
          <w:sz w:val="24"/>
          <w:highlight w:val="none"/>
        </w:rPr>
        <w:t>供应商承诺不实的，依据《政府采购法》第七十七条“提供虚假材料谋取中标、成交的”有关规定予以处理</w:t>
      </w:r>
      <w:r>
        <w:rPr>
          <w:color w:val="auto"/>
          <w:sz w:val="24"/>
          <w:highlight w:val="none"/>
        </w:rPr>
        <w:t>。</w:t>
      </w:r>
    </w:p>
    <w:p w14:paraId="3D50A516">
      <w:pPr>
        <w:tabs>
          <w:tab w:val="left" w:pos="5580"/>
        </w:tabs>
        <w:spacing w:line="360" w:lineRule="auto"/>
        <w:rPr>
          <w:color w:val="auto"/>
          <w:sz w:val="24"/>
          <w:highlight w:val="none"/>
        </w:rPr>
        <w:sectPr>
          <w:headerReference r:id="rId13" w:type="default"/>
          <w:footerReference r:id="rId14" w:type="default"/>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5A259C79">
      <w:pPr>
        <w:spacing w:line="360" w:lineRule="auto"/>
        <w:outlineLvl w:val="2"/>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rPr>
        <w:t>2 落实政府采购政策需满足的资格要求</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lang w:val="en-US" w:eastAsia="zh-CN"/>
        </w:rPr>
        <w:t>如有</w:t>
      </w:r>
      <w:r>
        <w:rPr>
          <w:rFonts w:hint="eastAsia" w:ascii="宋体" w:hAnsi="宋体" w:cs="宋体"/>
          <w:color w:val="auto"/>
          <w:sz w:val="24"/>
          <w:szCs w:val="20"/>
          <w:highlight w:val="none"/>
          <w:lang w:eastAsia="zh-CN"/>
        </w:rPr>
        <w:t>）</w:t>
      </w:r>
    </w:p>
    <w:p w14:paraId="30A05332">
      <w:pPr>
        <w:spacing w:line="360" w:lineRule="auto"/>
        <w:outlineLvl w:val="2"/>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2-1 中小企业证明文件</w:t>
      </w:r>
    </w:p>
    <w:p w14:paraId="2D8975DE">
      <w:pPr>
        <w:spacing w:before="240" w:beforeLines="100" w:after="240" w:afterLines="100" w:line="360" w:lineRule="auto"/>
        <w:jc w:val="left"/>
        <w:rPr>
          <w:rFonts w:hint="eastAsia"/>
          <w:color w:val="auto"/>
          <w:sz w:val="24"/>
          <w:highlight w:val="none"/>
        </w:rPr>
      </w:pPr>
      <w:r>
        <w:rPr>
          <w:rFonts w:hint="eastAsia"/>
          <w:color w:val="auto"/>
          <w:sz w:val="24"/>
          <w:highlight w:val="none"/>
        </w:rPr>
        <w:t>说明：（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1E780D1D">
      <w:pPr>
        <w:numPr>
          <w:ilvl w:val="0"/>
          <w:numId w:val="20"/>
        </w:numPr>
        <w:spacing w:before="240" w:beforeLines="100" w:after="240" w:afterLines="100" w:line="360" w:lineRule="auto"/>
        <w:jc w:val="left"/>
        <w:rPr>
          <w:rFonts w:hint="eastAsia"/>
          <w:color w:val="auto"/>
          <w:sz w:val="24"/>
          <w:highlight w:val="none"/>
        </w:rPr>
      </w:pPr>
      <w:r>
        <w:rPr>
          <w:rFonts w:hint="eastAsia"/>
          <w:color w:val="auto"/>
          <w:sz w:val="24"/>
          <w:highlight w:val="none"/>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4CB5456">
      <w:pPr>
        <w:numPr>
          <w:ilvl w:val="0"/>
          <w:numId w:val="20"/>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EB036BA">
      <w:pPr>
        <w:numPr>
          <w:ilvl w:val="0"/>
          <w:numId w:val="20"/>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如本项目（包）预留部分采购项目预算专门面向中小企业采购，且要求供应商以联合体形式参加采购活动，如供应商为联合体的，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5938EBF">
      <w:pPr>
        <w:numPr>
          <w:ilvl w:val="0"/>
          <w:numId w:val="20"/>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中小企业声明函填写注意事项</w:t>
      </w:r>
    </w:p>
    <w:p w14:paraId="36449973">
      <w:pPr>
        <w:numPr>
          <w:ilvl w:val="0"/>
          <w:numId w:val="21"/>
        </w:numPr>
        <w:spacing w:before="240" w:beforeLines="100" w:after="240" w:afterLines="100" w:line="360" w:lineRule="auto"/>
        <w:ind w:leftChars="0"/>
        <w:jc w:val="left"/>
        <w:rPr>
          <w:rFonts w:hint="eastAsia"/>
          <w:color w:val="auto"/>
          <w:sz w:val="24"/>
          <w:highlight w:val="none"/>
        </w:rPr>
      </w:pPr>
      <w:r>
        <w:rPr>
          <w:rFonts w:hint="eastAsia"/>
          <w:color w:val="auto"/>
          <w:sz w:val="24"/>
          <w:highlight w:val="none"/>
        </w:rPr>
        <w:t>《中小企业声明函》由参加政府采购活动的投标人出具。联合体投标的，《中小企业声明函》可由牵头人出具。</w:t>
      </w:r>
    </w:p>
    <w:p w14:paraId="32F051B8">
      <w:pPr>
        <w:numPr>
          <w:ilvl w:val="0"/>
          <w:numId w:val="21"/>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B455326">
      <w:pPr>
        <w:numPr>
          <w:ilvl w:val="0"/>
          <w:numId w:val="21"/>
        </w:numPr>
        <w:spacing w:before="240" w:beforeLines="100" w:after="240" w:afterLines="100" w:line="360" w:lineRule="auto"/>
        <w:ind w:left="0" w:leftChars="0" w:firstLine="0" w:firstLineChars="0"/>
        <w:jc w:val="left"/>
        <w:rPr>
          <w:rFonts w:hint="eastAsia"/>
          <w:color w:val="auto"/>
          <w:sz w:val="24"/>
          <w:highlight w:val="none"/>
        </w:rPr>
      </w:pPr>
      <w:r>
        <w:rPr>
          <w:rFonts w:hint="eastAsia"/>
          <w:color w:val="auto"/>
          <w:sz w:val="24"/>
          <w:highlight w:val="none"/>
        </w:rPr>
        <w:t>对于多标的采购项目，投标人应充分、准确地了解所提供货物的制造企业、提供服务的承接企业信息。对相关情况了解不清楚的，不建议填报本声明函。</w:t>
      </w:r>
    </w:p>
    <w:p w14:paraId="0A30EA68">
      <w:pPr>
        <w:numPr>
          <w:ilvl w:val="0"/>
          <w:numId w:val="0"/>
        </w:numPr>
        <w:spacing w:before="240" w:beforeLines="100" w:after="240" w:afterLines="100" w:line="360" w:lineRule="auto"/>
        <w:ind w:leftChars="0"/>
        <w:jc w:val="left"/>
        <w:rPr>
          <w:color w:val="auto"/>
          <w:sz w:val="24"/>
          <w:highlight w:val="none"/>
        </w:rPr>
      </w:pPr>
      <w:r>
        <w:rPr>
          <w:rFonts w:hint="eastAsia"/>
          <w:color w:val="auto"/>
          <w:sz w:val="24"/>
          <w:highlight w:val="none"/>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号）》及《金融业企业划型标准规定》（〔2015〕309号）等国务院批准的中小企业划分标准执行。</w:t>
      </w:r>
    </w:p>
    <w:p w14:paraId="7020C38B">
      <w:pPr>
        <w:widowControl/>
        <w:jc w:val="left"/>
        <w:rPr>
          <w:rFonts w:ascii="宋体" w:hAnsi="宋体" w:cs="宋体"/>
          <w:color w:val="auto"/>
          <w:sz w:val="24"/>
          <w:highlight w:val="none"/>
        </w:rPr>
      </w:pPr>
      <w:r>
        <w:rPr>
          <w:rFonts w:hint="eastAsia" w:ascii="宋体" w:hAnsi="宋体" w:cs="宋体"/>
          <w:color w:val="auto"/>
          <w:sz w:val="24"/>
          <w:highlight w:val="none"/>
        </w:rPr>
        <w:br w:type="page"/>
      </w:r>
    </w:p>
    <w:p w14:paraId="6947C23B">
      <w:pPr>
        <w:keepNext/>
        <w:keepLines/>
        <w:widowControl w:val="0"/>
        <w:adjustRightInd w:val="0"/>
        <w:spacing w:before="280" w:after="290" w:line="376" w:lineRule="atLeast"/>
        <w:jc w:val="both"/>
        <w:textAlignment w:val="baseline"/>
        <w:outlineLvl w:val="3"/>
        <w:rPr>
          <w:rFonts w:ascii="Times New Roman" w:hAnsi="Times New Roman" w:eastAsia="宋体" w:cs="Times New Roman"/>
          <w:color w:val="auto"/>
          <w:kern w:val="0"/>
          <w:sz w:val="24"/>
          <w:szCs w:val="20"/>
          <w:highlight w:val="none"/>
          <w:lang w:val="en-US" w:eastAsia="zh-CN" w:bidi="ar-SA"/>
        </w:rPr>
      </w:pPr>
      <w:r>
        <w:rPr>
          <w:rFonts w:ascii="Times New Roman" w:hAnsi="Times New Roman" w:eastAsia="宋体" w:cs="Times New Roman"/>
          <w:color w:val="auto"/>
          <w:kern w:val="0"/>
          <w:sz w:val="24"/>
          <w:szCs w:val="20"/>
          <w:highlight w:val="none"/>
          <w:lang w:val="en-US" w:eastAsia="zh-CN" w:bidi="ar-SA"/>
        </w:rPr>
        <w:t xml:space="preserve">2-1-1 </w:t>
      </w:r>
      <w:r>
        <w:rPr>
          <w:rFonts w:hint="eastAsia" w:ascii="Times New Roman" w:hAnsi="Times New Roman" w:eastAsia="宋体" w:cs="Times New Roman"/>
          <w:color w:val="auto"/>
          <w:kern w:val="0"/>
          <w:sz w:val="24"/>
          <w:szCs w:val="20"/>
          <w:highlight w:val="none"/>
          <w:lang w:val="en-US" w:eastAsia="zh-CN" w:bidi="ar-SA"/>
        </w:rPr>
        <w:t>中小企业证明文件</w:t>
      </w:r>
    </w:p>
    <w:p w14:paraId="27D2A2F8">
      <w:pPr>
        <w:spacing w:before="240" w:beforeLines="100" w:after="240" w:afterLines="100" w:line="360" w:lineRule="auto"/>
        <w:jc w:val="center"/>
        <w:rPr>
          <w:rFonts w:hint="eastAsia" w:ascii="仿宋" w:hAnsi="仿宋" w:eastAsia="仿宋" w:cs="仿宋"/>
          <w:b/>
          <w:color w:val="000000"/>
          <w:sz w:val="36"/>
          <w:szCs w:val="36"/>
        </w:rPr>
      </w:pPr>
      <w:r>
        <w:rPr>
          <w:rFonts w:hint="eastAsia" w:ascii="仿宋" w:hAnsi="仿宋" w:eastAsia="仿宋" w:cs="仿宋"/>
          <w:b/>
          <w:bCs/>
          <w:color w:val="000000"/>
          <w:sz w:val="36"/>
          <w:szCs w:val="36"/>
        </w:rPr>
        <w:t>中小企业声明函（货物）格式</w:t>
      </w:r>
    </w:p>
    <w:p w14:paraId="4962C4E6">
      <w:pPr>
        <w:autoSpaceDE w:val="0"/>
        <w:autoSpaceDN w:val="0"/>
        <w:spacing w:line="360" w:lineRule="auto"/>
        <w:ind w:left="220" w:right="415" w:firstLine="640"/>
        <w:jc w:val="left"/>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i/>
          <w:kern w:val="0"/>
          <w:sz w:val="24"/>
          <w:u w:val="single"/>
        </w:rPr>
        <w:t>（单位名称）</w:t>
      </w:r>
      <w:r>
        <w:rPr>
          <w:rFonts w:hint="eastAsia" w:ascii="仿宋" w:hAnsi="仿宋" w:eastAsia="仿宋" w:cs="仿宋"/>
          <w:kern w:val="0"/>
          <w:sz w:val="24"/>
        </w:rPr>
        <w:t>的</w:t>
      </w:r>
      <w:r>
        <w:rPr>
          <w:rFonts w:hint="eastAsia" w:ascii="仿宋" w:hAnsi="仿宋" w:eastAsia="仿宋" w:cs="仿宋"/>
          <w:i/>
          <w:kern w:val="0"/>
          <w:sz w:val="24"/>
          <w:u w:val="single"/>
        </w:rPr>
        <w:t>（项目名称）</w:t>
      </w:r>
      <w:r>
        <w:rPr>
          <w:rFonts w:hint="eastAsia" w:ascii="仿宋" w:hAnsi="仿宋" w:eastAsia="仿宋" w:cs="仿宋"/>
          <w:kern w:val="0"/>
          <w:sz w:val="24"/>
        </w:rPr>
        <w:t>采购活动，提供的货物全部由符合政策要求的中小企业制造。相关企业（含联合体中的中小企业、签订分包意向协议的中小企业）的具体情况如下：</w:t>
      </w:r>
    </w:p>
    <w:p w14:paraId="61F7FCBA">
      <w:pPr>
        <w:numPr>
          <w:ilvl w:val="0"/>
          <w:numId w:val="22"/>
        </w:numPr>
        <w:tabs>
          <w:tab w:val="left" w:pos="1183"/>
          <w:tab w:val="left" w:pos="1484"/>
          <w:tab w:val="left" w:pos="4662"/>
          <w:tab w:val="left" w:pos="6903"/>
        </w:tabs>
        <w:autoSpaceDE w:val="0"/>
        <w:autoSpaceDN w:val="0"/>
        <w:spacing w:line="360" w:lineRule="auto"/>
        <w:ind w:right="169" w:firstLine="646"/>
        <w:jc w:val="left"/>
        <w:rPr>
          <w:rFonts w:hint="eastAsia" w:ascii="仿宋" w:hAnsi="仿宋" w:eastAsia="仿宋" w:cs="仿宋"/>
          <w:kern w:val="0"/>
          <w:sz w:val="24"/>
        </w:rPr>
      </w:pPr>
      <w:r>
        <w:rPr>
          <w:rFonts w:hint="eastAsia" w:ascii="仿宋" w:hAnsi="仿宋" w:eastAsia="仿宋" w:cs="仿宋"/>
          <w:i/>
          <w:kern w:val="0"/>
          <w:sz w:val="24"/>
          <w:u w:val="single" w:color="000000"/>
        </w:rPr>
        <w:t>（标的名称）</w:t>
      </w:r>
      <w:r>
        <w:rPr>
          <w:rFonts w:hint="eastAsia" w:ascii="仿宋" w:hAnsi="仿宋" w:eastAsia="仿宋" w:cs="仿宋"/>
          <w:kern w:val="0"/>
          <w:sz w:val="24"/>
        </w:rPr>
        <w:t>，属于</w:t>
      </w:r>
      <w:r>
        <w:rPr>
          <w:rFonts w:hint="eastAsia" w:ascii="仿宋" w:hAnsi="仿宋" w:eastAsia="仿宋" w:cs="仿宋"/>
          <w:i/>
          <w:kern w:val="0"/>
          <w:sz w:val="24"/>
        </w:rPr>
        <w:t>（</w:t>
      </w:r>
      <w:r>
        <w:rPr>
          <w:rFonts w:hint="eastAsia" w:ascii="仿宋" w:hAnsi="仿宋" w:eastAsia="仿宋" w:cs="仿宋"/>
          <w:i/>
          <w:kern w:val="0"/>
          <w:sz w:val="24"/>
          <w:u w:val="single" w:color="000000"/>
        </w:rPr>
        <w:t>采购文件中明确的所属行业）行业</w:t>
      </w:r>
      <w:r>
        <w:rPr>
          <w:rFonts w:hint="eastAsia" w:ascii="仿宋" w:hAnsi="仿宋" w:eastAsia="仿宋" w:cs="仿宋"/>
          <w:kern w:val="0"/>
          <w:sz w:val="24"/>
        </w:rPr>
        <w:t>；制造商为</w:t>
      </w:r>
      <w:r>
        <w:rPr>
          <w:rFonts w:hint="eastAsia" w:ascii="仿宋" w:hAnsi="仿宋" w:eastAsia="仿宋" w:cs="仿宋"/>
          <w:i/>
          <w:kern w:val="0"/>
          <w:sz w:val="24"/>
          <w:u w:val="single" w:color="000000"/>
        </w:rPr>
        <w:t>（企业名称）</w:t>
      </w:r>
      <w:r>
        <w:rPr>
          <w:rFonts w:hint="eastAsia" w:ascii="仿宋" w:hAnsi="仿宋" w:eastAsia="仿宋" w:cs="仿宋"/>
          <w:kern w:val="0"/>
          <w:sz w:val="24"/>
        </w:rPr>
        <w:t>，从业人员</w:t>
      </w:r>
      <w:r>
        <w:rPr>
          <w:rFonts w:hint="eastAsia" w:ascii="仿宋" w:hAnsi="仿宋" w:eastAsia="仿宋" w:cs="仿宋"/>
          <w:kern w:val="0"/>
          <w:sz w:val="24"/>
          <w:u w:val="single" w:color="000000"/>
        </w:rPr>
        <w:tab/>
      </w:r>
      <w:r>
        <w:rPr>
          <w:rFonts w:hint="eastAsia" w:ascii="仿宋" w:hAnsi="仿宋" w:eastAsia="仿宋" w:cs="仿宋"/>
          <w:kern w:val="0"/>
          <w:sz w:val="24"/>
        </w:rPr>
        <w:t>人，营业收入为</w:t>
      </w:r>
      <w:r>
        <w:rPr>
          <w:rFonts w:hint="eastAsia" w:ascii="仿宋" w:hAnsi="仿宋" w:eastAsia="仿宋" w:cs="仿宋"/>
          <w:kern w:val="0"/>
          <w:sz w:val="24"/>
          <w:u w:val="single" w:color="000000"/>
        </w:rPr>
        <w:tab/>
      </w:r>
      <w:r>
        <w:rPr>
          <w:rFonts w:hint="eastAsia" w:ascii="仿宋" w:hAnsi="仿宋" w:eastAsia="仿宋" w:cs="仿宋"/>
          <w:kern w:val="0"/>
          <w:sz w:val="24"/>
        </w:rPr>
        <w:t>万元，资产总额为</w:t>
      </w:r>
      <w:r>
        <w:rPr>
          <w:rFonts w:hint="eastAsia" w:ascii="仿宋" w:hAnsi="仿宋" w:eastAsia="仿宋" w:cs="仿宋"/>
          <w:kern w:val="0"/>
          <w:sz w:val="24"/>
          <w:u w:val="single" w:color="000000"/>
        </w:rPr>
        <w:tab/>
      </w:r>
      <w:r>
        <w:rPr>
          <w:rFonts w:hint="eastAsia" w:ascii="仿宋" w:hAnsi="仿宋" w:eastAsia="仿宋" w:cs="仿宋"/>
          <w:kern w:val="0"/>
          <w:sz w:val="24"/>
        </w:rPr>
        <w:t>万元</w:t>
      </w:r>
      <w:r>
        <w:rPr>
          <w:rFonts w:hint="eastAsia" w:ascii="仿宋" w:hAnsi="仿宋" w:eastAsia="仿宋" w:cs="仿宋"/>
        </w:rPr>
        <w:fldChar w:fldCharType="begin"/>
      </w:r>
      <w:r>
        <w:rPr>
          <w:rFonts w:hint="eastAsia" w:ascii="仿宋" w:hAnsi="仿宋" w:eastAsia="仿宋" w:cs="仿宋"/>
        </w:rPr>
        <w:instrText xml:space="preserve"> HYPERLINK \l "_bookmark0" </w:instrText>
      </w:r>
      <w:r>
        <w:rPr>
          <w:rFonts w:hint="eastAsia" w:ascii="仿宋" w:hAnsi="仿宋" w:eastAsia="仿宋" w:cs="仿宋"/>
        </w:rPr>
        <w:fldChar w:fldCharType="separate"/>
      </w:r>
      <w:r>
        <w:rPr>
          <w:rFonts w:hint="eastAsia" w:ascii="仿宋" w:hAnsi="仿宋" w:eastAsia="仿宋" w:cs="仿宋"/>
          <w:kern w:val="0"/>
          <w:position w:val="16"/>
          <w:sz w:val="24"/>
        </w:rPr>
        <w:t>1</w:t>
      </w:r>
      <w:r>
        <w:rPr>
          <w:rFonts w:hint="eastAsia" w:ascii="仿宋" w:hAnsi="仿宋" w:eastAsia="仿宋" w:cs="仿宋"/>
          <w:kern w:val="0"/>
          <w:position w:val="16"/>
          <w:sz w:val="24"/>
        </w:rPr>
        <w:fldChar w:fldCharType="end"/>
      </w:r>
      <w:r>
        <w:rPr>
          <w:rFonts w:hint="eastAsia" w:ascii="仿宋" w:hAnsi="仿宋" w:eastAsia="仿宋" w:cs="仿宋"/>
          <w:kern w:val="0"/>
          <w:sz w:val="24"/>
        </w:rPr>
        <w:t>，属于</w:t>
      </w:r>
      <w:r>
        <w:rPr>
          <w:rFonts w:hint="eastAsia" w:ascii="仿宋" w:hAnsi="仿宋" w:eastAsia="仿宋" w:cs="仿宋"/>
          <w:i/>
          <w:kern w:val="0"/>
          <w:sz w:val="24"/>
          <w:u w:val="single" w:color="000000"/>
        </w:rPr>
        <w:t>（中型企业、小型企业、微型企业）</w:t>
      </w:r>
      <w:r>
        <w:rPr>
          <w:rFonts w:hint="eastAsia" w:ascii="仿宋" w:hAnsi="仿宋" w:eastAsia="仿宋" w:cs="仿宋"/>
          <w:kern w:val="0"/>
          <w:sz w:val="24"/>
        </w:rPr>
        <w:t>；</w:t>
      </w:r>
    </w:p>
    <w:p w14:paraId="287751A1">
      <w:pPr>
        <w:numPr>
          <w:ilvl w:val="0"/>
          <w:numId w:val="22"/>
        </w:numPr>
        <w:tabs>
          <w:tab w:val="left" w:pos="1165"/>
          <w:tab w:val="left" w:pos="1183"/>
          <w:tab w:val="left" w:pos="4362"/>
          <w:tab w:val="left" w:pos="6577"/>
        </w:tabs>
        <w:autoSpaceDE w:val="0"/>
        <w:autoSpaceDN w:val="0"/>
        <w:spacing w:line="360" w:lineRule="auto"/>
        <w:ind w:right="169" w:firstLine="646"/>
        <w:jc w:val="left"/>
        <w:rPr>
          <w:rFonts w:hint="eastAsia" w:ascii="仿宋" w:hAnsi="仿宋" w:eastAsia="仿宋" w:cs="仿宋"/>
          <w:kern w:val="0"/>
          <w:sz w:val="24"/>
        </w:rPr>
      </w:pPr>
      <w:r>
        <w:rPr>
          <w:rFonts w:hint="eastAsia" w:ascii="仿宋" w:hAnsi="仿宋" w:eastAsia="仿宋" w:cs="仿宋"/>
          <w:i/>
          <w:kern w:val="0"/>
          <w:sz w:val="24"/>
          <w:u w:val="single" w:color="000000"/>
        </w:rPr>
        <w:t>（标的名称）</w:t>
      </w:r>
      <w:r>
        <w:rPr>
          <w:rFonts w:hint="eastAsia" w:ascii="仿宋" w:hAnsi="仿宋" w:eastAsia="仿宋" w:cs="仿宋"/>
          <w:kern w:val="0"/>
          <w:sz w:val="24"/>
        </w:rPr>
        <w:t>，属于</w:t>
      </w:r>
      <w:r>
        <w:rPr>
          <w:rFonts w:hint="eastAsia" w:ascii="仿宋" w:hAnsi="仿宋" w:eastAsia="仿宋" w:cs="仿宋"/>
          <w:i/>
          <w:kern w:val="0"/>
          <w:sz w:val="24"/>
        </w:rPr>
        <w:t>（</w:t>
      </w:r>
      <w:r>
        <w:rPr>
          <w:rFonts w:hint="eastAsia" w:ascii="仿宋" w:hAnsi="仿宋" w:eastAsia="仿宋" w:cs="仿宋"/>
          <w:i/>
          <w:kern w:val="0"/>
          <w:sz w:val="24"/>
          <w:u w:val="single" w:color="000000"/>
        </w:rPr>
        <w:t>采购文件中明确的所属行业）行业</w:t>
      </w:r>
      <w:r>
        <w:rPr>
          <w:rFonts w:hint="eastAsia" w:ascii="仿宋" w:hAnsi="仿宋" w:eastAsia="仿宋" w:cs="仿宋"/>
          <w:kern w:val="0"/>
          <w:sz w:val="24"/>
        </w:rPr>
        <w:t>；制造商为</w:t>
      </w:r>
      <w:r>
        <w:rPr>
          <w:rFonts w:hint="eastAsia" w:ascii="仿宋" w:hAnsi="仿宋" w:eastAsia="仿宋" w:cs="仿宋"/>
          <w:i/>
          <w:kern w:val="0"/>
          <w:sz w:val="24"/>
          <w:u w:val="single" w:color="000000"/>
        </w:rPr>
        <w:t>（企业名称）</w:t>
      </w:r>
      <w:r>
        <w:rPr>
          <w:rFonts w:hint="eastAsia" w:ascii="仿宋" w:hAnsi="仿宋" w:eastAsia="仿宋" w:cs="仿宋"/>
          <w:kern w:val="0"/>
          <w:sz w:val="24"/>
        </w:rPr>
        <w:t>，从业人员</w:t>
      </w:r>
      <w:r>
        <w:rPr>
          <w:rFonts w:hint="eastAsia" w:ascii="仿宋" w:hAnsi="仿宋" w:eastAsia="仿宋" w:cs="仿宋"/>
          <w:kern w:val="0"/>
          <w:sz w:val="24"/>
          <w:u w:val="single" w:color="000000"/>
        </w:rPr>
        <w:tab/>
      </w:r>
      <w:r>
        <w:rPr>
          <w:rFonts w:hint="eastAsia" w:ascii="仿宋" w:hAnsi="仿宋" w:eastAsia="仿宋" w:cs="仿宋"/>
          <w:kern w:val="0"/>
          <w:sz w:val="24"/>
        </w:rPr>
        <w:t>人，营业收入为</w:t>
      </w:r>
      <w:r>
        <w:rPr>
          <w:rFonts w:hint="eastAsia" w:ascii="仿宋" w:hAnsi="仿宋" w:eastAsia="仿宋" w:cs="仿宋"/>
          <w:kern w:val="0"/>
          <w:sz w:val="24"/>
          <w:u w:val="single" w:color="000000"/>
        </w:rPr>
        <w:tab/>
      </w:r>
      <w:r>
        <w:rPr>
          <w:rFonts w:hint="eastAsia" w:ascii="仿宋" w:hAnsi="仿宋" w:eastAsia="仿宋" w:cs="仿宋"/>
          <w:kern w:val="0"/>
          <w:sz w:val="24"/>
        </w:rPr>
        <w:t>万元，资产总额为</w:t>
      </w:r>
      <w:r>
        <w:rPr>
          <w:rFonts w:hint="eastAsia" w:ascii="仿宋" w:hAnsi="仿宋" w:eastAsia="仿宋" w:cs="仿宋"/>
          <w:kern w:val="0"/>
          <w:sz w:val="24"/>
          <w:u w:val="single" w:color="000000"/>
        </w:rPr>
        <w:tab/>
      </w:r>
      <w:r>
        <w:rPr>
          <w:rFonts w:hint="eastAsia" w:ascii="仿宋" w:hAnsi="仿宋" w:eastAsia="仿宋" w:cs="仿宋"/>
          <w:kern w:val="0"/>
          <w:sz w:val="24"/>
        </w:rPr>
        <w:t>万元，属于</w:t>
      </w:r>
      <w:r>
        <w:rPr>
          <w:rFonts w:hint="eastAsia" w:ascii="仿宋" w:hAnsi="仿宋" w:eastAsia="仿宋" w:cs="仿宋"/>
          <w:i/>
          <w:kern w:val="0"/>
          <w:sz w:val="24"/>
          <w:u w:val="single" w:color="000000"/>
        </w:rPr>
        <w:t>（中型企业、小型企业、微型企业）</w:t>
      </w:r>
      <w:r>
        <w:rPr>
          <w:rFonts w:hint="eastAsia" w:ascii="仿宋" w:hAnsi="仿宋" w:eastAsia="仿宋" w:cs="仿宋"/>
          <w:kern w:val="0"/>
          <w:sz w:val="24"/>
        </w:rPr>
        <w:t>；</w:t>
      </w:r>
    </w:p>
    <w:p w14:paraId="1B2AF76B">
      <w:pPr>
        <w:autoSpaceDE w:val="0"/>
        <w:autoSpaceDN w:val="0"/>
        <w:spacing w:line="360" w:lineRule="auto"/>
        <w:ind w:left="860"/>
        <w:jc w:val="left"/>
        <w:rPr>
          <w:rFonts w:hint="eastAsia" w:ascii="仿宋" w:hAnsi="仿宋" w:eastAsia="仿宋" w:cs="仿宋"/>
          <w:kern w:val="0"/>
          <w:sz w:val="24"/>
        </w:rPr>
      </w:pPr>
      <w:r>
        <w:rPr>
          <w:rFonts w:hint="eastAsia" w:ascii="仿宋" w:hAnsi="仿宋" w:eastAsia="仿宋" w:cs="仿宋"/>
          <w:kern w:val="0"/>
          <w:sz w:val="24"/>
        </w:rPr>
        <w:t>……</w:t>
      </w:r>
    </w:p>
    <w:p w14:paraId="4D3FB43F">
      <w:pPr>
        <w:autoSpaceDE w:val="0"/>
        <w:autoSpaceDN w:val="0"/>
        <w:spacing w:line="360" w:lineRule="auto"/>
        <w:ind w:left="220" w:right="417" w:firstLine="645"/>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64AB4775">
      <w:pPr>
        <w:autoSpaceDE w:val="0"/>
        <w:autoSpaceDN w:val="0"/>
        <w:spacing w:line="360" w:lineRule="auto"/>
        <w:ind w:left="220" w:right="372" w:firstLine="645"/>
        <w:jc w:val="left"/>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263447F7">
      <w:pPr>
        <w:spacing w:line="360" w:lineRule="auto"/>
        <w:ind w:firstLine="504"/>
        <w:rPr>
          <w:rFonts w:hint="eastAsia" w:ascii="仿宋" w:hAnsi="仿宋" w:eastAsia="仿宋" w:cs="仿宋"/>
          <w:spacing w:val="6"/>
          <w:sz w:val="24"/>
        </w:rPr>
      </w:pPr>
    </w:p>
    <w:p w14:paraId="256E46CE">
      <w:pPr>
        <w:spacing w:line="360" w:lineRule="auto"/>
        <w:ind w:firstLine="504"/>
        <w:rPr>
          <w:rFonts w:hint="eastAsia" w:ascii="仿宋" w:hAnsi="仿宋" w:eastAsia="仿宋" w:cs="仿宋"/>
          <w:spacing w:val="6"/>
          <w:sz w:val="24"/>
        </w:rPr>
      </w:pPr>
    </w:p>
    <w:p w14:paraId="3BB0A517">
      <w:pPr>
        <w:spacing w:line="360" w:lineRule="auto"/>
        <w:ind w:right="360" w:firstLine="480"/>
        <w:jc w:val="right"/>
        <w:rPr>
          <w:rFonts w:hint="eastAsia" w:ascii="仿宋" w:hAnsi="仿宋" w:eastAsia="仿宋" w:cs="仿宋"/>
          <w:color w:val="000000"/>
          <w:sz w:val="24"/>
        </w:rPr>
      </w:pPr>
      <w:r>
        <w:rPr>
          <w:rFonts w:hint="eastAsia" w:ascii="仿宋" w:hAnsi="仿宋" w:eastAsia="仿宋" w:cs="仿宋"/>
          <w:color w:val="000000"/>
          <w:sz w:val="24"/>
        </w:rPr>
        <w:t>企业名称（盖章）：________</w:t>
      </w:r>
    </w:p>
    <w:p w14:paraId="68A5D7CE">
      <w:pPr>
        <w:spacing w:line="360" w:lineRule="auto"/>
        <w:ind w:right="360" w:firstLine="480"/>
        <w:jc w:val="right"/>
        <w:rPr>
          <w:rFonts w:hint="eastAsia" w:ascii="仿宋" w:hAnsi="仿宋" w:eastAsia="仿宋" w:cs="仿宋"/>
          <w:color w:val="000000"/>
          <w:sz w:val="24"/>
        </w:rPr>
      </w:pPr>
      <w:r>
        <w:rPr>
          <w:rFonts w:hint="eastAsia" w:ascii="仿宋" w:hAnsi="仿宋" w:eastAsia="仿宋" w:cs="仿宋"/>
          <w:color w:val="000000"/>
          <w:sz w:val="24"/>
        </w:rPr>
        <w:t>日 期：________</w:t>
      </w:r>
    </w:p>
    <w:p w14:paraId="5114C37E">
      <w:pPr>
        <w:wordWrap w:val="0"/>
        <w:topLinePunct/>
        <w:spacing w:line="360" w:lineRule="auto"/>
        <w:ind w:right="360" w:firstLine="480"/>
        <w:jc w:val="right"/>
        <w:rPr>
          <w:rFonts w:hint="eastAsia" w:ascii="仿宋" w:hAnsi="仿宋" w:eastAsia="仿宋" w:cs="仿宋"/>
          <w:color w:val="auto"/>
          <w:sz w:val="24"/>
          <w:szCs w:val="24"/>
          <w:highlight w:val="none"/>
        </w:rPr>
      </w:pPr>
    </w:p>
    <w:p w14:paraId="0868302D">
      <w:pPr>
        <w:wordWrap w:val="0"/>
        <w:topLinePunct/>
        <w:adjustRightInd w:val="0"/>
        <w:snapToGrid w:val="0"/>
        <w:spacing w:line="360" w:lineRule="auto"/>
        <w:jc w:val="left"/>
        <w:rPr>
          <w:rFonts w:hint="eastAsia" w:ascii="仿宋" w:hAnsi="仿宋" w:eastAsia="仿宋" w:cs="仿宋"/>
          <w:color w:val="auto"/>
          <w:sz w:val="22"/>
          <w:szCs w:val="22"/>
          <w:highlight w:val="none"/>
        </w:rPr>
      </w:pPr>
    </w:p>
    <w:tbl>
      <w:tblPr>
        <w:tblStyle w:val="46"/>
        <w:tblW w:w="8946"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3DC2645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1C3F3276">
            <w:pPr>
              <w:wordWrap w:val="0"/>
              <w:topLinePunct/>
              <w:adjustRightInd w:val="0"/>
              <w:snapToGrid w:val="0"/>
              <w:spacing w:line="360" w:lineRule="auto"/>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vertAlign w:val="superscript"/>
              </w:rPr>
              <w:t>1</w:t>
            </w:r>
            <w:r>
              <w:rPr>
                <w:rFonts w:hint="eastAsia" w:ascii="仿宋" w:hAnsi="仿宋" w:eastAsia="仿宋" w:cs="仿宋"/>
                <w:color w:val="auto"/>
                <w:sz w:val="22"/>
                <w:szCs w:val="22"/>
                <w:highlight w:val="none"/>
              </w:rPr>
              <w:t>从业人员、营业收入、资产总额填报上一年度数据，无上一年度数据的新成立企业可不填报。</w:t>
            </w:r>
          </w:p>
        </w:tc>
      </w:tr>
    </w:tbl>
    <w:p w14:paraId="14BFA31C">
      <w:pP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br w:type="page"/>
      </w:r>
    </w:p>
    <w:p w14:paraId="6967F585">
      <w:pPr>
        <w:spacing w:before="240" w:beforeLines="100" w:after="240" w:afterLines="100" w:line="360" w:lineRule="auto"/>
        <w:jc w:val="center"/>
        <w:rPr>
          <w:rFonts w:ascii="宋体" w:hAnsi="宋体" w:cs="宋体"/>
          <w:color w:val="auto"/>
          <w:sz w:val="36"/>
          <w:szCs w:val="36"/>
          <w:highlight w:val="none"/>
        </w:rPr>
      </w:pPr>
      <w:r>
        <w:rPr>
          <w:rFonts w:hint="eastAsia" w:ascii="宋体" w:hAnsi="宋体" w:cs="宋体"/>
          <w:b/>
          <w:bCs/>
          <w:color w:val="auto"/>
          <w:sz w:val="36"/>
          <w:szCs w:val="36"/>
          <w:highlight w:val="none"/>
        </w:rPr>
        <w:t>残疾人福利性单位声明函格式</w:t>
      </w:r>
      <w:r>
        <w:rPr>
          <w:rFonts w:hint="eastAsia" w:ascii="宋体" w:hAnsi="宋体" w:cs="宋体"/>
          <w:color w:val="auto"/>
          <w:sz w:val="36"/>
          <w:szCs w:val="36"/>
          <w:highlight w:val="none"/>
        </w:rPr>
        <w:t xml:space="preserve"> </w:t>
      </w:r>
    </w:p>
    <w:p w14:paraId="032A6EF7">
      <w:pPr>
        <w:spacing w:line="588" w:lineRule="exact"/>
        <w:ind w:firstLine="504"/>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〔2017〕141</w:t>
      </w:r>
      <w:r>
        <w:rPr>
          <w:rFonts w:hint="eastAsia" w:ascii="宋体" w:hAnsi="宋体" w:cs="宋体"/>
          <w:color w:val="auto"/>
          <w:spacing w:val="6"/>
          <w:sz w:val="24"/>
          <w:highlight w:val="none"/>
        </w:rPr>
        <w:t>号）的规定，本单位</w:t>
      </w:r>
      <w:r>
        <w:rPr>
          <w:rFonts w:hint="eastAsia" w:ascii="宋体" w:hAnsi="宋体" w:cs="宋体"/>
          <w:b/>
          <w:color w:val="auto"/>
          <w:sz w:val="24"/>
          <w:highlight w:val="none"/>
        </w:rPr>
        <w:t>（请进行选择）</w:t>
      </w:r>
      <w:r>
        <w:rPr>
          <w:rFonts w:hint="eastAsia" w:ascii="宋体" w:hAnsi="宋体" w:cs="宋体"/>
          <w:color w:val="auto"/>
          <w:spacing w:val="6"/>
          <w:sz w:val="24"/>
          <w:highlight w:val="none"/>
        </w:rPr>
        <w:t>：</w:t>
      </w:r>
    </w:p>
    <w:p w14:paraId="13AB7949">
      <w:pPr>
        <w:spacing w:line="588" w:lineRule="exact"/>
        <w:ind w:firstLine="482"/>
        <w:rPr>
          <w:rFonts w:ascii="宋体" w:hAnsi="宋体" w:cs="宋体"/>
          <w:b/>
          <w:color w:val="auto"/>
          <w:spacing w:val="6"/>
          <w:sz w:val="24"/>
          <w:highlight w:val="none"/>
        </w:rPr>
      </w:pPr>
      <w:r>
        <w:rPr>
          <w:rFonts w:hint="eastAsia" w:ascii="宋体" w:hAnsi="宋体" w:cs="宋体"/>
          <w:b/>
          <w:color w:val="auto"/>
          <w:sz w:val="24"/>
          <w:highlight w:val="none"/>
        </w:rPr>
        <w:t>□</w:t>
      </w:r>
      <w:r>
        <w:rPr>
          <w:rFonts w:hint="eastAsia" w:ascii="宋体" w:hAnsi="宋体" w:cs="宋体"/>
          <w:b/>
          <w:color w:val="auto"/>
          <w:spacing w:val="6"/>
          <w:sz w:val="24"/>
          <w:highlight w:val="none"/>
        </w:rPr>
        <w:t>不属于符合条件的残疾人福利性单位。</w:t>
      </w:r>
    </w:p>
    <w:p w14:paraId="7751D07F">
      <w:pPr>
        <w:spacing w:line="588" w:lineRule="exact"/>
        <w:ind w:firstLine="482"/>
        <w:rPr>
          <w:rFonts w:ascii="宋体" w:hAnsi="宋体" w:cs="宋体"/>
          <w:color w:val="auto"/>
          <w:spacing w:val="6"/>
          <w:sz w:val="24"/>
          <w:highlight w:val="none"/>
        </w:rPr>
      </w:pPr>
      <w:r>
        <w:rPr>
          <w:rFonts w:hint="eastAsia" w:ascii="宋体" w:hAnsi="宋体" w:cs="宋体"/>
          <w:b/>
          <w:color w:val="auto"/>
          <w:sz w:val="24"/>
          <w:highlight w:val="none"/>
        </w:rPr>
        <w:t>□</w:t>
      </w:r>
      <w:r>
        <w:rPr>
          <w:rFonts w:hint="eastAsia" w:ascii="宋体" w:hAnsi="宋体" w:cs="宋体"/>
          <w:b/>
          <w:color w:val="auto"/>
          <w:spacing w:val="6"/>
          <w:sz w:val="24"/>
          <w:highlight w:val="none"/>
        </w:rPr>
        <w:t>属于符合条件的残疾人福利性单位，</w:t>
      </w:r>
      <w:r>
        <w:rPr>
          <w:rFonts w:hint="eastAsia" w:ascii="宋体" w:hAnsi="宋体" w:cs="宋体"/>
          <w:color w:val="auto"/>
          <w:spacing w:val="6"/>
          <w:sz w:val="24"/>
          <w:highlight w:val="none"/>
        </w:rPr>
        <w:t>且本单位参加______单位的______项目采购活动提供本单位制造的货物（由本单位承担工程/提供服务），或者提供其他残疾人福利性单位制造的货物（不包括使用非残疾人福利性单位注册商标的货物）。</w:t>
      </w:r>
    </w:p>
    <w:p w14:paraId="34ED8FE7">
      <w:pPr>
        <w:spacing w:line="588" w:lineRule="exact"/>
        <w:ind w:firstLine="506" w:firstLineChars="200"/>
        <w:rPr>
          <w:rFonts w:ascii="宋体" w:hAnsi="宋体" w:cs="宋体"/>
          <w:color w:val="auto"/>
          <w:spacing w:val="6"/>
          <w:sz w:val="24"/>
          <w:highlight w:val="none"/>
        </w:rPr>
      </w:pPr>
      <w:r>
        <w:rPr>
          <w:rFonts w:hint="eastAsia" w:ascii="宋体" w:hAnsi="宋体" w:cs="宋体"/>
          <w:b/>
          <w:color w:val="auto"/>
          <w:spacing w:val="6"/>
          <w:sz w:val="24"/>
          <w:highlight w:val="none"/>
        </w:rPr>
        <w:t>本单位对上述声明的真实性负责。如有虚假，将依法承担相应责任。</w:t>
      </w:r>
    </w:p>
    <w:p w14:paraId="25201081">
      <w:pPr>
        <w:spacing w:line="588" w:lineRule="exact"/>
        <w:ind w:firstLine="504" w:firstLineChars="200"/>
        <w:rPr>
          <w:rFonts w:ascii="宋体" w:hAnsi="宋体" w:cs="宋体"/>
          <w:color w:val="auto"/>
          <w:spacing w:val="6"/>
          <w:sz w:val="24"/>
          <w:highlight w:val="none"/>
        </w:rPr>
      </w:pPr>
    </w:p>
    <w:p w14:paraId="13233EDA">
      <w:pPr>
        <w:spacing w:line="588" w:lineRule="exact"/>
        <w:ind w:firstLine="504" w:firstLineChars="200"/>
        <w:rPr>
          <w:rFonts w:ascii="宋体" w:hAnsi="宋体" w:cs="宋体"/>
          <w:color w:val="auto"/>
          <w:spacing w:val="6"/>
          <w:sz w:val="24"/>
          <w:highlight w:val="none"/>
        </w:rPr>
      </w:pPr>
    </w:p>
    <w:p w14:paraId="36B3A2F4">
      <w:pPr>
        <w:tabs>
          <w:tab w:val="left" w:pos="4860"/>
        </w:tabs>
        <w:spacing w:line="588" w:lineRule="exac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单位名称（盖章）：</w:t>
      </w:r>
    </w:p>
    <w:p w14:paraId="52B1F76C">
      <w:pPr>
        <w:tabs>
          <w:tab w:val="left" w:pos="4860"/>
        </w:tabs>
        <w:spacing w:line="588" w:lineRule="exact"/>
        <w:ind w:right="1560" w:firstLine="504" w:firstLineChars="200"/>
        <w:jc w:val="center"/>
        <w:rPr>
          <w:rFonts w:ascii="宋体" w:hAnsi="宋体" w:cs="宋体"/>
          <w:color w:val="auto"/>
          <w:spacing w:val="6"/>
          <w:sz w:val="24"/>
          <w:highlight w:val="none"/>
        </w:rPr>
      </w:pPr>
      <w:r>
        <w:rPr>
          <w:rFonts w:hint="eastAsia" w:ascii="宋体" w:hAnsi="宋体" w:cs="宋体"/>
          <w:color w:val="auto"/>
          <w:spacing w:val="6"/>
          <w:sz w:val="24"/>
          <w:highlight w:val="none"/>
        </w:rPr>
        <w:t xml:space="preserve">       日  期：</w:t>
      </w:r>
    </w:p>
    <w:p w14:paraId="5439E2FF">
      <w:pPr>
        <w:rPr>
          <w:rFonts w:ascii="宋体" w:hAnsi="宋体" w:cs="宋体"/>
          <w:color w:val="auto"/>
          <w:sz w:val="24"/>
          <w:szCs w:val="20"/>
          <w:highlight w:val="none"/>
        </w:rPr>
      </w:pPr>
      <w:r>
        <w:rPr>
          <w:rFonts w:hint="eastAsia" w:ascii="宋体" w:hAnsi="宋体" w:cs="宋体"/>
          <w:color w:val="auto"/>
          <w:sz w:val="24"/>
          <w:szCs w:val="20"/>
          <w:highlight w:val="none"/>
        </w:rPr>
        <w:br w:type="page"/>
      </w:r>
    </w:p>
    <w:p w14:paraId="476AD880">
      <w:pPr>
        <w:spacing w:line="360" w:lineRule="auto"/>
        <w:outlineLvl w:val="2"/>
        <w:rPr>
          <w:rFonts w:hint="eastAsia" w:eastAsia="宋体"/>
          <w:color w:val="auto"/>
          <w:sz w:val="24"/>
          <w:highlight w:val="none"/>
          <w:lang w:eastAsia="zh-CN"/>
        </w:rPr>
      </w:pPr>
      <w:r>
        <w:rPr>
          <w:color w:val="auto"/>
          <w:sz w:val="24"/>
          <w:szCs w:val="20"/>
          <w:highlight w:val="none"/>
        </w:rPr>
        <w:t xml:space="preserve">3 </w:t>
      </w:r>
      <w:r>
        <w:rPr>
          <w:color w:val="auto"/>
          <w:sz w:val="24"/>
          <w:highlight w:val="none"/>
        </w:rPr>
        <w:t>本项目的特定资格要求</w:t>
      </w:r>
      <w:r>
        <w:rPr>
          <w:rFonts w:hint="eastAsia"/>
          <w:color w:val="auto"/>
          <w:sz w:val="24"/>
          <w:highlight w:val="none"/>
          <w:lang w:eastAsia="zh-CN"/>
        </w:rPr>
        <w:t>：</w:t>
      </w:r>
    </w:p>
    <w:p w14:paraId="0574896A">
      <w:pPr>
        <w:wordWrap w:val="0"/>
        <w:topLinePunct/>
        <w:spacing w:line="360" w:lineRule="auto"/>
        <w:ind w:firstLine="504"/>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3.1其他特定资格要求</w:t>
      </w:r>
    </w:p>
    <w:p w14:paraId="394CFB30">
      <w:pPr>
        <w:wordWrap w:val="0"/>
        <w:topLinePunct/>
        <w:spacing w:line="360" w:lineRule="auto"/>
        <w:ind w:firstLine="504"/>
        <w:rPr>
          <w:rFonts w:hint="eastAsia" w:ascii="宋体" w:hAnsi="宋体" w:cs="宋体"/>
          <w:color w:val="auto"/>
          <w:sz w:val="24"/>
          <w:highlight w:val="none"/>
        </w:rPr>
      </w:pPr>
      <w:r>
        <w:rPr>
          <w:rFonts w:hint="eastAsia" w:ascii="宋体" w:hAnsi="宋体" w:eastAsia="宋体" w:cs="宋体"/>
          <w:color w:val="auto"/>
          <w:spacing w:val="6"/>
          <w:sz w:val="24"/>
          <w:szCs w:val="24"/>
          <w:highlight w:val="none"/>
        </w:rPr>
        <w:t>投标人如为经销商须提供《医疗器械经营许可证》所投产品提供医疗器械注册证；投标人如为生产厂家，须提供《医疗器械生产许可证》所投产品提供医疗器械注册证</w:t>
      </w:r>
      <w:r>
        <w:rPr>
          <w:rFonts w:hint="eastAsia" w:ascii="Times New Roman" w:hAnsi="Times New Roman" w:eastAsia="宋体" w:cs="Times New Roman"/>
          <w:color w:val="auto"/>
          <w:sz w:val="24"/>
          <w:highlight w:val="none"/>
        </w:rPr>
        <w:t>。</w:t>
      </w:r>
      <w:r>
        <w:rPr>
          <w:rFonts w:hint="eastAsia" w:ascii="宋体" w:hAnsi="宋体" w:cs="宋体"/>
          <w:color w:val="auto"/>
          <w:sz w:val="24"/>
          <w:highlight w:val="none"/>
        </w:rPr>
        <w:br w:type="page"/>
      </w:r>
      <w:r>
        <w:rPr>
          <w:rFonts w:hint="eastAsia" w:ascii="宋体" w:hAnsi="宋体" w:cs="宋体"/>
          <w:color w:val="auto"/>
          <w:sz w:val="24"/>
          <w:highlight w:val="none"/>
          <w:lang w:val="en-US" w:eastAsia="zh-CN"/>
        </w:rPr>
        <w:t>4.投标保证金凭证/交款单据电子件</w:t>
      </w:r>
      <w:r>
        <w:rPr>
          <w:rFonts w:hint="eastAsia" w:ascii="宋体" w:hAnsi="宋体" w:cs="宋体"/>
          <w:color w:val="auto"/>
          <w:sz w:val="24"/>
          <w:highlight w:val="none"/>
        </w:rPr>
        <w:br w:type="page"/>
      </w:r>
    </w:p>
    <w:p w14:paraId="463EB458">
      <w:pPr>
        <w:pStyle w:val="37"/>
        <w:rPr>
          <w:rFonts w:hint="default" w:eastAsia="宋体"/>
          <w:highlight w:val="none"/>
          <w:lang w:val="en-US" w:eastAsia="zh-CN"/>
        </w:rPr>
      </w:pPr>
    </w:p>
    <w:p w14:paraId="07348FC4">
      <w:pPr>
        <w:pStyle w:val="57"/>
        <w:spacing w:line="480" w:lineRule="auto"/>
        <w:ind w:right="451" w:rightChars="215"/>
        <w:rPr>
          <w:rFonts w:hint="eastAsia"/>
          <w:b/>
          <w:color w:val="auto"/>
          <w:spacing w:val="20"/>
          <w:highlight w:val="none"/>
        </w:rPr>
      </w:pPr>
      <w:r>
        <w:rPr>
          <w:b/>
          <w:color w:val="auto"/>
          <w:spacing w:val="20"/>
          <w:highlight w:val="none"/>
        </w:rPr>
        <w:t>二、商务技术文件格式</w:t>
      </w:r>
    </w:p>
    <w:p w14:paraId="1E5014A1">
      <w:pPr>
        <w:rPr>
          <w:b/>
          <w:color w:val="auto"/>
          <w:spacing w:val="20"/>
          <w:szCs w:val="21"/>
          <w:highlight w:val="none"/>
        </w:rPr>
      </w:pPr>
    </w:p>
    <w:p w14:paraId="1219C1F0">
      <w:pPr>
        <w:rPr>
          <w:b/>
          <w:color w:val="auto"/>
          <w:sz w:val="24"/>
          <w:highlight w:val="none"/>
        </w:rPr>
      </w:pPr>
      <w:r>
        <w:rPr>
          <w:b/>
          <w:color w:val="auto"/>
          <w:spacing w:val="20"/>
          <w:sz w:val="24"/>
          <w:highlight w:val="none"/>
        </w:rPr>
        <w:t>投标文件（商务技术文件）</w:t>
      </w:r>
      <w:r>
        <w:rPr>
          <w:b/>
          <w:color w:val="auto"/>
          <w:sz w:val="24"/>
          <w:highlight w:val="none"/>
        </w:rPr>
        <w:t>封面（非实质性格式）</w:t>
      </w:r>
    </w:p>
    <w:p w14:paraId="6FC102DB">
      <w:pPr>
        <w:jc w:val="center"/>
        <w:rPr>
          <w:color w:val="auto"/>
          <w:szCs w:val="21"/>
          <w:highlight w:val="none"/>
        </w:rPr>
      </w:pPr>
    </w:p>
    <w:p w14:paraId="4A3E4CFC">
      <w:pPr>
        <w:jc w:val="center"/>
        <w:rPr>
          <w:b/>
          <w:color w:val="auto"/>
          <w:spacing w:val="60"/>
          <w:sz w:val="84"/>
          <w:szCs w:val="84"/>
          <w:highlight w:val="none"/>
        </w:rPr>
      </w:pPr>
    </w:p>
    <w:p w14:paraId="6B95AFDC">
      <w:pPr>
        <w:jc w:val="center"/>
        <w:rPr>
          <w:b/>
          <w:color w:val="auto"/>
          <w:spacing w:val="60"/>
          <w:sz w:val="84"/>
          <w:szCs w:val="84"/>
          <w:highlight w:val="none"/>
        </w:rPr>
      </w:pPr>
    </w:p>
    <w:p w14:paraId="3843D3AB">
      <w:pPr>
        <w:jc w:val="center"/>
        <w:rPr>
          <w:b/>
          <w:color w:val="auto"/>
          <w:spacing w:val="60"/>
          <w:sz w:val="84"/>
          <w:szCs w:val="84"/>
          <w:highlight w:val="none"/>
        </w:rPr>
      </w:pPr>
      <w:r>
        <w:rPr>
          <w:b/>
          <w:color w:val="auto"/>
          <w:spacing w:val="60"/>
          <w:sz w:val="84"/>
          <w:szCs w:val="84"/>
          <w:highlight w:val="none"/>
        </w:rPr>
        <w:t>投 标 文 件</w:t>
      </w:r>
    </w:p>
    <w:p w14:paraId="42AB5C73">
      <w:pPr>
        <w:jc w:val="center"/>
        <w:rPr>
          <w:b/>
          <w:color w:val="auto"/>
          <w:spacing w:val="60"/>
          <w:sz w:val="52"/>
          <w:szCs w:val="52"/>
          <w:highlight w:val="none"/>
        </w:rPr>
      </w:pPr>
      <w:r>
        <w:rPr>
          <w:b/>
          <w:color w:val="auto"/>
          <w:spacing w:val="60"/>
          <w:sz w:val="52"/>
          <w:szCs w:val="52"/>
          <w:highlight w:val="none"/>
        </w:rPr>
        <w:t>（商务技术文件）</w:t>
      </w:r>
    </w:p>
    <w:p w14:paraId="1391EFBF">
      <w:pPr>
        <w:ind w:firstLine="542" w:firstLineChars="150"/>
        <w:rPr>
          <w:b/>
          <w:color w:val="auto"/>
          <w:spacing w:val="20"/>
          <w:sz w:val="32"/>
          <w:szCs w:val="32"/>
          <w:highlight w:val="none"/>
        </w:rPr>
      </w:pPr>
    </w:p>
    <w:p w14:paraId="27186893">
      <w:pPr>
        <w:ind w:firstLine="542" w:firstLineChars="150"/>
        <w:rPr>
          <w:b/>
          <w:color w:val="auto"/>
          <w:spacing w:val="20"/>
          <w:sz w:val="32"/>
          <w:szCs w:val="32"/>
          <w:highlight w:val="none"/>
        </w:rPr>
      </w:pPr>
    </w:p>
    <w:p w14:paraId="46943F32">
      <w:pPr>
        <w:pStyle w:val="44"/>
        <w:ind w:firstLine="361"/>
        <w:rPr>
          <w:b/>
          <w:color w:val="auto"/>
          <w:spacing w:val="20"/>
          <w:sz w:val="32"/>
          <w:szCs w:val="32"/>
          <w:highlight w:val="none"/>
        </w:rPr>
      </w:pPr>
    </w:p>
    <w:p w14:paraId="109FD4BF">
      <w:pPr>
        <w:pStyle w:val="44"/>
        <w:ind w:firstLine="361"/>
        <w:rPr>
          <w:b/>
          <w:color w:val="auto"/>
          <w:spacing w:val="20"/>
          <w:sz w:val="32"/>
          <w:szCs w:val="32"/>
          <w:highlight w:val="none"/>
        </w:rPr>
      </w:pPr>
    </w:p>
    <w:p w14:paraId="59169D9C">
      <w:pPr>
        <w:pStyle w:val="44"/>
        <w:ind w:firstLine="361"/>
        <w:rPr>
          <w:b/>
          <w:color w:val="auto"/>
          <w:spacing w:val="20"/>
          <w:sz w:val="32"/>
          <w:szCs w:val="32"/>
          <w:highlight w:val="none"/>
        </w:rPr>
      </w:pPr>
    </w:p>
    <w:p w14:paraId="13E8559F">
      <w:pPr>
        <w:pStyle w:val="44"/>
        <w:ind w:firstLine="361"/>
        <w:rPr>
          <w:b/>
          <w:color w:val="auto"/>
          <w:spacing w:val="20"/>
          <w:sz w:val="32"/>
          <w:szCs w:val="32"/>
          <w:highlight w:val="none"/>
        </w:rPr>
      </w:pPr>
    </w:p>
    <w:p w14:paraId="4538800B">
      <w:pPr>
        <w:pStyle w:val="44"/>
        <w:ind w:firstLine="361"/>
        <w:rPr>
          <w:b/>
          <w:color w:val="auto"/>
          <w:spacing w:val="20"/>
          <w:sz w:val="32"/>
          <w:szCs w:val="32"/>
          <w:highlight w:val="none"/>
        </w:rPr>
      </w:pPr>
    </w:p>
    <w:p w14:paraId="6850319B">
      <w:pPr>
        <w:pStyle w:val="44"/>
        <w:ind w:firstLine="361"/>
        <w:rPr>
          <w:b/>
          <w:color w:val="auto"/>
          <w:spacing w:val="20"/>
          <w:sz w:val="32"/>
          <w:szCs w:val="32"/>
          <w:highlight w:val="none"/>
        </w:rPr>
      </w:pPr>
    </w:p>
    <w:p w14:paraId="4AF03C33">
      <w:pPr>
        <w:spacing w:line="360" w:lineRule="auto"/>
        <w:ind w:firstLine="602" w:firstLineChars="150"/>
        <w:rPr>
          <w:b/>
          <w:color w:val="auto"/>
          <w:spacing w:val="20"/>
          <w:sz w:val="36"/>
          <w:szCs w:val="36"/>
          <w:highlight w:val="none"/>
        </w:rPr>
      </w:pPr>
      <w:r>
        <w:rPr>
          <w:b/>
          <w:color w:val="auto"/>
          <w:spacing w:val="20"/>
          <w:sz w:val="36"/>
          <w:szCs w:val="36"/>
          <w:highlight w:val="none"/>
        </w:rPr>
        <w:t>项目名称:</w:t>
      </w:r>
    </w:p>
    <w:p w14:paraId="010027CF">
      <w:pPr>
        <w:spacing w:line="360" w:lineRule="auto"/>
        <w:ind w:firstLine="602" w:firstLineChars="150"/>
        <w:rPr>
          <w:b/>
          <w:color w:val="auto"/>
          <w:spacing w:val="20"/>
          <w:sz w:val="36"/>
          <w:szCs w:val="36"/>
          <w:highlight w:val="none"/>
        </w:rPr>
      </w:pPr>
      <w:r>
        <w:rPr>
          <w:b/>
          <w:color w:val="auto"/>
          <w:spacing w:val="20"/>
          <w:sz w:val="36"/>
          <w:szCs w:val="36"/>
          <w:highlight w:val="none"/>
        </w:rPr>
        <w:t>项目编号：</w:t>
      </w:r>
    </w:p>
    <w:p w14:paraId="69D8F45A">
      <w:pPr>
        <w:spacing w:line="360" w:lineRule="auto"/>
        <w:ind w:firstLine="602" w:firstLineChars="150"/>
        <w:rPr>
          <w:b/>
          <w:color w:val="auto"/>
          <w:spacing w:val="20"/>
          <w:sz w:val="36"/>
          <w:szCs w:val="36"/>
          <w:highlight w:val="none"/>
        </w:rPr>
      </w:pPr>
      <w:r>
        <w:rPr>
          <w:b/>
          <w:color w:val="auto"/>
          <w:spacing w:val="20"/>
          <w:sz w:val="36"/>
          <w:szCs w:val="36"/>
          <w:highlight w:val="none"/>
        </w:rPr>
        <w:t>投标人名称：</w:t>
      </w:r>
    </w:p>
    <w:p w14:paraId="270B1DE7">
      <w:pPr>
        <w:jc w:val="center"/>
        <w:rPr>
          <w:b/>
          <w:color w:val="auto"/>
          <w:sz w:val="32"/>
          <w:szCs w:val="32"/>
          <w:highlight w:val="none"/>
        </w:rPr>
      </w:pPr>
    </w:p>
    <w:p w14:paraId="2705ED79">
      <w:pPr>
        <w:widowControl/>
        <w:jc w:val="left"/>
        <w:rPr>
          <w:b/>
          <w:color w:val="auto"/>
          <w:sz w:val="24"/>
          <w:highlight w:val="none"/>
        </w:rPr>
      </w:pPr>
      <w:r>
        <w:rPr>
          <w:b/>
          <w:color w:val="auto"/>
          <w:sz w:val="24"/>
          <w:highlight w:val="none"/>
        </w:rPr>
        <w:br w:type="page"/>
      </w:r>
    </w:p>
    <w:p w14:paraId="09CDAD3E">
      <w:pPr>
        <w:spacing w:line="360" w:lineRule="auto"/>
        <w:outlineLvl w:val="2"/>
        <w:rPr>
          <w:color w:val="auto"/>
          <w:sz w:val="24"/>
          <w:szCs w:val="20"/>
          <w:highlight w:val="none"/>
        </w:rPr>
      </w:pPr>
      <w:bookmarkStart w:id="923" w:name="_Hlt520274065"/>
      <w:bookmarkEnd w:id="923"/>
      <w:bookmarkStart w:id="924" w:name="_Hlt520274121"/>
      <w:bookmarkEnd w:id="924"/>
      <w:bookmarkStart w:id="925" w:name="_Hlt520355504"/>
      <w:bookmarkEnd w:id="925"/>
      <w:bookmarkStart w:id="926" w:name="_Hlt520273711"/>
      <w:bookmarkEnd w:id="926"/>
      <w:bookmarkStart w:id="927" w:name="_Hlt520274393"/>
      <w:bookmarkEnd w:id="927"/>
      <w:bookmarkStart w:id="928" w:name="_Hlt520343392"/>
      <w:bookmarkEnd w:id="928"/>
      <w:bookmarkStart w:id="929" w:name="_Hlt520350918"/>
      <w:bookmarkEnd w:id="929"/>
      <w:bookmarkStart w:id="930" w:name="_Hlt520343000"/>
      <w:bookmarkEnd w:id="930"/>
      <w:bookmarkStart w:id="931" w:name="_Hlt520274407"/>
      <w:bookmarkEnd w:id="931"/>
      <w:bookmarkStart w:id="932" w:name="_Hlt520271212"/>
      <w:bookmarkEnd w:id="932"/>
      <w:bookmarkStart w:id="933" w:name="_Ref467988698"/>
      <w:bookmarkStart w:id="934" w:name="_Toc480942349"/>
      <w:bookmarkStart w:id="935" w:name="_Toc226309800"/>
      <w:bookmarkStart w:id="936" w:name="_Toc127151556"/>
      <w:bookmarkStart w:id="937" w:name="_Toc195842921"/>
      <w:bookmarkStart w:id="938" w:name="_Toc142311058"/>
      <w:bookmarkStart w:id="939" w:name="_Toc226337252"/>
      <w:bookmarkStart w:id="940" w:name="_Toc226965829"/>
      <w:bookmarkStart w:id="941" w:name="_Toc150774761"/>
      <w:bookmarkStart w:id="942" w:name="_Toc226965746"/>
      <w:bookmarkStart w:id="943" w:name="_Toc520356217"/>
      <w:bookmarkStart w:id="944" w:name="_Toc150480794"/>
      <w:r>
        <w:rPr>
          <w:color w:val="auto"/>
          <w:sz w:val="24"/>
          <w:highlight w:val="none"/>
        </w:rPr>
        <w:t>1</w:t>
      </w:r>
      <w:r>
        <w:rPr>
          <w:color w:val="auto"/>
          <w:sz w:val="24"/>
          <w:szCs w:val="20"/>
          <w:highlight w:val="none"/>
        </w:rPr>
        <w:t xml:space="preserve">  </w:t>
      </w:r>
      <w:r>
        <w:rPr>
          <w:color w:val="auto"/>
          <w:sz w:val="24"/>
          <w:highlight w:val="none"/>
        </w:rPr>
        <w:t>投标</w:t>
      </w:r>
      <w:bookmarkEnd w:id="933"/>
      <w:bookmarkEnd w:id="934"/>
      <w:r>
        <w:rPr>
          <w:color w:val="auto"/>
          <w:sz w:val="24"/>
          <w:highlight w:val="none"/>
        </w:rPr>
        <w:t>书</w:t>
      </w:r>
      <w:bookmarkEnd w:id="935"/>
      <w:bookmarkEnd w:id="936"/>
      <w:bookmarkEnd w:id="937"/>
      <w:bookmarkEnd w:id="938"/>
      <w:bookmarkEnd w:id="939"/>
      <w:bookmarkEnd w:id="940"/>
      <w:bookmarkEnd w:id="941"/>
      <w:bookmarkEnd w:id="942"/>
      <w:bookmarkEnd w:id="943"/>
      <w:bookmarkEnd w:id="944"/>
      <w:r>
        <w:rPr>
          <w:color w:val="auto"/>
          <w:sz w:val="24"/>
          <w:szCs w:val="20"/>
          <w:highlight w:val="none"/>
        </w:rPr>
        <w:t>（实质性格式）</w:t>
      </w:r>
    </w:p>
    <w:p w14:paraId="6C80BBB4">
      <w:pPr>
        <w:tabs>
          <w:tab w:val="left" w:pos="5580"/>
        </w:tabs>
        <w:spacing w:line="360" w:lineRule="auto"/>
        <w:rPr>
          <w:color w:val="auto"/>
          <w:sz w:val="24"/>
          <w:highlight w:val="none"/>
        </w:rPr>
      </w:pPr>
    </w:p>
    <w:p w14:paraId="4231B239">
      <w:pPr>
        <w:spacing w:line="360" w:lineRule="auto"/>
        <w:jc w:val="center"/>
        <w:rPr>
          <w:b/>
          <w:color w:val="auto"/>
          <w:sz w:val="36"/>
          <w:szCs w:val="36"/>
          <w:highlight w:val="none"/>
        </w:rPr>
      </w:pPr>
      <w:r>
        <w:rPr>
          <w:rFonts w:hint="eastAsia"/>
          <w:b/>
          <w:color w:val="auto"/>
          <w:sz w:val="36"/>
          <w:szCs w:val="36"/>
          <w:highlight w:val="none"/>
        </w:rPr>
        <w:t>投标书</w:t>
      </w:r>
    </w:p>
    <w:p w14:paraId="6F721095">
      <w:pPr>
        <w:tabs>
          <w:tab w:val="left" w:pos="5580"/>
        </w:tabs>
        <w:spacing w:line="360" w:lineRule="auto"/>
        <w:rPr>
          <w:color w:val="auto"/>
          <w:sz w:val="24"/>
          <w:highlight w:val="none"/>
        </w:rPr>
      </w:pPr>
      <w:r>
        <w:rPr>
          <w:color w:val="auto"/>
          <w:sz w:val="24"/>
          <w:highlight w:val="none"/>
        </w:rPr>
        <w:t>致：</w:t>
      </w:r>
      <w:r>
        <w:rPr>
          <w:color w:val="auto"/>
          <w:sz w:val="24"/>
          <w:highlight w:val="none"/>
          <w:u w:val="single"/>
        </w:rPr>
        <w:t>（采购人）</w:t>
      </w:r>
    </w:p>
    <w:p w14:paraId="0500EFFA">
      <w:pPr>
        <w:tabs>
          <w:tab w:val="left" w:pos="5580"/>
        </w:tabs>
        <w:spacing w:line="360" w:lineRule="auto"/>
        <w:rPr>
          <w:color w:val="auto"/>
          <w:sz w:val="24"/>
          <w:szCs w:val="20"/>
          <w:highlight w:val="none"/>
        </w:rPr>
      </w:pPr>
    </w:p>
    <w:p w14:paraId="409E1F9D">
      <w:pPr>
        <w:tabs>
          <w:tab w:val="left" w:pos="5580"/>
        </w:tabs>
        <w:spacing w:line="360" w:lineRule="auto"/>
        <w:ind w:firstLine="408"/>
        <w:rPr>
          <w:color w:val="auto"/>
          <w:sz w:val="24"/>
          <w:szCs w:val="20"/>
          <w:highlight w:val="none"/>
        </w:rPr>
      </w:pPr>
      <w:r>
        <w:rPr>
          <w:color w:val="auto"/>
          <w:sz w:val="24"/>
          <w:szCs w:val="20"/>
          <w:highlight w:val="none"/>
        </w:rPr>
        <w:t>我方参加你方就___________（项目名称</w:t>
      </w:r>
      <w:r>
        <w:rPr>
          <w:rFonts w:hint="eastAsia"/>
          <w:color w:val="auto"/>
          <w:sz w:val="24"/>
          <w:szCs w:val="20"/>
          <w:highlight w:val="none"/>
          <w:lang w:eastAsia="zh-CN"/>
        </w:rPr>
        <w:t>、</w:t>
      </w:r>
      <w:r>
        <w:rPr>
          <w:color w:val="auto"/>
          <w:sz w:val="24"/>
          <w:szCs w:val="20"/>
          <w:highlight w:val="none"/>
        </w:rPr>
        <w:t>项目编号）组织的招标活动，并对此项目进行投标。</w:t>
      </w:r>
    </w:p>
    <w:p w14:paraId="4D05A071">
      <w:pPr>
        <w:tabs>
          <w:tab w:val="left" w:pos="5580"/>
        </w:tabs>
        <w:spacing w:line="360" w:lineRule="auto"/>
        <w:ind w:firstLine="408"/>
        <w:rPr>
          <w:color w:val="auto"/>
          <w:sz w:val="24"/>
          <w:szCs w:val="20"/>
          <w:highlight w:val="none"/>
        </w:rPr>
      </w:pPr>
      <w:r>
        <w:rPr>
          <w:color w:val="auto"/>
          <w:sz w:val="24"/>
          <w:szCs w:val="20"/>
          <w:highlight w:val="none"/>
        </w:rPr>
        <w:t>1. 我方</w:t>
      </w:r>
      <w:r>
        <w:rPr>
          <w:color w:val="auto"/>
          <w:sz w:val="24"/>
          <w:highlight w:val="none"/>
        </w:rPr>
        <w:t>已详细审查全部招标文件</w:t>
      </w:r>
      <w:r>
        <w:rPr>
          <w:color w:val="auto"/>
          <w:sz w:val="24"/>
          <w:szCs w:val="20"/>
          <w:highlight w:val="none"/>
        </w:rPr>
        <w:t>，自愿参与投标并承诺如下：</w:t>
      </w:r>
    </w:p>
    <w:p w14:paraId="14589A78">
      <w:pPr>
        <w:tabs>
          <w:tab w:val="left" w:pos="720"/>
          <w:tab w:val="left" w:pos="900"/>
        </w:tabs>
        <w:spacing w:line="360" w:lineRule="auto"/>
        <w:ind w:left="360" w:firstLine="72" w:firstLineChars="30"/>
        <w:rPr>
          <w:color w:val="auto"/>
          <w:sz w:val="24"/>
          <w:szCs w:val="20"/>
          <w:highlight w:val="none"/>
        </w:rPr>
      </w:pPr>
      <w:r>
        <w:rPr>
          <w:color w:val="auto"/>
          <w:sz w:val="24"/>
          <w:szCs w:val="20"/>
          <w:highlight w:val="none"/>
        </w:rPr>
        <w:t>（1）本投标有效期为自提交投标文件的截止之日起</w:t>
      </w:r>
      <w:r>
        <w:rPr>
          <w:color w:val="auto"/>
          <w:sz w:val="24"/>
          <w:highlight w:val="none"/>
        </w:rPr>
        <w:t>_____</w:t>
      </w:r>
      <w:r>
        <w:rPr>
          <w:color w:val="auto"/>
          <w:sz w:val="24"/>
          <w:szCs w:val="20"/>
          <w:highlight w:val="none"/>
        </w:rPr>
        <w:t>个日历日。</w:t>
      </w:r>
    </w:p>
    <w:p w14:paraId="046E5E02">
      <w:pPr>
        <w:tabs>
          <w:tab w:val="left" w:pos="720"/>
          <w:tab w:val="left" w:pos="900"/>
        </w:tabs>
        <w:spacing w:line="360" w:lineRule="auto"/>
        <w:ind w:left="360" w:firstLine="72" w:firstLineChars="30"/>
        <w:rPr>
          <w:color w:val="auto"/>
          <w:sz w:val="24"/>
          <w:szCs w:val="20"/>
          <w:highlight w:val="none"/>
        </w:rPr>
      </w:pPr>
      <w:r>
        <w:rPr>
          <w:color w:val="auto"/>
          <w:sz w:val="24"/>
          <w:szCs w:val="20"/>
          <w:highlight w:val="none"/>
        </w:rPr>
        <w:t>（2）除合同条款及采购需求偏离表列出的偏离外，我方响应招标文件的全部要求。</w:t>
      </w:r>
    </w:p>
    <w:p w14:paraId="52237708">
      <w:pPr>
        <w:tabs>
          <w:tab w:val="left" w:pos="5580"/>
        </w:tabs>
        <w:spacing w:line="360" w:lineRule="auto"/>
        <w:ind w:firstLine="420" w:firstLineChars="175"/>
        <w:rPr>
          <w:color w:val="auto"/>
          <w:sz w:val="24"/>
          <w:szCs w:val="20"/>
          <w:highlight w:val="none"/>
        </w:rPr>
      </w:pPr>
      <w:r>
        <w:rPr>
          <w:color w:val="auto"/>
          <w:sz w:val="24"/>
          <w:szCs w:val="20"/>
          <w:highlight w:val="none"/>
        </w:rPr>
        <w:t>（3）我方已提供的全部文件资料是真实、准确的，并对此承担一切法律后果。</w:t>
      </w:r>
    </w:p>
    <w:p w14:paraId="1E7104E6">
      <w:pPr>
        <w:tabs>
          <w:tab w:val="left" w:pos="5580"/>
        </w:tabs>
        <w:spacing w:line="360" w:lineRule="auto"/>
        <w:ind w:firstLine="420" w:firstLineChars="175"/>
        <w:rPr>
          <w:color w:val="auto"/>
          <w:sz w:val="24"/>
          <w:highlight w:val="none"/>
        </w:rPr>
      </w:pPr>
      <w:r>
        <w:rPr>
          <w:color w:val="auto"/>
          <w:sz w:val="24"/>
          <w:szCs w:val="20"/>
          <w:highlight w:val="none"/>
        </w:rPr>
        <w:t>（4）如我方中标，我方将在法律规定的期限内与你方签订合同，按照招标文件要求提交履约保证金，并在合同约定的期限内完成合同规定的全部义务。</w:t>
      </w:r>
    </w:p>
    <w:p w14:paraId="776D91DA">
      <w:pPr>
        <w:spacing w:line="360" w:lineRule="auto"/>
        <w:ind w:left="420"/>
        <w:rPr>
          <w:color w:val="auto"/>
          <w:sz w:val="24"/>
          <w:highlight w:val="none"/>
        </w:rPr>
      </w:pPr>
      <w:r>
        <w:rPr>
          <w:color w:val="auto"/>
          <w:sz w:val="24"/>
          <w:highlight w:val="none"/>
        </w:rPr>
        <w:t>2. 其他补充条款（如有）：</w:t>
      </w:r>
      <w:r>
        <w:rPr>
          <w:color w:val="auto"/>
          <w:sz w:val="24"/>
          <w:szCs w:val="20"/>
          <w:highlight w:val="none"/>
        </w:rPr>
        <w:t>___________</w:t>
      </w:r>
      <w:r>
        <w:rPr>
          <w:color w:val="auto"/>
          <w:sz w:val="24"/>
          <w:highlight w:val="none"/>
        </w:rPr>
        <w:t>。</w:t>
      </w:r>
    </w:p>
    <w:p w14:paraId="0D6853D3">
      <w:pPr>
        <w:spacing w:line="360" w:lineRule="auto"/>
        <w:ind w:firstLine="480" w:firstLineChars="200"/>
        <w:rPr>
          <w:color w:val="auto"/>
          <w:sz w:val="24"/>
          <w:highlight w:val="none"/>
        </w:rPr>
      </w:pPr>
      <w:r>
        <w:rPr>
          <w:color w:val="auto"/>
          <w:sz w:val="24"/>
          <w:highlight w:val="none"/>
        </w:rPr>
        <w:t>与本投标有关的一切正式往来信函请寄：</w:t>
      </w:r>
    </w:p>
    <w:p w14:paraId="0ACAFE4D">
      <w:pPr>
        <w:tabs>
          <w:tab w:val="left" w:pos="5580"/>
        </w:tabs>
        <w:spacing w:line="360" w:lineRule="auto"/>
        <w:ind w:left="420"/>
        <w:rPr>
          <w:color w:val="auto"/>
          <w:sz w:val="24"/>
          <w:szCs w:val="20"/>
          <w:highlight w:val="none"/>
        </w:rPr>
      </w:pPr>
    </w:p>
    <w:p w14:paraId="43C34A93">
      <w:pPr>
        <w:tabs>
          <w:tab w:val="left" w:pos="5580"/>
        </w:tabs>
        <w:spacing w:line="360" w:lineRule="auto"/>
        <w:ind w:left="420"/>
        <w:rPr>
          <w:color w:val="auto"/>
          <w:sz w:val="24"/>
          <w:szCs w:val="20"/>
          <w:highlight w:val="none"/>
        </w:rPr>
      </w:pPr>
      <w:r>
        <w:rPr>
          <w:color w:val="auto"/>
          <w:sz w:val="24"/>
          <w:szCs w:val="20"/>
          <w:highlight w:val="none"/>
        </w:rPr>
        <w:t>地址_________________________     传真____________________________</w:t>
      </w:r>
    </w:p>
    <w:p w14:paraId="19550FCF">
      <w:pPr>
        <w:tabs>
          <w:tab w:val="left" w:pos="5580"/>
        </w:tabs>
        <w:spacing w:line="360" w:lineRule="auto"/>
        <w:ind w:left="420"/>
        <w:rPr>
          <w:color w:val="auto"/>
          <w:sz w:val="24"/>
          <w:szCs w:val="20"/>
          <w:highlight w:val="none"/>
        </w:rPr>
      </w:pPr>
      <w:r>
        <w:rPr>
          <w:color w:val="auto"/>
          <w:sz w:val="24"/>
          <w:szCs w:val="20"/>
          <w:highlight w:val="none"/>
        </w:rPr>
        <w:t>电话_________________________     电子函件________________________</w:t>
      </w:r>
    </w:p>
    <w:p w14:paraId="7D112558">
      <w:pPr>
        <w:tabs>
          <w:tab w:val="left" w:pos="5580"/>
        </w:tabs>
        <w:spacing w:line="360" w:lineRule="auto"/>
        <w:ind w:left="420"/>
        <w:rPr>
          <w:color w:val="auto"/>
          <w:sz w:val="24"/>
          <w:szCs w:val="20"/>
          <w:highlight w:val="none"/>
        </w:rPr>
      </w:pPr>
    </w:p>
    <w:p w14:paraId="483FA03B">
      <w:pPr>
        <w:tabs>
          <w:tab w:val="left" w:pos="5580"/>
        </w:tabs>
        <w:spacing w:line="480" w:lineRule="auto"/>
        <w:ind w:left="420"/>
        <w:rPr>
          <w:color w:val="auto"/>
          <w:sz w:val="24"/>
          <w:szCs w:val="20"/>
          <w:highlight w:val="none"/>
        </w:rPr>
      </w:pPr>
      <w:r>
        <w:rPr>
          <w:color w:val="auto"/>
          <w:sz w:val="24"/>
          <w:szCs w:val="20"/>
          <w:highlight w:val="none"/>
        </w:rPr>
        <w:t>投标人名称（加盖公章）</w:t>
      </w:r>
      <w:r>
        <w:rPr>
          <w:rFonts w:hint="eastAsia"/>
          <w:color w:val="auto"/>
          <w:sz w:val="24"/>
          <w:szCs w:val="20"/>
          <w:highlight w:val="none"/>
        </w:rPr>
        <w:t>：</w:t>
      </w:r>
      <w:r>
        <w:rPr>
          <w:color w:val="auto"/>
          <w:sz w:val="24"/>
          <w:szCs w:val="20"/>
          <w:highlight w:val="none"/>
        </w:rPr>
        <w:t>___________</w:t>
      </w:r>
    </w:p>
    <w:p w14:paraId="60FBFC71">
      <w:pPr>
        <w:tabs>
          <w:tab w:val="left" w:pos="5580"/>
        </w:tabs>
        <w:spacing w:line="480" w:lineRule="auto"/>
        <w:ind w:left="420"/>
        <w:rPr>
          <w:color w:val="auto"/>
          <w:sz w:val="24"/>
          <w:szCs w:val="20"/>
          <w:highlight w:val="none"/>
        </w:rPr>
      </w:pPr>
      <w:r>
        <w:rPr>
          <w:color w:val="auto"/>
          <w:sz w:val="24"/>
          <w:szCs w:val="20"/>
          <w:highlight w:val="none"/>
        </w:rPr>
        <w:t xml:space="preserve">日期：_____年______月______日    </w:t>
      </w:r>
    </w:p>
    <w:p w14:paraId="066B6CA0">
      <w:pPr>
        <w:tabs>
          <w:tab w:val="left" w:pos="5580"/>
        </w:tabs>
        <w:spacing w:line="360" w:lineRule="auto"/>
        <w:ind w:left="420"/>
        <w:rPr>
          <w:color w:val="auto"/>
          <w:sz w:val="24"/>
          <w:szCs w:val="20"/>
          <w:highlight w:val="none"/>
          <w:u w:val="single"/>
        </w:rPr>
      </w:pPr>
    </w:p>
    <w:p w14:paraId="6E0DE61C">
      <w:pPr>
        <w:widowControl/>
        <w:jc w:val="left"/>
        <w:rPr>
          <w:color w:val="auto"/>
          <w:sz w:val="24"/>
          <w:highlight w:val="none"/>
        </w:rPr>
      </w:pPr>
      <w:bookmarkStart w:id="945" w:name="_Hlt520355938"/>
      <w:bookmarkEnd w:id="945"/>
      <w:bookmarkStart w:id="946" w:name="_Hlt520356243"/>
      <w:bookmarkEnd w:id="946"/>
      <w:bookmarkStart w:id="947" w:name="_Toc226337253"/>
      <w:bookmarkStart w:id="948" w:name="_Ref467988705"/>
      <w:bookmarkStart w:id="949" w:name="_Toc142311059"/>
      <w:bookmarkStart w:id="950" w:name="_Toc305158825"/>
      <w:bookmarkStart w:id="951" w:name="_Toc150480795"/>
      <w:bookmarkStart w:id="952" w:name="_Toc264969247"/>
      <w:bookmarkStart w:id="953" w:name="_Toc127151557"/>
      <w:bookmarkStart w:id="954" w:name="_Toc150774762"/>
      <w:bookmarkStart w:id="955" w:name="_Toc226965747"/>
      <w:bookmarkStart w:id="956" w:name="_Toc305158899"/>
      <w:bookmarkStart w:id="957" w:name="_Toc195842922"/>
      <w:bookmarkStart w:id="958" w:name="_Toc265228395"/>
      <w:bookmarkStart w:id="959" w:name="_Toc520356218"/>
      <w:bookmarkStart w:id="960" w:name="_Toc226309801"/>
      <w:bookmarkStart w:id="961" w:name="_Toc480942350"/>
      <w:bookmarkStart w:id="962" w:name="_Toc226965830"/>
      <w:r>
        <w:rPr>
          <w:color w:val="auto"/>
          <w:sz w:val="24"/>
          <w:highlight w:val="none"/>
        </w:rPr>
        <w:br w:type="page"/>
      </w:r>
    </w:p>
    <w:p w14:paraId="024DC9EB">
      <w:pPr>
        <w:spacing w:line="360" w:lineRule="auto"/>
        <w:outlineLvl w:val="2"/>
        <w:rPr>
          <w:color w:val="auto"/>
          <w:sz w:val="24"/>
          <w:highlight w:val="none"/>
        </w:rPr>
      </w:pPr>
      <w:r>
        <w:rPr>
          <w:color w:val="auto"/>
          <w:sz w:val="24"/>
          <w:highlight w:val="none"/>
        </w:rPr>
        <w:t>2  授权委托书（实质性格式）</w:t>
      </w:r>
    </w:p>
    <w:p w14:paraId="377D405C">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授权委托书</w:t>
      </w:r>
    </w:p>
    <w:p w14:paraId="1B4E16BA">
      <w:pPr>
        <w:spacing w:line="360" w:lineRule="auto"/>
        <w:ind w:firstLine="420"/>
        <w:rPr>
          <w:rFonts w:ascii="宋体" w:hAnsi="宋体"/>
          <w:color w:val="auto"/>
          <w:sz w:val="24"/>
          <w:szCs w:val="20"/>
          <w:highlight w:val="none"/>
        </w:rPr>
      </w:pPr>
    </w:p>
    <w:p w14:paraId="6C615493">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本人</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姓名</w:t>
      </w:r>
      <w:r>
        <w:rPr>
          <w:rFonts w:ascii="宋体" w:hAnsi="宋体"/>
          <w:color w:val="auto"/>
          <w:sz w:val="24"/>
          <w:szCs w:val="20"/>
          <w:highlight w:val="none"/>
        </w:rPr>
        <w:t>）</w:t>
      </w:r>
      <w:r>
        <w:rPr>
          <w:rFonts w:hint="eastAsia" w:ascii="宋体" w:hAnsi="宋体"/>
          <w:color w:val="auto"/>
          <w:sz w:val="24"/>
          <w:szCs w:val="20"/>
          <w:highlight w:val="none"/>
        </w:rPr>
        <w:t>系</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投标人</w:t>
      </w:r>
      <w:r>
        <w:rPr>
          <w:rFonts w:ascii="宋体" w:hAnsi="宋体"/>
          <w:color w:val="auto"/>
          <w:sz w:val="24"/>
          <w:szCs w:val="20"/>
          <w:highlight w:val="none"/>
        </w:rPr>
        <w:t>名称）</w:t>
      </w:r>
      <w:r>
        <w:rPr>
          <w:rFonts w:hint="eastAsia" w:ascii="宋体" w:hAnsi="宋体"/>
          <w:color w:val="auto"/>
          <w:sz w:val="24"/>
          <w:szCs w:val="20"/>
          <w:highlight w:val="none"/>
        </w:rPr>
        <w:t>的</w:t>
      </w:r>
      <w:r>
        <w:rPr>
          <w:rFonts w:ascii="宋体" w:hAnsi="宋体"/>
          <w:color w:val="auto"/>
          <w:sz w:val="24"/>
          <w:szCs w:val="20"/>
          <w:highlight w:val="none"/>
        </w:rPr>
        <w:t>法定代表人（</w:t>
      </w:r>
      <w:r>
        <w:rPr>
          <w:rFonts w:hint="eastAsia" w:ascii="宋体" w:hAnsi="宋体"/>
          <w:color w:val="auto"/>
          <w:sz w:val="24"/>
          <w:szCs w:val="20"/>
          <w:highlight w:val="none"/>
        </w:rPr>
        <w:t>单位</w:t>
      </w:r>
      <w:r>
        <w:rPr>
          <w:rFonts w:ascii="宋体" w:hAnsi="宋体"/>
          <w:color w:val="auto"/>
          <w:sz w:val="24"/>
          <w:szCs w:val="20"/>
          <w:highlight w:val="none"/>
        </w:rPr>
        <w:t>负责人）</w:t>
      </w:r>
      <w:r>
        <w:rPr>
          <w:rFonts w:hint="eastAsia" w:ascii="宋体" w:hAnsi="宋体"/>
          <w:color w:val="auto"/>
          <w:sz w:val="24"/>
          <w:szCs w:val="20"/>
          <w:highlight w:val="none"/>
        </w:rPr>
        <w:t>，</w:t>
      </w:r>
      <w:r>
        <w:rPr>
          <w:rFonts w:ascii="宋体" w:hAnsi="宋体"/>
          <w:color w:val="auto"/>
          <w:sz w:val="24"/>
          <w:szCs w:val="20"/>
          <w:highlight w:val="none"/>
        </w:rPr>
        <w:t>现委托</w:t>
      </w:r>
      <w:r>
        <w:rPr>
          <w:rFonts w:hint="eastAsia" w:ascii="宋体" w:hAnsi="宋体"/>
          <w:color w:val="auto"/>
          <w:sz w:val="24"/>
          <w:highlight w:val="none"/>
          <w:u w:val="single"/>
        </w:rPr>
        <w:t xml:space="preserve">        </w:t>
      </w:r>
      <w:r>
        <w:rPr>
          <w:rFonts w:ascii="宋体" w:hAnsi="宋体"/>
          <w:color w:val="auto"/>
          <w:sz w:val="24"/>
          <w:szCs w:val="20"/>
          <w:highlight w:val="none"/>
        </w:rPr>
        <w:t>（</w:t>
      </w:r>
      <w:r>
        <w:rPr>
          <w:rFonts w:hint="eastAsia" w:ascii="宋体" w:hAnsi="宋体"/>
          <w:color w:val="auto"/>
          <w:sz w:val="24"/>
          <w:szCs w:val="20"/>
          <w:highlight w:val="none"/>
        </w:rPr>
        <w:t>姓名</w:t>
      </w:r>
      <w:r>
        <w:rPr>
          <w:rFonts w:ascii="宋体" w:hAnsi="宋体"/>
          <w:color w:val="auto"/>
          <w:sz w:val="24"/>
          <w:szCs w:val="20"/>
          <w:highlight w:val="none"/>
        </w:rPr>
        <w:t>）</w:t>
      </w:r>
      <w:r>
        <w:rPr>
          <w:rFonts w:hint="eastAsia" w:ascii="宋体" w:hAnsi="宋体"/>
          <w:color w:val="auto"/>
          <w:sz w:val="24"/>
          <w:szCs w:val="20"/>
          <w:highlight w:val="none"/>
        </w:rPr>
        <w:t>为</w:t>
      </w:r>
      <w:r>
        <w:rPr>
          <w:rFonts w:ascii="宋体" w:hAnsi="宋体"/>
          <w:color w:val="auto"/>
          <w:sz w:val="24"/>
          <w:szCs w:val="20"/>
          <w:highlight w:val="none"/>
        </w:rPr>
        <w:t>我方代理人。</w:t>
      </w:r>
      <w:r>
        <w:rPr>
          <w:rFonts w:hint="eastAsia" w:ascii="宋体" w:hAnsi="宋体"/>
          <w:color w:val="auto"/>
          <w:sz w:val="24"/>
          <w:szCs w:val="20"/>
          <w:highlight w:val="none"/>
        </w:rPr>
        <w:t>代理人根据</w:t>
      </w:r>
      <w:r>
        <w:rPr>
          <w:rFonts w:ascii="宋体" w:hAnsi="宋体"/>
          <w:color w:val="auto"/>
          <w:sz w:val="24"/>
          <w:szCs w:val="20"/>
          <w:highlight w:val="none"/>
        </w:rPr>
        <w:t>授权，以我方名义签署、澄清确认、递交、撤回、修改</w:t>
      </w:r>
      <w:r>
        <w:rPr>
          <w:rFonts w:hint="eastAsia" w:ascii="宋体" w:hAnsi="宋体"/>
          <w:color w:val="auto"/>
          <w:sz w:val="24"/>
          <w:highlight w:val="none"/>
          <w:u w:val="single"/>
        </w:rPr>
        <w:t xml:space="preserve">                </w:t>
      </w:r>
      <w:r>
        <w:rPr>
          <w:rFonts w:ascii="宋体" w:hAnsi="宋体"/>
          <w:color w:val="auto"/>
          <w:sz w:val="24"/>
          <w:szCs w:val="20"/>
          <w:highlight w:val="none"/>
        </w:rPr>
        <w:t>（</w:t>
      </w:r>
      <w:r>
        <w:rPr>
          <w:color w:val="auto"/>
          <w:sz w:val="24"/>
          <w:szCs w:val="20"/>
          <w:highlight w:val="none"/>
        </w:rPr>
        <w:t>项目名称</w:t>
      </w:r>
      <w:r>
        <w:rPr>
          <w:rFonts w:hint="eastAsia"/>
          <w:color w:val="auto"/>
          <w:sz w:val="24"/>
          <w:szCs w:val="20"/>
          <w:highlight w:val="none"/>
          <w:lang w:eastAsia="zh-CN"/>
        </w:rPr>
        <w:t>、</w:t>
      </w:r>
      <w:r>
        <w:rPr>
          <w:color w:val="auto"/>
          <w:sz w:val="24"/>
          <w:szCs w:val="20"/>
          <w:highlight w:val="none"/>
        </w:rPr>
        <w:t>项目编号</w:t>
      </w:r>
      <w:r>
        <w:rPr>
          <w:rFonts w:ascii="宋体" w:hAnsi="宋体"/>
          <w:color w:val="auto"/>
          <w:sz w:val="24"/>
          <w:szCs w:val="20"/>
          <w:highlight w:val="none"/>
        </w:rPr>
        <w:t>）</w:t>
      </w:r>
      <w:r>
        <w:rPr>
          <w:rFonts w:hint="eastAsia" w:ascii="宋体" w:hAnsi="宋体"/>
          <w:color w:val="auto"/>
          <w:sz w:val="24"/>
          <w:szCs w:val="20"/>
          <w:highlight w:val="none"/>
        </w:rPr>
        <w:t>投标文件和</w:t>
      </w:r>
      <w:r>
        <w:rPr>
          <w:rFonts w:ascii="宋体" w:hAnsi="宋体"/>
          <w:color w:val="auto"/>
          <w:sz w:val="24"/>
          <w:szCs w:val="20"/>
          <w:highlight w:val="none"/>
        </w:rPr>
        <w:t>处理有关事宜，其法律后果由我方承担。</w:t>
      </w:r>
    </w:p>
    <w:p w14:paraId="774183E8">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委托</w:t>
      </w:r>
      <w:r>
        <w:rPr>
          <w:rFonts w:ascii="宋体" w:hAnsi="宋体"/>
          <w:color w:val="auto"/>
          <w:sz w:val="24"/>
          <w:szCs w:val="20"/>
          <w:highlight w:val="none"/>
        </w:rPr>
        <w:t>期限：自本</w:t>
      </w:r>
      <w:r>
        <w:rPr>
          <w:rFonts w:hint="eastAsia" w:ascii="宋体" w:hAnsi="宋体"/>
          <w:color w:val="auto"/>
          <w:sz w:val="24"/>
          <w:szCs w:val="20"/>
          <w:highlight w:val="none"/>
        </w:rPr>
        <w:t>授权</w:t>
      </w:r>
      <w:r>
        <w:rPr>
          <w:rFonts w:ascii="宋体" w:hAnsi="宋体"/>
          <w:color w:val="auto"/>
          <w:sz w:val="24"/>
          <w:szCs w:val="20"/>
          <w:highlight w:val="none"/>
        </w:rPr>
        <w:t>委托书签署之日起至</w:t>
      </w:r>
      <w:r>
        <w:rPr>
          <w:rFonts w:hint="eastAsia" w:ascii="宋体" w:hAnsi="宋体"/>
          <w:color w:val="auto"/>
          <w:sz w:val="24"/>
          <w:szCs w:val="20"/>
          <w:highlight w:val="none"/>
        </w:rPr>
        <w:t>投标</w:t>
      </w:r>
      <w:r>
        <w:rPr>
          <w:rFonts w:ascii="宋体" w:hAnsi="宋体"/>
          <w:color w:val="auto"/>
          <w:sz w:val="24"/>
          <w:szCs w:val="20"/>
          <w:highlight w:val="none"/>
        </w:rPr>
        <w:t>有效期</w:t>
      </w:r>
      <w:r>
        <w:rPr>
          <w:rFonts w:hint="eastAsia" w:ascii="宋体" w:hAnsi="宋体"/>
          <w:color w:val="auto"/>
          <w:sz w:val="24"/>
          <w:szCs w:val="20"/>
          <w:highlight w:val="none"/>
        </w:rPr>
        <w:t>届满</w:t>
      </w:r>
      <w:r>
        <w:rPr>
          <w:rFonts w:ascii="宋体" w:hAnsi="宋体"/>
          <w:color w:val="auto"/>
          <w:sz w:val="24"/>
          <w:szCs w:val="20"/>
          <w:highlight w:val="none"/>
        </w:rPr>
        <w:t>之日止。</w:t>
      </w:r>
    </w:p>
    <w:p w14:paraId="6C15E597">
      <w:pPr>
        <w:spacing w:line="360" w:lineRule="auto"/>
        <w:ind w:firstLine="420"/>
        <w:rPr>
          <w:rFonts w:ascii="宋体" w:hAnsi="宋体"/>
          <w:color w:val="auto"/>
          <w:sz w:val="24"/>
          <w:szCs w:val="20"/>
          <w:highlight w:val="none"/>
        </w:rPr>
      </w:pPr>
      <w:r>
        <w:rPr>
          <w:rFonts w:hint="eastAsia" w:ascii="宋体" w:hAnsi="宋体"/>
          <w:color w:val="auto"/>
          <w:sz w:val="24"/>
          <w:szCs w:val="20"/>
          <w:highlight w:val="none"/>
        </w:rPr>
        <w:t>代理人</w:t>
      </w:r>
      <w:r>
        <w:rPr>
          <w:rFonts w:ascii="宋体" w:hAnsi="宋体"/>
          <w:color w:val="auto"/>
          <w:sz w:val="24"/>
          <w:szCs w:val="20"/>
          <w:highlight w:val="none"/>
        </w:rPr>
        <w:t>无转委托权。</w:t>
      </w:r>
      <w:r>
        <w:rPr>
          <w:rFonts w:ascii="宋体" w:hAnsi="宋体"/>
          <w:color w:val="auto"/>
          <w:sz w:val="24"/>
          <w:szCs w:val="20"/>
          <w:highlight w:val="none"/>
        </w:rPr>
        <w:cr/>
      </w:r>
    </w:p>
    <w:p w14:paraId="0D8D4330">
      <w:pPr>
        <w:spacing w:line="360" w:lineRule="auto"/>
        <w:rPr>
          <w:rFonts w:ascii="宋体" w:hAnsi="宋体"/>
          <w:color w:val="auto"/>
          <w:sz w:val="24"/>
          <w:highlight w:val="none"/>
          <w:lang w:val="zh-CN"/>
        </w:rPr>
      </w:pPr>
      <w:r>
        <w:rPr>
          <w:rFonts w:hint="eastAsia" w:ascii="宋体" w:hAnsi="宋体"/>
          <w:color w:val="auto"/>
          <w:sz w:val="24"/>
          <w:highlight w:val="none"/>
        </w:rPr>
        <w:t>投标人</w:t>
      </w:r>
      <w:r>
        <w:rPr>
          <w:rFonts w:ascii="宋体" w:hAnsi="宋体"/>
          <w:color w:val="auto"/>
          <w:sz w:val="24"/>
          <w:highlight w:val="none"/>
        </w:rPr>
        <w:t>名称（加盖公章）</w:t>
      </w:r>
      <w:r>
        <w:rPr>
          <w:rFonts w:ascii="宋体" w:hAnsi="宋体"/>
          <w:color w:val="auto"/>
          <w:sz w:val="24"/>
          <w:highlight w:val="none"/>
          <w:lang w:val="zh-CN"/>
        </w:rPr>
        <w:t>：</w:t>
      </w:r>
      <w:r>
        <w:rPr>
          <w:rFonts w:hint="eastAsia" w:ascii="宋体" w:hAnsi="宋体"/>
          <w:color w:val="auto"/>
          <w:sz w:val="24"/>
          <w:highlight w:val="none"/>
          <w:u w:val="single"/>
        </w:rPr>
        <w:t xml:space="preserve">                </w:t>
      </w:r>
    </w:p>
    <w:p w14:paraId="1C2DC4BB">
      <w:pPr>
        <w:spacing w:line="360" w:lineRule="auto"/>
        <w:rPr>
          <w:rFonts w:ascii="宋体" w:hAnsi="宋体"/>
          <w:color w:val="auto"/>
          <w:sz w:val="24"/>
          <w:szCs w:val="20"/>
          <w:highlight w:val="none"/>
        </w:rPr>
      </w:pPr>
      <w:r>
        <w:rPr>
          <w:rFonts w:ascii="宋体" w:hAnsi="宋体"/>
          <w:color w:val="auto"/>
          <w:sz w:val="24"/>
          <w:szCs w:val="20"/>
          <w:highlight w:val="none"/>
        </w:rPr>
        <w:t>法定代表人（单位负责人）（</w:t>
      </w:r>
      <w:r>
        <w:rPr>
          <w:rFonts w:hint="eastAsia" w:ascii="宋体" w:hAnsi="宋体"/>
          <w:color w:val="auto"/>
          <w:sz w:val="24"/>
          <w:szCs w:val="20"/>
          <w:highlight w:val="none"/>
        </w:rPr>
        <w:t>签字或签章）</w:t>
      </w:r>
      <w:r>
        <w:rPr>
          <w:rFonts w:ascii="宋体" w:hAnsi="宋体"/>
          <w:color w:val="auto"/>
          <w:sz w:val="24"/>
          <w:szCs w:val="20"/>
          <w:highlight w:val="none"/>
        </w:rPr>
        <w:t>：</w:t>
      </w:r>
      <w:r>
        <w:rPr>
          <w:rFonts w:hint="eastAsia" w:ascii="宋体" w:hAnsi="宋体"/>
          <w:color w:val="auto"/>
          <w:sz w:val="24"/>
          <w:highlight w:val="none"/>
          <w:u w:val="single"/>
        </w:rPr>
        <w:t xml:space="preserve">        </w:t>
      </w:r>
    </w:p>
    <w:p w14:paraId="2DFEE668">
      <w:pPr>
        <w:autoSpaceDE w:val="0"/>
        <w:autoSpaceDN w:val="0"/>
        <w:adjustRightInd w:val="0"/>
        <w:snapToGrid w:val="0"/>
        <w:spacing w:line="360" w:lineRule="auto"/>
        <w:rPr>
          <w:rFonts w:ascii="宋体" w:hAnsi="宋体"/>
          <w:color w:val="auto"/>
          <w:sz w:val="24"/>
          <w:highlight w:val="none"/>
          <w:lang w:val="zh-CN"/>
        </w:rPr>
      </w:pPr>
      <w:r>
        <w:rPr>
          <w:rFonts w:hint="eastAsia" w:ascii="宋体" w:hAnsi="宋体"/>
          <w:color w:val="auto"/>
          <w:sz w:val="24"/>
          <w:highlight w:val="none"/>
        </w:rPr>
        <w:t>委托代理</w:t>
      </w:r>
      <w:r>
        <w:rPr>
          <w:rFonts w:ascii="宋体" w:hAnsi="宋体"/>
          <w:color w:val="auto"/>
          <w:sz w:val="24"/>
          <w:highlight w:val="none"/>
        </w:rPr>
        <w:t>人（</w:t>
      </w:r>
      <w:r>
        <w:rPr>
          <w:rFonts w:hint="eastAsia" w:ascii="宋体" w:hAnsi="宋体"/>
          <w:color w:val="auto"/>
          <w:sz w:val="24"/>
          <w:highlight w:val="none"/>
        </w:rPr>
        <w:t>签字或签章</w:t>
      </w:r>
      <w:r>
        <w:rPr>
          <w:rFonts w:ascii="宋体" w:hAnsi="宋体"/>
          <w:color w:val="auto"/>
          <w:sz w:val="24"/>
          <w:highlight w:val="none"/>
        </w:rPr>
        <w:t>）：</w:t>
      </w:r>
      <w:r>
        <w:rPr>
          <w:rFonts w:hint="eastAsia" w:ascii="宋体" w:hAnsi="宋体"/>
          <w:color w:val="auto"/>
          <w:sz w:val="24"/>
          <w:highlight w:val="none"/>
          <w:u w:val="single"/>
        </w:rPr>
        <w:t xml:space="preserve">        </w:t>
      </w:r>
      <w:r>
        <w:rPr>
          <w:rFonts w:ascii="宋体" w:hAnsi="宋体"/>
          <w:color w:val="auto"/>
          <w:sz w:val="24"/>
          <w:highlight w:val="none"/>
        </w:rPr>
        <w:t xml:space="preserve">    </w:t>
      </w:r>
      <w:r>
        <w:rPr>
          <w:rFonts w:ascii="宋体" w:hAnsi="宋体"/>
          <w:color w:val="auto"/>
          <w:sz w:val="24"/>
          <w:highlight w:val="none"/>
          <w:lang w:val="zh-CN"/>
        </w:rPr>
        <w:t xml:space="preserve">                      </w:t>
      </w:r>
    </w:p>
    <w:p w14:paraId="19E38689">
      <w:pPr>
        <w:autoSpaceDE w:val="0"/>
        <w:autoSpaceDN w:val="0"/>
        <w:adjustRightInd w:val="0"/>
        <w:snapToGrid w:val="0"/>
        <w:spacing w:line="360" w:lineRule="auto"/>
        <w:rPr>
          <w:rFonts w:ascii="宋体" w:hAnsi="宋体"/>
          <w:color w:val="auto"/>
          <w:sz w:val="24"/>
          <w:highlight w:val="none"/>
          <w:lang w:val="zh-CN"/>
        </w:rPr>
      </w:pPr>
      <w:r>
        <w:rPr>
          <w:rFonts w:ascii="宋体" w:hAnsi="宋体"/>
          <w:color w:val="auto"/>
          <w:sz w:val="24"/>
          <w:highlight w:val="none"/>
        </w:rPr>
        <w:t>日期：_____年______月______日</w:t>
      </w:r>
    </w:p>
    <w:p w14:paraId="27291917">
      <w:pPr>
        <w:tabs>
          <w:tab w:val="left" w:pos="5580"/>
        </w:tabs>
        <w:spacing w:line="360" w:lineRule="auto"/>
        <w:ind w:firstLine="480" w:firstLineChars="200"/>
        <w:rPr>
          <w:rFonts w:ascii="宋体" w:hAnsi="宋体"/>
          <w:color w:val="auto"/>
          <w:sz w:val="24"/>
          <w:szCs w:val="20"/>
          <w:highlight w:val="none"/>
        </w:rPr>
      </w:pPr>
    </w:p>
    <w:p w14:paraId="31ABB34A">
      <w:pPr>
        <w:tabs>
          <w:tab w:val="left" w:pos="5580"/>
        </w:tabs>
        <w:spacing w:line="360" w:lineRule="auto"/>
        <w:rPr>
          <w:rFonts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t>附：</w:t>
      </w:r>
      <w:r>
        <w:rPr>
          <w:rFonts w:ascii="Times New Roman" w:hAnsi="Times New Roman" w:eastAsia="宋体" w:cs="Times New Roman"/>
          <w:color w:val="auto"/>
          <w:sz w:val="24"/>
          <w:szCs w:val="20"/>
          <w:highlight w:val="none"/>
        </w:rPr>
        <w:t>法定代表人</w:t>
      </w:r>
      <w:r>
        <w:rPr>
          <w:rFonts w:hint="eastAsia" w:ascii="Times New Roman" w:hAnsi="Times New Roman" w:eastAsia="宋体" w:cs="Times New Roman"/>
          <w:color w:val="auto"/>
          <w:sz w:val="24"/>
          <w:szCs w:val="20"/>
          <w:highlight w:val="none"/>
        </w:rPr>
        <w:t>（单位负责人）</w:t>
      </w:r>
      <w:r>
        <w:rPr>
          <w:rFonts w:ascii="Times New Roman" w:hAnsi="Times New Roman" w:eastAsia="宋体" w:cs="Times New Roman"/>
          <w:color w:val="auto"/>
          <w:sz w:val="24"/>
          <w:szCs w:val="20"/>
          <w:highlight w:val="none"/>
        </w:rPr>
        <w:t>及委托代理人身份证明文件电子件：</w:t>
      </w:r>
    </w:p>
    <w:p w14:paraId="4D35A94F">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6D029E71">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1EB509EA">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0845AB6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5A7E7118">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p>
    <w:p w14:paraId="3AB4D203">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说明：</w:t>
      </w:r>
    </w:p>
    <w:p w14:paraId="1CFE7B6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1.若供应商为事业单位或其他组织或分支机构，则法定代表人（单位负责人）处的签署人可为单位负责人。</w:t>
      </w:r>
    </w:p>
    <w:p w14:paraId="56807DA5">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2.若投标文件中签字之处均为法定代表人（单位负责人）本人签署，则可不提供本《授权委托书》，但须提供《法定代表人（单位负责人）身份证明》；否则，不需要提供《法定代表人（单位负责人）身份证明》。</w:t>
      </w:r>
    </w:p>
    <w:p w14:paraId="3695D57B">
      <w:pPr>
        <w:tabs>
          <w:tab w:val="left" w:pos="5580"/>
        </w:tabs>
        <w:spacing w:line="360" w:lineRule="auto"/>
        <w:ind w:left="-420" w:leftChars="-200" w:firstLine="196" w:firstLineChars="82"/>
        <w:jc w:val="left"/>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3.供应商为自然人的情形，可不提供本《授权委托书》。</w:t>
      </w:r>
    </w:p>
    <w:p w14:paraId="530DFA8B">
      <w:pPr>
        <w:spacing w:line="360" w:lineRule="exact"/>
        <w:ind w:left="-420" w:leftChars="-200" w:firstLine="196" w:firstLineChars="82"/>
        <w:jc w:val="center"/>
        <w:rPr>
          <w:rFonts w:ascii="宋体" w:hAnsi="宋体"/>
          <w:b/>
          <w:color w:val="auto"/>
          <w:sz w:val="36"/>
          <w:szCs w:val="36"/>
          <w:highlight w:val="none"/>
        </w:rPr>
      </w:pPr>
      <w:r>
        <w:rPr>
          <w:rFonts w:ascii="Times New Roman" w:hAnsi="Times New Roman" w:eastAsia="宋体" w:cs="Times New Roman"/>
          <w:color w:val="auto"/>
          <w:sz w:val="24"/>
          <w:szCs w:val="20"/>
          <w:highlight w:val="none"/>
        </w:rPr>
        <w:t>4.供应商应随本《授权委托书》同时提供法定代表人（单位负责人）及委托代理人的有效的身份证</w:t>
      </w:r>
      <w:r>
        <w:rPr>
          <w:rFonts w:hint="eastAsia" w:ascii="Times New Roman" w:hAnsi="Times New Roman" w:eastAsia="宋体" w:cs="Times New Roman"/>
          <w:color w:val="auto"/>
          <w:sz w:val="24"/>
          <w:szCs w:val="20"/>
          <w:highlight w:val="none"/>
          <w:lang w:val="en-US" w:eastAsia="zh-CN"/>
        </w:rPr>
        <w:t>或</w:t>
      </w:r>
      <w:r>
        <w:rPr>
          <w:rFonts w:ascii="Times New Roman" w:hAnsi="Times New Roman" w:eastAsia="宋体" w:cs="Times New Roman"/>
          <w:color w:val="auto"/>
          <w:sz w:val="24"/>
          <w:szCs w:val="20"/>
          <w:highlight w:val="none"/>
        </w:rPr>
        <w:t>护照等身份证明文件电子件。提供身份证的，应同时提供身份证</w:t>
      </w:r>
      <w:r>
        <w:rPr>
          <w:rFonts w:ascii="Times New Roman" w:hAnsi="Times New Roman" w:eastAsia="宋体" w:cs="Times New Roman"/>
          <w:b/>
          <w:color w:val="auto"/>
          <w:sz w:val="24"/>
          <w:szCs w:val="20"/>
          <w:highlight w:val="none"/>
        </w:rPr>
        <w:t>双面</w:t>
      </w:r>
      <w:r>
        <w:rPr>
          <w:rFonts w:ascii="Times New Roman" w:hAnsi="Times New Roman" w:eastAsia="宋体" w:cs="Times New Roman"/>
          <w:color w:val="auto"/>
          <w:sz w:val="24"/>
          <w:szCs w:val="20"/>
          <w:highlight w:val="none"/>
        </w:rPr>
        <w:t>电子件。</w:t>
      </w:r>
    </w:p>
    <w:p w14:paraId="47534E81">
      <w:pPr>
        <w:spacing w:line="360" w:lineRule="exact"/>
        <w:jc w:val="center"/>
        <w:rPr>
          <w:rFonts w:ascii="宋体" w:hAnsi="宋体"/>
          <w:b/>
          <w:color w:val="auto"/>
          <w:sz w:val="32"/>
          <w:szCs w:val="32"/>
          <w:highlight w:val="none"/>
        </w:rPr>
      </w:pPr>
      <w:r>
        <w:rPr>
          <w:rFonts w:ascii="宋体" w:hAnsi="宋体"/>
          <w:b/>
          <w:color w:val="auto"/>
          <w:sz w:val="32"/>
          <w:szCs w:val="32"/>
          <w:highlight w:val="none"/>
        </w:rPr>
        <w:t>法定代表人（单位负责人）身份证明</w:t>
      </w:r>
    </w:p>
    <w:p w14:paraId="4EF8ADC5">
      <w:pPr>
        <w:kinsoku w:val="0"/>
        <w:overflowPunct w:val="0"/>
        <w:spacing w:line="200" w:lineRule="exact"/>
        <w:rPr>
          <w:rFonts w:ascii="宋体" w:hAnsi="宋体"/>
          <w:color w:val="auto"/>
          <w:sz w:val="20"/>
          <w:szCs w:val="20"/>
          <w:highlight w:val="none"/>
        </w:rPr>
      </w:pPr>
    </w:p>
    <w:p w14:paraId="3B8A6BB3">
      <w:pPr>
        <w:tabs>
          <w:tab w:val="left" w:pos="5580"/>
        </w:tabs>
        <w:spacing w:line="360" w:lineRule="auto"/>
        <w:rPr>
          <w:rFonts w:ascii="宋体" w:hAnsi="宋体"/>
          <w:color w:val="auto"/>
          <w:sz w:val="24"/>
          <w:highlight w:val="none"/>
        </w:rPr>
      </w:pPr>
      <w:r>
        <w:rPr>
          <w:rFonts w:ascii="宋体" w:hAnsi="宋体"/>
          <w:color w:val="auto"/>
          <w:sz w:val="24"/>
          <w:highlight w:val="none"/>
        </w:rPr>
        <w:t>致：</w:t>
      </w:r>
      <w:r>
        <w:rPr>
          <w:rFonts w:ascii="宋体" w:hAnsi="宋体"/>
          <w:color w:val="auto"/>
          <w:sz w:val="24"/>
          <w:highlight w:val="none"/>
          <w:u w:val="single"/>
        </w:rPr>
        <w:t>（</w:t>
      </w:r>
      <w:r>
        <w:rPr>
          <w:rFonts w:hint="eastAsia" w:ascii="宋体" w:hAnsi="宋体"/>
          <w:color w:val="auto"/>
          <w:sz w:val="24"/>
          <w:highlight w:val="none"/>
          <w:u w:val="single"/>
        </w:rPr>
        <w:t>采购人</w:t>
      </w:r>
      <w:r>
        <w:rPr>
          <w:rFonts w:ascii="宋体" w:hAnsi="宋体"/>
          <w:color w:val="auto"/>
          <w:sz w:val="24"/>
          <w:highlight w:val="none"/>
          <w:u w:val="single"/>
        </w:rPr>
        <w:t>）</w:t>
      </w:r>
    </w:p>
    <w:p w14:paraId="6A68E1BA">
      <w:pPr>
        <w:pStyle w:val="17"/>
        <w:tabs>
          <w:tab w:val="left" w:pos="2412"/>
          <w:tab w:val="left" w:pos="3883"/>
          <w:tab w:val="left" w:pos="5352"/>
          <w:tab w:val="left" w:pos="6821"/>
        </w:tabs>
        <w:kinsoku w:val="0"/>
        <w:overflowPunct w:val="0"/>
        <w:spacing w:line="335" w:lineRule="exact"/>
        <w:ind w:firstLine="480" w:firstLineChars="200"/>
        <w:rPr>
          <w:color w:val="auto"/>
          <w:highlight w:val="none"/>
        </w:rPr>
      </w:pPr>
      <w:r>
        <w:rPr>
          <w:rFonts w:hint="eastAsia"/>
          <w:color w:val="auto"/>
          <w:highlight w:val="none"/>
        </w:rPr>
        <w:t>兹证明，</w:t>
      </w:r>
    </w:p>
    <w:p w14:paraId="55B23014">
      <w:pPr>
        <w:pStyle w:val="17"/>
        <w:tabs>
          <w:tab w:val="left" w:pos="1690"/>
          <w:tab w:val="left" w:pos="3400"/>
          <w:tab w:val="left" w:pos="5110"/>
          <w:tab w:val="left" w:pos="6821"/>
        </w:tabs>
        <w:kinsoku w:val="0"/>
        <w:overflowPunct w:val="0"/>
        <w:spacing w:line="335" w:lineRule="exact"/>
        <w:rPr>
          <w:color w:val="auto"/>
          <w:highlight w:val="none"/>
        </w:rPr>
      </w:pPr>
      <w:r>
        <w:rPr>
          <w:color w:val="auto"/>
          <w:highlight w:val="none"/>
        </w:rPr>
        <w:t>姓名</w:t>
      </w:r>
      <w:r>
        <w:rPr>
          <w:rFonts w:hint="eastAsia"/>
          <w:color w:val="auto"/>
          <w:highlight w:val="none"/>
        </w:rPr>
        <w:t>：</w:t>
      </w:r>
      <w:r>
        <w:rPr>
          <w:color w:val="auto"/>
          <w:highlight w:val="none"/>
        </w:rPr>
        <w:t>____性别：____年龄：____职务：____</w:t>
      </w:r>
    </w:p>
    <w:p w14:paraId="56FBF436">
      <w:pPr>
        <w:pStyle w:val="17"/>
        <w:tabs>
          <w:tab w:val="left" w:pos="2412"/>
          <w:tab w:val="left" w:pos="3883"/>
          <w:tab w:val="left" w:pos="5352"/>
          <w:tab w:val="left" w:pos="6821"/>
        </w:tabs>
        <w:kinsoku w:val="0"/>
        <w:overflowPunct w:val="0"/>
        <w:spacing w:line="335" w:lineRule="exact"/>
        <w:rPr>
          <w:color w:val="auto"/>
          <w:highlight w:val="none"/>
        </w:rPr>
      </w:pPr>
    </w:p>
    <w:p w14:paraId="386CA607">
      <w:pPr>
        <w:pStyle w:val="17"/>
        <w:tabs>
          <w:tab w:val="left" w:pos="2250"/>
          <w:tab w:val="left" w:pos="2412"/>
          <w:tab w:val="left" w:pos="3883"/>
          <w:tab w:val="left" w:pos="5352"/>
          <w:tab w:val="left" w:pos="6821"/>
          <w:tab w:val="clear" w:pos="567"/>
        </w:tabs>
        <w:kinsoku w:val="0"/>
        <w:overflowPunct w:val="0"/>
        <w:spacing w:line="335" w:lineRule="exact"/>
        <w:rPr>
          <w:color w:val="auto"/>
          <w:highlight w:val="none"/>
        </w:rPr>
      </w:pPr>
      <w:r>
        <w:rPr>
          <w:color w:val="auto"/>
          <w:highlight w:val="none"/>
        </w:rPr>
        <w:t>系</w:t>
      </w:r>
      <w:r>
        <w:rPr>
          <w:rFonts w:hint="eastAsia"/>
          <w:color w:val="auto"/>
          <w:highlight w:val="none"/>
          <w:u w:val="single"/>
        </w:rPr>
        <w:t xml:space="preserve"> </w:t>
      </w:r>
      <w:r>
        <w:rPr>
          <w:rFonts w:hint="eastAsia"/>
          <w:i/>
          <w:iCs/>
          <w:color w:val="auto"/>
          <w:highlight w:val="none"/>
          <w:u w:val="single"/>
        </w:rPr>
        <w:t xml:space="preserve">                 </w:t>
      </w:r>
      <w:r>
        <w:rPr>
          <w:color w:val="auto"/>
          <w:highlight w:val="none"/>
        </w:rPr>
        <w:t>（</w:t>
      </w:r>
      <w:r>
        <w:rPr>
          <w:rFonts w:hint="eastAsia"/>
          <w:color w:val="auto"/>
          <w:highlight w:val="none"/>
        </w:rPr>
        <w:t>投标人</w:t>
      </w:r>
      <w:r>
        <w:rPr>
          <w:color w:val="auto"/>
          <w:highlight w:val="none"/>
        </w:rPr>
        <w:t>名称）的法定代表人（单位负责人）。</w:t>
      </w:r>
    </w:p>
    <w:p w14:paraId="47866F74">
      <w:pPr>
        <w:pStyle w:val="17"/>
        <w:tabs>
          <w:tab w:val="left" w:pos="2412"/>
          <w:tab w:val="left" w:pos="3883"/>
          <w:tab w:val="left" w:pos="5352"/>
          <w:tab w:val="left" w:pos="6821"/>
        </w:tabs>
        <w:kinsoku w:val="0"/>
        <w:overflowPunct w:val="0"/>
        <w:spacing w:line="335" w:lineRule="exact"/>
        <w:rPr>
          <w:color w:val="auto"/>
          <w:highlight w:val="none"/>
        </w:rPr>
      </w:pPr>
    </w:p>
    <w:p w14:paraId="6FEBA6B1">
      <w:pPr>
        <w:pStyle w:val="17"/>
        <w:tabs>
          <w:tab w:val="left" w:pos="2412"/>
          <w:tab w:val="left" w:pos="3883"/>
          <w:tab w:val="left" w:pos="5352"/>
          <w:tab w:val="left" w:pos="6821"/>
        </w:tabs>
        <w:kinsoku w:val="0"/>
        <w:overflowPunct w:val="0"/>
        <w:spacing w:line="335" w:lineRule="exact"/>
        <w:rPr>
          <w:color w:val="auto"/>
          <w:highlight w:val="none"/>
        </w:rPr>
      </w:pPr>
    </w:p>
    <w:p w14:paraId="457D4E25">
      <w:pPr>
        <w:pStyle w:val="17"/>
        <w:tabs>
          <w:tab w:val="left" w:pos="2412"/>
          <w:tab w:val="left" w:pos="3883"/>
          <w:tab w:val="left" w:pos="5352"/>
          <w:tab w:val="left" w:pos="6821"/>
        </w:tabs>
        <w:kinsoku w:val="0"/>
        <w:overflowPunct w:val="0"/>
        <w:spacing w:line="335" w:lineRule="exact"/>
        <w:rPr>
          <w:color w:val="auto"/>
          <w:highlight w:val="none"/>
        </w:rPr>
      </w:pPr>
    </w:p>
    <w:p w14:paraId="5BA58884">
      <w:pPr>
        <w:pStyle w:val="17"/>
        <w:kinsoku w:val="0"/>
        <w:overflowPunct w:val="0"/>
        <w:spacing w:line="583" w:lineRule="auto"/>
        <w:ind w:right="-46"/>
        <w:rPr>
          <w:color w:val="auto"/>
          <w:szCs w:val="20"/>
          <w:highlight w:val="none"/>
        </w:rPr>
      </w:pPr>
      <w:r>
        <w:rPr>
          <w:rFonts w:hint="eastAsia"/>
          <w:color w:val="auto"/>
          <w:szCs w:val="20"/>
          <w:highlight w:val="none"/>
        </w:rPr>
        <w:t>附：</w:t>
      </w:r>
      <w:r>
        <w:rPr>
          <w:color w:val="auto"/>
          <w:szCs w:val="20"/>
          <w:highlight w:val="none"/>
        </w:rPr>
        <w:t>法定代表人</w:t>
      </w:r>
      <w:r>
        <w:rPr>
          <w:rFonts w:hint="eastAsia"/>
          <w:color w:val="auto"/>
          <w:szCs w:val="20"/>
          <w:highlight w:val="none"/>
        </w:rPr>
        <w:t>（单位负责人）</w:t>
      </w:r>
      <w:r>
        <w:rPr>
          <w:color w:val="auto"/>
          <w:szCs w:val="20"/>
          <w:highlight w:val="none"/>
        </w:rPr>
        <w:t>身份证</w:t>
      </w:r>
      <w:r>
        <w:rPr>
          <w:rFonts w:hint="eastAsia"/>
          <w:color w:val="auto"/>
          <w:szCs w:val="20"/>
          <w:highlight w:val="none"/>
          <w:lang w:val="en-US" w:eastAsia="zh-CN"/>
        </w:rPr>
        <w:t>或</w:t>
      </w:r>
      <w:r>
        <w:rPr>
          <w:color w:val="auto"/>
          <w:szCs w:val="20"/>
          <w:highlight w:val="none"/>
        </w:rPr>
        <w:t>护照等身份证明文件电子件：</w:t>
      </w:r>
    </w:p>
    <w:p w14:paraId="63CD20CC">
      <w:pPr>
        <w:pStyle w:val="17"/>
        <w:kinsoku w:val="0"/>
        <w:overflowPunct w:val="0"/>
        <w:spacing w:line="583" w:lineRule="auto"/>
        <w:ind w:right="4305"/>
        <w:rPr>
          <w:color w:val="auto"/>
          <w:spacing w:val="-3"/>
          <w:highlight w:val="none"/>
        </w:rPr>
      </w:pPr>
    </w:p>
    <w:p w14:paraId="475B732E">
      <w:pPr>
        <w:pStyle w:val="17"/>
        <w:kinsoku w:val="0"/>
        <w:overflowPunct w:val="0"/>
        <w:spacing w:line="583" w:lineRule="auto"/>
        <w:ind w:right="4305"/>
        <w:rPr>
          <w:color w:val="auto"/>
          <w:spacing w:val="-3"/>
          <w:highlight w:val="none"/>
        </w:rPr>
      </w:pPr>
    </w:p>
    <w:p w14:paraId="050FDBA3">
      <w:pPr>
        <w:autoSpaceDE w:val="0"/>
        <w:autoSpaceDN w:val="0"/>
        <w:adjustRightInd w:val="0"/>
        <w:snapToGrid w:val="0"/>
        <w:spacing w:line="480" w:lineRule="auto"/>
        <w:rPr>
          <w:rFonts w:ascii="宋体" w:hAnsi="宋体"/>
          <w:color w:val="auto"/>
          <w:sz w:val="24"/>
          <w:highlight w:val="none"/>
          <w:lang w:val="zh-CN"/>
        </w:rPr>
      </w:pPr>
      <w:r>
        <w:rPr>
          <w:rFonts w:hint="eastAsia" w:ascii="宋体" w:hAnsi="宋体"/>
          <w:color w:val="auto"/>
          <w:sz w:val="24"/>
          <w:highlight w:val="none"/>
        </w:rPr>
        <w:t>投标人</w:t>
      </w:r>
      <w:r>
        <w:rPr>
          <w:rFonts w:ascii="宋体" w:hAnsi="宋体"/>
          <w:color w:val="auto"/>
          <w:sz w:val="24"/>
          <w:highlight w:val="none"/>
        </w:rPr>
        <w:t>名称（加盖公章）</w:t>
      </w:r>
      <w:r>
        <w:rPr>
          <w:rFonts w:ascii="宋体" w:hAnsi="宋体"/>
          <w:color w:val="auto"/>
          <w:sz w:val="24"/>
          <w:highlight w:val="none"/>
          <w:lang w:val="zh-CN"/>
        </w:rPr>
        <w:t>：</w:t>
      </w:r>
      <w:r>
        <w:rPr>
          <w:rFonts w:hint="eastAsia" w:ascii="宋体" w:hAnsi="宋体"/>
          <w:color w:val="auto"/>
          <w:sz w:val="24"/>
          <w:highlight w:val="none"/>
          <w:u w:val="single"/>
        </w:rPr>
        <w:t xml:space="preserve">                </w:t>
      </w:r>
    </w:p>
    <w:p w14:paraId="46478826">
      <w:pPr>
        <w:pStyle w:val="17"/>
        <w:kinsoku w:val="0"/>
        <w:overflowPunct w:val="0"/>
        <w:spacing w:line="480" w:lineRule="auto"/>
        <w:ind w:right="95"/>
        <w:rPr>
          <w:color w:val="auto"/>
          <w:spacing w:val="-3"/>
          <w:highlight w:val="none"/>
        </w:rPr>
      </w:pPr>
      <w:r>
        <w:rPr>
          <w:rFonts w:hint="eastAsia"/>
          <w:color w:val="auto"/>
          <w:spacing w:val="-3"/>
          <w:highlight w:val="none"/>
        </w:rPr>
        <w:t>法定代表人（</w:t>
      </w:r>
      <w:r>
        <w:rPr>
          <w:color w:val="auto"/>
          <w:highlight w:val="none"/>
        </w:rPr>
        <w:t>单位负责人</w:t>
      </w:r>
      <w:r>
        <w:rPr>
          <w:rFonts w:hint="eastAsia"/>
          <w:color w:val="auto"/>
          <w:spacing w:val="-3"/>
          <w:highlight w:val="none"/>
        </w:rPr>
        <w:t>）（签字或签章）：_</w:t>
      </w:r>
      <w:r>
        <w:rPr>
          <w:color w:val="auto"/>
          <w:spacing w:val="-3"/>
          <w:highlight w:val="none"/>
        </w:rPr>
        <w:t>______</w:t>
      </w:r>
    </w:p>
    <w:p w14:paraId="695ACBB1">
      <w:pPr>
        <w:autoSpaceDE w:val="0"/>
        <w:autoSpaceDN w:val="0"/>
        <w:adjustRightInd w:val="0"/>
        <w:snapToGrid w:val="0"/>
        <w:spacing w:line="480" w:lineRule="auto"/>
        <w:rPr>
          <w:rFonts w:ascii="宋体" w:hAnsi="宋体"/>
          <w:color w:val="auto"/>
          <w:sz w:val="24"/>
          <w:highlight w:val="none"/>
          <w:lang w:val="zh-CN"/>
        </w:rPr>
      </w:pPr>
      <w:r>
        <w:rPr>
          <w:rFonts w:ascii="宋体" w:hAnsi="宋体"/>
          <w:color w:val="auto"/>
          <w:sz w:val="24"/>
          <w:highlight w:val="none"/>
        </w:rPr>
        <w:t>日期：_____年______月______日</w:t>
      </w:r>
    </w:p>
    <w:p w14:paraId="3966E54B">
      <w:pPr>
        <w:widowControl/>
        <w:jc w:val="left"/>
        <w:rPr>
          <w:rFonts w:ascii="宋体" w:hAnsi="宋体"/>
          <w:i/>
          <w:color w:val="auto"/>
          <w:sz w:val="24"/>
          <w:szCs w:val="20"/>
          <w:highlight w:val="none"/>
          <w:u w:val="single"/>
        </w:rPr>
      </w:pPr>
    </w:p>
    <w:p w14:paraId="6F488045">
      <w:pPr>
        <w:widowControl/>
        <w:jc w:val="left"/>
        <w:rPr>
          <w:color w:val="auto"/>
          <w:sz w:val="24"/>
          <w:szCs w:val="20"/>
          <w:highlight w:val="none"/>
        </w:rPr>
      </w:pPr>
      <w:r>
        <w:rPr>
          <w:color w:val="auto"/>
          <w:sz w:val="24"/>
          <w:szCs w:val="20"/>
          <w:highlight w:val="none"/>
        </w:rPr>
        <w:br w:type="page"/>
      </w:r>
    </w:p>
    <w:p w14:paraId="363BF963">
      <w:pPr>
        <w:spacing w:line="360" w:lineRule="auto"/>
        <w:outlineLvl w:val="2"/>
        <w:rPr>
          <w:color w:val="auto"/>
          <w:sz w:val="24"/>
          <w:szCs w:val="20"/>
          <w:highlight w:val="none"/>
        </w:rPr>
      </w:pPr>
      <w:r>
        <w:rPr>
          <w:color w:val="auto"/>
          <w:sz w:val="24"/>
          <w:szCs w:val="20"/>
          <w:highlight w:val="none"/>
        </w:rPr>
        <w:t>3  开标一览表</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color w:val="auto"/>
          <w:sz w:val="24"/>
          <w:szCs w:val="20"/>
          <w:highlight w:val="none"/>
        </w:rPr>
        <w:t>（实质性格式）</w:t>
      </w:r>
    </w:p>
    <w:p w14:paraId="137D833F">
      <w:pPr>
        <w:spacing w:line="360" w:lineRule="auto"/>
        <w:jc w:val="center"/>
        <w:rPr>
          <w:b/>
          <w:color w:val="auto"/>
          <w:sz w:val="36"/>
          <w:szCs w:val="36"/>
          <w:highlight w:val="none"/>
        </w:rPr>
      </w:pPr>
      <w:bookmarkStart w:id="963" w:name="_Toc164608672"/>
      <w:bookmarkStart w:id="964" w:name="_Toc226337254"/>
      <w:bookmarkStart w:id="965" w:name="_Toc195842923"/>
      <w:bookmarkStart w:id="966" w:name="_Toc305158900"/>
      <w:bookmarkStart w:id="967" w:name="_Toc226309802"/>
      <w:bookmarkStart w:id="968" w:name="_Toc164608827"/>
      <w:bookmarkStart w:id="969" w:name="_Toc265228396"/>
      <w:bookmarkStart w:id="970" w:name="_Toc226965831"/>
      <w:bookmarkStart w:id="971" w:name="_Toc305158826"/>
      <w:bookmarkStart w:id="972" w:name="_Toc226965748"/>
      <w:bookmarkStart w:id="973" w:name="_Toc264969248"/>
      <w:r>
        <w:rPr>
          <w:rFonts w:hint="eastAsia"/>
          <w:b/>
          <w:color w:val="auto"/>
          <w:sz w:val="36"/>
          <w:szCs w:val="36"/>
          <w:highlight w:val="none"/>
        </w:rPr>
        <w:t>开标一览表</w:t>
      </w:r>
      <w:bookmarkEnd w:id="963"/>
      <w:bookmarkEnd w:id="964"/>
      <w:bookmarkEnd w:id="965"/>
      <w:bookmarkEnd w:id="966"/>
      <w:bookmarkEnd w:id="967"/>
      <w:bookmarkEnd w:id="968"/>
      <w:bookmarkEnd w:id="969"/>
      <w:bookmarkEnd w:id="970"/>
      <w:bookmarkEnd w:id="971"/>
      <w:bookmarkEnd w:id="972"/>
      <w:bookmarkEnd w:id="973"/>
    </w:p>
    <w:p w14:paraId="33A03DF0">
      <w:pPr>
        <w:tabs>
          <w:tab w:val="left" w:pos="1800"/>
          <w:tab w:val="left" w:pos="5580"/>
        </w:tabs>
        <w:spacing w:line="360" w:lineRule="auto"/>
        <w:jc w:val="left"/>
        <w:rPr>
          <w:i/>
          <w:color w:val="auto"/>
          <w:sz w:val="24"/>
          <w:highlight w:val="none"/>
        </w:rPr>
      </w:pPr>
    </w:p>
    <w:p w14:paraId="74DEEE48">
      <w:pPr>
        <w:tabs>
          <w:tab w:val="left" w:pos="1800"/>
          <w:tab w:val="left" w:pos="5580"/>
        </w:tabs>
        <w:spacing w:line="360" w:lineRule="auto"/>
        <w:ind w:firstLine="240" w:firstLineChars="100"/>
        <w:jc w:val="left"/>
        <w:rPr>
          <w:rFonts w:hint="default" w:eastAsia="宋体"/>
          <w:color w:val="auto"/>
          <w:sz w:val="24"/>
          <w:highlight w:val="none"/>
          <w:u w:val="single"/>
          <w:lang w:val="en-US" w:eastAsia="zh-CN"/>
        </w:rPr>
      </w:pPr>
      <w:r>
        <w:rPr>
          <w:color w:val="auto"/>
          <w:sz w:val="24"/>
          <w:highlight w:val="none"/>
        </w:rPr>
        <w:t xml:space="preserve">项目编号：___________     </w:t>
      </w:r>
      <w:r>
        <w:rPr>
          <w:rFonts w:hint="eastAsia"/>
          <w:color w:val="auto"/>
          <w:sz w:val="24"/>
          <w:highlight w:val="none"/>
          <w:lang w:val="en-US" w:eastAsia="zh-CN"/>
        </w:rPr>
        <w:t xml:space="preserve"> </w:t>
      </w:r>
      <w:r>
        <w:rPr>
          <w:color w:val="auto"/>
          <w:sz w:val="24"/>
          <w:highlight w:val="none"/>
        </w:rPr>
        <w:t>项目名称：____________</w:t>
      </w:r>
      <w:r>
        <w:rPr>
          <w:rFonts w:hint="eastAsia"/>
          <w:color w:val="auto"/>
          <w:sz w:val="24"/>
          <w:highlight w:val="none"/>
          <w:lang w:val="en-US" w:eastAsia="zh-CN"/>
        </w:rPr>
        <w:t xml:space="preserve">    </w:t>
      </w:r>
    </w:p>
    <w:tbl>
      <w:tblPr>
        <w:tblStyle w:val="46"/>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
        <w:gridCol w:w="2547"/>
        <w:gridCol w:w="1365"/>
        <w:gridCol w:w="1365"/>
        <w:gridCol w:w="1682"/>
        <w:gridCol w:w="1682"/>
      </w:tblGrid>
      <w:tr w14:paraId="7D7E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65" w:type="dxa"/>
            <w:vMerge w:val="restart"/>
            <w:vAlign w:val="center"/>
          </w:tcPr>
          <w:p w14:paraId="13D68AD1">
            <w:pPr>
              <w:tabs>
                <w:tab w:val="left" w:pos="5580"/>
              </w:tabs>
              <w:jc w:val="center"/>
              <w:rPr>
                <w:b/>
                <w:color w:val="auto"/>
                <w:sz w:val="24"/>
                <w:highlight w:val="none"/>
              </w:rPr>
            </w:pPr>
            <w:r>
              <w:rPr>
                <w:b/>
                <w:color w:val="auto"/>
                <w:sz w:val="24"/>
                <w:highlight w:val="none"/>
              </w:rPr>
              <w:t>序号</w:t>
            </w:r>
          </w:p>
        </w:tc>
        <w:tc>
          <w:tcPr>
            <w:tcW w:w="2547" w:type="dxa"/>
            <w:vMerge w:val="restart"/>
            <w:vAlign w:val="center"/>
          </w:tcPr>
          <w:p w14:paraId="0F7DFEF3">
            <w:pPr>
              <w:tabs>
                <w:tab w:val="left" w:pos="5580"/>
              </w:tabs>
              <w:jc w:val="center"/>
              <w:rPr>
                <w:b/>
                <w:color w:val="auto"/>
                <w:sz w:val="24"/>
                <w:highlight w:val="none"/>
              </w:rPr>
            </w:pPr>
            <w:r>
              <w:rPr>
                <w:b/>
                <w:color w:val="auto"/>
                <w:sz w:val="24"/>
                <w:highlight w:val="none"/>
              </w:rPr>
              <w:t>投标人名称</w:t>
            </w:r>
          </w:p>
        </w:tc>
        <w:tc>
          <w:tcPr>
            <w:tcW w:w="2730" w:type="dxa"/>
            <w:gridSpan w:val="2"/>
            <w:vAlign w:val="center"/>
          </w:tcPr>
          <w:p w14:paraId="10608014">
            <w:pPr>
              <w:tabs>
                <w:tab w:val="left" w:pos="5580"/>
              </w:tabs>
              <w:jc w:val="center"/>
              <w:rPr>
                <w:rFonts w:hint="eastAsia" w:eastAsia="宋体"/>
                <w:b/>
                <w:color w:val="auto"/>
                <w:sz w:val="24"/>
                <w:highlight w:val="none"/>
                <w:lang w:eastAsia="zh-CN"/>
              </w:rPr>
            </w:pPr>
            <w:r>
              <w:rPr>
                <w:b/>
                <w:color w:val="auto"/>
                <w:sz w:val="24"/>
                <w:highlight w:val="none"/>
              </w:rPr>
              <w:t>投标报价</w:t>
            </w:r>
            <w:r>
              <w:rPr>
                <w:rFonts w:hint="eastAsia"/>
                <w:b/>
                <w:color w:val="auto"/>
                <w:sz w:val="24"/>
                <w:highlight w:val="none"/>
                <w:lang w:eastAsia="zh-CN"/>
              </w:rPr>
              <w:t>（</w:t>
            </w:r>
            <w:r>
              <w:rPr>
                <w:rFonts w:hint="eastAsia"/>
                <w:b/>
                <w:color w:val="auto"/>
                <w:sz w:val="24"/>
                <w:highlight w:val="none"/>
                <w:lang w:val="en-US" w:eastAsia="zh-CN"/>
              </w:rPr>
              <w:t>元</w:t>
            </w:r>
            <w:r>
              <w:rPr>
                <w:rFonts w:hint="eastAsia"/>
                <w:b/>
                <w:color w:val="auto"/>
                <w:sz w:val="24"/>
                <w:highlight w:val="none"/>
                <w:lang w:eastAsia="zh-CN"/>
              </w:rPr>
              <w:t>）</w:t>
            </w:r>
          </w:p>
        </w:tc>
        <w:tc>
          <w:tcPr>
            <w:tcW w:w="1682" w:type="dxa"/>
            <w:vMerge w:val="restart"/>
            <w:vAlign w:val="center"/>
          </w:tcPr>
          <w:p w14:paraId="00BEF263">
            <w:pPr>
              <w:tabs>
                <w:tab w:val="left" w:pos="5580"/>
              </w:tabs>
              <w:jc w:val="center"/>
              <w:rPr>
                <w:b/>
                <w:color w:val="auto"/>
                <w:sz w:val="24"/>
                <w:highlight w:val="none"/>
              </w:rPr>
            </w:pPr>
            <w:r>
              <w:rPr>
                <w:rFonts w:hint="eastAsia"/>
                <w:b/>
                <w:color w:val="auto"/>
                <w:sz w:val="24"/>
                <w:highlight w:val="none"/>
              </w:rPr>
              <w:t>合同履行期限</w:t>
            </w:r>
          </w:p>
        </w:tc>
        <w:tc>
          <w:tcPr>
            <w:tcW w:w="1682" w:type="dxa"/>
            <w:vMerge w:val="restart"/>
            <w:vAlign w:val="center"/>
          </w:tcPr>
          <w:p w14:paraId="1070FF07">
            <w:pPr>
              <w:tabs>
                <w:tab w:val="left" w:pos="5580"/>
              </w:tabs>
              <w:jc w:val="center"/>
              <w:rPr>
                <w:b/>
                <w:color w:val="auto"/>
                <w:sz w:val="24"/>
                <w:highlight w:val="none"/>
              </w:rPr>
            </w:pPr>
            <w:r>
              <w:rPr>
                <w:rFonts w:hint="eastAsia"/>
                <w:b/>
                <w:color w:val="auto"/>
                <w:sz w:val="24"/>
                <w:highlight w:val="none"/>
                <w:lang w:val="en-US" w:eastAsia="zh-CN"/>
              </w:rPr>
              <w:t>供货地点</w:t>
            </w:r>
          </w:p>
        </w:tc>
      </w:tr>
      <w:tr w14:paraId="2B82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65" w:type="dxa"/>
            <w:vMerge w:val="continue"/>
            <w:vAlign w:val="center"/>
          </w:tcPr>
          <w:p w14:paraId="7DB3F344">
            <w:pPr>
              <w:tabs>
                <w:tab w:val="left" w:pos="5580"/>
              </w:tabs>
              <w:jc w:val="center"/>
              <w:rPr>
                <w:color w:val="auto"/>
                <w:sz w:val="24"/>
                <w:highlight w:val="none"/>
              </w:rPr>
            </w:pPr>
          </w:p>
        </w:tc>
        <w:tc>
          <w:tcPr>
            <w:tcW w:w="2547" w:type="dxa"/>
            <w:vMerge w:val="continue"/>
            <w:vAlign w:val="center"/>
          </w:tcPr>
          <w:p w14:paraId="4531DE55">
            <w:pPr>
              <w:tabs>
                <w:tab w:val="left" w:pos="5580"/>
              </w:tabs>
              <w:jc w:val="center"/>
              <w:rPr>
                <w:color w:val="auto"/>
                <w:sz w:val="24"/>
                <w:highlight w:val="none"/>
              </w:rPr>
            </w:pPr>
          </w:p>
        </w:tc>
        <w:tc>
          <w:tcPr>
            <w:tcW w:w="1365" w:type="dxa"/>
            <w:vAlign w:val="center"/>
          </w:tcPr>
          <w:p w14:paraId="07D3DCCD">
            <w:pPr>
              <w:tabs>
                <w:tab w:val="left" w:pos="5580"/>
              </w:tabs>
              <w:jc w:val="center"/>
              <w:rPr>
                <w:b/>
                <w:color w:val="auto"/>
                <w:sz w:val="24"/>
                <w:highlight w:val="none"/>
              </w:rPr>
            </w:pPr>
            <w:r>
              <w:rPr>
                <w:b/>
                <w:color w:val="auto"/>
                <w:sz w:val="24"/>
                <w:highlight w:val="none"/>
              </w:rPr>
              <w:t>大写</w:t>
            </w:r>
          </w:p>
        </w:tc>
        <w:tc>
          <w:tcPr>
            <w:tcW w:w="1365" w:type="dxa"/>
            <w:vAlign w:val="center"/>
          </w:tcPr>
          <w:p w14:paraId="3472D94A">
            <w:pPr>
              <w:tabs>
                <w:tab w:val="left" w:pos="5580"/>
              </w:tabs>
              <w:jc w:val="center"/>
              <w:rPr>
                <w:b/>
                <w:color w:val="auto"/>
                <w:sz w:val="24"/>
                <w:highlight w:val="none"/>
              </w:rPr>
            </w:pPr>
            <w:r>
              <w:rPr>
                <w:b/>
                <w:color w:val="auto"/>
                <w:sz w:val="24"/>
                <w:highlight w:val="none"/>
              </w:rPr>
              <w:t>小写</w:t>
            </w:r>
          </w:p>
        </w:tc>
        <w:tc>
          <w:tcPr>
            <w:tcW w:w="1682" w:type="dxa"/>
            <w:vMerge w:val="continue"/>
            <w:vAlign w:val="center"/>
          </w:tcPr>
          <w:p w14:paraId="391BEEFC">
            <w:pPr>
              <w:tabs>
                <w:tab w:val="left" w:pos="5580"/>
              </w:tabs>
              <w:jc w:val="center"/>
              <w:rPr>
                <w:b/>
                <w:color w:val="auto"/>
                <w:sz w:val="24"/>
                <w:highlight w:val="none"/>
              </w:rPr>
            </w:pPr>
          </w:p>
        </w:tc>
        <w:tc>
          <w:tcPr>
            <w:tcW w:w="1682" w:type="dxa"/>
            <w:vMerge w:val="continue"/>
            <w:vAlign w:val="center"/>
          </w:tcPr>
          <w:p w14:paraId="786F27CA">
            <w:pPr>
              <w:tabs>
                <w:tab w:val="left" w:pos="5580"/>
              </w:tabs>
              <w:jc w:val="center"/>
              <w:rPr>
                <w:b/>
                <w:color w:val="auto"/>
                <w:sz w:val="24"/>
                <w:highlight w:val="none"/>
              </w:rPr>
            </w:pPr>
          </w:p>
        </w:tc>
      </w:tr>
      <w:tr w14:paraId="0530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65" w:type="dxa"/>
            <w:vAlign w:val="center"/>
          </w:tcPr>
          <w:p w14:paraId="5DA018EE">
            <w:pPr>
              <w:tabs>
                <w:tab w:val="left" w:pos="5580"/>
              </w:tabs>
              <w:jc w:val="center"/>
              <w:rPr>
                <w:color w:val="auto"/>
                <w:sz w:val="24"/>
                <w:highlight w:val="none"/>
              </w:rPr>
            </w:pPr>
          </w:p>
        </w:tc>
        <w:tc>
          <w:tcPr>
            <w:tcW w:w="2547" w:type="dxa"/>
            <w:vAlign w:val="center"/>
          </w:tcPr>
          <w:p w14:paraId="70EE6331">
            <w:pPr>
              <w:tabs>
                <w:tab w:val="left" w:pos="5580"/>
              </w:tabs>
              <w:jc w:val="center"/>
              <w:rPr>
                <w:color w:val="auto"/>
                <w:sz w:val="24"/>
                <w:highlight w:val="none"/>
              </w:rPr>
            </w:pPr>
          </w:p>
        </w:tc>
        <w:tc>
          <w:tcPr>
            <w:tcW w:w="1365" w:type="dxa"/>
            <w:vAlign w:val="center"/>
          </w:tcPr>
          <w:p w14:paraId="46790781">
            <w:pPr>
              <w:tabs>
                <w:tab w:val="left" w:pos="5580"/>
              </w:tabs>
              <w:jc w:val="center"/>
              <w:rPr>
                <w:color w:val="auto"/>
                <w:sz w:val="24"/>
                <w:highlight w:val="none"/>
              </w:rPr>
            </w:pPr>
          </w:p>
        </w:tc>
        <w:tc>
          <w:tcPr>
            <w:tcW w:w="1365" w:type="dxa"/>
            <w:vAlign w:val="center"/>
          </w:tcPr>
          <w:p w14:paraId="5A75BE1C">
            <w:pPr>
              <w:tabs>
                <w:tab w:val="left" w:pos="5580"/>
              </w:tabs>
              <w:jc w:val="center"/>
              <w:rPr>
                <w:color w:val="auto"/>
                <w:sz w:val="24"/>
                <w:highlight w:val="none"/>
              </w:rPr>
            </w:pPr>
          </w:p>
        </w:tc>
        <w:tc>
          <w:tcPr>
            <w:tcW w:w="1682" w:type="dxa"/>
            <w:vAlign w:val="center"/>
          </w:tcPr>
          <w:p w14:paraId="65DB520C">
            <w:pPr>
              <w:tabs>
                <w:tab w:val="left" w:pos="5580"/>
              </w:tabs>
              <w:jc w:val="center"/>
              <w:rPr>
                <w:color w:val="auto"/>
                <w:sz w:val="24"/>
                <w:highlight w:val="none"/>
              </w:rPr>
            </w:pPr>
          </w:p>
        </w:tc>
        <w:tc>
          <w:tcPr>
            <w:tcW w:w="1682" w:type="dxa"/>
            <w:vAlign w:val="center"/>
          </w:tcPr>
          <w:p w14:paraId="4E2DFEB5">
            <w:pPr>
              <w:tabs>
                <w:tab w:val="left" w:pos="5580"/>
              </w:tabs>
              <w:jc w:val="center"/>
              <w:rPr>
                <w:color w:val="auto"/>
                <w:sz w:val="24"/>
                <w:highlight w:val="none"/>
              </w:rPr>
            </w:pPr>
          </w:p>
        </w:tc>
      </w:tr>
    </w:tbl>
    <w:p w14:paraId="018FA279">
      <w:pPr>
        <w:autoSpaceDE w:val="0"/>
        <w:autoSpaceDN w:val="0"/>
        <w:adjustRightInd w:val="0"/>
        <w:jc w:val="left"/>
        <w:rPr>
          <w:color w:val="auto"/>
          <w:kern w:val="0"/>
          <w:sz w:val="24"/>
          <w:highlight w:val="none"/>
        </w:rPr>
      </w:pPr>
    </w:p>
    <w:p w14:paraId="690EE8FC">
      <w:pPr>
        <w:autoSpaceDE w:val="0"/>
        <w:autoSpaceDN w:val="0"/>
        <w:adjustRightInd w:val="0"/>
        <w:jc w:val="left"/>
        <w:rPr>
          <w:color w:val="auto"/>
          <w:sz w:val="24"/>
          <w:szCs w:val="20"/>
          <w:highlight w:val="none"/>
        </w:rPr>
      </w:pPr>
      <w:r>
        <w:rPr>
          <w:color w:val="auto"/>
          <w:kern w:val="0"/>
          <w:sz w:val="24"/>
          <w:highlight w:val="none"/>
        </w:rPr>
        <w:t>注：1</w:t>
      </w:r>
      <w:r>
        <w:rPr>
          <w:color w:val="auto"/>
          <w:sz w:val="24"/>
          <w:szCs w:val="20"/>
          <w:highlight w:val="none"/>
        </w:rPr>
        <w:t>.此表中，每包的投标报价应和《投标分项报价表》中的总价相一致。</w:t>
      </w:r>
    </w:p>
    <w:p w14:paraId="105CBB72">
      <w:pPr>
        <w:tabs>
          <w:tab w:val="left" w:pos="5580"/>
        </w:tabs>
        <w:ind w:firstLine="480" w:firstLineChars="200"/>
        <w:rPr>
          <w:color w:val="auto"/>
          <w:sz w:val="24"/>
          <w:szCs w:val="20"/>
          <w:highlight w:val="none"/>
        </w:rPr>
      </w:pPr>
      <w:r>
        <w:rPr>
          <w:color w:val="auto"/>
          <w:sz w:val="24"/>
          <w:szCs w:val="20"/>
          <w:highlight w:val="none"/>
        </w:rPr>
        <w:t>2.</w:t>
      </w:r>
      <w:r>
        <w:rPr>
          <w:rFonts w:hint="eastAsia"/>
          <w:color w:val="auto"/>
          <w:sz w:val="24"/>
          <w:szCs w:val="20"/>
          <w:highlight w:val="none"/>
          <w:lang w:val="en-US" w:eastAsia="zh-CN"/>
        </w:rPr>
        <w:t>上述报价包含设备费、运输费、装卸费、维护费、保险、税费、系统升级维护费用、以及原厂商服务费用等。</w:t>
      </w:r>
    </w:p>
    <w:p w14:paraId="17BE290B">
      <w:pPr>
        <w:tabs>
          <w:tab w:val="left" w:pos="5580"/>
        </w:tabs>
        <w:ind w:firstLine="480" w:firstLineChars="200"/>
        <w:rPr>
          <w:color w:val="auto"/>
          <w:sz w:val="24"/>
          <w:highlight w:val="none"/>
          <w:lang w:val="zh-CN"/>
        </w:rPr>
      </w:pPr>
      <w:r>
        <w:rPr>
          <w:rFonts w:hint="eastAsia"/>
          <w:color w:val="auto"/>
          <w:sz w:val="24"/>
          <w:szCs w:val="20"/>
          <w:highlight w:val="none"/>
          <w:lang w:val="en-US" w:eastAsia="zh-CN"/>
        </w:rPr>
        <w:t>3.</w:t>
      </w:r>
      <w:r>
        <w:rPr>
          <w:color w:val="auto"/>
          <w:sz w:val="24"/>
          <w:szCs w:val="20"/>
          <w:highlight w:val="none"/>
        </w:rPr>
        <w:t>本表必须按包分别填写。</w:t>
      </w:r>
    </w:p>
    <w:p w14:paraId="0FD51A8E">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4BF686B4">
      <w:pPr>
        <w:autoSpaceDE w:val="0"/>
        <w:autoSpaceDN w:val="0"/>
        <w:adjustRightInd w:val="0"/>
        <w:snapToGrid w:val="0"/>
        <w:spacing w:before="25" w:after="25" w:line="48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7C730CA9">
      <w:pPr>
        <w:autoSpaceDE w:val="0"/>
        <w:autoSpaceDN w:val="0"/>
        <w:adjustRightInd w:val="0"/>
        <w:snapToGrid w:val="0"/>
        <w:spacing w:before="25" w:after="25" w:line="480" w:lineRule="auto"/>
        <w:rPr>
          <w:color w:val="auto"/>
          <w:sz w:val="24"/>
          <w:szCs w:val="20"/>
          <w:highlight w:val="none"/>
        </w:rPr>
        <w:sectPr>
          <w:type w:val="continuous"/>
          <w:pgSz w:w="11907" w:h="16840"/>
          <w:pgMar w:top="1418" w:right="1166"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r>
        <w:rPr>
          <w:color w:val="auto"/>
          <w:sz w:val="24"/>
          <w:szCs w:val="20"/>
          <w:highlight w:val="none"/>
        </w:rPr>
        <w:t xml:space="preserve">日期：_____年______月______日   </w:t>
      </w:r>
    </w:p>
    <w:p w14:paraId="44D5FD6A">
      <w:pPr>
        <w:rPr>
          <w:color w:val="auto"/>
          <w:sz w:val="24"/>
          <w:szCs w:val="20"/>
          <w:highlight w:val="none"/>
        </w:rPr>
      </w:pPr>
      <w:bookmarkStart w:id="974" w:name="_Toc195842924"/>
      <w:bookmarkStart w:id="975" w:name="_Toc305158901"/>
      <w:bookmarkStart w:id="976" w:name="_Toc226965832"/>
      <w:bookmarkStart w:id="977" w:name="_Toc305158827"/>
      <w:bookmarkStart w:id="978" w:name="_Toc226309803"/>
      <w:bookmarkStart w:id="979" w:name="_Toc127151558"/>
      <w:bookmarkStart w:id="980" w:name="_Toc226965749"/>
      <w:bookmarkStart w:id="981" w:name="_Toc264969249"/>
      <w:bookmarkStart w:id="982" w:name="_Toc150774763"/>
      <w:bookmarkStart w:id="983" w:name="_Toc150480796"/>
      <w:bookmarkStart w:id="984" w:name="_Toc265228397"/>
      <w:bookmarkStart w:id="985" w:name="_Toc226337255"/>
      <w:bookmarkStart w:id="986" w:name="_Toc142311060"/>
      <w:r>
        <w:rPr>
          <w:color w:val="auto"/>
          <w:sz w:val="24"/>
          <w:szCs w:val="20"/>
          <w:highlight w:val="none"/>
        </w:rPr>
        <w:br w:type="page"/>
      </w:r>
    </w:p>
    <w:p w14:paraId="12AF34D4">
      <w:pPr>
        <w:spacing w:line="360" w:lineRule="auto"/>
        <w:outlineLvl w:val="2"/>
        <w:rPr>
          <w:color w:val="auto"/>
          <w:sz w:val="24"/>
          <w:szCs w:val="20"/>
          <w:highlight w:val="none"/>
        </w:rPr>
      </w:pPr>
      <w:r>
        <w:rPr>
          <w:color w:val="auto"/>
          <w:sz w:val="24"/>
          <w:szCs w:val="20"/>
          <w:highlight w:val="none"/>
        </w:rPr>
        <w:t>4  投标分项报价表</w:t>
      </w:r>
      <w:bookmarkEnd w:id="974"/>
      <w:bookmarkEnd w:id="975"/>
      <w:bookmarkEnd w:id="976"/>
      <w:bookmarkEnd w:id="977"/>
      <w:bookmarkEnd w:id="978"/>
      <w:bookmarkEnd w:id="979"/>
      <w:bookmarkEnd w:id="980"/>
      <w:bookmarkEnd w:id="981"/>
      <w:bookmarkEnd w:id="982"/>
      <w:bookmarkEnd w:id="983"/>
      <w:bookmarkEnd w:id="984"/>
      <w:bookmarkEnd w:id="985"/>
      <w:bookmarkEnd w:id="986"/>
      <w:r>
        <w:rPr>
          <w:color w:val="auto"/>
          <w:sz w:val="24"/>
          <w:szCs w:val="20"/>
          <w:highlight w:val="none"/>
        </w:rPr>
        <w:t>（实质性格式）</w:t>
      </w:r>
    </w:p>
    <w:p w14:paraId="16D79F21">
      <w:pPr>
        <w:spacing w:line="360" w:lineRule="auto"/>
        <w:jc w:val="center"/>
        <w:rPr>
          <w:b/>
          <w:color w:val="auto"/>
          <w:sz w:val="32"/>
          <w:szCs w:val="32"/>
          <w:highlight w:val="none"/>
        </w:rPr>
      </w:pPr>
      <w:r>
        <w:rPr>
          <w:rFonts w:hint="eastAsia"/>
          <w:b/>
          <w:color w:val="auto"/>
          <w:sz w:val="32"/>
          <w:szCs w:val="32"/>
          <w:highlight w:val="none"/>
        </w:rPr>
        <w:t>投标分项报价表</w:t>
      </w:r>
    </w:p>
    <w:p w14:paraId="2CC6032A">
      <w:pPr>
        <w:tabs>
          <w:tab w:val="left" w:pos="1800"/>
          <w:tab w:val="left" w:pos="5580"/>
        </w:tabs>
        <w:rPr>
          <w:color w:val="auto"/>
          <w:sz w:val="24"/>
          <w:highlight w:val="none"/>
        </w:rPr>
      </w:pPr>
      <w:r>
        <w:rPr>
          <w:color w:val="auto"/>
          <w:sz w:val="24"/>
          <w:highlight w:val="none"/>
        </w:rPr>
        <w:t xml:space="preserve">项目编号：___________ </w:t>
      </w:r>
      <w:r>
        <w:rPr>
          <w:rFonts w:hint="eastAsia"/>
          <w:color w:val="auto"/>
          <w:sz w:val="24"/>
          <w:highlight w:val="none"/>
          <w:lang w:val="en-US" w:eastAsia="zh-CN"/>
        </w:rPr>
        <w:t xml:space="preserve">     </w:t>
      </w:r>
      <w:r>
        <w:rPr>
          <w:color w:val="auto"/>
          <w:sz w:val="24"/>
          <w:highlight w:val="none"/>
        </w:rPr>
        <w:t>项目名称：__________</w:t>
      </w:r>
      <w:r>
        <w:rPr>
          <w:rFonts w:hint="eastAsia"/>
          <w:color w:val="auto"/>
          <w:sz w:val="24"/>
          <w:highlight w:val="none"/>
          <w:lang w:val="en-US" w:eastAsia="zh-CN"/>
        </w:rPr>
        <w:t xml:space="preserve">        </w:t>
      </w:r>
      <w:r>
        <w:rPr>
          <w:color w:val="auto"/>
          <w:sz w:val="24"/>
          <w:highlight w:val="none"/>
        </w:rPr>
        <w:t>报价单位：人民币元</w:t>
      </w:r>
    </w:p>
    <w:tbl>
      <w:tblPr>
        <w:tblStyle w:val="46"/>
        <w:tblW w:w="50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619"/>
        <w:gridCol w:w="674"/>
        <w:gridCol w:w="681"/>
        <w:gridCol w:w="856"/>
        <w:gridCol w:w="661"/>
        <w:gridCol w:w="759"/>
        <w:gridCol w:w="759"/>
        <w:gridCol w:w="759"/>
        <w:gridCol w:w="759"/>
        <w:gridCol w:w="951"/>
        <w:gridCol w:w="523"/>
        <w:gridCol w:w="951"/>
      </w:tblGrid>
      <w:tr w14:paraId="2653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44" w:type="pct"/>
            <w:noWrap w:val="0"/>
            <w:vAlign w:val="center"/>
          </w:tcPr>
          <w:p w14:paraId="70B02AB4">
            <w:pPr>
              <w:adjustRightInd w:val="0"/>
              <w:snapToGrid w:val="0"/>
              <w:jc w:val="left"/>
              <w:rPr>
                <w:b/>
                <w:color w:val="auto"/>
                <w:sz w:val="24"/>
              </w:rPr>
            </w:pPr>
            <w:r>
              <w:rPr>
                <w:b/>
                <w:color w:val="auto"/>
                <w:sz w:val="24"/>
              </w:rPr>
              <w:t>序号</w:t>
            </w:r>
          </w:p>
        </w:tc>
        <w:tc>
          <w:tcPr>
            <w:tcW w:w="329" w:type="pct"/>
            <w:noWrap w:val="0"/>
            <w:vAlign w:val="center"/>
          </w:tcPr>
          <w:p w14:paraId="61281CAA">
            <w:pPr>
              <w:adjustRightInd w:val="0"/>
              <w:snapToGrid w:val="0"/>
              <w:jc w:val="left"/>
              <w:rPr>
                <w:b/>
                <w:color w:val="auto"/>
                <w:sz w:val="24"/>
              </w:rPr>
            </w:pPr>
            <w:r>
              <w:rPr>
                <w:rFonts w:hint="eastAsia"/>
                <w:b/>
                <w:color w:val="auto"/>
                <w:sz w:val="24"/>
                <w:lang w:val="en-US" w:eastAsia="zh-CN"/>
              </w:rPr>
              <w:t>分项名称</w:t>
            </w:r>
          </w:p>
        </w:tc>
        <w:tc>
          <w:tcPr>
            <w:tcW w:w="358" w:type="pct"/>
            <w:noWrap w:val="0"/>
            <w:vAlign w:val="center"/>
          </w:tcPr>
          <w:p w14:paraId="6C1BBDBB">
            <w:pPr>
              <w:adjustRightInd w:val="0"/>
              <w:snapToGrid w:val="0"/>
              <w:jc w:val="left"/>
              <w:rPr>
                <w:b/>
                <w:color w:val="auto"/>
                <w:sz w:val="24"/>
              </w:rPr>
            </w:pPr>
            <w:r>
              <w:rPr>
                <w:b/>
                <w:color w:val="auto"/>
                <w:sz w:val="24"/>
              </w:rPr>
              <w:t>制造商</w:t>
            </w:r>
          </w:p>
        </w:tc>
        <w:tc>
          <w:tcPr>
            <w:tcW w:w="362" w:type="pct"/>
            <w:noWrap w:val="0"/>
            <w:vAlign w:val="center"/>
          </w:tcPr>
          <w:p w14:paraId="21E3ACC8">
            <w:pPr>
              <w:adjustRightInd w:val="0"/>
              <w:snapToGrid w:val="0"/>
              <w:jc w:val="left"/>
              <w:rPr>
                <w:b/>
                <w:color w:val="auto"/>
                <w:sz w:val="24"/>
              </w:rPr>
            </w:pPr>
            <w:r>
              <w:rPr>
                <w:b/>
                <w:color w:val="auto"/>
                <w:sz w:val="24"/>
              </w:rPr>
              <w:t>产地/国别</w:t>
            </w:r>
          </w:p>
        </w:tc>
        <w:tc>
          <w:tcPr>
            <w:tcW w:w="455" w:type="pct"/>
            <w:noWrap w:val="0"/>
            <w:vAlign w:val="center"/>
          </w:tcPr>
          <w:p w14:paraId="6AEC0440">
            <w:pPr>
              <w:jc w:val="center"/>
              <w:rPr>
                <w:b/>
                <w:color w:val="auto"/>
                <w:sz w:val="24"/>
              </w:rPr>
            </w:pPr>
            <w:r>
              <w:rPr>
                <w:b/>
                <w:color w:val="auto"/>
                <w:sz w:val="24"/>
              </w:rPr>
              <w:t>制造商</w:t>
            </w:r>
          </w:p>
          <w:p w14:paraId="1B8255E8">
            <w:pPr>
              <w:adjustRightInd w:val="0"/>
              <w:snapToGrid w:val="0"/>
              <w:jc w:val="center"/>
              <w:rPr>
                <w:b/>
                <w:color w:val="auto"/>
                <w:sz w:val="24"/>
              </w:rPr>
            </w:pPr>
            <w:r>
              <w:rPr>
                <w:b/>
                <w:color w:val="auto"/>
                <w:sz w:val="24"/>
              </w:rPr>
              <w:t>统一信用代码</w:t>
            </w:r>
          </w:p>
        </w:tc>
        <w:tc>
          <w:tcPr>
            <w:tcW w:w="351" w:type="pct"/>
            <w:noWrap w:val="0"/>
            <w:vAlign w:val="center"/>
          </w:tcPr>
          <w:p w14:paraId="05DDC17E">
            <w:pPr>
              <w:jc w:val="center"/>
              <w:rPr>
                <w:b/>
                <w:color w:val="auto"/>
                <w:sz w:val="24"/>
              </w:rPr>
            </w:pPr>
            <w:r>
              <w:rPr>
                <w:b/>
                <w:color w:val="auto"/>
                <w:sz w:val="24"/>
              </w:rPr>
              <w:t>制造商</w:t>
            </w:r>
          </w:p>
          <w:p w14:paraId="2683651E">
            <w:pPr>
              <w:adjustRightInd w:val="0"/>
              <w:snapToGrid w:val="0"/>
              <w:jc w:val="center"/>
              <w:rPr>
                <w:b/>
                <w:color w:val="auto"/>
                <w:sz w:val="24"/>
              </w:rPr>
            </w:pPr>
            <w:r>
              <w:rPr>
                <w:b/>
                <w:color w:val="auto"/>
                <w:sz w:val="24"/>
              </w:rPr>
              <w:t>规模</w:t>
            </w:r>
          </w:p>
        </w:tc>
        <w:tc>
          <w:tcPr>
            <w:tcW w:w="403" w:type="pct"/>
            <w:noWrap w:val="0"/>
            <w:vAlign w:val="center"/>
          </w:tcPr>
          <w:p w14:paraId="0EC4B664">
            <w:pPr>
              <w:adjustRightInd w:val="0"/>
              <w:snapToGrid w:val="0"/>
              <w:jc w:val="center"/>
              <w:rPr>
                <w:b/>
                <w:color w:val="auto"/>
                <w:sz w:val="24"/>
              </w:rPr>
            </w:pPr>
            <w:r>
              <w:rPr>
                <w:rFonts w:hint="eastAsia"/>
                <w:b/>
                <w:color w:val="auto"/>
                <w:sz w:val="24"/>
              </w:rPr>
              <w:t>制造商所属性别</w:t>
            </w:r>
          </w:p>
        </w:tc>
        <w:tc>
          <w:tcPr>
            <w:tcW w:w="403" w:type="pct"/>
            <w:noWrap w:val="0"/>
            <w:vAlign w:val="center"/>
          </w:tcPr>
          <w:p w14:paraId="32A7BC21">
            <w:pPr>
              <w:adjustRightInd w:val="0"/>
              <w:snapToGrid w:val="0"/>
              <w:jc w:val="center"/>
              <w:rPr>
                <w:rFonts w:hint="eastAsia"/>
                <w:b/>
                <w:color w:val="auto"/>
                <w:sz w:val="24"/>
              </w:rPr>
            </w:pPr>
            <w:r>
              <w:rPr>
                <w:rFonts w:hint="eastAsia"/>
                <w:b/>
                <w:color w:val="auto"/>
                <w:sz w:val="24"/>
              </w:rPr>
              <w:t>外商投资类型</w:t>
            </w:r>
          </w:p>
        </w:tc>
        <w:tc>
          <w:tcPr>
            <w:tcW w:w="403" w:type="pct"/>
            <w:noWrap w:val="0"/>
            <w:vAlign w:val="center"/>
          </w:tcPr>
          <w:p w14:paraId="03B54474">
            <w:pPr>
              <w:adjustRightInd w:val="0"/>
              <w:snapToGrid w:val="0"/>
              <w:jc w:val="center"/>
              <w:rPr>
                <w:b/>
                <w:color w:val="auto"/>
                <w:sz w:val="24"/>
              </w:rPr>
            </w:pPr>
            <w:r>
              <w:rPr>
                <w:b/>
                <w:color w:val="auto"/>
                <w:sz w:val="24"/>
              </w:rPr>
              <w:t>品牌</w:t>
            </w:r>
          </w:p>
        </w:tc>
        <w:tc>
          <w:tcPr>
            <w:tcW w:w="403" w:type="pct"/>
            <w:noWrap w:val="0"/>
            <w:vAlign w:val="center"/>
          </w:tcPr>
          <w:p w14:paraId="512C4115">
            <w:pPr>
              <w:adjustRightInd w:val="0"/>
              <w:snapToGrid w:val="0"/>
              <w:jc w:val="left"/>
              <w:rPr>
                <w:b/>
                <w:color w:val="auto"/>
                <w:sz w:val="24"/>
              </w:rPr>
            </w:pPr>
            <w:r>
              <w:rPr>
                <w:b/>
                <w:color w:val="auto"/>
                <w:sz w:val="24"/>
              </w:rPr>
              <w:t>规格、型号</w:t>
            </w:r>
          </w:p>
        </w:tc>
        <w:tc>
          <w:tcPr>
            <w:tcW w:w="505" w:type="pct"/>
            <w:noWrap w:val="0"/>
            <w:vAlign w:val="center"/>
          </w:tcPr>
          <w:p w14:paraId="5CD26866">
            <w:pPr>
              <w:adjustRightInd w:val="0"/>
              <w:snapToGrid w:val="0"/>
              <w:jc w:val="left"/>
              <w:rPr>
                <w:b/>
                <w:color w:val="auto"/>
                <w:sz w:val="24"/>
              </w:rPr>
            </w:pPr>
            <w:r>
              <w:rPr>
                <w:b/>
                <w:color w:val="auto"/>
                <w:sz w:val="24"/>
              </w:rPr>
              <w:t>单价（元）</w:t>
            </w:r>
          </w:p>
        </w:tc>
        <w:tc>
          <w:tcPr>
            <w:tcW w:w="276" w:type="pct"/>
            <w:noWrap w:val="0"/>
            <w:vAlign w:val="center"/>
          </w:tcPr>
          <w:p w14:paraId="1E961D93">
            <w:pPr>
              <w:adjustRightInd w:val="0"/>
              <w:snapToGrid w:val="0"/>
              <w:jc w:val="left"/>
              <w:rPr>
                <w:b/>
                <w:color w:val="auto"/>
                <w:sz w:val="24"/>
              </w:rPr>
            </w:pPr>
            <w:r>
              <w:rPr>
                <w:b/>
                <w:color w:val="auto"/>
                <w:sz w:val="24"/>
              </w:rPr>
              <w:t>数量</w:t>
            </w:r>
          </w:p>
        </w:tc>
        <w:tc>
          <w:tcPr>
            <w:tcW w:w="505" w:type="pct"/>
            <w:noWrap w:val="0"/>
            <w:vAlign w:val="center"/>
          </w:tcPr>
          <w:p w14:paraId="01557EB8">
            <w:pPr>
              <w:adjustRightInd w:val="0"/>
              <w:snapToGrid w:val="0"/>
              <w:jc w:val="left"/>
              <w:rPr>
                <w:b/>
                <w:color w:val="auto"/>
                <w:sz w:val="24"/>
              </w:rPr>
            </w:pPr>
            <w:r>
              <w:rPr>
                <w:b/>
                <w:color w:val="auto"/>
                <w:sz w:val="24"/>
              </w:rPr>
              <w:t>合价（元）</w:t>
            </w:r>
          </w:p>
        </w:tc>
      </w:tr>
      <w:tr w14:paraId="1ACC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5006B2BC">
            <w:pPr>
              <w:adjustRightInd w:val="0"/>
              <w:snapToGrid w:val="0"/>
              <w:jc w:val="left"/>
              <w:rPr>
                <w:color w:val="auto"/>
                <w:sz w:val="24"/>
              </w:rPr>
            </w:pPr>
            <w:r>
              <w:rPr>
                <w:color w:val="auto"/>
                <w:sz w:val="24"/>
              </w:rPr>
              <w:t>1</w:t>
            </w:r>
          </w:p>
        </w:tc>
        <w:tc>
          <w:tcPr>
            <w:tcW w:w="329" w:type="pct"/>
            <w:noWrap w:val="0"/>
            <w:vAlign w:val="center"/>
          </w:tcPr>
          <w:p w14:paraId="4ED2EB81">
            <w:pPr>
              <w:adjustRightInd w:val="0"/>
              <w:snapToGrid w:val="0"/>
              <w:jc w:val="left"/>
              <w:rPr>
                <w:color w:val="auto"/>
                <w:sz w:val="24"/>
              </w:rPr>
            </w:pPr>
          </w:p>
        </w:tc>
        <w:tc>
          <w:tcPr>
            <w:tcW w:w="358" w:type="pct"/>
            <w:noWrap w:val="0"/>
            <w:vAlign w:val="center"/>
          </w:tcPr>
          <w:p w14:paraId="1175D340">
            <w:pPr>
              <w:adjustRightInd w:val="0"/>
              <w:snapToGrid w:val="0"/>
              <w:jc w:val="left"/>
              <w:rPr>
                <w:color w:val="auto"/>
                <w:sz w:val="24"/>
              </w:rPr>
            </w:pPr>
          </w:p>
        </w:tc>
        <w:tc>
          <w:tcPr>
            <w:tcW w:w="362" w:type="pct"/>
            <w:noWrap w:val="0"/>
            <w:vAlign w:val="top"/>
          </w:tcPr>
          <w:p w14:paraId="24173113">
            <w:pPr>
              <w:adjustRightInd w:val="0"/>
              <w:snapToGrid w:val="0"/>
              <w:jc w:val="left"/>
              <w:rPr>
                <w:color w:val="auto"/>
                <w:sz w:val="24"/>
              </w:rPr>
            </w:pPr>
          </w:p>
        </w:tc>
        <w:tc>
          <w:tcPr>
            <w:tcW w:w="455" w:type="pct"/>
            <w:noWrap w:val="0"/>
            <w:vAlign w:val="center"/>
          </w:tcPr>
          <w:p w14:paraId="5B4DBBBA">
            <w:pPr>
              <w:adjustRightInd w:val="0"/>
              <w:snapToGrid w:val="0"/>
              <w:jc w:val="center"/>
              <w:rPr>
                <w:color w:val="auto"/>
                <w:sz w:val="24"/>
              </w:rPr>
            </w:pPr>
          </w:p>
        </w:tc>
        <w:tc>
          <w:tcPr>
            <w:tcW w:w="351" w:type="pct"/>
            <w:noWrap w:val="0"/>
            <w:vAlign w:val="center"/>
          </w:tcPr>
          <w:p w14:paraId="4D0098A1">
            <w:pPr>
              <w:adjustRightInd w:val="0"/>
              <w:snapToGrid w:val="0"/>
              <w:jc w:val="center"/>
              <w:rPr>
                <w:color w:val="auto"/>
                <w:sz w:val="24"/>
              </w:rPr>
            </w:pPr>
          </w:p>
        </w:tc>
        <w:tc>
          <w:tcPr>
            <w:tcW w:w="403" w:type="pct"/>
            <w:noWrap w:val="0"/>
            <w:vAlign w:val="center"/>
          </w:tcPr>
          <w:p w14:paraId="10FCE471">
            <w:pPr>
              <w:adjustRightInd w:val="0"/>
              <w:snapToGrid w:val="0"/>
              <w:jc w:val="center"/>
              <w:rPr>
                <w:color w:val="auto"/>
                <w:sz w:val="24"/>
              </w:rPr>
            </w:pPr>
          </w:p>
        </w:tc>
        <w:tc>
          <w:tcPr>
            <w:tcW w:w="403" w:type="pct"/>
            <w:noWrap w:val="0"/>
            <w:vAlign w:val="center"/>
          </w:tcPr>
          <w:p w14:paraId="7F08D1AC">
            <w:pPr>
              <w:adjustRightInd w:val="0"/>
              <w:snapToGrid w:val="0"/>
              <w:jc w:val="center"/>
              <w:rPr>
                <w:color w:val="auto"/>
                <w:sz w:val="24"/>
              </w:rPr>
            </w:pPr>
          </w:p>
        </w:tc>
        <w:tc>
          <w:tcPr>
            <w:tcW w:w="403" w:type="pct"/>
            <w:noWrap w:val="0"/>
            <w:vAlign w:val="center"/>
          </w:tcPr>
          <w:p w14:paraId="0BE4A774">
            <w:pPr>
              <w:adjustRightInd w:val="0"/>
              <w:snapToGrid w:val="0"/>
              <w:jc w:val="center"/>
              <w:rPr>
                <w:color w:val="auto"/>
                <w:sz w:val="24"/>
              </w:rPr>
            </w:pPr>
          </w:p>
        </w:tc>
        <w:tc>
          <w:tcPr>
            <w:tcW w:w="403" w:type="pct"/>
            <w:noWrap w:val="0"/>
            <w:vAlign w:val="center"/>
          </w:tcPr>
          <w:p w14:paraId="205708D5">
            <w:pPr>
              <w:adjustRightInd w:val="0"/>
              <w:snapToGrid w:val="0"/>
              <w:jc w:val="left"/>
              <w:rPr>
                <w:color w:val="auto"/>
                <w:sz w:val="24"/>
              </w:rPr>
            </w:pPr>
          </w:p>
        </w:tc>
        <w:tc>
          <w:tcPr>
            <w:tcW w:w="505" w:type="pct"/>
            <w:noWrap w:val="0"/>
            <w:vAlign w:val="center"/>
          </w:tcPr>
          <w:p w14:paraId="73A8245F">
            <w:pPr>
              <w:adjustRightInd w:val="0"/>
              <w:snapToGrid w:val="0"/>
              <w:jc w:val="left"/>
              <w:rPr>
                <w:color w:val="auto"/>
                <w:sz w:val="24"/>
              </w:rPr>
            </w:pPr>
          </w:p>
        </w:tc>
        <w:tc>
          <w:tcPr>
            <w:tcW w:w="276" w:type="pct"/>
            <w:noWrap w:val="0"/>
            <w:vAlign w:val="center"/>
          </w:tcPr>
          <w:p w14:paraId="1B044ABB">
            <w:pPr>
              <w:adjustRightInd w:val="0"/>
              <w:snapToGrid w:val="0"/>
              <w:jc w:val="left"/>
              <w:rPr>
                <w:color w:val="auto"/>
                <w:sz w:val="24"/>
              </w:rPr>
            </w:pPr>
          </w:p>
        </w:tc>
        <w:tc>
          <w:tcPr>
            <w:tcW w:w="505" w:type="pct"/>
            <w:noWrap w:val="0"/>
            <w:vAlign w:val="center"/>
          </w:tcPr>
          <w:p w14:paraId="74EA25BA">
            <w:pPr>
              <w:adjustRightInd w:val="0"/>
              <w:snapToGrid w:val="0"/>
              <w:jc w:val="left"/>
              <w:rPr>
                <w:color w:val="auto"/>
                <w:sz w:val="24"/>
              </w:rPr>
            </w:pPr>
          </w:p>
        </w:tc>
      </w:tr>
      <w:tr w14:paraId="02D2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3D5273FE">
            <w:pPr>
              <w:adjustRightInd w:val="0"/>
              <w:snapToGrid w:val="0"/>
              <w:jc w:val="left"/>
              <w:rPr>
                <w:color w:val="auto"/>
                <w:sz w:val="24"/>
              </w:rPr>
            </w:pPr>
            <w:r>
              <w:rPr>
                <w:color w:val="auto"/>
                <w:sz w:val="24"/>
              </w:rPr>
              <w:t>2</w:t>
            </w:r>
          </w:p>
        </w:tc>
        <w:tc>
          <w:tcPr>
            <w:tcW w:w="329" w:type="pct"/>
            <w:noWrap w:val="0"/>
            <w:vAlign w:val="center"/>
          </w:tcPr>
          <w:p w14:paraId="04EE9101">
            <w:pPr>
              <w:adjustRightInd w:val="0"/>
              <w:snapToGrid w:val="0"/>
              <w:jc w:val="left"/>
              <w:rPr>
                <w:color w:val="auto"/>
                <w:sz w:val="24"/>
              </w:rPr>
            </w:pPr>
          </w:p>
        </w:tc>
        <w:tc>
          <w:tcPr>
            <w:tcW w:w="358" w:type="pct"/>
            <w:noWrap w:val="0"/>
            <w:vAlign w:val="center"/>
          </w:tcPr>
          <w:p w14:paraId="1E134B81">
            <w:pPr>
              <w:adjustRightInd w:val="0"/>
              <w:snapToGrid w:val="0"/>
              <w:jc w:val="left"/>
              <w:rPr>
                <w:color w:val="auto"/>
                <w:sz w:val="24"/>
              </w:rPr>
            </w:pPr>
          </w:p>
        </w:tc>
        <w:tc>
          <w:tcPr>
            <w:tcW w:w="362" w:type="pct"/>
            <w:noWrap w:val="0"/>
            <w:vAlign w:val="top"/>
          </w:tcPr>
          <w:p w14:paraId="0CDD648A">
            <w:pPr>
              <w:adjustRightInd w:val="0"/>
              <w:snapToGrid w:val="0"/>
              <w:jc w:val="left"/>
              <w:rPr>
                <w:color w:val="auto"/>
                <w:sz w:val="24"/>
              </w:rPr>
            </w:pPr>
          </w:p>
        </w:tc>
        <w:tc>
          <w:tcPr>
            <w:tcW w:w="455" w:type="pct"/>
            <w:noWrap w:val="0"/>
            <w:vAlign w:val="center"/>
          </w:tcPr>
          <w:p w14:paraId="3034B229">
            <w:pPr>
              <w:adjustRightInd w:val="0"/>
              <w:snapToGrid w:val="0"/>
              <w:jc w:val="center"/>
              <w:rPr>
                <w:color w:val="auto"/>
                <w:sz w:val="24"/>
              </w:rPr>
            </w:pPr>
          </w:p>
        </w:tc>
        <w:tc>
          <w:tcPr>
            <w:tcW w:w="351" w:type="pct"/>
            <w:noWrap w:val="0"/>
            <w:vAlign w:val="center"/>
          </w:tcPr>
          <w:p w14:paraId="238097A2">
            <w:pPr>
              <w:adjustRightInd w:val="0"/>
              <w:snapToGrid w:val="0"/>
              <w:jc w:val="center"/>
              <w:rPr>
                <w:color w:val="auto"/>
                <w:sz w:val="24"/>
              </w:rPr>
            </w:pPr>
          </w:p>
        </w:tc>
        <w:tc>
          <w:tcPr>
            <w:tcW w:w="403" w:type="pct"/>
            <w:noWrap w:val="0"/>
            <w:vAlign w:val="center"/>
          </w:tcPr>
          <w:p w14:paraId="364D5BB3">
            <w:pPr>
              <w:adjustRightInd w:val="0"/>
              <w:snapToGrid w:val="0"/>
              <w:jc w:val="center"/>
              <w:rPr>
                <w:color w:val="auto"/>
                <w:sz w:val="24"/>
              </w:rPr>
            </w:pPr>
          </w:p>
        </w:tc>
        <w:tc>
          <w:tcPr>
            <w:tcW w:w="403" w:type="pct"/>
            <w:noWrap w:val="0"/>
            <w:vAlign w:val="center"/>
          </w:tcPr>
          <w:p w14:paraId="0F5FD20F">
            <w:pPr>
              <w:adjustRightInd w:val="0"/>
              <w:snapToGrid w:val="0"/>
              <w:jc w:val="center"/>
              <w:rPr>
                <w:color w:val="auto"/>
                <w:sz w:val="24"/>
              </w:rPr>
            </w:pPr>
          </w:p>
        </w:tc>
        <w:tc>
          <w:tcPr>
            <w:tcW w:w="403" w:type="pct"/>
            <w:noWrap w:val="0"/>
            <w:vAlign w:val="center"/>
          </w:tcPr>
          <w:p w14:paraId="351F59CE">
            <w:pPr>
              <w:adjustRightInd w:val="0"/>
              <w:snapToGrid w:val="0"/>
              <w:jc w:val="center"/>
              <w:rPr>
                <w:color w:val="auto"/>
                <w:sz w:val="24"/>
              </w:rPr>
            </w:pPr>
          </w:p>
        </w:tc>
        <w:tc>
          <w:tcPr>
            <w:tcW w:w="403" w:type="pct"/>
            <w:noWrap w:val="0"/>
            <w:vAlign w:val="center"/>
          </w:tcPr>
          <w:p w14:paraId="55D26C6D">
            <w:pPr>
              <w:adjustRightInd w:val="0"/>
              <w:snapToGrid w:val="0"/>
              <w:jc w:val="left"/>
              <w:rPr>
                <w:color w:val="auto"/>
                <w:sz w:val="24"/>
              </w:rPr>
            </w:pPr>
          </w:p>
        </w:tc>
        <w:tc>
          <w:tcPr>
            <w:tcW w:w="505" w:type="pct"/>
            <w:noWrap w:val="0"/>
            <w:vAlign w:val="center"/>
          </w:tcPr>
          <w:p w14:paraId="4E286311">
            <w:pPr>
              <w:adjustRightInd w:val="0"/>
              <w:snapToGrid w:val="0"/>
              <w:jc w:val="left"/>
              <w:rPr>
                <w:color w:val="auto"/>
                <w:sz w:val="24"/>
              </w:rPr>
            </w:pPr>
          </w:p>
        </w:tc>
        <w:tc>
          <w:tcPr>
            <w:tcW w:w="276" w:type="pct"/>
            <w:noWrap w:val="0"/>
            <w:vAlign w:val="center"/>
          </w:tcPr>
          <w:p w14:paraId="72A2D4D9">
            <w:pPr>
              <w:adjustRightInd w:val="0"/>
              <w:snapToGrid w:val="0"/>
              <w:jc w:val="left"/>
              <w:rPr>
                <w:color w:val="auto"/>
                <w:sz w:val="24"/>
              </w:rPr>
            </w:pPr>
          </w:p>
        </w:tc>
        <w:tc>
          <w:tcPr>
            <w:tcW w:w="505" w:type="pct"/>
            <w:noWrap w:val="0"/>
            <w:vAlign w:val="center"/>
          </w:tcPr>
          <w:p w14:paraId="15988E21">
            <w:pPr>
              <w:adjustRightInd w:val="0"/>
              <w:snapToGrid w:val="0"/>
              <w:jc w:val="left"/>
              <w:rPr>
                <w:color w:val="auto"/>
                <w:sz w:val="24"/>
              </w:rPr>
            </w:pPr>
          </w:p>
        </w:tc>
      </w:tr>
      <w:tr w14:paraId="322B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72C87CD0">
            <w:pPr>
              <w:adjustRightInd w:val="0"/>
              <w:snapToGrid w:val="0"/>
              <w:jc w:val="left"/>
              <w:rPr>
                <w:color w:val="auto"/>
                <w:sz w:val="24"/>
              </w:rPr>
            </w:pPr>
            <w:r>
              <w:rPr>
                <w:color w:val="auto"/>
                <w:sz w:val="24"/>
              </w:rPr>
              <w:t>3</w:t>
            </w:r>
          </w:p>
        </w:tc>
        <w:tc>
          <w:tcPr>
            <w:tcW w:w="329" w:type="pct"/>
            <w:noWrap w:val="0"/>
            <w:vAlign w:val="center"/>
          </w:tcPr>
          <w:p w14:paraId="268C2E8A">
            <w:pPr>
              <w:adjustRightInd w:val="0"/>
              <w:snapToGrid w:val="0"/>
              <w:jc w:val="left"/>
              <w:rPr>
                <w:color w:val="auto"/>
                <w:sz w:val="24"/>
              </w:rPr>
            </w:pPr>
          </w:p>
        </w:tc>
        <w:tc>
          <w:tcPr>
            <w:tcW w:w="358" w:type="pct"/>
            <w:noWrap w:val="0"/>
            <w:vAlign w:val="center"/>
          </w:tcPr>
          <w:p w14:paraId="2FE97D74">
            <w:pPr>
              <w:adjustRightInd w:val="0"/>
              <w:snapToGrid w:val="0"/>
              <w:jc w:val="left"/>
              <w:rPr>
                <w:color w:val="auto"/>
                <w:sz w:val="24"/>
              </w:rPr>
            </w:pPr>
          </w:p>
        </w:tc>
        <w:tc>
          <w:tcPr>
            <w:tcW w:w="362" w:type="pct"/>
            <w:noWrap w:val="0"/>
            <w:vAlign w:val="top"/>
          </w:tcPr>
          <w:p w14:paraId="1B6A63C3">
            <w:pPr>
              <w:adjustRightInd w:val="0"/>
              <w:snapToGrid w:val="0"/>
              <w:jc w:val="left"/>
              <w:rPr>
                <w:color w:val="auto"/>
                <w:sz w:val="24"/>
              </w:rPr>
            </w:pPr>
          </w:p>
        </w:tc>
        <w:tc>
          <w:tcPr>
            <w:tcW w:w="455" w:type="pct"/>
            <w:noWrap w:val="0"/>
            <w:vAlign w:val="center"/>
          </w:tcPr>
          <w:p w14:paraId="1EE3C5D5">
            <w:pPr>
              <w:adjustRightInd w:val="0"/>
              <w:snapToGrid w:val="0"/>
              <w:jc w:val="center"/>
              <w:rPr>
                <w:color w:val="auto"/>
                <w:sz w:val="24"/>
              </w:rPr>
            </w:pPr>
          </w:p>
        </w:tc>
        <w:tc>
          <w:tcPr>
            <w:tcW w:w="351" w:type="pct"/>
            <w:noWrap w:val="0"/>
            <w:vAlign w:val="center"/>
          </w:tcPr>
          <w:p w14:paraId="3D68AA38">
            <w:pPr>
              <w:adjustRightInd w:val="0"/>
              <w:snapToGrid w:val="0"/>
              <w:jc w:val="center"/>
              <w:rPr>
                <w:color w:val="auto"/>
                <w:sz w:val="24"/>
              </w:rPr>
            </w:pPr>
          </w:p>
        </w:tc>
        <w:tc>
          <w:tcPr>
            <w:tcW w:w="403" w:type="pct"/>
            <w:noWrap w:val="0"/>
            <w:vAlign w:val="center"/>
          </w:tcPr>
          <w:p w14:paraId="20116E08">
            <w:pPr>
              <w:adjustRightInd w:val="0"/>
              <w:snapToGrid w:val="0"/>
              <w:jc w:val="center"/>
              <w:rPr>
                <w:color w:val="auto"/>
                <w:sz w:val="24"/>
              </w:rPr>
            </w:pPr>
          </w:p>
        </w:tc>
        <w:tc>
          <w:tcPr>
            <w:tcW w:w="403" w:type="pct"/>
            <w:noWrap w:val="0"/>
            <w:vAlign w:val="center"/>
          </w:tcPr>
          <w:p w14:paraId="67CA8F30">
            <w:pPr>
              <w:adjustRightInd w:val="0"/>
              <w:snapToGrid w:val="0"/>
              <w:jc w:val="center"/>
              <w:rPr>
                <w:color w:val="auto"/>
                <w:sz w:val="24"/>
              </w:rPr>
            </w:pPr>
          </w:p>
        </w:tc>
        <w:tc>
          <w:tcPr>
            <w:tcW w:w="403" w:type="pct"/>
            <w:noWrap w:val="0"/>
            <w:vAlign w:val="center"/>
          </w:tcPr>
          <w:p w14:paraId="679348CE">
            <w:pPr>
              <w:adjustRightInd w:val="0"/>
              <w:snapToGrid w:val="0"/>
              <w:jc w:val="center"/>
              <w:rPr>
                <w:color w:val="auto"/>
                <w:sz w:val="24"/>
              </w:rPr>
            </w:pPr>
          </w:p>
        </w:tc>
        <w:tc>
          <w:tcPr>
            <w:tcW w:w="403" w:type="pct"/>
            <w:noWrap w:val="0"/>
            <w:vAlign w:val="center"/>
          </w:tcPr>
          <w:p w14:paraId="2288260C">
            <w:pPr>
              <w:adjustRightInd w:val="0"/>
              <w:snapToGrid w:val="0"/>
              <w:jc w:val="left"/>
              <w:rPr>
                <w:color w:val="auto"/>
                <w:sz w:val="24"/>
              </w:rPr>
            </w:pPr>
          </w:p>
        </w:tc>
        <w:tc>
          <w:tcPr>
            <w:tcW w:w="505" w:type="pct"/>
            <w:noWrap w:val="0"/>
            <w:vAlign w:val="center"/>
          </w:tcPr>
          <w:p w14:paraId="7D793847">
            <w:pPr>
              <w:adjustRightInd w:val="0"/>
              <w:snapToGrid w:val="0"/>
              <w:jc w:val="left"/>
              <w:rPr>
                <w:color w:val="auto"/>
                <w:sz w:val="24"/>
              </w:rPr>
            </w:pPr>
          </w:p>
        </w:tc>
        <w:tc>
          <w:tcPr>
            <w:tcW w:w="276" w:type="pct"/>
            <w:noWrap w:val="0"/>
            <w:vAlign w:val="center"/>
          </w:tcPr>
          <w:p w14:paraId="2B1222DC">
            <w:pPr>
              <w:adjustRightInd w:val="0"/>
              <w:snapToGrid w:val="0"/>
              <w:jc w:val="left"/>
              <w:rPr>
                <w:color w:val="auto"/>
                <w:sz w:val="24"/>
              </w:rPr>
            </w:pPr>
          </w:p>
        </w:tc>
        <w:tc>
          <w:tcPr>
            <w:tcW w:w="505" w:type="pct"/>
            <w:noWrap w:val="0"/>
            <w:vAlign w:val="center"/>
          </w:tcPr>
          <w:p w14:paraId="5D571129">
            <w:pPr>
              <w:adjustRightInd w:val="0"/>
              <w:snapToGrid w:val="0"/>
              <w:jc w:val="left"/>
              <w:rPr>
                <w:color w:val="auto"/>
                <w:sz w:val="24"/>
              </w:rPr>
            </w:pPr>
          </w:p>
        </w:tc>
      </w:tr>
      <w:tr w14:paraId="7939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750C6159">
            <w:pPr>
              <w:adjustRightInd w:val="0"/>
              <w:snapToGrid w:val="0"/>
              <w:jc w:val="left"/>
              <w:rPr>
                <w:color w:val="auto"/>
                <w:sz w:val="24"/>
              </w:rPr>
            </w:pPr>
            <w:r>
              <w:rPr>
                <w:color w:val="auto"/>
                <w:sz w:val="24"/>
              </w:rPr>
              <w:t>4</w:t>
            </w:r>
          </w:p>
        </w:tc>
        <w:tc>
          <w:tcPr>
            <w:tcW w:w="329" w:type="pct"/>
            <w:noWrap w:val="0"/>
            <w:vAlign w:val="center"/>
          </w:tcPr>
          <w:p w14:paraId="5AABE933">
            <w:pPr>
              <w:adjustRightInd w:val="0"/>
              <w:snapToGrid w:val="0"/>
              <w:jc w:val="left"/>
              <w:rPr>
                <w:color w:val="auto"/>
                <w:sz w:val="24"/>
              </w:rPr>
            </w:pPr>
          </w:p>
        </w:tc>
        <w:tc>
          <w:tcPr>
            <w:tcW w:w="358" w:type="pct"/>
            <w:noWrap w:val="0"/>
            <w:vAlign w:val="center"/>
          </w:tcPr>
          <w:p w14:paraId="412E0CA9">
            <w:pPr>
              <w:adjustRightInd w:val="0"/>
              <w:snapToGrid w:val="0"/>
              <w:jc w:val="left"/>
              <w:rPr>
                <w:color w:val="auto"/>
                <w:sz w:val="24"/>
              </w:rPr>
            </w:pPr>
          </w:p>
        </w:tc>
        <w:tc>
          <w:tcPr>
            <w:tcW w:w="362" w:type="pct"/>
            <w:noWrap w:val="0"/>
            <w:vAlign w:val="top"/>
          </w:tcPr>
          <w:p w14:paraId="4EEF9D7C">
            <w:pPr>
              <w:adjustRightInd w:val="0"/>
              <w:snapToGrid w:val="0"/>
              <w:jc w:val="left"/>
              <w:rPr>
                <w:color w:val="auto"/>
                <w:sz w:val="24"/>
              </w:rPr>
            </w:pPr>
          </w:p>
        </w:tc>
        <w:tc>
          <w:tcPr>
            <w:tcW w:w="455" w:type="pct"/>
            <w:noWrap w:val="0"/>
            <w:vAlign w:val="center"/>
          </w:tcPr>
          <w:p w14:paraId="00B650EE">
            <w:pPr>
              <w:adjustRightInd w:val="0"/>
              <w:snapToGrid w:val="0"/>
              <w:jc w:val="center"/>
              <w:rPr>
                <w:color w:val="auto"/>
                <w:sz w:val="24"/>
              </w:rPr>
            </w:pPr>
          </w:p>
        </w:tc>
        <w:tc>
          <w:tcPr>
            <w:tcW w:w="351" w:type="pct"/>
            <w:noWrap w:val="0"/>
            <w:vAlign w:val="center"/>
          </w:tcPr>
          <w:p w14:paraId="58666ABC">
            <w:pPr>
              <w:adjustRightInd w:val="0"/>
              <w:snapToGrid w:val="0"/>
              <w:jc w:val="center"/>
              <w:rPr>
                <w:color w:val="auto"/>
                <w:sz w:val="24"/>
              </w:rPr>
            </w:pPr>
          </w:p>
        </w:tc>
        <w:tc>
          <w:tcPr>
            <w:tcW w:w="403" w:type="pct"/>
            <w:noWrap w:val="0"/>
            <w:vAlign w:val="center"/>
          </w:tcPr>
          <w:p w14:paraId="62016EEA">
            <w:pPr>
              <w:adjustRightInd w:val="0"/>
              <w:snapToGrid w:val="0"/>
              <w:jc w:val="center"/>
              <w:rPr>
                <w:color w:val="auto"/>
                <w:sz w:val="24"/>
              </w:rPr>
            </w:pPr>
          </w:p>
        </w:tc>
        <w:tc>
          <w:tcPr>
            <w:tcW w:w="403" w:type="pct"/>
            <w:noWrap w:val="0"/>
            <w:vAlign w:val="center"/>
          </w:tcPr>
          <w:p w14:paraId="31229AA0">
            <w:pPr>
              <w:adjustRightInd w:val="0"/>
              <w:snapToGrid w:val="0"/>
              <w:jc w:val="center"/>
              <w:rPr>
                <w:color w:val="auto"/>
                <w:sz w:val="24"/>
              </w:rPr>
            </w:pPr>
          </w:p>
        </w:tc>
        <w:tc>
          <w:tcPr>
            <w:tcW w:w="403" w:type="pct"/>
            <w:noWrap w:val="0"/>
            <w:vAlign w:val="center"/>
          </w:tcPr>
          <w:p w14:paraId="79FFCC33">
            <w:pPr>
              <w:adjustRightInd w:val="0"/>
              <w:snapToGrid w:val="0"/>
              <w:jc w:val="center"/>
              <w:rPr>
                <w:color w:val="auto"/>
                <w:sz w:val="24"/>
              </w:rPr>
            </w:pPr>
          </w:p>
        </w:tc>
        <w:tc>
          <w:tcPr>
            <w:tcW w:w="403" w:type="pct"/>
            <w:noWrap w:val="0"/>
            <w:vAlign w:val="center"/>
          </w:tcPr>
          <w:p w14:paraId="7C10D7AA">
            <w:pPr>
              <w:adjustRightInd w:val="0"/>
              <w:snapToGrid w:val="0"/>
              <w:jc w:val="left"/>
              <w:rPr>
                <w:color w:val="auto"/>
                <w:sz w:val="24"/>
              </w:rPr>
            </w:pPr>
          </w:p>
        </w:tc>
        <w:tc>
          <w:tcPr>
            <w:tcW w:w="505" w:type="pct"/>
            <w:noWrap w:val="0"/>
            <w:vAlign w:val="center"/>
          </w:tcPr>
          <w:p w14:paraId="1C27B984">
            <w:pPr>
              <w:adjustRightInd w:val="0"/>
              <w:snapToGrid w:val="0"/>
              <w:jc w:val="left"/>
              <w:rPr>
                <w:color w:val="auto"/>
                <w:sz w:val="24"/>
              </w:rPr>
            </w:pPr>
          </w:p>
        </w:tc>
        <w:tc>
          <w:tcPr>
            <w:tcW w:w="276" w:type="pct"/>
            <w:noWrap w:val="0"/>
            <w:vAlign w:val="center"/>
          </w:tcPr>
          <w:p w14:paraId="24A0B8F1">
            <w:pPr>
              <w:adjustRightInd w:val="0"/>
              <w:snapToGrid w:val="0"/>
              <w:jc w:val="left"/>
              <w:rPr>
                <w:color w:val="auto"/>
                <w:sz w:val="24"/>
              </w:rPr>
            </w:pPr>
          </w:p>
        </w:tc>
        <w:tc>
          <w:tcPr>
            <w:tcW w:w="505" w:type="pct"/>
            <w:noWrap w:val="0"/>
            <w:vAlign w:val="center"/>
          </w:tcPr>
          <w:p w14:paraId="2D60674F">
            <w:pPr>
              <w:adjustRightInd w:val="0"/>
              <w:snapToGrid w:val="0"/>
              <w:jc w:val="left"/>
              <w:rPr>
                <w:color w:val="auto"/>
                <w:sz w:val="24"/>
              </w:rPr>
            </w:pPr>
          </w:p>
        </w:tc>
      </w:tr>
      <w:tr w14:paraId="552B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44" w:type="pct"/>
            <w:noWrap w:val="0"/>
            <w:vAlign w:val="center"/>
          </w:tcPr>
          <w:p w14:paraId="7C4B6B5C">
            <w:pPr>
              <w:adjustRightInd w:val="0"/>
              <w:snapToGrid w:val="0"/>
              <w:jc w:val="left"/>
              <w:rPr>
                <w:color w:val="auto"/>
                <w:sz w:val="24"/>
              </w:rPr>
            </w:pPr>
            <w:r>
              <w:rPr>
                <w:color w:val="auto"/>
                <w:sz w:val="24"/>
              </w:rPr>
              <w:t>…</w:t>
            </w:r>
          </w:p>
        </w:tc>
        <w:tc>
          <w:tcPr>
            <w:tcW w:w="329" w:type="pct"/>
            <w:noWrap w:val="0"/>
            <w:vAlign w:val="center"/>
          </w:tcPr>
          <w:p w14:paraId="0BEE1188">
            <w:pPr>
              <w:adjustRightInd w:val="0"/>
              <w:snapToGrid w:val="0"/>
              <w:jc w:val="left"/>
              <w:rPr>
                <w:color w:val="auto"/>
                <w:sz w:val="24"/>
              </w:rPr>
            </w:pPr>
          </w:p>
        </w:tc>
        <w:tc>
          <w:tcPr>
            <w:tcW w:w="358" w:type="pct"/>
            <w:noWrap w:val="0"/>
            <w:vAlign w:val="center"/>
          </w:tcPr>
          <w:p w14:paraId="63777FCD">
            <w:pPr>
              <w:adjustRightInd w:val="0"/>
              <w:snapToGrid w:val="0"/>
              <w:jc w:val="left"/>
              <w:rPr>
                <w:color w:val="auto"/>
                <w:sz w:val="24"/>
              </w:rPr>
            </w:pPr>
          </w:p>
        </w:tc>
        <w:tc>
          <w:tcPr>
            <w:tcW w:w="362" w:type="pct"/>
            <w:noWrap w:val="0"/>
            <w:vAlign w:val="top"/>
          </w:tcPr>
          <w:p w14:paraId="51E854E2">
            <w:pPr>
              <w:adjustRightInd w:val="0"/>
              <w:snapToGrid w:val="0"/>
              <w:jc w:val="left"/>
              <w:rPr>
                <w:color w:val="auto"/>
                <w:sz w:val="24"/>
              </w:rPr>
            </w:pPr>
          </w:p>
        </w:tc>
        <w:tc>
          <w:tcPr>
            <w:tcW w:w="455" w:type="pct"/>
            <w:noWrap w:val="0"/>
            <w:vAlign w:val="center"/>
          </w:tcPr>
          <w:p w14:paraId="11846570">
            <w:pPr>
              <w:adjustRightInd w:val="0"/>
              <w:snapToGrid w:val="0"/>
              <w:jc w:val="center"/>
              <w:rPr>
                <w:color w:val="auto"/>
                <w:sz w:val="24"/>
              </w:rPr>
            </w:pPr>
          </w:p>
        </w:tc>
        <w:tc>
          <w:tcPr>
            <w:tcW w:w="351" w:type="pct"/>
            <w:noWrap w:val="0"/>
            <w:vAlign w:val="center"/>
          </w:tcPr>
          <w:p w14:paraId="7F57D280">
            <w:pPr>
              <w:adjustRightInd w:val="0"/>
              <w:snapToGrid w:val="0"/>
              <w:jc w:val="center"/>
              <w:rPr>
                <w:color w:val="auto"/>
                <w:sz w:val="24"/>
              </w:rPr>
            </w:pPr>
          </w:p>
        </w:tc>
        <w:tc>
          <w:tcPr>
            <w:tcW w:w="403" w:type="pct"/>
            <w:noWrap w:val="0"/>
            <w:vAlign w:val="center"/>
          </w:tcPr>
          <w:p w14:paraId="1E963706">
            <w:pPr>
              <w:adjustRightInd w:val="0"/>
              <w:snapToGrid w:val="0"/>
              <w:jc w:val="center"/>
              <w:rPr>
                <w:color w:val="auto"/>
                <w:sz w:val="24"/>
              </w:rPr>
            </w:pPr>
          </w:p>
        </w:tc>
        <w:tc>
          <w:tcPr>
            <w:tcW w:w="403" w:type="pct"/>
            <w:noWrap w:val="0"/>
            <w:vAlign w:val="center"/>
          </w:tcPr>
          <w:p w14:paraId="2E349A7A">
            <w:pPr>
              <w:adjustRightInd w:val="0"/>
              <w:snapToGrid w:val="0"/>
              <w:jc w:val="center"/>
              <w:rPr>
                <w:color w:val="auto"/>
                <w:sz w:val="24"/>
              </w:rPr>
            </w:pPr>
          </w:p>
        </w:tc>
        <w:tc>
          <w:tcPr>
            <w:tcW w:w="403" w:type="pct"/>
            <w:noWrap w:val="0"/>
            <w:vAlign w:val="center"/>
          </w:tcPr>
          <w:p w14:paraId="6DAB223C">
            <w:pPr>
              <w:adjustRightInd w:val="0"/>
              <w:snapToGrid w:val="0"/>
              <w:jc w:val="center"/>
              <w:rPr>
                <w:color w:val="auto"/>
                <w:sz w:val="24"/>
              </w:rPr>
            </w:pPr>
          </w:p>
        </w:tc>
        <w:tc>
          <w:tcPr>
            <w:tcW w:w="403" w:type="pct"/>
            <w:noWrap w:val="0"/>
            <w:vAlign w:val="center"/>
          </w:tcPr>
          <w:p w14:paraId="2A1B54A9">
            <w:pPr>
              <w:adjustRightInd w:val="0"/>
              <w:snapToGrid w:val="0"/>
              <w:jc w:val="left"/>
              <w:rPr>
                <w:color w:val="auto"/>
                <w:sz w:val="24"/>
              </w:rPr>
            </w:pPr>
          </w:p>
        </w:tc>
        <w:tc>
          <w:tcPr>
            <w:tcW w:w="505" w:type="pct"/>
            <w:noWrap w:val="0"/>
            <w:vAlign w:val="center"/>
          </w:tcPr>
          <w:p w14:paraId="376BB6AC">
            <w:pPr>
              <w:adjustRightInd w:val="0"/>
              <w:snapToGrid w:val="0"/>
              <w:jc w:val="left"/>
              <w:rPr>
                <w:color w:val="auto"/>
                <w:sz w:val="24"/>
              </w:rPr>
            </w:pPr>
          </w:p>
        </w:tc>
        <w:tc>
          <w:tcPr>
            <w:tcW w:w="276" w:type="pct"/>
            <w:noWrap w:val="0"/>
            <w:vAlign w:val="center"/>
          </w:tcPr>
          <w:p w14:paraId="5CA8E923">
            <w:pPr>
              <w:adjustRightInd w:val="0"/>
              <w:snapToGrid w:val="0"/>
              <w:jc w:val="left"/>
              <w:rPr>
                <w:color w:val="auto"/>
                <w:sz w:val="24"/>
              </w:rPr>
            </w:pPr>
          </w:p>
        </w:tc>
        <w:tc>
          <w:tcPr>
            <w:tcW w:w="505" w:type="pct"/>
            <w:noWrap w:val="0"/>
            <w:vAlign w:val="center"/>
          </w:tcPr>
          <w:p w14:paraId="38FFFF6F">
            <w:pPr>
              <w:adjustRightInd w:val="0"/>
              <w:snapToGrid w:val="0"/>
              <w:jc w:val="left"/>
              <w:rPr>
                <w:color w:val="auto"/>
                <w:sz w:val="24"/>
              </w:rPr>
            </w:pPr>
          </w:p>
        </w:tc>
      </w:tr>
      <w:tr w14:paraId="6FA7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494" w:type="pct"/>
            <w:gridSpan w:val="12"/>
            <w:noWrap w:val="0"/>
            <w:vAlign w:val="top"/>
          </w:tcPr>
          <w:p w14:paraId="21969543">
            <w:pPr>
              <w:jc w:val="center"/>
              <w:rPr>
                <w:b/>
                <w:color w:val="auto"/>
                <w:sz w:val="24"/>
              </w:rPr>
            </w:pPr>
            <w:r>
              <w:rPr>
                <w:b/>
                <w:color w:val="auto"/>
                <w:sz w:val="24"/>
              </w:rPr>
              <w:t>总价（元）</w:t>
            </w:r>
          </w:p>
        </w:tc>
        <w:tc>
          <w:tcPr>
            <w:tcW w:w="505" w:type="pct"/>
            <w:noWrap w:val="0"/>
            <w:vAlign w:val="center"/>
          </w:tcPr>
          <w:p w14:paraId="2C90870E">
            <w:pPr>
              <w:adjustRightInd w:val="0"/>
              <w:snapToGrid w:val="0"/>
              <w:jc w:val="left"/>
              <w:rPr>
                <w:color w:val="auto"/>
                <w:sz w:val="24"/>
              </w:rPr>
            </w:pPr>
          </w:p>
        </w:tc>
      </w:tr>
    </w:tbl>
    <w:p w14:paraId="0B698016">
      <w:pPr>
        <w:pStyle w:val="60"/>
        <w:rPr>
          <w:rFonts w:hint="eastAsia"/>
          <w:highlight w:val="none"/>
        </w:rPr>
      </w:pPr>
    </w:p>
    <w:p w14:paraId="273ACDCB">
      <w:pPr>
        <w:autoSpaceDE w:val="0"/>
        <w:autoSpaceDN w:val="0"/>
        <w:adjustRightInd w:val="0"/>
        <w:snapToGrid w:val="0"/>
        <w:spacing w:before="25" w:after="25" w:line="360" w:lineRule="auto"/>
        <w:rPr>
          <w:rFonts w:hint="eastAsia"/>
          <w:color w:val="auto"/>
          <w:sz w:val="24"/>
          <w:highlight w:val="none"/>
        </w:rPr>
      </w:pPr>
      <w:r>
        <w:rPr>
          <w:rFonts w:hint="eastAsia"/>
          <w:color w:val="auto"/>
          <w:sz w:val="24"/>
          <w:highlight w:val="none"/>
        </w:rPr>
        <w:t>说明：制造商规模请填写“大型”、“中型”、“小型”、“微型”或“其他”，中小企业的定义见第二章《投标人须知》。</w:t>
      </w:r>
    </w:p>
    <w:p w14:paraId="5E0356D5">
      <w:pPr>
        <w:autoSpaceDE w:val="0"/>
        <w:autoSpaceDN w:val="0"/>
        <w:adjustRightInd w:val="0"/>
        <w:snapToGrid w:val="0"/>
        <w:spacing w:before="25" w:after="25" w:line="360" w:lineRule="auto"/>
        <w:ind w:firstLine="480" w:firstLineChars="200"/>
        <w:rPr>
          <w:rFonts w:hint="eastAsia"/>
          <w:color w:val="auto"/>
          <w:sz w:val="24"/>
          <w:highlight w:val="none"/>
        </w:rPr>
      </w:pPr>
      <w:r>
        <w:rPr>
          <w:rFonts w:hint="eastAsia"/>
          <w:color w:val="auto"/>
          <w:sz w:val="24"/>
          <w:highlight w:val="none"/>
        </w:rPr>
        <w:t>制造商所属性别请填写“男”或“女”， 指拥有制造商 51%以上绝对所有权的性别；绝对所有权拥有者可以是一个人，也可以是多人合计计算。</w:t>
      </w:r>
    </w:p>
    <w:p w14:paraId="3C6FF75F">
      <w:pPr>
        <w:autoSpaceDE w:val="0"/>
        <w:autoSpaceDN w:val="0"/>
        <w:adjustRightInd w:val="0"/>
        <w:snapToGrid w:val="0"/>
        <w:spacing w:before="25" w:after="25" w:line="360" w:lineRule="auto"/>
        <w:ind w:firstLine="480" w:firstLineChars="200"/>
        <w:rPr>
          <w:color w:val="auto"/>
          <w:sz w:val="24"/>
          <w:highlight w:val="none"/>
        </w:rPr>
      </w:pPr>
      <w:r>
        <w:rPr>
          <w:rFonts w:hint="eastAsia"/>
          <w:color w:val="auto"/>
          <w:sz w:val="24"/>
          <w:highlight w:val="none"/>
        </w:rPr>
        <w:t>外商投资类型请填写“外商单独投资”、“外商部分投资”或“内资”</w:t>
      </w:r>
    </w:p>
    <w:p w14:paraId="7183492B">
      <w:pPr>
        <w:autoSpaceDE w:val="0"/>
        <w:autoSpaceDN w:val="0"/>
        <w:adjustRightInd w:val="0"/>
        <w:snapToGrid w:val="0"/>
        <w:spacing w:before="25" w:after="25" w:line="360" w:lineRule="auto"/>
        <w:rPr>
          <w:color w:val="auto"/>
          <w:sz w:val="24"/>
          <w:highlight w:val="none"/>
        </w:rPr>
      </w:pPr>
    </w:p>
    <w:p w14:paraId="530DAC97">
      <w:pPr>
        <w:autoSpaceDE w:val="0"/>
        <w:autoSpaceDN w:val="0"/>
        <w:adjustRightInd w:val="0"/>
        <w:snapToGrid w:val="0"/>
        <w:spacing w:before="25" w:after="25" w:line="360" w:lineRule="auto"/>
        <w:rPr>
          <w:color w:val="auto"/>
          <w:sz w:val="24"/>
          <w:highlight w:val="none"/>
        </w:rPr>
      </w:pPr>
    </w:p>
    <w:p w14:paraId="7B9D50AC">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330EDCB8">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5F6E606C">
      <w:pPr>
        <w:rPr>
          <w:rFonts w:hint="eastAsia"/>
          <w:color w:val="auto"/>
          <w:sz w:val="24"/>
          <w:highlight w:val="none"/>
        </w:rPr>
      </w:pPr>
      <w:r>
        <w:rPr>
          <w:rFonts w:hint="eastAsia"/>
          <w:color w:val="auto"/>
          <w:sz w:val="24"/>
          <w:highlight w:val="none"/>
        </w:rPr>
        <w:br w:type="page"/>
      </w:r>
    </w:p>
    <w:p w14:paraId="14CD2CBA">
      <w:pPr>
        <w:pStyle w:val="60"/>
        <w:rPr>
          <w:rFonts w:hint="eastAsia"/>
          <w:color w:val="auto"/>
          <w:highlight w:val="none"/>
        </w:rPr>
        <w:sectPr>
          <w:type w:val="continuous"/>
          <w:pgSz w:w="11907" w:h="16840"/>
          <w:pgMar w:top="1418" w:right="1166"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673EBE5D">
      <w:pPr>
        <w:autoSpaceDE w:val="0"/>
        <w:autoSpaceDN w:val="0"/>
        <w:adjustRightInd w:val="0"/>
        <w:snapToGrid w:val="0"/>
        <w:spacing w:before="25" w:after="25" w:line="480" w:lineRule="auto"/>
        <w:rPr>
          <w:color w:val="auto"/>
          <w:sz w:val="24"/>
          <w:szCs w:val="20"/>
          <w:highlight w:val="none"/>
        </w:rPr>
      </w:pPr>
      <w:bookmarkStart w:id="987" w:name="_Toc265228400"/>
      <w:bookmarkStart w:id="988" w:name="_Toc150774765"/>
      <w:bookmarkStart w:id="989" w:name="_Toc142311062"/>
      <w:bookmarkStart w:id="990" w:name="_Toc305158830"/>
      <w:bookmarkStart w:id="991" w:name="_Toc226337258"/>
      <w:bookmarkStart w:id="992" w:name="_Toc226965752"/>
      <w:bookmarkStart w:id="993" w:name="_Toc305158904"/>
      <w:bookmarkStart w:id="994" w:name="_Toc226965835"/>
      <w:bookmarkStart w:id="995" w:name="_Toc150480798"/>
      <w:bookmarkStart w:id="996" w:name="_Toc264969252"/>
      <w:bookmarkStart w:id="997" w:name="_Toc226309806"/>
      <w:bookmarkStart w:id="998" w:name="_Toc195842927"/>
      <w:bookmarkStart w:id="999" w:name="_Toc127151562"/>
      <w:bookmarkStart w:id="1000" w:name="_Toc226309805"/>
      <w:bookmarkStart w:id="1001" w:name="_Toc265228399"/>
      <w:bookmarkStart w:id="1002" w:name="_Toc195842926"/>
      <w:bookmarkStart w:id="1003" w:name="_Toc226965834"/>
      <w:bookmarkStart w:id="1004" w:name="_Toc305158829"/>
      <w:bookmarkStart w:id="1005" w:name="_Toc226965751"/>
      <w:bookmarkStart w:id="1006" w:name="_Toc127151561"/>
      <w:bookmarkStart w:id="1007" w:name="_Toc150774764"/>
      <w:bookmarkStart w:id="1008" w:name="_Toc142311061"/>
      <w:bookmarkStart w:id="1009" w:name="_Toc305158903"/>
      <w:bookmarkStart w:id="1010" w:name="_Toc264969251"/>
      <w:bookmarkStart w:id="1011" w:name="_Toc226337257"/>
      <w:bookmarkStart w:id="1012" w:name="_Toc150480797"/>
      <w:r>
        <w:rPr>
          <w:color w:val="auto"/>
          <w:sz w:val="24"/>
          <w:szCs w:val="20"/>
          <w:highlight w:val="none"/>
        </w:rPr>
        <w:t>5  合同条款偏离表</w:t>
      </w:r>
      <w:bookmarkEnd w:id="987"/>
      <w:bookmarkEnd w:id="988"/>
      <w:bookmarkEnd w:id="989"/>
      <w:bookmarkEnd w:id="990"/>
      <w:bookmarkEnd w:id="991"/>
      <w:bookmarkEnd w:id="992"/>
      <w:bookmarkEnd w:id="993"/>
      <w:bookmarkEnd w:id="994"/>
      <w:bookmarkEnd w:id="995"/>
      <w:bookmarkEnd w:id="996"/>
      <w:bookmarkEnd w:id="997"/>
      <w:bookmarkEnd w:id="998"/>
      <w:bookmarkEnd w:id="999"/>
      <w:r>
        <w:rPr>
          <w:color w:val="auto"/>
          <w:sz w:val="24"/>
          <w:szCs w:val="20"/>
          <w:highlight w:val="none"/>
        </w:rPr>
        <w:t>（实质性格式）</w:t>
      </w:r>
    </w:p>
    <w:p w14:paraId="1747B9E5">
      <w:pPr>
        <w:tabs>
          <w:tab w:val="left" w:pos="2775"/>
          <w:tab w:val="center" w:pos="4153"/>
        </w:tabs>
        <w:autoSpaceDE w:val="0"/>
        <w:autoSpaceDN w:val="0"/>
        <w:adjustRightInd w:val="0"/>
        <w:spacing w:line="360" w:lineRule="auto"/>
        <w:jc w:val="center"/>
        <w:rPr>
          <w:b/>
          <w:color w:val="auto"/>
          <w:sz w:val="32"/>
          <w:szCs w:val="32"/>
          <w:highlight w:val="none"/>
        </w:rPr>
      </w:pPr>
      <w:r>
        <w:rPr>
          <w:rFonts w:hint="eastAsia"/>
          <w:b/>
          <w:color w:val="auto"/>
          <w:sz w:val="32"/>
          <w:szCs w:val="32"/>
          <w:highlight w:val="none"/>
        </w:rPr>
        <w:t>合同条款偏离表</w:t>
      </w:r>
    </w:p>
    <w:p w14:paraId="701011F4">
      <w:pPr>
        <w:tabs>
          <w:tab w:val="left" w:pos="1800"/>
          <w:tab w:val="left" w:pos="5580"/>
        </w:tabs>
        <w:spacing w:line="360" w:lineRule="auto"/>
        <w:ind w:firstLine="360" w:firstLineChars="150"/>
        <w:jc w:val="left"/>
        <w:rPr>
          <w:color w:val="auto"/>
          <w:sz w:val="24"/>
          <w:highlight w:val="none"/>
        </w:rPr>
      </w:pPr>
      <w:r>
        <w:rPr>
          <w:color w:val="auto"/>
          <w:sz w:val="24"/>
          <w:highlight w:val="none"/>
        </w:rPr>
        <w:t>项目编号</w:t>
      </w:r>
      <w:r>
        <w:rPr>
          <w:rFonts w:hint="eastAsia"/>
          <w:color w:val="auto"/>
          <w:sz w:val="24"/>
          <w:highlight w:val="none"/>
          <w:lang w:eastAsia="zh-CN"/>
        </w:rPr>
        <w:t>：</w:t>
      </w:r>
      <w:r>
        <w:rPr>
          <w:color w:val="auto"/>
          <w:sz w:val="24"/>
          <w:highlight w:val="none"/>
        </w:rPr>
        <w:t>__________</w:t>
      </w:r>
      <w:r>
        <w:rPr>
          <w:rFonts w:hint="eastAsia"/>
          <w:color w:val="auto"/>
          <w:sz w:val="24"/>
          <w:highlight w:val="none"/>
          <w:lang w:val="en-US" w:eastAsia="zh-CN"/>
        </w:rPr>
        <w:t xml:space="preserve">    </w:t>
      </w:r>
      <w:r>
        <w:rPr>
          <w:color w:val="auto"/>
          <w:sz w:val="24"/>
          <w:highlight w:val="none"/>
        </w:rPr>
        <w:t xml:space="preserve">     项目名称：_____________</w:t>
      </w:r>
    </w:p>
    <w:tbl>
      <w:tblPr>
        <w:tblStyle w:val="46"/>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72"/>
        <w:gridCol w:w="1676"/>
        <w:gridCol w:w="1676"/>
        <w:gridCol w:w="1876"/>
        <w:gridCol w:w="1133"/>
      </w:tblGrid>
      <w:tr w14:paraId="32F5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15FE8857">
            <w:pPr>
              <w:adjustRightInd w:val="0"/>
              <w:snapToGrid w:val="0"/>
              <w:jc w:val="center"/>
              <w:rPr>
                <w:color w:val="auto"/>
                <w:sz w:val="24"/>
                <w:highlight w:val="none"/>
              </w:rPr>
            </w:pPr>
            <w:bookmarkStart w:id="1013" w:name="_Hlk144279231"/>
            <w:r>
              <w:rPr>
                <w:color w:val="auto"/>
                <w:sz w:val="24"/>
                <w:highlight w:val="none"/>
              </w:rPr>
              <w:t>序号</w:t>
            </w:r>
          </w:p>
        </w:tc>
        <w:tc>
          <w:tcPr>
            <w:tcW w:w="1772" w:type="dxa"/>
            <w:vAlign w:val="center"/>
          </w:tcPr>
          <w:p w14:paraId="20CFBD12">
            <w:pPr>
              <w:adjustRightInd w:val="0"/>
              <w:snapToGrid w:val="0"/>
              <w:jc w:val="center"/>
              <w:rPr>
                <w:color w:val="auto"/>
                <w:sz w:val="24"/>
                <w:highlight w:val="none"/>
              </w:rPr>
            </w:pPr>
            <w:r>
              <w:rPr>
                <w:color w:val="auto"/>
                <w:sz w:val="24"/>
                <w:szCs w:val="21"/>
                <w:highlight w:val="none"/>
              </w:rPr>
              <w:t>招标文件</w:t>
            </w:r>
            <w:r>
              <w:rPr>
                <w:color w:val="auto"/>
                <w:sz w:val="24"/>
                <w:highlight w:val="none"/>
              </w:rPr>
              <w:t>条目号（页码）</w:t>
            </w:r>
          </w:p>
        </w:tc>
        <w:tc>
          <w:tcPr>
            <w:tcW w:w="1676" w:type="dxa"/>
            <w:vAlign w:val="center"/>
          </w:tcPr>
          <w:p w14:paraId="0DB10829">
            <w:pPr>
              <w:adjustRightInd w:val="0"/>
              <w:snapToGrid w:val="0"/>
              <w:jc w:val="center"/>
              <w:rPr>
                <w:color w:val="auto"/>
                <w:sz w:val="24"/>
                <w:highlight w:val="none"/>
              </w:rPr>
            </w:pPr>
            <w:r>
              <w:rPr>
                <w:color w:val="auto"/>
                <w:sz w:val="24"/>
                <w:szCs w:val="21"/>
                <w:highlight w:val="none"/>
              </w:rPr>
              <w:t>招标文件</w:t>
            </w:r>
            <w:r>
              <w:rPr>
                <w:color w:val="auto"/>
                <w:sz w:val="24"/>
                <w:highlight w:val="none"/>
              </w:rPr>
              <w:t>要求</w:t>
            </w:r>
          </w:p>
        </w:tc>
        <w:tc>
          <w:tcPr>
            <w:tcW w:w="1676" w:type="dxa"/>
            <w:vAlign w:val="center"/>
          </w:tcPr>
          <w:p w14:paraId="543AC3C5">
            <w:pPr>
              <w:adjustRightInd w:val="0"/>
              <w:snapToGrid w:val="0"/>
              <w:jc w:val="center"/>
              <w:rPr>
                <w:color w:val="auto"/>
                <w:sz w:val="24"/>
                <w:highlight w:val="none"/>
              </w:rPr>
            </w:pPr>
            <w:r>
              <w:rPr>
                <w:color w:val="auto"/>
                <w:sz w:val="24"/>
                <w:highlight w:val="none"/>
              </w:rPr>
              <w:t>投标文件内容</w:t>
            </w:r>
          </w:p>
        </w:tc>
        <w:tc>
          <w:tcPr>
            <w:tcW w:w="1876" w:type="dxa"/>
            <w:vAlign w:val="center"/>
          </w:tcPr>
          <w:p w14:paraId="063D2E88">
            <w:pPr>
              <w:adjustRightInd w:val="0"/>
              <w:snapToGrid w:val="0"/>
              <w:jc w:val="center"/>
              <w:rPr>
                <w:color w:val="auto"/>
                <w:sz w:val="24"/>
                <w:highlight w:val="none"/>
              </w:rPr>
            </w:pPr>
            <w:r>
              <w:rPr>
                <w:color w:val="auto"/>
                <w:sz w:val="24"/>
                <w:highlight w:val="none"/>
              </w:rPr>
              <w:t>偏离情况</w:t>
            </w:r>
          </w:p>
        </w:tc>
        <w:tc>
          <w:tcPr>
            <w:tcW w:w="1133" w:type="dxa"/>
            <w:vAlign w:val="center"/>
          </w:tcPr>
          <w:p w14:paraId="7EC65146">
            <w:pPr>
              <w:adjustRightInd w:val="0"/>
              <w:snapToGrid w:val="0"/>
              <w:jc w:val="center"/>
              <w:rPr>
                <w:color w:val="auto"/>
                <w:sz w:val="24"/>
                <w:highlight w:val="none"/>
              </w:rPr>
            </w:pPr>
            <w:r>
              <w:rPr>
                <w:color w:val="auto"/>
                <w:sz w:val="24"/>
                <w:highlight w:val="none"/>
              </w:rPr>
              <w:t>说明</w:t>
            </w:r>
          </w:p>
        </w:tc>
      </w:tr>
      <w:tr w14:paraId="7A4E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7" w:type="dxa"/>
            <w:gridSpan w:val="6"/>
            <w:vAlign w:val="center"/>
          </w:tcPr>
          <w:p w14:paraId="37C566CB">
            <w:pPr>
              <w:adjustRightInd w:val="0"/>
              <w:snapToGrid w:val="0"/>
              <w:jc w:val="left"/>
              <w:rPr>
                <w:bCs/>
                <w:color w:val="auto"/>
                <w:sz w:val="24"/>
                <w:highlight w:val="none"/>
              </w:rPr>
            </w:pPr>
            <w:r>
              <w:rPr>
                <w:b/>
                <w:color w:val="auto"/>
                <w:sz w:val="24"/>
                <w:highlight w:val="none"/>
              </w:rPr>
              <w:t>对本项目合同条款的偏离情况</w:t>
            </w:r>
            <w:r>
              <w:rPr>
                <w:bCs/>
                <w:color w:val="auto"/>
                <w:sz w:val="24"/>
                <w:highlight w:val="none"/>
              </w:rPr>
              <w:t>（</w:t>
            </w:r>
            <w:r>
              <w:rPr>
                <w:rFonts w:hint="eastAsia"/>
                <w:bCs/>
                <w:color w:val="auto"/>
                <w:sz w:val="24"/>
                <w:highlight w:val="none"/>
              </w:rPr>
              <w:t>应</w:t>
            </w:r>
            <w:r>
              <w:rPr>
                <w:bCs/>
                <w:color w:val="auto"/>
                <w:sz w:val="24"/>
                <w:highlight w:val="none"/>
              </w:rPr>
              <w:t>进行选择</w:t>
            </w:r>
            <w:r>
              <w:rPr>
                <w:rFonts w:hint="eastAsia"/>
                <w:bCs/>
                <w:color w:val="auto"/>
                <w:sz w:val="24"/>
                <w:highlight w:val="none"/>
              </w:rPr>
              <w:t>，未选择</w:t>
            </w:r>
            <w:r>
              <w:rPr>
                <w:rFonts w:hint="eastAsia"/>
                <w:b/>
                <w:color w:val="auto"/>
                <w:sz w:val="24"/>
                <w:highlight w:val="none"/>
              </w:rPr>
              <w:t>投标无效</w:t>
            </w:r>
            <w:r>
              <w:rPr>
                <w:bCs/>
                <w:color w:val="auto"/>
                <w:sz w:val="24"/>
                <w:highlight w:val="none"/>
              </w:rPr>
              <w:t>）：</w:t>
            </w:r>
          </w:p>
          <w:p w14:paraId="2029F9CA">
            <w:pPr>
              <w:adjustRightInd w:val="0"/>
              <w:snapToGrid w:val="0"/>
              <w:jc w:val="left"/>
              <w:rPr>
                <w:color w:val="auto"/>
                <w:sz w:val="24"/>
                <w:highlight w:val="none"/>
              </w:rPr>
            </w:pPr>
            <w:r>
              <w:rPr>
                <w:b/>
                <w:color w:val="auto"/>
                <w:sz w:val="24"/>
                <w:highlight w:val="none"/>
              </w:rPr>
              <w:t>□无偏离</w:t>
            </w:r>
            <w:r>
              <w:rPr>
                <w:color w:val="auto"/>
                <w:sz w:val="24"/>
                <w:highlight w:val="none"/>
              </w:rPr>
              <w:t>（</w:t>
            </w:r>
            <w:r>
              <w:rPr>
                <w:color w:val="auto"/>
                <w:sz w:val="24"/>
                <w:szCs w:val="21"/>
                <w:highlight w:val="none"/>
              </w:rPr>
              <w:t>如无偏离，仅选择无偏离即可</w:t>
            </w:r>
            <w:r>
              <w:rPr>
                <w:rFonts w:hint="eastAsia"/>
                <w:color w:val="auto"/>
                <w:sz w:val="24"/>
                <w:szCs w:val="21"/>
                <w:highlight w:val="none"/>
              </w:rPr>
              <w:t>；</w:t>
            </w:r>
            <w:r>
              <w:rPr>
                <w:rFonts w:hint="eastAsia"/>
                <w:bCs/>
                <w:color w:val="auto"/>
                <w:sz w:val="24"/>
                <w:highlight w:val="none"/>
              </w:rPr>
              <w:t>无偏离即为</w:t>
            </w:r>
            <w:r>
              <w:rPr>
                <w:color w:val="auto"/>
                <w:sz w:val="24"/>
                <w:highlight w:val="none"/>
              </w:rPr>
              <w:t>对合同条款中的所有要求</w:t>
            </w:r>
            <w:r>
              <w:rPr>
                <w:rFonts w:hint="eastAsia"/>
                <w:color w:val="auto"/>
                <w:sz w:val="24"/>
                <w:highlight w:val="none"/>
              </w:rPr>
              <w:t>，</w:t>
            </w:r>
            <w:r>
              <w:rPr>
                <w:color w:val="auto"/>
                <w:sz w:val="24"/>
                <w:highlight w:val="none"/>
              </w:rPr>
              <w:t>均视作供应商已对之理解和响应。）</w:t>
            </w:r>
          </w:p>
          <w:p w14:paraId="55C91831">
            <w:pPr>
              <w:adjustRightInd w:val="0"/>
              <w:snapToGrid w:val="0"/>
              <w:jc w:val="left"/>
              <w:rPr>
                <w:color w:val="auto"/>
                <w:sz w:val="24"/>
                <w:highlight w:val="none"/>
              </w:rPr>
            </w:pPr>
            <w:r>
              <w:rPr>
                <w:b/>
                <w:color w:val="auto"/>
                <w:sz w:val="24"/>
                <w:highlight w:val="none"/>
              </w:rPr>
              <w:t>□有偏离</w:t>
            </w:r>
            <w:r>
              <w:rPr>
                <w:color w:val="auto"/>
                <w:sz w:val="24"/>
                <w:highlight w:val="none"/>
              </w:rPr>
              <w:t>（</w:t>
            </w:r>
            <w:r>
              <w:rPr>
                <w:color w:val="auto"/>
                <w:sz w:val="24"/>
                <w:szCs w:val="21"/>
                <w:highlight w:val="none"/>
              </w:rPr>
              <w:t>如有偏离，</w:t>
            </w:r>
            <w:r>
              <w:rPr>
                <w:color w:val="auto"/>
                <w:sz w:val="24"/>
                <w:highlight w:val="none"/>
              </w:rPr>
              <w:t>则</w:t>
            </w:r>
            <w:r>
              <w:rPr>
                <w:rFonts w:hint="eastAsia"/>
                <w:color w:val="auto"/>
                <w:sz w:val="24"/>
                <w:highlight w:val="none"/>
              </w:rPr>
              <w:t>应</w:t>
            </w:r>
            <w:r>
              <w:rPr>
                <w:color w:val="auto"/>
                <w:sz w:val="24"/>
                <w:highlight w:val="none"/>
              </w:rPr>
              <w:t>在本表中对偏离项逐一列明</w:t>
            </w:r>
            <w:r>
              <w:rPr>
                <w:rFonts w:hint="eastAsia"/>
                <w:color w:val="auto"/>
                <w:sz w:val="24"/>
                <w:highlight w:val="none"/>
              </w:rPr>
              <w:t>，否则</w:t>
            </w:r>
            <w:r>
              <w:rPr>
                <w:rFonts w:hint="eastAsia"/>
                <w:b/>
                <w:bCs/>
                <w:color w:val="auto"/>
                <w:sz w:val="24"/>
                <w:highlight w:val="none"/>
              </w:rPr>
              <w:t>投标无效</w:t>
            </w:r>
            <w:r>
              <w:rPr>
                <w:color w:val="auto"/>
                <w:sz w:val="24"/>
                <w:highlight w:val="none"/>
              </w:rPr>
              <w:t>；对合同条款中的所有要求，除本表列明的偏离外，均视作供应商已对之理解和响应。）</w:t>
            </w:r>
          </w:p>
        </w:tc>
      </w:tr>
      <w:tr w14:paraId="0AF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7B0B5B26">
            <w:pPr>
              <w:adjustRightInd w:val="0"/>
              <w:snapToGrid w:val="0"/>
              <w:jc w:val="center"/>
              <w:rPr>
                <w:color w:val="auto"/>
                <w:sz w:val="24"/>
                <w:highlight w:val="none"/>
              </w:rPr>
            </w:pPr>
          </w:p>
        </w:tc>
        <w:tc>
          <w:tcPr>
            <w:tcW w:w="1772" w:type="dxa"/>
            <w:vAlign w:val="center"/>
          </w:tcPr>
          <w:p w14:paraId="1C4F22F1">
            <w:pPr>
              <w:adjustRightInd w:val="0"/>
              <w:snapToGrid w:val="0"/>
              <w:jc w:val="center"/>
              <w:rPr>
                <w:color w:val="auto"/>
                <w:sz w:val="24"/>
                <w:highlight w:val="none"/>
              </w:rPr>
            </w:pPr>
          </w:p>
        </w:tc>
        <w:tc>
          <w:tcPr>
            <w:tcW w:w="1676" w:type="dxa"/>
            <w:vAlign w:val="center"/>
          </w:tcPr>
          <w:p w14:paraId="4A6A8198">
            <w:pPr>
              <w:adjustRightInd w:val="0"/>
              <w:snapToGrid w:val="0"/>
              <w:jc w:val="center"/>
              <w:rPr>
                <w:color w:val="auto"/>
                <w:sz w:val="24"/>
                <w:highlight w:val="none"/>
              </w:rPr>
            </w:pPr>
          </w:p>
        </w:tc>
        <w:tc>
          <w:tcPr>
            <w:tcW w:w="1676" w:type="dxa"/>
            <w:vAlign w:val="center"/>
          </w:tcPr>
          <w:p w14:paraId="199A648A">
            <w:pPr>
              <w:adjustRightInd w:val="0"/>
              <w:snapToGrid w:val="0"/>
              <w:jc w:val="center"/>
              <w:rPr>
                <w:color w:val="auto"/>
                <w:sz w:val="24"/>
                <w:highlight w:val="none"/>
              </w:rPr>
            </w:pPr>
          </w:p>
        </w:tc>
        <w:tc>
          <w:tcPr>
            <w:tcW w:w="1876" w:type="dxa"/>
            <w:vAlign w:val="center"/>
          </w:tcPr>
          <w:p w14:paraId="44266856">
            <w:pPr>
              <w:adjustRightInd w:val="0"/>
              <w:snapToGrid w:val="0"/>
              <w:jc w:val="center"/>
              <w:rPr>
                <w:color w:val="auto"/>
                <w:sz w:val="24"/>
                <w:highlight w:val="none"/>
              </w:rPr>
            </w:pPr>
          </w:p>
        </w:tc>
        <w:tc>
          <w:tcPr>
            <w:tcW w:w="1133" w:type="dxa"/>
            <w:vAlign w:val="center"/>
          </w:tcPr>
          <w:p w14:paraId="161717AC">
            <w:pPr>
              <w:adjustRightInd w:val="0"/>
              <w:snapToGrid w:val="0"/>
              <w:jc w:val="center"/>
              <w:rPr>
                <w:color w:val="auto"/>
                <w:sz w:val="24"/>
                <w:highlight w:val="none"/>
              </w:rPr>
            </w:pPr>
          </w:p>
        </w:tc>
      </w:tr>
      <w:tr w14:paraId="681B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00E19AB4">
            <w:pPr>
              <w:adjustRightInd w:val="0"/>
              <w:snapToGrid w:val="0"/>
              <w:jc w:val="center"/>
              <w:rPr>
                <w:color w:val="auto"/>
                <w:sz w:val="24"/>
                <w:highlight w:val="none"/>
              </w:rPr>
            </w:pPr>
          </w:p>
        </w:tc>
        <w:tc>
          <w:tcPr>
            <w:tcW w:w="1772" w:type="dxa"/>
            <w:vAlign w:val="center"/>
          </w:tcPr>
          <w:p w14:paraId="4CDA2EE9">
            <w:pPr>
              <w:adjustRightInd w:val="0"/>
              <w:snapToGrid w:val="0"/>
              <w:jc w:val="center"/>
              <w:rPr>
                <w:color w:val="auto"/>
                <w:sz w:val="24"/>
                <w:highlight w:val="none"/>
              </w:rPr>
            </w:pPr>
          </w:p>
        </w:tc>
        <w:tc>
          <w:tcPr>
            <w:tcW w:w="1676" w:type="dxa"/>
            <w:vAlign w:val="center"/>
          </w:tcPr>
          <w:p w14:paraId="744B4442">
            <w:pPr>
              <w:adjustRightInd w:val="0"/>
              <w:snapToGrid w:val="0"/>
              <w:jc w:val="center"/>
              <w:rPr>
                <w:color w:val="auto"/>
                <w:sz w:val="24"/>
                <w:highlight w:val="none"/>
              </w:rPr>
            </w:pPr>
          </w:p>
        </w:tc>
        <w:tc>
          <w:tcPr>
            <w:tcW w:w="1676" w:type="dxa"/>
            <w:vAlign w:val="center"/>
          </w:tcPr>
          <w:p w14:paraId="4CF9847A">
            <w:pPr>
              <w:adjustRightInd w:val="0"/>
              <w:snapToGrid w:val="0"/>
              <w:jc w:val="center"/>
              <w:rPr>
                <w:color w:val="auto"/>
                <w:sz w:val="24"/>
                <w:highlight w:val="none"/>
              </w:rPr>
            </w:pPr>
          </w:p>
        </w:tc>
        <w:tc>
          <w:tcPr>
            <w:tcW w:w="1876" w:type="dxa"/>
            <w:vAlign w:val="center"/>
          </w:tcPr>
          <w:p w14:paraId="66A3B846">
            <w:pPr>
              <w:adjustRightInd w:val="0"/>
              <w:snapToGrid w:val="0"/>
              <w:jc w:val="center"/>
              <w:rPr>
                <w:color w:val="auto"/>
                <w:sz w:val="24"/>
                <w:highlight w:val="none"/>
              </w:rPr>
            </w:pPr>
          </w:p>
        </w:tc>
        <w:tc>
          <w:tcPr>
            <w:tcW w:w="1133" w:type="dxa"/>
            <w:vAlign w:val="center"/>
          </w:tcPr>
          <w:p w14:paraId="5CC31015">
            <w:pPr>
              <w:adjustRightInd w:val="0"/>
              <w:snapToGrid w:val="0"/>
              <w:jc w:val="center"/>
              <w:rPr>
                <w:color w:val="auto"/>
                <w:sz w:val="24"/>
                <w:highlight w:val="none"/>
              </w:rPr>
            </w:pPr>
          </w:p>
        </w:tc>
      </w:tr>
      <w:tr w14:paraId="6505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2377805A">
            <w:pPr>
              <w:adjustRightInd w:val="0"/>
              <w:snapToGrid w:val="0"/>
              <w:jc w:val="center"/>
              <w:rPr>
                <w:color w:val="auto"/>
                <w:sz w:val="24"/>
                <w:highlight w:val="none"/>
              </w:rPr>
            </w:pPr>
          </w:p>
        </w:tc>
        <w:tc>
          <w:tcPr>
            <w:tcW w:w="1772" w:type="dxa"/>
            <w:vAlign w:val="center"/>
          </w:tcPr>
          <w:p w14:paraId="08ADFF6D">
            <w:pPr>
              <w:adjustRightInd w:val="0"/>
              <w:snapToGrid w:val="0"/>
              <w:jc w:val="center"/>
              <w:rPr>
                <w:color w:val="auto"/>
                <w:sz w:val="24"/>
                <w:highlight w:val="none"/>
              </w:rPr>
            </w:pPr>
          </w:p>
        </w:tc>
        <w:tc>
          <w:tcPr>
            <w:tcW w:w="1676" w:type="dxa"/>
            <w:vAlign w:val="center"/>
          </w:tcPr>
          <w:p w14:paraId="7AD7EE53">
            <w:pPr>
              <w:adjustRightInd w:val="0"/>
              <w:snapToGrid w:val="0"/>
              <w:jc w:val="center"/>
              <w:rPr>
                <w:color w:val="auto"/>
                <w:sz w:val="24"/>
                <w:highlight w:val="none"/>
              </w:rPr>
            </w:pPr>
          </w:p>
        </w:tc>
        <w:tc>
          <w:tcPr>
            <w:tcW w:w="1676" w:type="dxa"/>
            <w:vAlign w:val="center"/>
          </w:tcPr>
          <w:p w14:paraId="2D193EF1">
            <w:pPr>
              <w:adjustRightInd w:val="0"/>
              <w:snapToGrid w:val="0"/>
              <w:jc w:val="center"/>
              <w:rPr>
                <w:color w:val="auto"/>
                <w:sz w:val="24"/>
                <w:highlight w:val="none"/>
              </w:rPr>
            </w:pPr>
          </w:p>
        </w:tc>
        <w:tc>
          <w:tcPr>
            <w:tcW w:w="1876" w:type="dxa"/>
            <w:vAlign w:val="center"/>
          </w:tcPr>
          <w:p w14:paraId="6866AA8D">
            <w:pPr>
              <w:adjustRightInd w:val="0"/>
              <w:snapToGrid w:val="0"/>
              <w:jc w:val="center"/>
              <w:rPr>
                <w:color w:val="auto"/>
                <w:sz w:val="24"/>
                <w:highlight w:val="none"/>
              </w:rPr>
            </w:pPr>
          </w:p>
        </w:tc>
        <w:tc>
          <w:tcPr>
            <w:tcW w:w="1133" w:type="dxa"/>
            <w:vAlign w:val="center"/>
          </w:tcPr>
          <w:p w14:paraId="6445E4A3">
            <w:pPr>
              <w:adjustRightInd w:val="0"/>
              <w:snapToGrid w:val="0"/>
              <w:jc w:val="center"/>
              <w:rPr>
                <w:color w:val="auto"/>
                <w:sz w:val="24"/>
                <w:highlight w:val="none"/>
              </w:rPr>
            </w:pPr>
          </w:p>
        </w:tc>
      </w:tr>
      <w:tr w14:paraId="0174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54" w:type="dxa"/>
            <w:vAlign w:val="center"/>
          </w:tcPr>
          <w:p w14:paraId="3FF07B2A">
            <w:pPr>
              <w:adjustRightInd w:val="0"/>
              <w:snapToGrid w:val="0"/>
              <w:jc w:val="center"/>
              <w:rPr>
                <w:color w:val="auto"/>
                <w:sz w:val="24"/>
                <w:highlight w:val="none"/>
              </w:rPr>
            </w:pPr>
          </w:p>
        </w:tc>
        <w:tc>
          <w:tcPr>
            <w:tcW w:w="1772" w:type="dxa"/>
            <w:vAlign w:val="center"/>
          </w:tcPr>
          <w:p w14:paraId="173AAE91">
            <w:pPr>
              <w:adjustRightInd w:val="0"/>
              <w:snapToGrid w:val="0"/>
              <w:jc w:val="center"/>
              <w:rPr>
                <w:color w:val="auto"/>
                <w:sz w:val="24"/>
                <w:highlight w:val="none"/>
              </w:rPr>
            </w:pPr>
          </w:p>
        </w:tc>
        <w:tc>
          <w:tcPr>
            <w:tcW w:w="1676" w:type="dxa"/>
            <w:vAlign w:val="center"/>
          </w:tcPr>
          <w:p w14:paraId="45051289">
            <w:pPr>
              <w:adjustRightInd w:val="0"/>
              <w:snapToGrid w:val="0"/>
              <w:jc w:val="center"/>
              <w:rPr>
                <w:color w:val="auto"/>
                <w:sz w:val="24"/>
                <w:highlight w:val="none"/>
              </w:rPr>
            </w:pPr>
          </w:p>
        </w:tc>
        <w:tc>
          <w:tcPr>
            <w:tcW w:w="1676" w:type="dxa"/>
            <w:vAlign w:val="center"/>
          </w:tcPr>
          <w:p w14:paraId="02E22F58">
            <w:pPr>
              <w:adjustRightInd w:val="0"/>
              <w:snapToGrid w:val="0"/>
              <w:jc w:val="center"/>
              <w:rPr>
                <w:color w:val="auto"/>
                <w:sz w:val="24"/>
                <w:highlight w:val="none"/>
              </w:rPr>
            </w:pPr>
          </w:p>
        </w:tc>
        <w:tc>
          <w:tcPr>
            <w:tcW w:w="1876" w:type="dxa"/>
            <w:vAlign w:val="center"/>
          </w:tcPr>
          <w:p w14:paraId="64DDD106">
            <w:pPr>
              <w:adjustRightInd w:val="0"/>
              <w:snapToGrid w:val="0"/>
              <w:jc w:val="center"/>
              <w:rPr>
                <w:color w:val="auto"/>
                <w:sz w:val="24"/>
                <w:highlight w:val="none"/>
              </w:rPr>
            </w:pPr>
          </w:p>
        </w:tc>
        <w:tc>
          <w:tcPr>
            <w:tcW w:w="1133" w:type="dxa"/>
            <w:vAlign w:val="center"/>
          </w:tcPr>
          <w:p w14:paraId="575CFA0E">
            <w:pPr>
              <w:adjustRightInd w:val="0"/>
              <w:snapToGrid w:val="0"/>
              <w:jc w:val="center"/>
              <w:rPr>
                <w:color w:val="auto"/>
                <w:sz w:val="24"/>
                <w:highlight w:val="none"/>
              </w:rPr>
            </w:pPr>
          </w:p>
        </w:tc>
      </w:tr>
      <w:bookmarkEnd w:id="1013"/>
    </w:tbl>
    <w:p w14:paraId="42B9DF3E">
      <w:pPr>
        <w:tabs>
          <w:tab w:val="left" w:pos="1800"/>
          <w:tab w:val="left" w:pos="5580"/>
        </w:tabs>
        <w:jc w:val="left"/>
        <w:rPr>
          <w:color w:val="auto"/>
          <w:sz w:val="24"/>
          <w:highlight w:val="none"/>
        </w:rPr>
      </w:pPr>
    </w:p>
    <w:p w14:paraId="2058BBBA">
      <w:pPr>
        <w:tabs>
          <w:tab w:val="left" w:pos="1800"/>
          <w:tab w:val="left" w:pos="5580"/>
        </w:tabs>
        <w:jc w:val="left"/>
        <w:rPr>
          <w:color w:val="auto"/>
          <w:sz w:val="24"/>
          <w:highlight w:val="none"/>
        </w:rPr>
      </w:pPr>
      <w:r>
        <w:rPr>
          <w:color w:val="auto"/>
          <w:sz w:val="24"/>
          <w:highlight w:val="none"/>
        </w:rPr>
        <w:t>注：“偏离情况”列应据实填写“正偏离”或“负偏离”。</w:t>
      </w:r>
    </w:p>
    <w:p w14:paraId="09D170CE">
      <w:pPr>
        <w:spacing w:line="360" w:lineRule="auto"/>
        <w:rPr>
          <w:color w:val="auto"/>
          <w:sz w:val="24"/>
          <w:szCs w:val="20"/>
          <w:highlight w:val="none"/>
        </w:rPr>
      </w:pPr>
    </w:p>
    <w:p w14:paraId="24579DF3">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4B10D724">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w:t>
      </w:r>
    </w:p>
    <w:p w14:paraId="09498056">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5E8A78E6">
      <w:pPr>
        <w:spacing w:line="360" w:lineRule="auto"/>
        <w:outlineLvl w:val="2"/>
        <w:rPr>
          <w:color w:val="auto"/>
          <w:sz w:val="24"/>
          <w:szCs w:val="20"/>
          <w:highlight w:val="none"/>
        </w:rPr>
      </w:pPr>
      <w:r>
        <w:rPr>
          <w:color w:val="auto"/>
          <w:sz w:val="24"/>
          <w:szCs w:val="20"/>
          <w:highlight w:val="none"/>
        </w:rPr>
        <w:br w:type="page"/>
      </w:r>
      <w:r>
        <w:rPr>
          <w:color w:val="auto"/>
          <w:sz w:val="24"/>
          <w:szCs w:val="20"/>
          <w:highlight w:val="none"/>
        </w:rPr>
        <w:t xml:space="preserve">6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r>
        <w:rPr>
          <w:color w:val="auto"/>
          <w:sz w:val="24"/>
          <w:szCs w:val="20"/>
          <w:highlight w:val="none"/>
        </w:rPr>
        <w:t>采购需求偏离表（实质性格式）</w:t>
      </w:r>
    </w:p>
    <w:p w14:paraId="2FA90301">
      <w:pPr>
        <w:autoSpaceDE w:val="0"/>
        <w:autoSpaceDN w:val="0"/>
        <w:adjustRightInd w:val="0"/>
        <w:spacing w:line="360" w:lineRule="auto"/>
        <w:jc w:val="center"/>
        <w:rPr>
          <w:b/>
          <w:color w:val="auto"/>
          <w:sz w:val="36"/>
          <w:szCs w:val="36"/>
          <w:highlight w:val="none"/>
        </w:rPr>
      </w:pPr>
      <w:r>
        <w:rPr>
          <w:rFonts w:hint="eastAsia"/>
          <w:b/>
          <w:color w:val="auto"/>
          <w:sz w:val="36"/>
          <w:szCs w:val="36"/>
          <w:highlight w:val="none"/>
        </w:rPr>
        <w:t>采购需求偏离表</w:t>
      </w:r>
    </w:p>
    <w:p w14:paraId="5D7C163B">
      <w:pPr>
        <w:tabs>
          <w:tab w:val="left" w:pos="1800"/>
          <w:tab w:val="left" w:pos="5580"/>
        </w:tabs>
        <w:spacing w:line="360" w:lineRule="auto"/>
        <w:ind w:firstLine="360" w:firstLineChars="150"/>
        <w:jc w:val="left"/>
        <w:rPr>
          <w:color w:val="auto"/>
          <w:sz w:val="24"/>
          <w:highlight w:val="none"/>
          <w:u w:val="single"/>
        </w:rPr>
      </w:pPr>
      <w:r>
        <w:rPr>
          <w:color w:val="auto"/>
          <w:sz w:val="24"/>
          <w:highlight w:val="none"/>
        </w:rPr>
        <w:t>项目编号</w:t>
      </w:r>
      <w:r>
        <w:rPr>
          <w:rFonts w:hint="eastAsia"/>
          <w:color w:val="auto"/>
          <w:sz w:val="24"/>
          <w:highlight w:val="none"/>
          <w:lang w:eastAsia="zh-CN"/>
        </w:rPr>
        <w:t>：</w:t>
      </w:r>
      <w:r>
        <w:rPr>
          <w:color w:val="auto"/>
          <w:sz w:val="24"/>
          <w:highlight w:val="none"/>
        </w:rPr>
        <w:t>_____________</w:t>
      </w:r>
      <w:r>
        <w:rPr>
          <w:rFonts w:hint="eastAsia"/>
          <w:color w:val="auto"/>
          <w:sz w:val="24"/>
          <w:highlight w:val="none"/>
          <w:lang w:val="en-US" w:eastAsia="zh-CN"/>
        </w:rPr>
        <w:t xml:space="preserve">    </w:t>
      </w:r>
      <w:r>
        <w:rPr>
          <w:color w:val="auto"/>
          <w:sz w:val="24"/>
          <w:highlight w:val="none"/>
        </w:rPr>
        <w:t xml:space="preserve">   项目名称：____________</w:t>
      </w:r>
    </w:p>
    <w:tbl>
      <w:tblPr>
        <w:tblStyle w:val="46"/>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1FFE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38988DFC">
            <w:pPr>
              <w:adjustRightInd w:val="0"/>
              <w:snapToGrid w:val="0"/>
              <w:jc w:val="center"/>
              <w:rPr>
                <w:color w:val="auto"/>
                <w:sz w:val="24"/>
                <w:highlight w:val="none"/>
              </w:rPr>
            </w:pPr>
            <w:r>
              <w:rPr>
                <w:color w:val="auto"/>
                <w:sz w:val="24"/>
                <w:highlight w:val="none"/>
              </w:rPr>
              <w:t>序号</w:t>
            </w:r>
          </w:p>
        </w:tc>
        <w:tc>
          <w:tcPr>
            <w:tcW w:w="1482" w:type="dxa"/>
            <w:vAlign w:val="center"/>
          </w:tcPr>
          <w:p w14:paraId="60EB461C">
            <w:pPr>
              <w:adjustRightInd w:val="0"/>
              <w:snapToGrid w:val="0"/>
              <w:jc w:val="center"/>
              <w:rPr>
                <w:color w:val="auto"/>
                <w:sz w:val="24"/>
                <w:highlight w:val="none"/>
              </w:rPr>
            </w:pPr>
            <w:r>
              <w:rPr>
                <w:color w:val="auto"/>
                <w:sz w:val="24"/>
                <w:highlight w:val="none"/>
              </w:rPr>
              <w:t>招标文件条目号(页码)</w:t>
            </w:r>
          </w:p>
        </w:tc>
        <w:tc>
          <w:tcPr>
            <w:tcW w:w="2384" w:type="dxa"/>
            <w:vAlign w:val="center"/>
          </w:tcPr>
          <w:p w14:paraId="4A0D0DE9">
            <w:pPr>
              <w:adjustRightInd w:val="0"/>
              <w:snapToGrid w:val="0"/>
              <w:jc w:val="center"/>
              <w:rPr>
                <w:color w:val="auto"/>
                <w:sz w:val="24"/>
                <w:highlight w:val="none"/>
              </w:rPr>
            </w:pPr>
            <w:r>
              <w:rPr>
                <w:color w:val="auto"/>
                <w:sz w:val="24"/>
                <w:highlight w:val="none"/>
              </w:rPr>
              <w:t>招标文件要求</w:t>
            </w:r>
          </w:p>
        </w:tc>
        <w:tc>
          <w:tcPr>
            <w:tcW w:w="2126" w:type="dxa"/>
            <w:vAlign w:val="center"/>
          </w:tcPr>
          <w:p w14:paraId="51DCADD2">
            <w:pPr>
              <w:adjustRightInd w:val="0"/>
              <w:snapToGrid w:val="0"/>
              <w:jc w:val="center"/>
              <w:rPr>
                <w:color w:val="auto"/>
                <w:sz w:val="24"/>
                <w:highlight w:val="none"/>
              </w:rPr>
            </w:pPr>
            <w:r>
              <w:rPr>
                <w:color w:val="auto"/>
                <w:sz w:val="24"/>
                <w:highlight w:val="none"/>
              </w:rPr>
              <w:t>投标响应内容</w:t>
            </w:r>
          </w:p>
        </w:tc>
        <w:tc>
          <w:tcPr>
            <w:tcW w:w="1875" w:type="dxa"/>
            <w:vAlign w:val="center"/>
          </w:tcPr>
          <w:p w14:paraId="78D879A9">
            <w:pPr>
              <w:adjustRightInd w:val="0"/>
              <w:snapToGrid w:val="0"/>
              <w:jc w:val="center"/>
              <w:rPr>
                <w:color w:val="auto"/>
                <w:sz w:val="24"/>
                <w:highlight w:val="none"/>
              </w:rPr>
            </w:pPr>
            <w:r>
              <w:rPr>
                <w:color w:val="auto"/>
                <w:sz w:val="24"/>
                <w:highlight w:val="none"/>
              </w:rPr>
              <w:t>偏离情况</w:t>
            </w:r>
          </w:p>
        </w:tc>
        <w:tc>
          <w:tcPr>
            <w:tcW w:w="1009" w:type="dxa"/>
            <w:vAlign w:val="center"/>
          </w:tcPr>
          <w:p w14:paraId="266B4727">
            <w:pPr>
              <w:adjustRightInd w:val="0"/>
              <w:snapToGrid w:val="0"/>
              <w:jc w:val="center"/>
              <w:rPr>
                <w:color w:val="auto"/>
                <w:sz w:val="24"/>
                <w:highlight w:val="none"/>
              </w:rPr>
            </w:pPr>
            <w:r>
              <w:rPr>
                <w:color w:val="auto"/>
                <w:sz w:val="24"/>
                <w:highlight w:val="none"/>
              </w:rPr>
              <w:t>说明</w:t>
            </w:r>
          </w:p>
        </w:tc>
      </w:tr>
      <w:tr w14:paraId="6CA5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70964C0A">
            <w:pPr>
              <w:adjustRightInd w:val="0"/>
              <w:snapToGrid w:val="0"/>
              <w:jc w:val="center"/>
              <w:rPr>
                <w:color w:val="auto"/>
                <w:sz w:val="24"/>
                <w:highlight w:val="none"/>
              </w:rPr>
            </w:pPr>
          </w:p>
        </w:tc>
        <w:tc>
          <w:tcPr>
            <w:tcW w:w="1482" w:type="dxa"/>
            <w:vAlign w:val="center"/>
          </w:tcPr>
          <w:p w14:paraId="03DD5A4E">
            <w:pPr>
              <w:adjustRightInd w:val="0"/>
              <w:snapToGrid w:val="0"/>
              <w:jc w:val="center"/>
              <w:rPr>
                <w:color w:val="auto"/>
                <w:sz w:val="24"/>
                <w:highlight w:val="none"/>
              </w:rPr>
            </w:pPr>
          </w:p>
        </w:tc>
        <w:tc>
          <w:tcPr>
            <w:tcW w:w="2384" w:type="dxa"/>
            <w:vAlign w:val="center"/>
          </w:tcPr>
          <w:p w14:paraId="722DB14B">
            <w:pPr>
              <w:adjustRightInd w:val="0"/>
              <w:snapToGrid w:val="0"/>
              <w:jc w:val="center"/>
              <w:rPr>
                <w:color w:val="auto"/>
                <w:sz w:val="24"/>
                <w:highlight w:val="none"/>
              </w:rPr>
            </w:pPr>
          </w:p>
        </w:tc>
        <w:tc>
          <w:tcPr>
            <w:tcW w:w="2126" w:type="dxa"/>
            <w:vAlign w:val="center"/>
          </w:tcPr>
          <w:p w14:paraId="4C3A7A8F">
            <w:pPr>
              <w:adjustRightInd w:val="0"/>
              <w:snapToGrid w:val="0"/>
              <w:jc w:val="center"/>
              <w:rPr>
                <w:color w:val="auto"/>
                <w:sz w:val="24"/>
                <w:highlight w:val="none"/>
              </w:rPr>
            </w:pPr>
          </w:p>
        </w:tc>
        <w:tc>
          <w:tcPr>
            <w:tcW w:w="1875" w:type="dxa"/>
            <w:vAlign w:val="center"/>
          </w:tcPr>
          <w:p w14:paraId="73C5B04F">
            <w:pPr>
              <w:adjustRightInd w:val="0"/>
              <w:snapToGrid w:val="0"/>
              <w:jc w:val="center"/>
              <w:rPr>
                <w:color w:val="auto"/>
                <w:sz w:val="24"/>
                <w:highlight w:val="none"/>
              </w:rPr>
            </w:pPr>
          </w:p>
        </w:tc>
        <w:tc>
          <w:tcPr>
            <w:tcW w:w="1009" w:type="dxa"/>
            <w:vAlign w:val="center"/>
          </w:tcPr>
          <w:p w14:paraId="139AC8F9">
            <w:pPr>
              <w:adjustRightInd w:val="0"/>
              <w:snapToGrid w:val="0"/>
              <w:jc w:val="center"/>
              <w:rPr>
                <w:color w:val="auto"/>
                <w:sz w:val="24"/>
                <w:highlight w:val="none"/>
              </w:rPr>
            </w:pPr>
          </w:p>
        </w:tc>
      </w:tr>
      <w:tr w14:paraId="5200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8AD7DB0">
            <w:pPr>
              <w:adjustRightInd w:val="0"/>
              <w:snapToGrid w:val="0"/>
              <w:jc w:val="center"/>
              <w:rPr>
                <w:color w:val="auto"/>
                <w:sz w:val="24"/>
                <w:highlight w:val="none"/>
              </w:rPr>
            </w:pPr>
          </w:p>
        </w:tc>
        <w:tc>
          <w:tcPr>
            <w:tcW w:w="1482" w:type="dxa"/>
            <w:vAlign w:val="center"/>
          </w:tcPr>
          <w:p w14:paraId="37F48499">
            <w:pPr>
              <w:adjustRightInd w:val="0"/>
              <w:snapToGrid w:val="0"/>
              <w:jc w:val="center"/>
              <w:rPr>
                <w:color w:val="auto"/>
                <w:sz w:val="24"/>
                <w:highlight w:val="none"/>
              </w:rPr>
            </w:pPr>
          </w:p>
        </w:tc>
        <w:tc>
          <w:tcPr>
            <w:tcW w:w="2384" w:type="dxa"/>
            <w:vAlign w:val="center"/>
          </w:tcPr>
          <w:p w14:paraId="065FE635">
            <w:pPr>
              <w:adjustRightInd w:val="0"/>
              <w:snapToGrid w:val="0"/>
              <w:jc w:val="center"/>
              <w:rPr>
                <w:color w:val="auto"/>
                <w:sz w:val="24"/>
                <w:highlight w:val="none"/>
              </w:rPr>
            </w:pPr>
          </w:p>
        </w:tc>
        <w:tc>
          <w:tcPr>
            <w:tcW w:w="2126" w:type="dxa"/>
            <w:vAlign w:val="center"/>
          </w:tcPr>
          <w:p w14:paraId="0FE43F25">
            <w:pPr>
              <w:adjustRightInd w:val="0"/>
              <w:snapToGrid w:val="0"/>
              <w:jc w:val="center"/>
              <w:rPr>
                <w:color w:val="auto"/>
                <w:sz w:val="24"/>
                <w:highlight w:val="none"/>
              </w:rPr>
            </w:pPr>
          </w:p>
        </w:tc>
        <w:tc>
          <w:tcPr>
            <w:tcW w:w="1875" w:type="dxa"/>
            <w:vAlign w:val="center"/>
          </w:tcPr>
          <w:p w14:paraId="4D9A499C">
            <w:pPr>
              <w:adjustRightInd w:val="0"/>
              <w:snapToGrid w:val="0"/>
              <w:jc w:val="center"/>
              <w:rPr>
                <w:color w:val="auto"/>
                <w:sz w:val="24"/>
                <w:highlight w:val="none"/>
              </w:rPr>
            </w:pPr>
          </w:p>
        </w:tc>
        <w:tc>
          <w:tcPr>
            <w:tcW w:w="1009" w:type="dxa"/>
            <w:vAlign w:val="center"/>
          </w:tcPr>
          <w:p w14:paraId="62277919">
            <w:pPr>
              <w:adjustRightInd w:val="0"/>
              <w:snapToGrid w:val="0"/>
              <w:jc w:val="center"/>
              <w:rPr>
                <w:color w:val="auto"/>
                <w:sz w:val="24"/>
                <w:highlight w:val="none"/>
              </w:rPr>
            </w:pPr>
          </w:p>
        </w:tc>
      </w:tr>
      <w:tr w14:paraId="1951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129688E">
            <w:pPr>
              <w:adjustRightInd w:val="0"/>
              <w:snapToGrid w:val="0"/>
              <w:jc w:val="center"/>
              <w:rPr>
                <w:color w:val="auto"/>
                <w:sz w:val="24"/>
                <w:highlight w:val="none"/>
              </w:rPr>
            </w:pPr>
          </w:p>
        </w:tc>
        <w:tc>
          <w:tcPr>
            <w:tcW w:w="1482" w:type="dxa"/>
            <w:vAlign w:val="center"/>
          </w:tcPr>
          <w:p w14:paraId="1476696A">
            <w:pPr>
              <w:adjustRightInd w:val="0"/>
              <w:snapToGrid w:val="0"/>
              <w:jc w:val="center"/>
              <w:rPr>
                <w:color w:val="auto"/>
                <w:sz w:val="24"/>
                <w:highlight w:val="none"/>
              </w:rPr>
            </w:pPr>
          </w:p>
        </w:tc>
        <w:tc>
          <w:tcPr>
            <w:tcW w:w="2384" w:type="dxa"/>
            <w:vAlign w:val="center"/>
          </w:tcPr>
          <w:p w14:paraId="3400F095">
            <w:pPr>
              <w:adjustRightInd w:val="0"/>
              <w:snapToGrid w:val="0"/>
              <w:jc w:val="center"/>
              <w:rPr>
                <w:color w:val="auto"/>
                <w:sz w:val="24"/>
                <w:highlight w:val="none"/>
              </w:rPr>
            </w:pPr>
          </w:p>
        </w:tc>
        <w:tc>
          <w:tcPr>
            <w:tcW w:w="2126" w:type="dxa"/>
            <w:vAlign w:val="center"/>
          </w:tcPr>
          <w:p w14:paraId="2B9AF790">
            <w:pPr>
              <w:adjustRightInd w:val="0"/>
              <w:snapToGrid w:val="0"/>
              <w:jc w:val="center"/>
              <w:rPr>
                <w:color w:val="auto"/>
                <w:sz w:val="24"/>
                <w:highlight w:val="none"/>
              </w:rPr>
            </w:pPr>
          </w:p>
        </w:tc>
        <w:tc>
          <w:tcPr>
            <w:tcW w:w="1875" w:type="dxa"/>
            <w:vAlign w:val="center"/>
          </w:tcPr>
          <w:p w14:paraId="1210E2BC">
            <w:pPr>
              <w:adjustRightInd w:val="0"/>
              <w:snapToGrid w:val="0"/>
              <w:jc w:val="center"/>
              <w:rPr>
                <w:color w:val="auto"/>
                <w:sz w:val="24"/>
                <w:highlight w:val="none"/>
              </w:rPr>
            </w:pPr>
          </w:p>
        </w:tc>
        <w:tc>
          <w:tcPr>
            <w:tcW w:w="1009" w:type="dxa"/>
            <w:vAlign w:val="center"/>
          </w:tcPr>
          <w:p w14:paraId="208845B5">
            <w:pPr>
              <w:adjustRightInd w:val="0"/>
              <w:snapToGrid w:val="0"/>
              <w:jc w:val="center"/>
              <w:rPr>
                <w:color w:val="auto"/>
                <w:sz w:val="24"/>
                <w:highlight w:val="none"/>
              </w:rPr>
            </w:pPr>
          </w:p>
        </w:tc>
      </w:tr>
      <w:tr w14:paraId="104F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FE24AEF">
            <w:pPr>
              <w:adjustRightInd w:val="0"/>
              <w:snapToGrid w:val="0"/>
              <w:jc w:val="center"/>
              <w:rPr>
                <w:color w:val="auto"/>
                <w:sz w:val="24"/>
                <w:highlight w:val="none"/>
              </w:rPr>
            </w:pPr>
          </w:p>
        </w:tc>
        <w:tc>
          <w:tcPr>
            <w:tcW w:w="1482" w:type="dxa"/>
            <w:vAlign w:val="center"/>
          </w:tcPr>
          <w:p w14:paraId="08130EEC">
            <w:pPr>
              <w:adjustRightInd w:val="0"/>
              <w:snapToGrid w:val="0"/>
              <w:jc w:val="center"/>
              <w:rPr>
                <w:color w:val="auto"/>
                <w:sz w:val="24"/>
                <w:highlight w:val="none"/>
              </w:rPr>
            </w:pPr>
          </w:p>
        </w:tc>
        <w:tc>
          <w:tcPr>
            <w:tcW w:w="2384" w:type="dxa"/>
            <w:vAlign w:val="center"/>
          </w:tcPr>
          <w:p w14:paraId="78D4F286">
            <w:pPr>
              <w:adjustRightInd w:val="0"/>
              <w:snapToGrid w:val="0"/>
              <w:jc w:val="center"/>
              <w:rPr>
                <w:color w:val="auto"/>
                <w:sz w:val="24"/>
                <w:highlight w:val="none"/>
              </w:rPr>
            </w:pPr>
          </w:p>
        </w:tc>
        <w:tc>
          <w:tcPr>
            <w:tcW w:w="2126" w:type="dxa"/>
            <w:vAlign w:val="center"/>
          </w:tcPr>
          <w:p w14:paraId="45567393">
            <w:pPr>
              <w:adjustRightInd w:val="0"/>
              <w:snapToGrid w:val="0"/>
              <w:jc w:val="center"/>
              <w:rPr>
                <w:color w:val="auto"/>
                <w:sz w:val="24"/>
                <w:highlight w:val="none"/>
              </w:rPr>
            </w:pPr>
          </w:p>
        </w:tc>
        <w:tc>
          <w:tcPr>
            <w:tcW w:w="1875" w:type="dxa"/>
            <w:vAlign w:val="center"/>
          </w:tcPr>
          <w:p w14:paraId="5FC4B9B3">
            <w:pPr>
              <w:adjustRightInd w:val="0"/>
              <w:snapToGrid w:val="0"/>
              <w:jc w:val="center"/>
              <w:rPr>
                <w:color w:val="auto"/>
                <w:sz w:val="24"/>
                <w:highlight w:val="none"/>
              </w:rPr>
            </w:pPr>
          </w:p>
        </w:tc>
        <w:tc>
          <w:tcPr>
            <w:tcW w:w="1009" w:type="dxa"/>
            <w:vAlign w:val="center"/>
          </w:tcPr>
          <w:p w14:paraId="5AB25379">
            <w:pPr>
              <w:adjustRightInd w:val="0"/>
              <w:snapToGrid w:val="0"/>
              <w:jc w:val="center"/>
              <w:rPr>
                <w:color w:val="auto"/>
                <w:sz w:val="24"/>
                <w:highlight w:val="none"/>
              </w:rPr>
            </w:pPr>
          </w:p>
        </w:tc>
      </w:tr>
      <w:tr w14:paraId="0C16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0243DA9">
            <w:pPr>
              <w:adjustRightInd w:val="0"/>
              <w:snapToGrid w:val="0"/>
              <w:jc w:val="center"/>
              <w:rPr>
                <w:color w:val="auto"/>
                <w:sz w:val="24"/>
                <w:highlight w:val="none"/>
              </w:rPr>
            </w:pPr>
          </w:p>
        </w:tc>
        <w:tc>
          <w:tcPr>
            <w:tcW w:w="1482" w:type="dxa"/>
            <w:vAlign w:val="center"/>
          </w:tcPr>
          <w:p w14:paraId="2C9E41CC">
            <w:pPr>
              <w:adjustRightInd w:val="0"/>
              <w:snapToGrid w:val="0"/>
              <w:jc w:val="center"/>
              <w:rPr>
                <w:color w:val="auto"/>
                <w:sz w:val="24"/>
                <w:highlight w:val="none"/>
              </w:rPr>
            </w:pPr>
          </w:p>
        </w:tc>
        <w:tc>
          <w:tcPr>
            <w:tcW w:w="2384" w:type="dxa"/>
            <w:vAlign w:val="center"/>
          </w:tcPr>
          <w:p w14:paraId="233F91B0">
            <w:pPr>
              <w:adjustRightInd w:val="0"/>
              <w:snapToGrid w:val="0"/>
              <w:jc w:val="center"/>
              <w:rPr>
                <w:color w:val="auto"/>
                <w:sz w:val="24"/>
                <w:highlight w:val="none"/>
              </w:rPr>
            </w:pPr>
          </w:p>
        </w:tc>
        <w:tc>
          <w:tcPr>
            <w:tcW w:w="2126" w:type="dxa"/>
            <w:vAlign w:val="center"/>
          </w:tcPr>
          <w:p w14:paraId="26D7D32A">
            <w:pPr>
              <w:adjustRightInd w:val="0"/>
              <w:snapToGrid w:val="0"/>
              <w:jc w:val="center"/>
              <w:rPr>
                <w:color w:val="auto"/>
                <w:sz w:val="24"/>
                <w:highlight w:val="none"/>
              </w:rPr>
            </w:pPr>
          </w:p>
        </w:tc>
        <w:tc>
          <w:tcPr>
            <w:tcW w:w="1875" w:type="dxa"/>
            <w:vAlign w:val="center"/>
          </w:tcPr>
          <w:p w14:paraId="1A306E4C">
            <w:pPr>
              <w:adjustRightInd w:val="0"/>
              <w:snapToGrid w:val="0"/>
              <w:jc w:val="center"/>
              <w:rPr>
                <w:color w:val="auto"/>
                <w:sz w:val="24"/>
                <w:highlight w:val="none"/>
              </w:rPr>
            </w:pPr>
          </w:p>
        </w:tc>
        <w:tc>
          <w:tcPr>
            <w:tcW w:w="1009" w:type="dxa"/>
            <w:vAlign w:val="center"/>
          </w:tcPr>
          <w:p w14:paraId="6F0386C2">
            <w:pPr>
              <w:adjustRightInd w:val="0"/>
              <w:snapToGrid w:val="0"/>
              <w:jc w:val="center"/>
              <w:rPr>
                <w:color w:val="auto"/>
                <w:sz w:val="24"/>
                <w:highlight w:val="none"/>
              </w:rPr>
            </w:pPr>
          </w:p>
        </w:tc>
      </w:tr>
      <w:tr w14:paraId="147D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0B9E724">
            <w:pPr>
              <w:adjustRightInd w:val="0"/>
              <w:snapToGrid w:val="0"/>
              <w:jc w:val="center"/>
              <w:rPr>
                <w:color w:val="auto"/>
                <w:sz w:val="24"/>
                <w:highlight w:val="none"/>
              </w:rPr>
            </w:pPr>
          </w:p>
        </w:tc>
        <w:tc>
          <w:tcPr>
            <w:tcW w:w="1482" w:type="dxa"/>
            <w:vAlign w:val="center"/>
          </w:tcPr>
          <w:p w14:paraId="5F2A84C2">
            <w:pPr>
              <w:adjustRightInd w:val="0"/>
              <w:snapToGrid w:val="0"/>
              <w:jc w:val="center"/>
              <w:rPr>
                <w:color w:val="auto"/>
                <w:sz w:val="24"/>
                <w:highlight w:val="none"/>
              </w:rPr>
            </w:pPr>
          </w:p>
        </w:tc>
        <w:tc>
          <w:tcPr>
            <w:tcW w:w="2384" w:type="dxa"/>
            <w:vAlign w:val="center"/>
          </w:tcPr>
          <w:p w14:paraId="16F4F5E9">
            <w:pPr>
              <w:adjustRightInd w:val="0"/>
              <w:snapToGrid w:val="0"/>
              <w:jc w:val="center"/>
              <w:rPr>
                <w:color w:val="auto"/>
                <w:sz w:val="24"/>
                <w:highlight w:val="none"/>
              </w:rPr>
            </w:pPr>
          </w:p>
        </w:tc>
        <w:tc>
          <w:tcPr>
            <w:tcW w:w="2126" w:type="dxa"/>
            <w:vAlign w:val="center"/>
          </w:tcPr>
          <w:p w14:paraId="2D300262">
            <w:pPr>
              <w:adjustRightInd w:val="0"/>
              <w:snapToGrid w:val="0"/>
              <w:jc w:val="center"/>
              <w:rPr>
                <w:color w:val="auto"/>
                <w:sz w:val="24"/>
                <w:highlight w:val="none"/>
              </w:rPr>
            </w:pPr>
          </w:p>
        </w:tc>
        <w:tc>
          <w:tcPr>
            <w:tcW w:w="1875" w:type="dxa"/>
            <w:vAlign w:val="center"/>
          </w:tcPr>
          <w:p w14:paraId="6727EDB2">
            <w:pPr>
              <w:adjustRightInd w:val="0"/>
              <w:snapToGrid w:val="0"/>
              <w:jc w:val="center"/>
              <w:rPr>
                <w:color w:val="auto"/>
                <w:sz w:val="24"/>
                <w:highlight w:val="none"/>
              </w:rPr>
            </w:pPr>
          </w:p>
        </w:tc>
        <w:tc>
          <w:tcPr>
            <w:tcW w:w="1009" w:type="dxa"/>
            <w:vAlign w:val="center"/>
          </w:tcPr>
          <w:p w14:paraId="63E01E6F">
            <w:pPr>
              <w:adjustRightInd w:val="0"/>
              <w:snapToGrid w:val="0"/>
              <w:jc w:val="center"/>
              <w:rPr>
                <w:color w:val="auto"/>
                <w:sz w:val="24"/>
                <w:highlight w:val="none"/>
              </w:rPr>
            </w:pPr>
          </w:p>
        </w:tc>
      </w:tr>
    </w:tbl>
    <w:p w14:paraId="202BF706">
      <w:pPr>
        <w:tabs>
          <w:tab w:val="left" w:pos="1800"/>
          <w:tab w:val="left" w:pos="5580"/>
        </w:tabs>
        <w:spacing w:line="360" w:lineRule="auto"/>
        <w:ind w:firstLine="360" w:firstLineChars="150"/>
        <w:jc w:val="left"/>
        <w:rPr>
          <w:color w:val="auto"/>
          <w:sz w:val="24"/>
          <w:highlight w:val="none"/>
          <w:u w:val="single"/>
        </w:rPr>
      </w:pPr>
    </w:p>
    <w:p w14:paraId="340CFA03">
      <w:pPr>
        <w:tabs>
          <w:tab w:val="left" w:pos="1800"/>
          <w:tab w:val="left" w:pos="5580"/>
        </w:tabs>
        <w:spacing w:line="360" w:lineRule="auto"/>
        <w:ind w:firstLine="360" w:firstLineChars="150"/>
        <w:jc w:val="left"/>
        <w:rPr>
          <w:color w:val="auto"/>
          <w:sz w:val="24"/>
          <w:highlight w:val="none"/>
          <w:u w:val="single"/>
        </w:rPr>
      </w:pPr>
    </w:p>
    <w:p w14:paraId="5B8CB273">
      <w:pPr>
        <w:tabs>
          <w:tab w:val="left" w:pos="1800"/>
          <w:tab w:val="left" w:pos="5580"/>
        </w:tabs>
        <w:jc w:val="left"/>
        <w:rPr>
          <w:color w:val="auto"/>
          <w:sz w:val="24"/>
          <w:highlight w:val="none"/>
        </w:rPr>
      </w:pPr>
      <w:r>
        <w:rPr>
          <w:color w:val="auto"/>
          <w:sz w:val="24"/>
          <w:highlight w:val="none"/>
        </w:rPr>
        <w:t>注：</w:t>
      </w:r>
    </w:p>
    <w:p w14:paraId="78DD190A">
      <w:pPr>
        <w:tabs>
          <w:tab w:val="left" w:pos="1800"/>
          <w:tab w:val="left" w:pos="5580"/>
        </w:tabs>
        <w:jc w:val="left"/>
        <w:rPr>
          <w:color w:val="auto"/>
          <w:sz w:val="24"/>
          <w:highlight w:val="none"/>
        </w:rPr>
      </w:pPr>
      <w:r>
        <w:rPr>
          <w:color w:val="auto"/>
          <w:sz w:val="24"/>
          <w:highlight w:val="none"/>
        </w:rPr>
        <w:t>1. 对招标文件中的所有商务、技术要求，除本表所列明的所有偏离外，均视作供应商已对之理解和响应。此表中若无任何文字说明，内容为空白的，</w:t>
      </w:r>
      <w:r>
        <w:rPr>
          <w:b/>
          <w:color w:val="auto"/>
          <w:sz w:val="24"/>
          <w:highlight w:val="none"/>
        </w:rPr>
        <w:t>投标无效。</w:t>
      </w:r>
    </w:p>
    <w:p w14:paraId="62E36073">
      <w:pPr>
        <w:tabs>
          <w:tab w:val="left" w:pos="1800"/>
          <w:tab w:val="left" w:pos="5580"/>
        </w:tabs>
        <w:jc w:val="left"/>
        <w:rPr>
          <w:color w:val="auto"/>
          <w:sz w:val="24"/>
          <w:highlight w:val="none"/>
        </w:rPr>
      </w:pPr>
      <w:r>
        <w:rPr>
          <w:color w:val="auto"/>
          <w:sz w:val="24"/>
          <w:highlight w:val="none"/>
        </w:rPr>
        <w:t>2.“偏离情况”列应据实填写“正偏离”或“负偏离””或</w:t>
      </w:r>
      <w:r>
        <w:rPr>
          <w:rFonts w:hint="eastAsia"/>
          <w:color w:val="auto"/>
          <w:sz w:val="24"/>
          <w:highlight w:val="none"/>
          <w:lang w:val="en-US" w:eastAsia="zh-CN"/>
        </w:rPr>
        <w:t>无</w:t>
      </w:r>
      <w:r>
        <w:rPr>
          <w:color w:val="auto"/>
          <w:sz w:val="24"/>
          <w:highlight w:val="none"/>
        </w:rPr>
        <w:t>偏离”。</w:t>
      </w:r>
    </w:p>
    <w:p w14:paraId="6C1A83D2">
      <w:pPr>
        <w:rPr>
          <w:color w:val="auto"/>
          <w:sz w:val="24"/>
          <w:szCs w:val="20"/>
          <w:highlight w:val="none"/>
        </w:rPr>
      </w:pPr>
    </w:p>
    <w:p w14:paraId="70344094">
      <w:pPr>
        <w:autoSpaceDE w:val="0"/>
        <w:autoSpaceDN w:val="0"/>
        <w:adjustRightInd w:val="0"/>
        <w:snapToGrid w:val="0"/>
        <w:spacing w:before="25" w:after="25" w:line="360" w:lineRule="auto"/>
        <w:rPr>
          <w:color w:val="auto"/>
          <w:sz w:val="24"/>
          <w:highlight w:val="none"/>
          <w:lang w:val="zh-CN"/>
        </w:rPr>
      </w:pPr>
    </w:p>
    <w:p w14:paraId="4538B993">
      <w:pPr>
        <w:autoSpaceDE w:val="0"/>
        <w:autoSpaceDN w:val="0"/>
        <w:adjustRightInd w:val="0"/>
        <w:snapToGrid w:val="0"/>
        <w:spacing w:before="25" w:after="25" w:line="360" w:lineRule="auto"/>
        <w:rPr>
          <w:color w:val="auto"/>
          <w:sz w:val="24"/>
          <w:highlight w:val="none"/>
          <w:lang w:val="zh-CN"/>
        </w:rPr>
      </w:pPr>
      <w:r>
        <w:rPr>
          <w:color w:val="auto"/>
          <w:sz w:val="24"/>
          <w:highlight w:val="none"/>
          <w:lang w:val="zh-CN"/>
        </w:rPr>
        <w:t xml:space="preserve">                  </w:t>
      </w:r>
    </w:p>
    <w:p w14:paraId="7B6BC23C">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29245590">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1AC8B427">
      <w:pPr>
        <w:tabs>
          <w:tab w:val="left" w:pos="4860"/>
        </w:tabs>
        <w:spacing w:line="588" w:lineRule="exact"/>
        <w:ind w:right="1560" w:firstLine="480" w:firstLineChars="200"/>
        <w:jc w:val="center"/>
        <w:rPr>
          <w:rFonts w:ascii="宋体" w:hAnsi="宋体" w:cs="宋体"/>
          <w:color w:val="auto"/>
          <w:spacing w:val="6"/>
          <w:sz w:val="24"/>
          <w:highlight w:val="none"/>
        </w:rPr>
      </w:pPr>
      <w:r>
        <w:rPr>
          <w:color w:val="auto"/>
          <w:sz w:val="24"/>
          <w:szCs w:val="20"/>
          <w:highlight w:val="none"/>
        </w:rPr>
        <w:br w:type="page"/>
      </w:r>
    </w:p>
    <w:p w14:paraId="44DFECB8">
      <w:pPr>
        <w:pStyle w:val="23"/>
        <w:spacing w:line="360" w:lineRule="auto"/>
        <w:ind w:left="1029" w:hanging="1029" w:hangingChars="490"/>
        <w:outlineLvl w:val="2"/>
        <w:rPr>
          <w:rFonts w:hint="default" w:ascii="华文中宋" w:hAnsi="华文中宋" w:eastAsia="华文中宋" w:cs="Arial"/>
          <w:color w:val="auto"/>
          <w:highlight w:val="none"/>
          <w:u w:val="single"/>
        </w:rPr>
        <w:sectPr>
          <w:type w:val="continuous"/>
          <w:pgSz w:w="11906" w:h="16838"/>
          <w:pgMar w:top="1417" w:right="1134" w:bottom="1417" w:left="1701" w:header="851" w:footer="850" w:gutter="0"/>
          <w:pgBorders w:offsetFrom="page">
            <w:top w:val="none" w:sz="0" w:space="0"/>
            <w:left w:val="none" w:sz="0" w:space="0"/>
            <w:bottom w:val="none" w:sz="0" w:space="0"/>
            <w:right w:val="none" w:sz="0" w:space="0"/>
          </w:pgBorders>
          <w:pgNumType w:fmt="decimal"/>
          <w:cols w:space="720" w:num="1"/>
          <w:docGrid w:type="lines" w:linePitch="312" w:charSpace="0"/>
        </w:sectPr>
      </w:pPr>
      <w:bookmarkStart w:id="1014" w:name="_Toc182802973"/>
      <w:bookmarkStart w:id="1015" w:name="_Toc205612717"/>
      <w:bookmarkStart w:id="1016" w:name="_Toc194888468"/>
      <w:bookmarkStart w:id="1017" w:name="_Toc181504485"/>
      <w:bookmarkStart w:id="1018" w:name="_Toc181326029"/>
      <w:bookmarkStart w:id="1019" w:name="_Toc194883194"/>
      <w:bookmarkStart w:id="1020" w:name="_Toc181326162"/>
      <w:bookmarkStart w:id="1021" w:name="_Toc182205196"/>
      <w:bookmarkStart w:id="1022" w:name="_Toc201995956"/>
      <w:bookmarkStart w:id="1023" w:name="_Toc181864909"/>
      <w:bookmarkStart w:id="1024" w:name="_Toc202069434"/>
      <w:bookmarkStart w:id="1025" w:name="_Toc205612646"/>
      <w:bookmarkStart w:id="1026" w:name="_Toc182205339"/>
      <w:bookmarkStart w:id="1027" w:name="_Toc20201"/>
      <w:bookmarkStart w:id="1028" w:name="_Toc373513395"/>
      <w:bookmarkStart w:id="1029" w:name="_Toc194883189"/>
      <w:bookmarkStart w:id="1030" w:name="_Toc202069430"/>
      <w:bookmarkStart w:id="1031" w:name="_Toc4084"/>
      <w:bookmarkStart w:id="1032" w:name="_Toc205612642"/>
      <w:bookmarkStart w:id="1033" w:name="_Toc883"/>
      <w:bookmarkStart w:id="1034" w:name="_Toc194888463"/>
      <w:bookmarkStart w:id="1035" w:name="_Toc182802966"/>
      <w:bookmarkStart w:id="1036" w:name="_Toc287280580"/>
      <w:bookmarkStart w:id="1037" w:name="_Toc54885221"/>
      <w:bookmarkStart w:id="1038" w:name="_Toc32356"/>
      <w:bookmarkStart w:id="1039" w:name="_Toc201995952"/>
      <w:bookmarkStart w:id="1040" w:name="_Toc205612713"/>
      <w:bookmarkStart w:id="1041" w:name="_Toc287280329"/>
    </w:p>
    <w:bookmarkEnd w:id="1014"/>
    <w:bookmarkEnd w:id="1015"/>
    <w:bookmarkEnd w:id="1016"/>
    <w:bookmarkEnd w:id="1017"/>
    <w:bookmarkEnd w:id="1018"/>
    <w:bookmarkEnd w:id="1019"/>
    <w:bookmarkEnd w:id="1020"/>
    <w:bookmarkEnd w:id="1021"/>
    <w:bookmarkEnd w:id="1022"/>
    <w:bookmarkEnd w:id="1023"/>
    <w:bookmarkEnd w:id="1024"/>
    <w:bookmarkEnd w:id="1025"/>
    <w:bookmarkEnd w:id="1026"/>
    <w:p w14:paraId="15C1F1ED">
      <w:pPr>
        <w:numPr>
          <w:ilvl w:val="0"/>
          <w:numId w:val="23"/>
        </w:numPr>
        <w:tabs>
          <w:tab w:val="left" w:pos="360"/>
        </w:tabs>
        <w:snapToGrid w:val="0"/>
        <w:spacing w:line="360" w:lineRule="auto"/>
        <w:outlineLvl w:val="1"/>
        <w:rPr>
          <w:color w:val="000000"/>
          <w:sz w:val="24"/>
          <w:szCs w:val="20"/>
        </w:rPr>
      </w:pPr>
      <w:r>
        <w:rPr>
          <w:rFonts w:hint="eastAsia"/>
          <w:color w:val="000000"/>
          <w:sz w:val="24"/>
          <w:szCs w:val="20"/>
        </w:rPr>
        <w:t>本国产品标准证明文件</w:t>
      </w:r>
    </w:p>
    <w:p w14:paraId="3F1CD4F0">
      <w:pPr>
        <w:pStyle w:val="40"/>
        <w:shd w:val="clear" w:color="auto" w:fill="FFFFFF"/>
        <w:spacing w:before="30" w:beforeAutospacing="0" w:after="30" w:afterAutospacing="0"/>
        <w:jc w:val="center"/>
        <w:rPr>
          <w:color w:val="333333"/>
          <w:sz w:val="36"/>
          <w:szCs w:val="36"/>
        </w:rPr>
      </w:pPr>
      <w:r>
        <w:rPr>
          <w:rStyle w:val="50"/>
          <w:rFonts w:hint="eastAsia"/>
          <w:color w:val="333333"/>
          <w:sz w:val="36"/>
          <w:szCs w:val="36"/>
          <w:shd w:val="clear" w:color="auto" w:fill="FFFFFF"/>
        </w:rPr>
        <w:t>关于符合本国产品标准的声明函</w:t>
      </w:r>
    </w:p>
    <w:p w14:paraId="1EB620A5">
      <w:pPr>
        <w:pStyle w:val="40"/>
        <w:shd w:val="clear" w:color="auto" w:fill="FFFFFF"/>
        <w:spacing w:before="30" w:beforeAutospacing="0" w:after="30" w:afterAutospacing="0"/>
        <w:ind w:firstLine="420"/>
        <w:rPr>
          <w:color w:val="333333"/>
        </w:rPr>
      </w:pPr>
    </w:p>
    <w:p w14:paraId="208620C6">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1D0C132">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3"/>
          <w:rFonts w:hint="eastAsia"/>
          <w:color w:val="333333"/>
          <w:u w:val="single"/>
          <w:shd w:val="clear" w:color="auto" w:fill="FFFFFF"/>
        </w:rPr>
        <w:t>（产品名称1）</w:t>
      </w:r>
      <w:r>
        <w:rPr>
          <w:rStyle w:val="53"/>
          <w:rFonts w:hint="eastAsia"/>
          <w:color w:val="333333"/>
          <w:shd w:val="clear" w:color="auto" w:fill="FFFFFF"/>
          <w:vertAlign w:val="superscript"/>
        </w:rPr>
        <w:t>1</w:t>
      </w:r>
      <w:r>
        <w:rPr>
          <w:rFonts w:hint="eastAsia"/>
          <w:color w:val="333333"/>
          <w:shd w:val="clear" w:color="auto" w:fill="FFFFFF"/>
        </w:rPr>
        <w:t>，生产厂为</w:t>
      </w:r>
      <w:r>
        <w:rPr>
          <w:rStyle w:val="53"/>
          <w:rFonts w:hint="eastAsia"/>
          <w:color w:val="333333"/>
          <w:u w:val="single"/>
          <w:shd w:val="clear" w:color="auto" w:fill="FFFFFF"/>
        </w:rPr>
        <w:t>（厂名）</w:t>
      </w:r>
      <w:r>
        <w:rPr>
          <w:rStyle w:val="53"/>
          <w:rFonts w:hint="eastAsia"/>
          <w:color w:val="333333"/>
          <w:shd w:val="clear" w:color="auto" w:fill="FFFFFF"/>
          <w:vertAlign w:val="superscript"/>
        </w:rPr>
        <w:t>2</w:t>
      </w:r>
      <w:r>
        <w:rPr>
          <w:rFonts w:hint="eastAsia"/>
          <w:color w:val="333333"/>
          <w:shd w:val="clear" w:color="auto" w:fill="FFFFFF"/>
        </w:rPr>
        <w:t>，厂址为</w:t>
      </w:r>
      <w:r>
        <w:rPr>
          <w:rStyle w:val="53"/>
          <w:rFonts w:hint="eastAsia"/>
          <w:color w:val="333333"/>
          <w:u w:val="single"/>
          <w:shd w:val="clear" w:color="auto" w:fill="FFFFFF"/>
        </w:rPr>
        <w:t>（生产厂址）</w:t>
      </w:r>
      <w:r>
        <w:rPr>
          <w:rFonts w:hint="eastAsia"/>
          <w:color w:val="333333"/>
          <w:shd w:val="clear" w:color="auto" w:fill="FFFFFF"/>
        </w:rPr>
        <w:t>。</w:t>
      </w:r>
      <w:r>
        <w:rPr>
          <w:rStyle w:val="53"/>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3"/>
          <w:rFonts w:hint="eastAsia"/>
          <w:color w:val="333333"/>
          <w:u w:val="single"/>
          <w:shd w:val="clear" w:color="auto" w:fill="FFFFFF"/>
        </w:rPr>
        <w:t>（规定比例）</w:t>
      </w:r>
      <w:r>
        <w:rPr>
          <w:rStyle w:val="53"/>
          <w:rFonts w:hint="eastAsia"/>
          <w:color w:val="333333"/>
          <w:shd w:val="clear" w:color="auto" w:fill="FFFFFF"/>
          <w:vertAlign w:val="superscript"/>
        </w:rPr>
        <w:t>3</w:t>
      </w:r>
      <w:r>
        <w:rPr>
          <w:rFonts w:hint="eastAsia"/>
          <w:color w:val="333333"/>
          <w:shd w:val="clear" w:color="auto" w:fill="FFFFFF"/>
        </w:rPr>
        <w:t>。</w:t>
      </w:r>
      <w:r>
        <w:rPr>
          <w:rStyle w:val="53"/>
          <w:rFonts w:hint="eastAsia"/>
          <w:color w:val="333333"/>
          <w:u w:val="single"/>
          <w:shd w:val="clear" w:color="auto" w:fill="FFFFFF"/>
        </w:rPr>
        <w:t>（产品名称1）</w:t>
      </w:r>
      <w:r>
        <w:rPr>
          <w:rFonts w:hint="eastAsia"/>
          <w:color w:val="333333"/>
          <w:shd w:val="clear" w:color="auto" w:fill="FFFFFF"/>
        </w:rPr>
        <w:t>的</w:t>
      </w:r>
      <w:r>
        <w:rPr>
          <w:rStyle w:val="53"/>
          <w:rFonts w:hint="eastAsia"/>
          <w:color w:val="333333"/>
          <w:u w:val="single"/>
          <w:shd w:val="clear" w:color="auto" w:fill="FFFFFF"/>
        </w:rPr>
        <w:t>（关键组件）</w:t>
      </w:r>
      <w:r>
        <w:rPr>
          <w:rStyle w:val="53"/>
          <w:rFonts w:hint="eastAsia"/>
          <w:color w:val="333333"/>
          <w:shd w:val="clear" w:color="auto" w:fill="FFFFFF"/>
          <w:vertAlign w:val="superscript"/>
        </w:rPr>
        <w:t>4</w:t>
      </w:r>
      <w:r>
        <w:rPr>
          <w:rFonts w:hint="eastAsia"/>
          <w:color w:val="333333"/>
          <w:shd w:val="clear" w:color="auto" w:fill="FFFFFF"/>
        </w:rPr>
        <w:t>在中国境内生产。</w:t>
      </w:r>
      <w:r>
        <w:rPr>
          <w:rStyle w:val="53"/>
          <w:rFonts w:hint="eastAsia"/>
          <w:color w:val="333333"/>
          <w:u w:val="single"/>
          <w:shd w:val="clear" w:color="auto" w:fill="FFFFFF"/>
        </w:rPr>
        <w:t>（产品名称1）</w:t>
      </w:r>
      <w:r>
        <w:rPr>
          <w:rFonts w:hint="eastAsia"/>
          <w:color w:val="333333"/>
          <w:shd w:val="clear" w:color="auto" w:fill="FFFFFF"/>
        </w:rPr>
        <w:t>的</w:t>
      </w:r>
      <w:r>
        <w:rPr>
          <w:rStyle w:val="53"/>
          <w:rFonts w:hint="eastAsia"/>
          <w:color w:val="333333"/>
          <w:u w:val="single"/>
          <w:shd w:val="clear" w:color="auto" w:fill="FFFFFF"/>
        </w:rPr>
        <w:t>（关键工序）</w:t>
      </w:r>
      <w:r>
        <w:rPr>
          <w:rStyle w:val="53"/>
          <w:rFonts w:hint="eastAsia"/>
          <w:color w:val="333333"/>
          <w:shd w:val="clear" w:color="auto" w:fill="FFFFFF"/>
          <w:vertAlign w:val="superscript"/>
        </w:rPr>
        <w:t>5</w:t>
      </w:r>
      <w:r>
        <w:rPr>
          <w:rFonts w:hint="eastAsia"/>
          <w:color w:val="333333"/>
          <w:shd w:val="clear" w:color="auto" w:fill="FFFFFF"/>
        </w:rPr>
        <w:t>在中国境内完成。</w:t>
      </w:r>
    </w:p>
    <w:p w14:paraId="65D9618D">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3"/>
          <w:rFonts w:hint="eastAsia"/>
          <w:color w:val="333333"/>
          <w:u w:val="single"/>
          <w:shd w:val="clear" w:color="auto" w:fill="FFFFFF"/>
        </w:rPr>
        <w:t>（产品名称2）</w:t>
      </w:r>
      <w:r>
        <w:rPr>
          <w:rFonts w:hint="eastAsia"/>
          <w:color w:val="333333"/>
          <w:shd w:val="clear" w:color="auto" w:fill="FFFFFF"/>
        </w:rPr>
        <w:t>，生产厂为</w:t>
      </w:r>
      <w:r>
        <w:rPr>
          <w:rStyle w:val="53"/>
          <w:rFonts w:hint="eastAsia"/>
          <w:color w:val="333333"/>
          <w:u w:val="single"/>
          <w:shd w:val="clear" w:color="auto" w:fill="FFFFFF"/>
        </w:rPr>
        <w:t>（厂名）</w:t>
      </w:r>
      <w:r>
        <w:rPr>
          <w:rFonts w:hint="eastAsia"/>
          <w:color w:val="333333"/>
          <w:shd w:val="clear" w:color="auto" w:fill="FFFFFF"/>
        </w:rPr>
        <w:t>，厂址为</w:t>
      </w:r>
      <w:r>
        <w:rPr>
          <w:rStyle w:val="53"/>
          <w:rFonts w:hint="eastAsia"/>
          <w:color w:val="333333"/>
          <w:u w:val="single"/>
          <w:shd w:val="clear" w:color="auto" w:fill="FFFFFF"/>
        </w:rPr>
        <w:t>（生产厂址）</w:t>
      </w:r>
      <w:r>
        <w:rPr>
          <w:rFonts w:hint="eastAsia"/>
          <w:color w:val="333333"/>
          <w:shd w:val="clear" w:color="auto" w:fill="FFFFFF"/>
        </w:rPr>
        <w:t>。</w:t>
      </w:r>
      <w:r>
        <w:rPr>
          <w:rStyle w:val="53"/>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3"/>
          <w:rFonts w:hint="eastAsia"/>
          <w:color w:val="333333"/>
          <w:u w:val="single"/>
          <w:shd w:val="clear" w:color="auto" w:fill="FFFFFF"/>
        </w:rPr>
        <w:t>（规定比例）</w:t>
      </w:r>
      <w:r>
        <w:rPr>
          <w:rFonts w:hint="eastAsia"/>
          <w:color w:val="333333"/>
          <w:shd w:val="clear" w:color="auto" w:fill="FFFFFF"/>
        </w:rPr>
        <w:t>。</w:t>
      </w:r>
      <w:r>
        <w:rPr>
          <w:rStyle w:val="53"/>
          <w:rFonts w:hint="eastAsia"/>
          <w:color w:val="333333"/>
          <w:u w:val="single"/>
          <w:shd w:val="clear" w:color="auto" w:fill="FFFFFF"/>
        </w:rPr>
        <w:t>（产品名称2）</w:t>
      </w:r>
      <w:r>
        <w:rPr>
          <w:rFonts w:hint="eastAsia"/>
          <w:color w:val="333333"/>
          <w:shd w:val="clear" w:color="auto" w:fill="FFFFFF"/>
        </w:rPr>
        <w:t>的</w:t>
      </w:r>
      <w:r>
        <w:rPr>
          <w:rStyle w:val="53"/>
          <w:rFonts w:hint="eastAsia"/>
          <w:color w:val="333333"/>
          <w:u w:val="single"/>
          <w:shd w:val="clear" w:color="auto" w:fill="FFFFFF"/>
        </w:rPr>
        <w:t>（关键组件）</w:t>
      </w:r>
      <w:r>
        <w:rPr>
          <w:rFonts w:hint="eastAsia"/>
          <w:color w:val="333333"/>
          <w:shd w:val="clear" w:color="auto" w:fill="FFFFFF"/>
        </w:rPr>
        <w:t>在中国境内生产。</w:t>
      </w:r>
      <w:r>
        <w:rPr>
          <w:rStyle w:val="53"/>
          <w:rFonts w:hint="eastAsia"/>
          <w:color w:val="333333"/>
          <w:u w:val="single"/>
          <w:shd w:val="clear" w:color="auto" w:fill="FFFFFF"/>
        </w:rPr>
        <w:t>（产品名称2）</w:t>
      </w:r>
      <w:r>
        <w:rPr>
          <w:rFonts w:hint="eastAsia"/>
          <w:color w:val="333333"/>
          <w:shd w:val="clear" w:color="auto" w:fill="FFFFFF"/>
        </w:rPr>
        <w:t>的</w:t>
      </w:r>
      <w:r>
        <w:rPr>
          <w:rStyle w:val="53"/>
          <w:rFonts w:hint="eastAsia"/>
          <w:color w:val="333333"/>
          <w:u w:val="single"/>
          <w:shd w:val="clear" w:color="auto" w:fill="FFFFFF"/>
        </w:rPr>
        <w:t>（关键工序）</w:t>
      </w:r>
      <w:r>
        <w:rPr>
          <w:rFonts w:hint="eastAsia"/>
          <w:color w:val="333333"/>
          <w:shd w:val="clear" w:color="auto" w:fill="FFFFFF"/>
        </w:rPr>
        <w:t>在中国境内完成。</w:t>
      </w:r>
    </w:p>
    <w:p w14:paraId="1B0EF3DE">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49CD2DAA">
      <w:pPr>
        <w:pStyle w:val="40"/>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669F4C36">
      <w:pPr>
        <w:pStyle w:val="40"/>
        <w:shd w:val="clear" w:color="auto" w:fill="FFFFFF"/>
        <w:spacing w:before="0" w:beforeAutospacing="0" w:after="0" w:afterAutospacing="0" w:line="360" w:lineRule="auto"/>
        <w:rPr>
          <w:color w:val="333333"/>
        </w:rPr>
      </w:pPr>
    </w:p>
    <w:p w14:paraId="227C5F68">
      <w:pPr>
        <w:pStyle w:val="40"/>
        <w:shd w:val="clear" w:color="auto" w:fill="FFFFFF"/>
        <w:spacing w:before="0" w:beforeAutospacing="0" w:after="0" w:afterAutospacing="0" w:line="360" w:lineRule="auto"/>
        <w:jc w:val="right"/>
        <w:rPr>
          <w:color w:val="333333"/>
          <w:shd w:val="clear" w:color="auto" w:fill="FFFFFF"/>
        </w:rPr>
      </w:pPr>
    </w:p>
    <w:p w14:paraId="5A89A64F">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73936B9A">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680D0C10">
      <w:pPr>
        <w:pStyle w:val="40"/>
        <w:shd w:val="clear" w:color="auto" w:fill="FFFFFF"/>
        <w:spacing w:before="0" w:beforeAutospacing="0" w:after="0" w:afterAutospacing="0" w:line="360" w:lineRule="auto"/>
        <w:rPr>
          <w:color w:val="333333"/>
          <w:shd w:val="clear" w:color="auto" w:fill="FFFFFF"/>
        </w:rPr>
      </w:pPr>
    </w:p>
    <w:p w14:paraId="42C55DD4">
      <w:pPr>
        <w:pStyle w:val="40"/>
        <w:shd w:val="clear" w:color="auto" w:fill="FFFFFF"/>
        <w:spacing w:before="0" w:beforeAutospacing="0" w:after="0" w:afterAutospacing="0" w:line="360" w:lineRule="auto"/>
        <w:rPr>
          <w:color w:val="333333"/>
          <w:shd w:val="clear" w:color="auto" w:fill="FFFFFF"/>
        </w:rPr>
      </w:pPr>
    </w:p>
    <w:p w14:paraId="1039C906">
      <w:pPr>
        <w:spacing w:line="360" w:lineRule="auto"/>
        <w:ind w:left="424" w:leftChars="1" w:hanging="422" w:hangingChars="201"/>
        <w:rPr>
          <w:color w:val="333333"/>
          <w:szCs w:val="21"/>
          <w:shd w:val="clear" w:color="auto" w:fill="FFFFFF"/>
        </w:rPr>
      </w:pPr>
      <w:r>
        <w:rPr>
          <w:color w:val="333333"/>
          <w:szCs w:val="21"/>
          <w:shd w:val="clear" w:color="auto" w:fill="FFFFFF"/>
        </w:rPr>
        <w:t>注：1.产品如有型号，请在“产品名称”栏一并填写。</w:t>
      </w:r>
    </w:p>
    <w:p w14:paraId="1DE94C40">
      <w:pPr>
        <w:spacing w:line="360" w:lineRule="auto"/>
        <w:ind w:left="420" w:leftChars="200"/>
        <w:rPr>
          <w:color w:val="333333"/>
          <w:szCs w:val="21"/>
          <w:shd w:val="clear" w:color="auto" w:fill="FFFFFF"/>
        </w:rPr>
      </w:pPr>
      <w:r>
        <w:rPr>
          <w:color w:val="333333"/>
          <w:szCs w:val="21"/>
          <w:shd w:val="clear" w:color="auto" w:fill="FFFFFF"/>
        </w:rPr>
        <w:t>2.生产厂名与厂址应与生产厂营业执照载明的相关信息保持一致。</w:t>
      </w:r>
    </w:p>
    <w:p w14:paraId="43EA2EEA">
      <w:pPr>
        <w:spacing w:line="360" w:lineRule="auto"/>
        <w:ind w:left="420" w:leftChars="200"/>
        <w:rPr>
          <w:color w:val="333333"/>
          <w:szCs w:val="21"/>
          <w:shd w:val="clear" w:color="auto" w:fill="FFFFFF"/>
        </w:rPr>
      </w:pPr>
      <w:r>
        <w:rPr>
          <w:color w:val="333333"/>
          <w:szCs w:val="21"/>
          <w:shd w:val="clear" w:color="auto" w:fill="FFFFFF"/>
        </w:rPr>
        <w:t>3.该产品的中国境内生产的组件成本占比相关要求实施前，“规定比例”栏可不填。</w:t>
      </w:r>
    </w:p>
    <w:p w14:paraId="0EB5D088">
      <w:pPr>
        <w:spacing w:line="360" w:lineRule="auto"/>
        <w:ind w:left="420" w:leftChars="200"/>
        <w:rPr>
          <w:color w:val="333333"/>
          <w:szCs w:val="21"/>
          <w:shd w:val="clear" w:color="auto" w:fill="FFFFFF"/>
        </w:rPr>
      </w:pPr>
      <w:r>
        <w:rPr>
          <w:color w:val="333333"/>
          <w:szCs w:val="21"/>
          <w:shd w:val="clear" w:color="auto" w:fill="FFFFFF"/>
        </w:rPr>
        <w:t>4.该产品的关键组件要求实施前，“关键组件”栏可不填。</w:t>
      </w:r>
    </w:p>
    <w:p w14:paraId="64CE2F97">
      <w:pPr>
        <w:spacing w:line="360" w:lineRule="auto"/>
        <w:ind w:left="420" w:leftChars="200"/>
        <w:rPr>
          <w:color w:val="333333"/>
          <w:szCs w:val="21"/>
          <w:shd w:val="clear" w:color="auto" w:fill="FFFFFF"/>
        </w:rPr>
      </w:pPr>
      <w:r>
        <w:rPr>
          <w:color w:val="333333"/>
          <w:szCs w:val="21"/>
          <w:shd w:val="clear" w:color="auto" w:fill="FFFFFF"/>
        </w:rPr>
        <w:t>5.该产品的关键工序要求实施前，“关键工序”栏可不填。</w:t>
      </w:r>
    </w:p>
    <w:p w14:paraId="6B025E66">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7F27470E">
      <w:pPr>
        <w:pStyle w:val="40"/>
        <w:shd w:val="clear" w:color="auto" w:fill="FFFFFF"/>
        <w:spacing w:before="30" w:beforeAutospacing="0" w:after="30" w:afterAutospacing="0"/>
        <w:jc w:val="center"/>
        <w:rPr>
          <w:rStyle w:val="50"/>
          <w:sz w:val="36"/>
          <w:szCs w:val="36"/>
        </w:rPr>
      </w:pPr>
      <w:r>
        <w:rPr>
          <w:rStyle w:val="50"/>
          <w:rFonts w:hint="eastAsia"/>
          <w:sz w:val="36"/>
          <w:szCs w:val="36"/>
        </w:rPr>
        <w:t>产品成本占比承诺函</w:t>
      </w:r>
    </w:p>
    <w:p w14:paraId="59B80D25">
      <w:pPr>
        <w:pStyle w:val="40"/>
        <w:shd w:val="clear" w:color="auto" w:fill="FFFFFF"/>
        <w:spacing w:before="30" w:beforeAutospacing="0" w:after="30" w:afterAutospacing="0"/>
        <w:rPr>
          <w:rStyle w:val="50"/>
          <w:sz w:val="36"/>
          <w:szCs w:val="36"/>
        </w:rPr>
      </w:pPr>
    </w:p>
    <w:p w14:paraId="665F693E">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2D64BBE1">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34DC8809">
      <w:pPr>
        <w:widowControl/>
        <w:spacing w:line="360" w:lineRule="auto"/>
        <w:ind w:firstLine="480" w:firstLineChars="200"/>
        <w:jc w:val="left"/>
        <w:rPr>
          <w:color w:val="000000"/>
          <w:sz w:val="24"/>
        </w:rPr>
      </w:pPr>
    </w:p>
    <w:p w14:paraId="42606700">
      <w:pPr>
        <w:pStyle w:val="40"/>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61B6B39B">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5113CEEC">
      <w:pPr>
        <w:widowControl/>
        <w:spacing w:line="360" w:lineRule="auto"/>
        <w:jc w:val="left"/>
        <w:rPr>
          <w:color w:val="000000"/>
          <w:sz w:val="24"/>
        </w:rPr>
      </w:pPr>
    </w:p>
    <w:p w14:paraId="3F6D5201">
      <w:pPr>
        <w:widowControl/>
        <w:spacing w:line="360" w:lineRule="auto"/>
        <w:jc w:val="left"/>
        <w:rPr>
          <w:color w:val="000000"/>
          <w:sz w:val="24"/>
        </w:rPr>
      </w:pPr>
    </w:p>
    <w:p w14:paraId="59A76EDB">
      <w:pPr>
        <w:spacing w:line="360" w:lineRule="auto"/>
        <w:rPr>
          <w:color w:val="000000"/>
          <w:sz w:val="22"/>
          <w:szCs w:val="22"/>
        </w:rPr>
      </w:pPr>
      <w:r>
        <w:rPr>
          <w:rFonts w:hint="eastAsia"/>
          <w:color w:val="000000"/>
          <w:sz w:val="22"/>
          <w:szCs w:val="22"/>
        </w:rPr>
        <w:t>注：</w:t>
      </w:r>
    </w:p>
    <w:p w14:paraId="4812094F">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04D2A484">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7DD64D71">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77670B18">
      <w:pPr>
        <w:rPr>
          <w:rFonts w:hint="eastAsia" w:ascii="宋体" w:hAnsi="宋体" w:cs="宋体"/>
          <w:b/>
          <w:color w:val="auto"/>
          <w:sz w:val="24"/>
          <w:highlight w:val="none"/>
          <w:lang w:val="en-US" w:eastAsia="zh-CN"/>
        </w:rPr>
      </w:pPr>
    </w:p>
    <w:p w14:paraId="5E26A792">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08563BFA">
      <w:pPr>
        <w:spacing w:line="408" w:lineRule="auto"/>
        <w:jc w:val="center"/>
        <w:outlineLvl w:val="1"/>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8招标文件要求提供或投标人认为应附的其他材料</w:t>
      </w:r>
    </w:p>
    <w:p w14:paraId="6FFC7E7A">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8-1 供应商信息采集表</w:t>
      </w:r>
    </w:p>
    <w:p w14:paraId="41E73C60">
      <w:pPr>
        <w:jc w:val="center"/>
        <w:rPr>
          <w:rFonts w:hint="eastAsia" w:ascii="宋体" w:hAnsi="宋体" w:cs="宋体"/>
          <w:b/>
          <w:color w:val="auto"/>
          <w:sz w:val="24"/>
          <w:highlight w:val="none"/>
          <w:lang w:val="en-US" w:eastAsia="zh-CN"/>
        </w:rPr>
      </w:pPr>
    </w:p>
    <w:p w14:paraId="0618A240">
      <w:pPr>
        <w:rPr>
          <w:rFonts w:hint="eastAsia" w:ascii="宋体" w:hAnsi="宋体" w:cs="宋体"/>
          <w:b w:val="0"/>
          <w:bCs/>
          <w:color w:val="auto"/>
          <w:sz w:val="24"/>
          <w:highlight w:val="none"/>
          <w:lang w:val="en-US" w:eastAsia="zh-CN"/>
        </w:rPr>
      </w:pPr>
    </w:p>
    <w:tbl>
      <w:tblPr>
        <w:tblStyle w:val="4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14:paraId="61BA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46B27D25">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供应商名称</w:t>
            </w:r>
          </w:p>
        </w:tc>
        <w:tc>
          <w:tcPr>
            <w:tcW w:w="3096" w:type="dxa"/>
          </w:tcPr>
          <w:p w14:paraId="2063BB46">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供应商所属性别</w:t>
            </w:r>
          </w:p>
        </w:tc>
        <w:tc>
          <w:tcPr>
            <w:tcW w:w="3096" w:type="dxa"/>
          </w:tcPr>
          <w:p w14:paraId="4C197ABE">
            <w:pPr>
              <w:rPr>
                <w:rFonts w:hint="eastAsia" w:ascii="宋体" w:hAnsi="宋体" w:cs="宋体"/>
                <w:b w:val="0"/>
                <w:bCs/>
                <w:color w:val="auto"/>
                <w:sz w:val="24"/>
                <w:highlight w:val="none"/>
                <w:vertAlign w:val="baseline"/>
                <w:lang w:val="en-US" w:eastAsia="zh-CN"/>
              </w:rPr>
            </w:pPr>
            <w:r>
              <w:rPr>
                <w:rFonts w:hint="eastAsia" w:ascii="宋体" w:hAnsi="宋体" w:cs="宋体"/>
                <w:b w:val="0"/>
                <w:bCs/>
                <w:color w:val="auto"/>
                <w:sz w:val="24"/>
                <w:highlight w:val="none"/>
                <w:lang w:val="en-US" w:eastAsia="zh-CN"/>
              </w:rPr>
              <w:t>外商投资类型</w:t>
            </w:r>
          </w:p>
        </w:tc>
      </w:tr>
      <w:tr w14:paraId="1972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A25B2CD">
            <w:pPr>
              <w:rPr>
                <w:rFonts w:hint="eastAsia" w:ascii="宋体" w:hAnsi="宋体" w:cs="宋体"/>
                <w:b w:val="0"/>
                <w:bCs/>
                <w:color w:val="auto"/>
                <w:sz w:val="24"/>
                <w:highlight w:val="none"/>
                <w:vertAlign w:val="baseline"/>
                <w:lang w:val="en-US" w:eastAsia="zh-CN"/>
              </w:rPr>
            </w:pPr>
          </w:p>
        </w:tc>
        <w:tc>
          <w:tcPr>
            <w:tcW w:w="3096" w:type="dxa"/>
          </w:tcPr>
          <w:p w14:paraId="798CCCE3">
            <w:pPr>
              <w:rPr>
                <w:rFonts w:hint="eastAsia" w:ascii="宋体" w:hAnsi="宋体" w:cs="宋体"/>
                <w:b w:val="0"/>
                <w:bCs/>
                <w:color w:val="auto"/>
                <w:sz w:val="24"/>
                <w:highlight w:val="none"/>
                <w:vertAlign w:val="baseline"/>
                <w:lang w:val="en-US" w:eastAsia="zh-CN"/>
              </w:rPr>
            </w:pPr>
          </w:p>
        </w:tc>
        <w:tc>
          <w:tcPr>
            <w:tcW w:w="3096" w:type="dxa"/>
          </w:tcPr>
          <w:p w14:paraId="124F0E41">
            <w:pPr>
              <w:rPr>
                <w:rFonts w:hint="eastAsia" w:ascii="宋体" w:hAnsi="宋体" w:cs="宋体"/>
                <w:b w:val="0"/>
                <w:bCs/>
                <w:color w:val="auto"/>
                <w:sz w:val="24"/>
                <w:highlight w:val="none"/>
                <w:vertAlign w:val="baseline"/>
                <w:lang w:val="en-US" w:eastAsia="zh-CN"/>
              </w:rPr>
            </w:pPr>
          </w:p>
        </w:tc>
      </w:tr>
      <w:tr w14:paraId="6B12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5E00526">
            <w:pPr>
              <w:rPr>
                <w:rFonts w:hint="eastAsia" w:ascii="宋体" w:hAnsi="宋体" w:cs="宋体"/>
                <w:b w:val="0"/>
                <w:bCs/>
                <w:color w:val="auto"/>
                <w:sz w:val="24"/>
                <w:highlight w:val="none"/>
                <w:vertAlign w:val="baseline"/>
                <w:lang w:val="en-US" w:eastAsia="zh-CN"/>
              </w:rPr>
            </w:pPr>
          </w:p>
        </w:tc>
        <w:tc>
          <w:tcPr>
            <w:tcW w:w="3096" w:type="dxa"/>
          </w:tcPr>
          <w:p w14:paraId="20684CC5">
            <w:pPr>
              <w:rPr>
                <w:rFonts w:hint="eastAsia" w:ascii="宋体" w:hAnsi="宋体" w:cs="宋体"/>
                <w:b w:val="0"/>
                <w:bCs/>
                <w:color w:val="auto"/>
                <w:sz w:val="24"/>
                <w:highlight w:val="none"/>
                <w:vertAlign w:val="baseline"/>
                <w:lang w:val="en-US" w:eastAsia="zh-CN"/>
              </w:rPr>
            </w:pPr>
          </w:p>
        </w:tc>
        <w:tc>
          <w:tcPr>
            <w:tcW w:w="3096" w:type="dxa"/>
          </w:tcPr>
          <w:p w14:paraId="65A46F5C">
            <w:pPr>
              <w:rPr>
                <w:rFonts w:hint="eastAsia" w:ascii="宋体" w:hAnsi="宋体" w:cs="宋体"/>
                <w:b w:val="0"/>
                <w:bCs/>
                <w:color w:val="auto"/>
                <w:sz w:val="24"/>
                <w:highlight w:val="none"/>
                <w:vertAlign w:val="baseline"/>
                <w:lang w:val="en-US" w:eastAsia="zh-CN"/>
              </w:rPr>
            </w:pPr>
          </w:p>
        </w:tc>
      </w:tr>
      <w:tr w14:paraId="2E98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1A2C9B8">
            <w:pPr>
              <w:rPr>
                <w:rFonts w:hint="eastAsia" w:ascii="宋体" w:hAnsi="宋体" w:cs="宋体"/>
                <w:b w:val="0"/>
                <w:bCs/>
                <w:color w:val="auto"/>
                <w:sz w:val="24"/>
                <w:highlight w:val="none"/>
                <w:vertAlign w:val="baseline"/>
                <w:lang w:val="en-US" w:eastAsia="zh-CN"/>
              </w:rPr>
            </w:pPr>
          </w:p>
        </w:tc>
        <w:tc>
          <w:tcPr>
            <w:tcW w:w="3096" w:type="dxa"/>
          </w:tcPr>
          <w:p w14:paraId="09B7E975">
            <w:pPr>
              <w:rPr>
                <w:rFonts w:hint="eastAsia" w:ascii="宋体" w:hAnsi="宋体" w:cs="宋体"/>
                <w:b w:val="0"/>
                <w:bCs/>
                <w:color w:val="auto"/>
                <w:sz w:val="24"/>
                <w:highlight w:val="none"/>
                <w:vertAlign w:val="baseline"/>
                <w:lang w:val="en-US" w:eastAsia="zh-CN"/>
              </w:rPr>
            </w:pPr>
          </w:p>
        </w:tc>
        <w:tc>
          <w:tcPr>
            <w:tcW w:w="3096" w:type="dxa"/>
          </w:tcPr>
          <w:p w14:paraId="62E98422">
            <w:pPr>
              <w:rPr>
                <w:rFonts w:hint="eastAsia" w:ascii="宋体" w:hAnsi="宋体" w:cs="宋体"/>
                <w:b w:val="0"/>
                <w:bCs/>
                <w:color w:val="auto"/>
                <w:sz w:val="24"/>
                <w:highlight w:val="none"/>
                <w:vertAlign w:val="baseline"/>
                <w:lang w:val="en-US" w:eastAsia="zh-CN"/>
              </w:rPr>
            </w:pPr>
          </w:p>
        </w:tc>
      </w:tr>
      <w:tr w14:paraId="7225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58C02414">
            <w:pPr>
              <w:rPr>
                <w:rFonts w:hint="eastAsia" w:ascii="宋体" w:hAnsi="宋体" w:cs="宋体"/>
                <w:b w:val="0"/>
                <w:bCs/>
                <w:color w:val="auto"/>
                <w:sz w:val="24"/>
                <w:highlight w:val="none"/>
                <w:vertAlign w:val="baseline"/>
                <w:lang w:val="en-US" w:eastAsia="zh-CN"/>
              </w:rPr>
            </w:pPr>
          </w:p>
        </w:tc>
        <w:tc>
          <w:tcPr>
            <w:tcW w:w="3096" w:type="dxa"/>
          </w:tcPr>
          <w:p w14:paraId="211808BF">
            <w:pPr>
              <w:rPr>
                <w:rFonts w:hint="eastAsia" w:ascii="宋体" w:hAnsi="宋体" w:cs="宋体"/>
                <w:b w:val="0"/>
                <w:bCs/>
                <w:color w:val="auto"/>
                <w:sz w:val="24"/>
                <w:highlight w:val="none"/>
                <w:vertAlign w:val="baseline"/>
                <w:lang w:val="en-US" w:eastAsia="zh-CN"/>
              </w:rPr>
            </w:pPr>
          </w:p>
        </w:tc>
        <w:tc>
          <w:tcPr>
            <w:tcW w:w="3096" w:type="dxa"/>
          </w:tcPr>
          <w:p w14:paraId="2C16D8A2">
            <w:pPr>
              <w:rPr>
                <w:rFonts w:hint="eastAsia" w:ascii="宋体" w:hAnsi="宋体" w:cs="宋体"/>
                <w:b w:val="0"/>
                <w:bCs/>
                <w:color w:val="auto"/>
                <w:sz w:val="24"/>
                <w:highlight w:val="none"/>
                <w:vertAlign w:val="baseline"/>
                <w:lang w:val="en-US" w:eastAsia="zh-CN"/>
              </w:rPr>
            </w:pPr>
          </w:p>
        </w:tc>
      </w:tr>
    </w:tbl>
    <w:p w14:paraId="4DC0A5BD">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 xml:space="preserve">  </w:t>
      </w:r>
    </w:p>
    <w:p w14:paraId="5B2B1FEF">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注：1.供应商如为联合体，则应填写联合体各成员信息。</w:t>
      </w:r>
    </w:p>
    <w:p w14:paraId="58CA9BDC">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2.供应商所属性别请填写“男”或“女”，指拥有供应商 51%以上绝对所有权的性别；</w:t>
      </w:r>
    </w:p>
    <w:p w14:paraId="556F3283">
      <w:pPr>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绝对所有权拥有者可以是一个人，也可以是多人合计计算。</w:t>
      </w:r>
    </w:p>
    <w:p w14:paraId="2BEC628A">
      <w:pPr>
        <w:rPr>
          <w:rFonts w:hint="eastAsia" w:ascii="宋体" w:hAnsi="宋体" w:cs="宋体"/>
          <w:b/>
          <w:color w:val="auto"/>
          <w:sz w:val="24"/>
          <w:highlight w:val="none"/>
          <w:lang w:val="en-US" w:eastAsia="zh-CN"/>
        </w:rPr>
      </w:pPr>
      <w:r>
        <w:rPr>
          <w:rFonts w:hint="eastAsia" w:ascii="宋体" w:hAnsi="宋体" w:cs="宋体"/>
          <w:b w:val="0"/>
          <w:bCs/>
          <w:color w:val="auto"/>
          <w:sz w:val="24"/>
          <w:highlight w:val="none"/>
          <w:lang w:val="en-US" w:eastAsia="zh-CN"/>
        </w:rPr>
        <w:t>3.外商投资类型请填写“外商单独投资”、“外商部分投资”或“内资”。</w:t>
      </w:r>
      <w:r>
        <w:rPr>
          <w:rFonts w:hint="eastAsia" w:ascii="宋体" w:hAnsi="宋体" w:cs="宋体"/>
          <w:b/>
          <w:color w:val="auto"/>
          <w:sz w:val="24"/>
          <w:highlight w:val="none"/>
          <w:lang w:val="en-US" w:eastAsia="zh-CN"/>
        </w:rPr>
        <w:br w:type="page"/>
      </w:r>
    </w:p>
    <w:p w14:paraId="6FBCF30D">
      <w:pPr>
        <w:adjustRightInd w:val="0"/>
        <w:snapToGrid w:val="0"/>
        <w:spacing w:line="360" w:lineRule="auto"/>
        <w:ind w:firstLine="181" w:firstLineChars="75"/>
        <w:jc w:val="center"/>
        <w:outlineLvl w:val="9"/>
        <w:rPr>
          <w:rFonts w:hint="eastAsia" w:ascii="宋体" w:hAnsi="宋体" w:eastAsia="宋体" w:cs="宋体"/>
          <w:b/>
          <w:color w:val="auto"/>
          <w:sz w:val="24"/>
          <w:szCs w:val="24"/>
          <w:highlight w:val="none"/>
        </w:r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2</w:t>
      </w:r>
      <w:r>
        <w:rPr>
          <w:rFonts w:hint="eastAsia" w:ascii="宋体" w:hAnsi="宋体" w:eastAsia="宋体" w:cs="宋体"/>
          <w:b/>
          <w:color w:val="auto"/>
          <w:sz w:val="24"/>
          <w:szCs w:val="24"/>
          <w:highlight w:val="none"/>
          <w:lang w:val="en-US" w:eastAsia="zh-CN"/>
        </w:rPr>
        <w:t>招标</w:t>
      </w:r>
      <w:r>
        <w:rPr>
          <w:rFonts w:hint="eastAsia" w:ascii="宋体" w:hAnsi="宋体" w:eastAsia="宋体" w:cs="宋体"/>
          <w:b/>
          <w:color w:val="auto"/>
          <w:sz w:val="24"/>
          <w:szCs w:val="24"/>
          <w:highlight w:val="none"/>
        </w:rPr>
        <w:t>代理服务费承诺书</w:t>
      </w:r>
    </w:p>
    <w:p w14:paraId="640C00DD">
      <w:pPr>
        <w:spacing w:line="360" w:lineRule="auto"/>
        <w:ind w:right="281" w:rightChars="134"/>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w:t>
      </w:r>
    </w:p>
    <w:p w14:paraId="5E6F5F1C">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北京中盛宇工程管理有限公司</w:t>
      </w:r>
      <w:r>
        <w:rPr>
          <w:rFonts w:hint="eastAsia" w:ascii="宋体" w:hAnsi="宋体" w:eastAsia="宋体" w:cs="宋体"/>
          <w:color w:val="auto"/>
          <w:sz w:val="24"/>
          <w:szCs w:val="24"/>
          <w:highlight w:val="none"/>
        </w:rPr>
        <w:t>：</w:t>
      </w:r>
    </w:p>
    <w:p w14:paraId="4E304D3A">
      <w:pPr>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我公司在贵公司组织的</w:t>
      </w:r>
      <w:r>
        <w:rPr>
          <w:rFonts w:hint="eastAsia" w:ascii="宋体" w:hAnsi="宋体" w:eastAsia="宋体" w:cs="宋体"/>
          <w:color w:val="auto"/>
          <w:sz w:val="24"/>
          <w:szCs w:val="24"/>
          <w:highlight w:val="none"/>
          <w:u w:val="single"/>
        </w:rPr>
        <w:t>项目名称、</w:t>
      </w:r>
      <w:r>
        <w:rPr>
          <w:rFonts w:hint="eastAsia" w:ascii="宋体" w:hAnsi="宋体" w:cs="宋体"/>
          <w:color w:val="auto"/>
          <w:sz w:val="24"/>
          <w:szCs w:val="24"/>
          <w:highlight w:val="none"/>
          <w:u w:val="single"/>
          <w:lang w:val="en-US" w:eastAsia="zh-CN"/>
        </w:rPr>
        <w:t>项目编号</w:t>
      </w:r>
      <w:r>
        <w:rPr>
          <w:rFonts w:hint="eastAsia" w:ascii="宋体" w:hAnsi="宋体" w:eastAsia="宋体" w:cs="宋体"/>
          <w:color w:val="auto"/>
          <w:sz w:val="24"/>
          <w:szCs w:val="24"/>
          <w:highlight w:val="none"/>
        </w:rPr>
        <w:t>的招标中若为中标人，我公司保证在领取中标通知书时按招标文件的规定向贵公司支付招标代理服务费。如我公司未按上述承诺支付招标代理服务费，贵公司有权取消我公司的中标资格，由此产生的一切法律后果和责任由我公司承担。</w:t>
      </w:r>
    </w:p>
    <w:p w14:paraId="517EF892">
      <w:pPr>
        <w:spacing w:line="480" w:lineRule="auto"/>
        <w:rPr>
          <w:rFonts w:hint="eastAsia" w:ascii="宋体" w:hAnsi="宋体" w:eastAsia="宋体" w:cs="宋体"/>
          <w:color w:val="auto"/>
          <w:sz w:val="24"/>
          <w:szCs w:val="24"/>
          <w:highlight w:val="none"/>
        </w:rPr>
      </w:pPr>
    </w:p>
    <w:p w14:paraId="4EF8EA8C">
      <w:pPr>
        <w:spacing w:line="480" w:lineRule="auto"/>
        <w:rPr>
          <w:rFonts w:hint="eastAsia" w:ascii="宋体" w:hAnsi="宋体" w:eastAsia="宋体" w:cs="宋体"/>
          <w:color w:val="auto"/>
          <w:sz w:val="24"/>
          <w:szCs w:val="24"/>
          <w:highlight w:val="none"/>
        </w:rPr>
      </w:pPr>
    </w:p>
    <w:p w14:paraId="22E13B26">
      <w:pPr>
        <w:spacing w:line="480" w:lineRule="auto"/>
        <w:rPr>
          <w:rFonts w:hint="eastAsia" w:ascii="宋体" w:hAnsi="宋体" w:eastAsia="宋体" w:cs="宋体"/>
          <w:color w:val="auto"/>
          <w:sz w:val="24"/>
          <w:szCs w:val="24"/>
          <w:highlight w:val="none"/>
        </w:rPr>
      </w:pPr>
    </w:p>
    <w:p w14:paraId="108A84DA">
      <w:pPr>
        <w:spacing w:line="480" w:lineRule="auto"/>
        <w:rPr>
          <w:rFonts w:hint="eastAsia" w:ascii="宋体" w:hAnsi="宋体" w:eastAsia="宋体" w:cs="宋体"/>
          <w:color w:val="auto"/>
          <w:sz w:val="24"/>
          <w:szCs w:val="24"/>
          <w:highlight w:val="none"/>
        </w:rPr>
      </w:pPr>
    </w:p>
    <w:p w14:paraId="5797CE5B">
      <w:pPr>
        <w:spacing w:line="480" w:lineRule="auto"/>
        <w:rPr>
          <w:rFonts w:hint="eastAsia" w:ascii="宋体" w:hAnsi="宋体" w:eastAsia="宋体" w:cs="宋体"/>
          <w:color w:val="auto"/>
          <w:sz w:val="24"/>
          <w:szCs w:val="24"/>
          <w:highlight w:val="none"/>
        </w:rPr>
      </w:pPr>
    </w:p>
    <w:p w14:paraId="3128B67F">
      <w:pPr>
        <w:spacing w:line="480" w:lineRule="auto"/>
        <w:rPr>
          <w:rFonts w:hint="eastAsia" w:ascii="宋体" w:hAnsi="宋体" w:eastAsia="宋体" w:cs="宋体"/>
          <w:color w:val="auto"/>
          <w:sz w:val="24"/>
          <w:szCs w:val="24"/>
          <w:highlight w:val="none"/>
        </w:rPr>
      </w:pPr>
    </w:p>
    <w:p w14:paraId="03EFC811">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299396C0">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32AF95FB">
      <w:pPr>
        <w:spacing w:line="408" w:lineRule="auto"/>
        <w:jc w:val="center"/>
        <w:outlineLvl w:val="1"/>
        <w:rPr>
          <w:rFonts w:hint="eastAsia" w:ascii="宋体" w:hAnsi="宋体" w:cs="宋体"/>
          <w:b/>
          <w:color w:val="auto"/>
          <w:sz w:val="24"/>
          <w:highlight w:val="none"/>
          <w:lang w:val="en-US" w:eastAsia="zh-CN"/>
        </w:rPr>
      </w:pPr>
    </w:p>
    <w:p w14:paraId="197A48A2">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2B0E6957">
      <w:pPr>
        <w:pStyle w:val="23"/>
        <w:spacing w:line="360" w:lineRule="auto"/>
        <w:ind w:left="1176" w:hanging="1181" w:hangingChars="490"/>
        <w:jc w:val="center"/>
        <w:outlineLvl w:val="2"/>
        <w:rPr>
          <w:rFonts w:hint="default" w:ascii="华文中宋" w:hAnsi="华文中宋" w:eastAsia="华文中宋" w:cs="Arial"/>
          <w:bCs/>
          <w:color w:val="auto"/>
          <w:sz w:val="24"/>
          <w:highlight w:val="none"/>
        </w:rPr>
      </w:pPr>
      <w:r>
        <w:rPr>
          <w:rFonts w:hint="eastAsia" w:hAnsi="宋体" w:cs="宋体"/>
          <w:b/>
          <w:color w:val="auto"/>
          <w:sz w:val="24"/>
          <w:highlight w:val="none"/>
          <w:lang w:val="en-US" w:eastAsia="zh-CN"/>
        </w:rPr>
        <w:t>8</w:t>
      </w:r>
      <w:r>
        <w:rPr>
          <w:rFonts w:hint="eastAsia" w:ascii="宋体" w:hAnsi="宋体" w:cs="宋体"/>
          <w:b/>
          <w:color w:val="auto"/>
          <w:sz w:val="24"/>
          <w:highlight w:val="none"/>
          <w:lang w:val="en-US" w:eastAsia="zh-CN"/>
        </w:rPr>
        <w:t>-</w:t>
      </w:r>
      <w:bookmarkStart w:id="1042" w:name="_Toc25227"/>
      <w:bookmarkStart w:id="1043" w:name="_Toc50110001"/>
      <w:r>
        <w:rPr>
          <w:rFonts w:hint="eastAsia" w:hAnsi="宋体" w:cs="宋体"/>
          <w:b/>
          <w:color w:val="auto"/>
          <w:sz w:val="24"/>
          <w:highlight w:val="none"/>
          <w:lang w:val="en-US" w:eastAsia="zh-CN"/>
        </w:rPr>
        <w:t>3</w:t>
      </w:r>
      <w:r>
        <w:rPr>
          <w:rFonts w:hAnsi="宋体" w:cs="宋体"/>
          <w:bCs/>
          <w:color w:val="auto"/>
          <w:sz w:val="24"/>
          <w:szCs w:val="24"/>
          <w:highlight w:val="none"/>
        </w:rPr>
        <w:t xml:space="preserve">  </w:t>
      </w:r>
      <w:bookmarkEnd w:id="1042"/>
      <w:bookmarkEnd w:id="1043"/>
      <w:bookmarkStart w:id="1044" w:name="_Toc74164051"/>
      <w:bookmarkStart w:id="1045" w:name="_Toc74163783"/>
      <w:bookmarkStart w:id="1046" w:name="_Toc73862741"/>
      <w:r>
        <w:rPr>
          <w:rFonts w:hAnsi="宋体" w:cs="Arial"/>
          <w:b/>
          <w:bCs w:val="0"/>
          <w:color w:val="auto"/>
          <w:sz w:val="24"/>
          <w:highlight w:val="none"/>
        </w:rPr>
        <w:t>本项目</w:t>
      </w:r>
      <w:r>
        <w:rPr>
          <w:rFonts w:hAnsi="宋体" w:cs="宋体"/>
          <w:b/>
          <w:bCs w:val="0"/>
          <w:color w:val="auto"/>
          <w:sz w:val="24"/>
          <w:szCs w:val="24"/>
          <w:highlight w:val="none"/>
        </w:rPr>
        <w:t>拟投入的人员配备表</w:t>
      </w:r>
    </w:p>
    <w:p w14:paraId="7437AEB4">
      <w:pPr>
        <w:spacing w:line="360" w:lineRule="auto"/>
        <w:ind w:left="0" w:leftChars="0" w:firstLine="249" w:firstLineChars="10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                                项目编号：</w:t>
      </w:r>
    </w:p>
    <w:tbl>
      <w:tblPr>
        <w:tblStyle w:val="46"/>
        <w:tblW w:w="92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37"/>
        <w:gridCol w:w="2507"/>
        <w:gridCol w:w="1121"/>
        <w:gridCol w:w="1230"/>
        <w:gridCol w:w="1506"/>
        <w:gridCol w:w="936"/>
      </w:tblGrid>
      <w:tr w14:paraId="496EE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819" w:type="dxa"/>
            <w:vAlign w:val="center"/>
          </w:tcPr>
          <w:p w14:paraId="4F60EFB6">
            <w:pPr>
              <w:jc w:val="center"/>
              <w:rPr>
                <w:rFonts w:hint="eastAsia" w:ascii="宋体" w:hAnsi="宋体" w:eastAsia="宋体" w:cs="宋体"/>
                <w:highlight w:val="none"/>
              </w:rPr>
            </w:pPr>
            <w:r>
              <w:rPr>
                <w:rFonts w:hint="eastAsia" w:ascii="宋体" w:hAnsi="宋体" w:eastAsia="宋体" w:cs="宋体"/>
                <w:highlight w:val="none"/>
              </w:rPr>
              <w:t>序号</w:t>
            </w:r>
          </w:p>
        </w:tc>
        <w:tc>
          <w:tcPr>
            <w:tcW w:w="1137" w:type="dxa"/>
            <w:vAlign w:val="center"/>
          </w:tcPr>
          <w:p w14:paraId="261D81E9">
            <w:pPr>
              <w:jc w:val="center"/>
              <w:rPr>
                <w:rFonts w:hint="eastAsia" w:ascii="宋体" w:hAnsi="宋体" w:eastAsia="宋体" w:cs="宋体"/>
                <w:highlight w:val="none"/>
              </w:rPr>
            </w:pPr>
            <w:r>
              <w:rPr>
                <w:rFonts w:hint="eastAsia" w:ascii="宋体" w:hAnsi="宋体" w:eastAsia="宋体" w:cs="宋体"/>
                <w:highlight w:val="none"/>
              </w:rPr>
              <w:t>姓名</w:t>
            </w:r>
          </w:p>
        </w:tc>
        <w:tc>
          <w:tcPr>
            <w:tcW w:w="2507" w:type="dxa"/>
            <w:vAlign w:val="center"/>
          </w:tcPr>
          <w:p w14:paraId="05E7C0A2">
            <w:pPr>
              <w:jc w:val="center"/>
              <w:rPr>
                <w:rFonts w:hint="eastAsia" w:ascii="宋体" w:hAnsi="宋体" w:eastAsia="宋体" w:cs="宋体"/>
                <w:highlight w:val="none"/>
                <w:lang w:val="en-US" w:eastAsia="zh-CN"/>
              </w:rPr>
            </w:pPr>
            <w:r>
              <w:rPr>
                <w:rFonts w:hint="eastAsia" w:ascii="宋体" w:hAnsi="宋体" w:eastAsia="宋体" w:cs="宋体"/>
                <w:highlight w:val="none"/>
              </w:rPr>
              <w:t>担任的岗位</w:t>
            </w:r>
          </w:p>
        </w:tc>
        <w:tc>
          <w:tcPr>
            <w:tcW w:w="1121" w:type="dxa"/>
            <w:shd w:val="clear" w:color="auto" w:fill="auto"/>
            <w:vAlign w:val="center"/>
          </w:tcPr>
          <w:p w14:paraId="784A47FB">
            <w:pPr>
              <w:jc w:val="center"/>
              <w:rPr>
                <w:rFonts w:hint="eastAsia" w:ascii="宋体" w:hAnsi="宋体" w:eastAsia="宋体" w:cs="宋体"/>
                <w:kern w:val="2"/>
                <w:sz w:val="21"/>
                <w:szCs w:val="24"/>
                <w:highlight w:val="none"/>
                <w:lang w:val="en-US" w:eastAsia="zh-CN" w:bidi="ar-SA"/>
              </w:rPr>
            </w:pPr>
            <w:r>
              <w:rPr>
                <w:rFonts w:hint="eastAsia" w:ascii="宋体" w:hAnsi="宋体" w:cs="宋体"/>
                <w:highlight w:val="none"/>
                <w:lang w:val="en-US" w:eastAsia="zh-CN"/>
              </w:rPr>
              <w:t>年龄</w:t>
            </w:r>
          </w:p>
        </w:tc>
        <w:tc>
          <w:tcPr>
            <w:tcW w:w="1230" w:type="dxa"/>
            <w:vAlign w:val="center"/>
          </w:tcPr>
          <w:p w14:paraId="1500BFF0">
            <w:pPr>
              <w:jc w:val="center"/>
              <w:rPr>
                <w:rFonts w:hint="default" w:ascii="宋体" w:hAnsi="宋体" w:eastAsia="宋体" w:cs="宋体"/>
                <w:highlight w:val="none"/>
                <w:lang w:val="en-US" w:eastAsia="zh-CN"/>
              </w:rPr>
            </w:pPr>
            <w:r>
              <w:rPr>
                <w:rFonts w:hint="eastAsia" w:ascii="宋体" w:hAnsi="宋体" w:cs="宋体"/>
                <w:highlight w:val="none"/>
                <w:lang w:val="en-US" w:eastAsia="zh-CN"/>
              </w:rPr>
              <w:t>学历</w:t>
            </w:r>
          </w:p>
        </w:tc>
        <w:tc>
          <w:tcPr>
            <w:tcW w:w="1506" w:type="dxa"/>
            <w:vAlign w:val="center"/>
          </w:tcPr>
          <w:p w14:paraId="171256C6">
            <w:pPr>
              <w:keepNext w:val="0"/>
              <w:keepLines w:val="0"/>
              <w:widowControl/>
              <w:suppressLineNumbers w:val="0"/>
              <w:jc w:val="center"/>
              <w:rPr>
                <w:rFonts w:hint="eastAsia" w:ascii="宋体" w:hAnsi="宋体" w:eastAsia="宋体" w:cs="宋体"/>
                <w:highlight w:val="none"/>
              </w:rPr>
            </w:pPr>
            <w:r>
              <w:rPr>
                <w:rFonts w:hint="eastAsia" w:ascii="宋体" w:hAnsi="宋体" w:eastAsia="宋体" w:cs="宋体"/>
                <w:highlight w:val="none"/>
                <w:lang w:val="en-US" w:eastAsia="zh-CN"/>
              </w:rPr>
              <w:t>相关证书</w:t>
            </w:r>
          </w:p>
        </w:tc>
        <w:tc>
          <w:tcPr>
            <w:tcW w:w="936" w:type="dxa"/>
            <w:vAlign w:val="center"/>
          </w:tcPr>
          <w:p w14:paraId="237A0433">
            <w:pPr>
              <w:jc w:val="center"/>
              <w:rPr>
                <w:rFonts w:hint="default" w:ascii="宋体" w:hAnsi="宋体" w:eastAsia="宋体" w:cs="宋体"/>
                <w:highlight w:val="none"/>
                <w:lang w:val="en-US" w:eastAsia="zh-CN"/>
              </w:rPr>
            </w:pPr>
            <w:r>
              <w:rPr>
                <w:rFonts w:hint="eastAsia" w:ascii="宋体" w:hAnsi="宋体" w:cs="宋体"/>
                <w:highlight w:val="none"/>
                <w:lang w:val="en-US" w:eastAsia="zh-CN"/>
              </w:rPr>
              <w:t>备注</w:t>
            </w:r>
          </w:p>
        </w:tc>
      </w:tr>
      <w:tr w14:paraId="0B1B3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7BA58303">
            <w:pPr>
              <w:jc w:val="center"/>
              <w:rPr>
                <w:rFonts w:hint="eastAsia" w:ascii="宋体" w:hAnsi="宋体" w:eastAsia="宋体" w:cs="宋体"/>
                <w:highlight w:val="none"/>
              </w:rPr>
            </w:pPr>
          </w:p>
        </w:tc>
        <w:tc>
          <w:tcPr>
            <w:tcW w:w="1137" w:type="dxa"/>
            <w:vAlign w:val="center"/>
          </w:tcPr>
          <w:p w14:paraId="0119558F">
            <w:pPr>
              <w:jc w:val="center"/>
              <w:rPr>
                <w:rFonts w:hint="eastAsia" w:ascii="宋体" w:hAnsi="宋体" w:eastAsia="宋体" w:cs="宋体"/>
                <w:highlight w:val="none"/>
              </w:rPr>
            </w:pPr>
          </w:p>
        </w:tc>
        <w:tc>
          <w:tcPr>
            <w:tcW w:w="2507" w:type="dxa"/>
            <w:vAlign w:val="center"/>
          </w:tcPr>
          <w:p w14:paraId="5C13C7E7">
            <w:pPr>
              <w:jc w:val="center"/>
              <w:rPr>
                <w:rFonts w:hint="eastAsia" w:ascii="宋体" w:hAnsi="宋体" w:eastAsia="宋体" w:cs="宋体"/>
                <w:highlight w:val="none"/>
              </w:rPr>
            </w:pPr>
          </w:p>
        </w:tc>
        <w:tc>
          <w:tcPr>
            <w:tcW w:w="1121" w:type="dxa"/>
            <w:vAlign w:val="center"/>
          </w:tcPr>
          <w:p w14:paraId="21179B78">
            <w:pPr>
              <w:jc w:val="center"/>
              <w:rPr>
                <w:rFonts w:hint="eastAsia" w:ascii="宋体" w:hAnsi="宋体" w:eastAsia="宋体" w:cs="宋体"/>
                <w:highlight w:val="none"/>
              </w:rPr>
            </w:pPr>
          </w:p>
        </w:tc>
        <w:tc>
          <w:tcPr>
            <w:tcW w:w="1230" w:type="dxa"/>
            <w:vAlign w:val="center"/>
          </w:tcPr>
          <w:p w14:paraId="0C954504">
            <w:pPr>
              <w:jc w:val="center"/>
              <w:rPr>
                <w:rFonts w:hint="eastAsia" w:ascii="宋体" w:hAnsi="宋体" w:eastAsia="宋体" w:cs="宋体"/>
                <w:highlight w:val="none"/>
              </w:rPr>
            </w:pPr>
          </w:p>
        </w:tc>
        <w:tc>
          <w:tcPr>
            <w:tcW w:w="1506" w:type="dxa"/>
            <w:vAlign w:val="center"/>
          </w:tcPr>
          <w:p w14:paraId="165ED607">
            <w:pPr>
              <w:jc w:val="center"/>
              <w:rPr>
                <w:rFonts w:hint="eastAsia" w:ascii="宋体" w:hAnsi="宋体" w:eastAsia="宋体" w:cs="宋体"/>
                <w:highlight w:val="none"/>
              </w:rPr>
            </w:pPr>
          </w:p>
        </w:tc>
        <w:tc>
          <w:tcPr>
            <w:tcW w:w="936" w:type="dxa"/>
            <w:vAlign w:val="center"/>
          </w:tcPr>
          <w:p w14:paraId="2E834285">
            <w:pPr>
              <w:jc w:val="center"/>
              <w:rPr>
                <w:rFonts w:hint="eastAsia" w:ascii="宋体" w:hAnsi="宋体" w:eastAsia="宋体" w:cs="宋体"/>
                <w:highlight w:val="none"/>
              </w:rPr>
            </w:pPr>
          </w:p>
        </w:tc>
      </w:tr>
      <w:tr w14:paraId="6012E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3769D9A5">
            <w:pPr>
              <w:jc w:val="center"/>
              <w:rPr>
                <w:rFonts w:hint="eastAsia" w:ascii="宋体" w:hAnsi="宋体" w:eastAsia="宋体" w:cs="宋体"/>
                <w:highlight w:val="none"/>
              </w:rPr>
            </w:pPr>
          </w:p>
        </w:tc>
        <w:tc>
          <w:tcPr>
            <w:tcW w:w="1137" w:type="dxa"/>
            <w:vAlign w:val="center"/>
          </w:tcPr>
          <w:p w14:paraId="576DDCD6">
            <w:pPr>
              <w:jc w:val="center"/>
              <w:rPr>
                <w:rFonts w:hint="eastAsia" w:ascii="宋体" w:hAnsi="宋体" w:eastAsia="宋体" w:cs="宋体"/>
                <w:highlight w:val="none"/>
              </w:rPr>
            </w:pPr>
          </w:p>
        </w:tc>
        <w:tc>
          <w:tcPr>
            <w:tcW w:w="2507" w:type="dxa"/>
          </w:tcPr>
          <w:p w14:paraId="704EA677">
            <w:pPr>
              <w:jc w:val="center"/>
              <w:rPr>
                <w:rFonts w:hint="eastAsia" w:ascii="宋体" w:hAnsi="宋体" w:eastAsia="宋体" w:cs="宋体"/>
                <w:highlight w:val="none"/>
              </w:rPr>
            </w:pPr>
          </w:p>
        </w:tc>
        <w:tc>
          <w:tcPr>
            <w:tcW w:w="1121" w:type="dxa"/>
          </w:tcPr>
          <w:p w14:paraId="5EFFF532">
            <w:pPr>
              <w:jc w:val="center"/>
              <w:rPr>
                <w:rFonts w:hint="eastAsia" w:ascii="宋体" w:hAnsi="宋体" w:eastAsia="宋体" w:cs="宋体"/>
                <w:highlight w:val="none"/>
              </w:rPr>
            </w:pPr>
          </w:p>
        </w:tc>
        <w:tc>
          <w:tcPr>
            <w:tcW w:w="1230" w:type="dxa"/>
          </w:tcPr>
          <w:p w14:paraId="6253F2F5">
            <w:pPr>
              <w:jc w:val="center"/>
              <w:rPr>
                <w:rFonts w:hint="eastAsia" w:ascii="宋体" w:hAnsi="宋体" w:eastAsia="宋体" w:cs="宋体"/>
                <w:highlight w:val="none"/>
              </w:rPr>
            </w:pPr>
          </w:p>
        </w:tc>
        <w:tc>
          <w:tcPr>
            <w:tcW w:w="1506" w:type="dxa"/>
            <w:vAlign w:val="center"/>
          </w:tcPr>
          <w:p w14:paraId="7F7C9CD6">
            <w:pPr>
              <w:jc w:val="center"/>
              <w:rPr>
                <w:rFonts w:hint="eastAsia" w:ascii="宋体" w:hAnsi="宋体" w:eastAsia="宋体" w:cs="宋体"/>
                <w:highlight w:val="none"/>
              </w:rPr>
            </w:pPr>
          </w:p>
        </w:tc>
        <w:tc>
          <w:tcPr>
            <w:tcW w:w="936" w:type="dxa"/>
            <w:vAlign w:val="center"/>
          </w:tcPr>
          <w:p w14:paraId="30C41541">
            <w:pPr>
              <w:jc w:val="center"/>
              <w:rPr>
                <w:rFonts w:hint="eastAsia" w:ascii="宋体" w:hAnsi="宋体" w:eastAsia="宋体" w:cs="宋体"/>
                <w:highlight w:val="none"/>
              </w:rPr>
            </w:pPr>
          </w:p>
        </w:tc>
      </w:tr>
      <w:tr w14:paraId="0BE5F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37408778">
            <w:pPr>
              <w:jc w:val="center"/>
              <w:rPr>
                <w:rFonts w:hint="eastAsia" w:ascii="宋体" w:hAnsi="宋体" w:eastAsia="宋体" w:cs="宋体"/>
                <w:highlight w:val="none"/>
              </w:rPr>
            </w:pPr>
          </w:p>
        </w:tc>
        <w:tc>
          <w:tcPr>
            <w:tcW w:w="1137" w:type="dxa"/>
            <w:vAlign w:val="center"/>
          </w:tcPr>
          <w:p w14:paraId="041169D7">
            <w:pPr>
              <w:jc w:val="center"/>
              <w:rPr>
                <w:rFonts w:hint="eastAsia" w:ascii="宋体" w:hAnsi="宋体" w:eastAsia="宋体" w:cs="宋体"/>
                <w:highlight w:val="none"/>
              </w:rPr>
            </w:pPr>
          </w:p>
        </w:tc>
        <w:tc>
          <w:tcPr>
            <w:tcW w:w="2507" w:type="dxa"/>
          </w:tcPr>
          <w:p w14:paraId="7549FD3A">
            <w:pPr>
              <w:jc w:val="center"/>
              <w:rPr>
                <w:rFonts w:hint="eastAsia" w:ascii="宋体" w:hAnsi="宋体" w:eastAsia="宋体" w:cs="宋体"/>
                <w:highlight w:val="none"/>
              </w:rPr>
            </w:pPr>
          </w:p>
        </w:tc>
        <w:tc>
          <w:tcPr>
            <w:tcW w:w="1121" w:type="dxa"/>
          </w:tcPr>
          <w:p w14:paraId="59035946">
            <w:pPr>
              <w:jc w:val="center"/>
              <w:rPr>
                <w:rFonts w:hint="eastAsia" w:ascii="宋体" w:hAnsi="宋体" w:eastAsia="宋体" w:cs="宋体"/>
                <w:highlight w:val="none"/>
              </w:rPr>
            </w:pPr>
          </w:p>
        </w:tc>
        <w:tc>
          <w:tcPr>
            <w:tcW w:w="1230" w:type="dxa"/>
          </w:tcPr>
          <w:p w14:paraId="57D0AA67">
            <w:pPr>
              <w:jc w:val="center"/>
              <w:rPr>
                <w:rFonts w:hint="eastAsia" w:ascii="宋体" w:hAnsi="宋体" w:eastAsia="宋体" w:cs="宋体"/>
                <w:highlight w:val="none"/>
              </w:rPr>
            </w:pPr>
          </w:p>
        </w:tc>
        <w:tc>
          <w:tcPr>
            <w:tcW w:w="1506" w:type="dxa"/>
            <w:vAlign w:val="center"/>
          </w:tcPr>
          <w:p w14:paraId="41146CB7">
            <w:pPr>
              <w:jc w:val="center"/>
              <w:rPr>
                <w:rFonts w:hint="eastAsia" w:ascii="宋体" w:hAnsi="宋体" w:eastAsia="宋体" w:cs="宋体"/>
                <w:highlight w:val="none"/>
              </w:rPr>
            </w:pPr>
          </w:p>
        </w:tc>
        <w:tc>
          <w:tcPr>
            <w:tcW w:w="936" w:type="dxa"/>
            <w:vAlign w:val="center"/>
          </w:tcPr>
          <w:p w14:paraId="387A5BB5">
            <w:pPr>
              <w:jc w:val="center"/>
              <w:rPr>
                <w:rFonts w:hint="eastAsia" w:ascii="宋体" w:hAnsi="宋体" w:eastAsia="宋体" w:cs="宋体"/>
                <w:highlight w:val="none"/>
              </w:rPr>
            </w:pPr>
          </w:p>
        </w:tc>
      </w:tr>
      <w:tr w14:paraId="7BE19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548370EC">
            <w:pPr>
              <w:jc w:val="center"/>
              <w:rPr>
                <w:rFonts w:hint="eastAsia" w:ascii="宋体" w:hAnsi="宋体" w:eastAsia="宋体" w:cs="宋体"/>
                <w:highlight w:val="none"/>
              </w:rPr>
            </w:pPr>
          </w:p>
        </w:tc>
        <w:tc>
          <w:tcPr>
            <w:tcW w:w="1137" w:type="dxa"/>
            <w:vAlign w:val="center"/>
          </w:tcPr>
          <w:p w14:paraId="74DB401C">
            <w:pPr>
              <w:jc w:val="center"/>
              <w:rPr>
                <w:rFonts w:hint="eastAsia" w:ascii="宋体" w:hAnsi="宋体" w:eastAsia="宋体" w:cs="宋体"/>
                <w:highlight w:val="none"/>
              </w:rPr>
            </w:pPr>
          </w:p>
        </w:tc>
        <w:tc>
          <w:tcPr>
            <w:tcW w:w="2507" w:type="dxa"/>
          </w:tcPr>
          <w:p w14:paraId="73F01E6E">
            <w:pPr>
              <w:jc w:val="center"/>
              <w:rPr>
                <w:rFonts w:hint="eastAsia" w:ascii="宋体" w:hAnsi="宋体" w:eastAsia="宋体" w:cs="宋体"/>
                <w:highlight w:val="none"/>
              </w:rPr>
            </w:pPr>
          </w:p>
        </w:tc>
        <w:tc>
          <w:tcPr>
            <w:tcW w:w="1121" w:type="dxa"/>
          </w:tcPr>
          <w:p w14:paraId="0CDF952D">
            <w:pPr>
              <w:jc w:val="center"/>
              <w:rPr>
                <w:rFonts w:hint="eastAsia" w:ascii="宋体" w:hAnsi="宋体" w:eastAsia="宋体" w:cs="宋体"/>
                <w:highlight w:val="none"/>
              </w:rPr>
            </w:pPr>
          </w:p>
        </w:tc>
        <w:tc>
          <w:tcPr>
            <w:tcW w:w="1230" w:type="dxa"/>
          </w:tcPr>
          <w:p w14:paraId="42FBEE4F">
            <w:pPr>
              <w:jc w:val="center"/>
              <w:rPr>
                <w:rFonts w:hint="eastAsia" w:ascii="宋体" w:hAnsi="宋体" w:eastAsia="宋体" w:cs="宋体"/>
                <w:highlight w:val="none"/>
              </w:rPr>
            </w:pPr>
          </w:p>
        </w:tc>
        <w:tc>
          <w:tcPr>
            <w:tcW w:w="1506" w:type="dxa"/>
            <w:vAlign w:val="center"/>
          </w:tcPr>
          <w:p w14:paraId="06B05AF3">
            <w:pPr>
              <w:jc w:val="center"/>
              <w:rPr>
                <w:rFonts w:hint="eastAsia" w:ascii="宋体" w:hAnsi="宋体" w:eastAsia="宋体" w:cs="宋体"/>
                <w:highlight w:val="none"/>
              </w:rPr>
            </w:pPr>
          </w:p>
        </w:tc>
        <w:tc>
          <w:tcPr>
            <w:tcW w:w="936" w:type="dxa"/>
            <w:vAlign w:val="center"/>
          </w:tcPr>
          <w:p w14:paraId="58712736">
            <w:pPr>
              <w:jc w:val="center"/>
              <w:rPr>
                <w:rFonts w:hint="eastAsia" w:ascii="宋体" w:hAnsi="宋体" w:eastAsia="宋体" w:cs="宋体"/>
                <w:highlight w:val="none"/>
              </w:rPr>
            </w:pPr>
          </w:p>
        </w:tc>
      </w:tr>
      <w:tr w14:paraId="37C49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0669971A">
            <w:pPr>
              <w:jc w:val="center"/>
              <w:rPr>
                <w:rFonts w:hint="eastAsia" w:ascii="宋体" w:hAnsi="宋体" w:eastAsia="宋体" w:cs="宋体"/>
                <w:highlight w:val="none"/>
              </w:rPr>
            </w:pPr>
          </w:p>
        </w:tc>
        <w:tc>
          <w:tcPr>
            <w:tcW w:w="1137" w:type="dxa"/>
            <w:vAlign w:val="center"/>
          </w:tcPr>
          <w:p w14:paraId="423F6C0F">
            <w:pPr>
              <w:jc w:val="center"/>
              <w:rPr>
                <w:rFonts w:hint="eastAsia" w:ascii="宋体" w:hAnsi="宋体" w:eastAsia="宋体" w:cs="宋体"/>
                <w:highlight w:val="none"/>
              </w:rPr>
            </w:pPr>
          </w:p>
        </w:tc>
        <w:tc>
          <w:tcPr>
            <w:tcW w:w="2507" w:type="dxa"/>
          </w:tcPr>
          <w:p w14:paraId="0FE746DC">
            <w:pPr>
              <w:jc w:val="center"/>
              <w:rPr>
                <w:rFonts w:hint="eastAsia" w:ascii="宋体" w:hAnsi="宋体" w:eastAsia="宋体" w:cs="宋体"/>
                <w:highlight w:val="none"/>
              </w:rPr>
            </w:pPr>
          </w:p>
        </w:tc>
        <w:tc>
          <w:tcPr>
            <w:tcW w:w="1121" w:type="dxa"/>
          </w:tcPr>
          <w:p w14:paraId="7AF1DF8B">
            <w:pPr>
              <w:jc w:val="center"/>
              <w:rPr>
                <w:rFonts w:hint="eastAsia" w:ascii="宋体" w:hAnsi="宋体" w:eastAsia="宋体" w:cs="宋体"/>
                <w:highlight w:val="none"/>
              </w:rPr>
            </w:pPr>
          </w:p>
        </w:tc>
        <w:tc>
          <w:tcPr>
            <w:tcW w:w="1230" w:type="dxa"/>
          </w:tcPr>
          <w:p w14:paraId="615BA47A">
            <w:pPr>
              <w:jc w:val="center"/>
              <w:rPr>
                <w:rFonts w:hint="eastAsia" w:ascii="宋体" w:hAnsi="宋体" w:eastAsia="宋体" w:cs="宋体"/>
                <w:highlight w:val="none"/>
              </w:rPr>
            </w:pPr>
          </w:p>
        </w:tc>
        <w:tc>
          <w:tcPr>
            <w:tcW w:w="1506" w:type="dxa"/>
            <w:vAlign w:val="center"/>
          </w:tcPr>
          <w:p w14:paraId="6269978C">
            <w:pPr>
              <w:jc w:val="center"/>
              <w:rPr>
                <w:rFonts w:hint="eastAsia" w:ascii="宋体" w:hAnsi="宋体" w:eastAsia="宋体" w:cs="宋体"/>
                <w:highlight w:val="none"/>
              </w:rPr>
            </w:pPr>
          </w:p>
        </w:tc>
        <w:tc>
          <w:tcPr>
            <w:tcW w:w="936" w:type="dxa"/>
            <w:vAlign w:val="center"/>
          </w:tcPr>
          <w:p w14:paraId="25C29644">
            <w:pPr>
              <w:jc w:val="center"/>
              <w:rPr>
                <w:rFonts w:hint="eastAsia" w:ascii="宋体" w:hAnsi="宋体" w:eastAsia="宋体" w:cs="宋体"/>
                <w:highlight w:val="none"/>
              </w:rPr>
            </w:pPr>
          </w:p>
        </w:tc>
      </w:tr>
      <w:tr w14:paraId="524DE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AEE81D7">
            <w:pPr>
              <w:jc w:val="center"/>
              <w:rPr>
                <w:rFonts w:hint="eastAsia" w:ascii="宋体" w:hAnsi="宋体" w:eastAsia="宋体" w:cs="宋体"/>
                <w:highlight w:val="none"/>
              </w:rPr>
            </w:pPr>
          </w:p>
        </w:tc>
        <w:tc>
          <w:tcPr>
            <w:tcW w:w="1137" w:type="dxa"/>
            <w:vAlign w:val="center"/>
          </w:tcPr>
          <w:p w14:paraId="3B6F237A">
            <w:pPr>
              <w:jc w:val="center"/>
              <w:rPr>
                <w:rFonts w:hint="eastAsia" w:ascii="宋体" w:hAnsi="宋体" w:eastAsia="宋体" w:cs="宋体"/>
                <w:highlight w:val="none"/>
              </w:rPr>
            </w:pPr>
          </w:p>
        </w:tc>
        <w:tc>
          <w:tcPr>
            <w:tcW w:w="2507" w:type="dxa"/>
          </w:tcPr>
          <w:p w14:paraId="26E3D486">
            <w:pPr>
              <w:jc w:val="center"/>
              <w:rPr>
                <w:rFonts w:hint="eastAsia" w:ascii="宋体" w:hAnsi="宋体" w:eastAsia="宋体" w:cs="宋体"/>
                <w:highlight w:val="none"/>
              </w:rPr>
            </w:pPr>
          </w:p>
        </w:tc>
        <w:tc>
          <w:tcPr>
            <w:tcW w:w="1121" w:type="dxa"/>
          </w:tcPr>
          <w:p w14:paraId="33029D6E">
            <w:pPr>
              <w:jc w:val="center"/>
              <w:rPr>
                <w:rFonts w:hint="eastAsia" w:ascii="宋体" w:hAnsi="宋体" w:eastAsia="宋体" w:cs="宋体"/>
                <w:highlight w:val="none"/>
              </w:rPr>
            </w:pPr>
          </w:p>
        </w:tc>
        <w:tc>
          <w:tcPr>
            <w:tcW w:w="1230" w:type="dxa"/>
          </w:tcPr>
          <w:p w14:paraId="0A66CB87">
            <w:pPr>
              <w:jc w:val="center"/>
              <w:rPr>
                <w:rFonts w:hint="eastAsia" w:ascii="宋体" w:hAnsi="宋体" w:eastAsia="宋体" w:cs="宋体"/>
                <w:highlight w:val="none"/>
              </w:rPr>
            </w:pPr>
          </w:p>
        </w:tc>
        <w:tc>
          <w:tcPr>
            <w:tcW w:w="1506" w:type="dxa"/>
            <w:vAlign w:val="center"/>
          </w:tcPr>
          <w:p w14:paraId="09ADB037">
            <w:pPr>
              <w:jc w:val="center"/>
              <w:rPr>
                <w:rFonts w:hint="eastAsia" w:ascii="宋体" w:hAnsi="宋体" w:eastAsia="宋体" w:cs="宋体"/>
                <w:highlight w:val="none"/>
              </w:rPr>
            </w:pPr>
          </w:p>
        </w:tc>
        <w:tc>
          <w:tcPr>
            <w:tcW w:w="936" w:type="dxa"/>
            <w:vAlign w:val="center"/>
          </w:tcPr>
          <w:p w14:paraId="1670ED93">
            <w:pPr>
              <w:jc w:val="center"/>
              <w:rPr>
                <w:rFonts w:hint="eastAsia" w:ascii="宋体" w:hAnsi="宋体" w:eastAsia="宋体" w:cs="宋体"/>
                <w:highlight w:val="none"/>
              </w:rPr>
            </w:pPr>
          </w:p>
        </w:tc>
      </w:tr>
      <w:tr w14:paraId="5D469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1E0EE1C6">
            <w:pPr>
              <w:jc w:val="center"/>
              <w:rPr>
                <w:rFonts w:hint="eastAsia" w:ascii="宋体" w:hAnsi="宋体" w:eastAsia="宋体" w:cs="宋体"/>
                <w:highlight w:val="none"/>
              </w:rPr>
            </w:pPr>
          </w:p>
        </w:tc>
        <w:tc>
          <w:tcPr>
            <w:tcW w:w="1137" w:type="dxa"/>
            <w:vAlign w:val="center"/>
          </w:tcPr>
          <w:p w14:paraId="74958939">
            <w:pPr>
              <w:jc w:val="center"/>
              <w:rPr>
                <w:rFonts w:hint="eastAsia" w:ascii="宋体" w:hAnsi="宋体" w:eastAsia="宋体" w:cs="宋体"/>
                <w:highlight w:val="none"/>
              </w:rPr>
            </w:pPr>
          </w:p>
        </w:tc>
        <w:tc>
          <w:tcPr>
            <w:tcW w:w="2507" w:type="dxa"/>
          </w:tcPr>
          <w:p w14:paraId="75717EE8">
            <w:pPr>
              <w:jc w:val="center"/>
              <w:rPr>
                <w:rFonts w:hint="eastAsia" w:ascii="宋体" w:hAnsi="宋体" w:eastAsia="宋体" w:cs="宋体"/>
                <w:highlight w:val="none"/>
              </w:rPr>
            </w:pPr>
          </w:p>
        </w:tc>
        <w:tc>
          <w:tcPr>
            <w:tcW w:w="1121" w:type="dxa"/>
          </w:tcPr>
          <w:p w14:paraId="690928F5">
            <w:pPr>
              <w:jc w:val="center"/>
              <w:rPr>
                <w:rFonts w:hint="eastAsia" w:ascii="宋体" w:hAnsi="宋体" w:eastAsia="宋体" w:cs="宋体"/>
                <w:highlight w:val="none"/>
              </w:rPr>
            </w:pPr>
          </w:p>
        </w:tc>
        <w:tc>
          <w:tcPr>
            <w:tcW w:w="1230" w:type="dxa"/>
          </w:tcPr>
          <w:p w14:paraId="07487541">
            <w:pPr>
              <w:jc w:val="center"/>
              <w:rPr>
                <w:rFonts w:hint="eastAsia" w:ascii="宋体" w:hAnsi="宋体" w:eastAsia="宋体" w:cs="宋体"/>
                <w:highlight w:val="none"/>
              </w:rPr>
            </w:pPr>
          </w:p>
        </w:tc>
        <w:tc>
          <w:tcPr>
            <w:tcW w:w="1506" w:type="dxa"/>
            <w:vAlign w:val="center"/>
          </w:tcPr>
          <w:p w14:paraId="31FF10AA">
            <w:pPr>
              <w:jc w:val="center"/>
              <w:rPr>
                <w:rFonts w:hint="eastAsia" w:ascii="宋体" w:hAnsi="宋体" w:eastAsia="宋体" w:cs="宋体"/>
                <w:highlight w:val="none"/>
              </w:rPr>
            </w:pPr>
          </w:p>
        </w:tc>
        <w:tc>
          <w:tcPr>
            <w:tcW w:w="936" w:type="dxa"/>
            <w:vAlign w:val="center"/>
          </w:tcPr>
          <w:p w14:paraId="618465F5">
            <w:pPr>
              <w:jc w:val="center"/>
              <w:rPr>
                <w:rFonts w:hint="eastAsia" w:ascii="宋体" w:hAnsi="宋体" w:eastAsia="宋体" w:cs="宋体"/>
                <w:highlight w:val="none"/>
              </w:rPr>
            </w:pPr>
          </w:p>
        </w:tc>
      </w:tr>
      <w:tr w14:paraId="7C871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0C1C85E4">
            <w:pPr>
              <w:jc w:val="center"/>
              <w:rPr>
                <w:rFonts w:hint="eastAsia" w:ascii="宋体" w:hAnsi="宋体" w:eastAsia="宋体" w:cs="宋体"/>
                <w:highlight w:val="none"/>
              </w:rPr>
            </w:pPr>
          </w:p>
        </w:tc>
        <w:tc>
          <w:tcPr>
            <w:tcW w:w="1137" w:type="dxa"/>
            <w:vAlign w:val="center"/>
          </w:tcPr>
          <w:p w14:paraId="6D5F555F">
            <w:pPr>
              <w:jc w:val="center"/>
              <w:rPr>
                <w:rFonts w:hint="eastAsia" w:ascii="宋体" w:hAnsi="宋体" w:eastAsia="宋体" w:cs="宋体"/>
                <w:highlight w:val="none"/>
              </w:rPr>
            </w:pPr>
          </w:p>
        </w:tc>
        <w:tc>
          <w:tcPr>
            <w:tcW w:w="2507" w:type="dxa"/>
          </w:tcPr>
          <w:p w14:paraId="1B83DD84">
            <w:pPr>
              <w:jc w:val="center"/>
              <w:rPr>
                <w:rFonts w:hint="eastAsia" w:ascii="宋体" w:hAnsi="宋体" w:eastAsia="宋体" w:cs="宋体"/>
                <w:highlight w:val="none"/>
              </w:rPr>
            </w:pPr>
          </w:p>
        </w:tc>
        <w:tc>
          <w:tcPr>
            <w:tcW w:w="1121" w:type="dxa"/>
          </w:tcPr>
          <w:p w14:paraId="01DBF33E">
            <w:pPr>
              <w:jc w:val="center"/>
              <w:rPr>
                <w:rFonts w:hint="eastAsia" w:ascii="宋体" w:hAnsi="宋体" w:eastAsia="宋体" w:cs="宋体"/>
                <w:highlight w:val="none"/>
              </w:rPr>
            </w:pPr>
          </w:p>
        </w:tc>
        <w:tc>
          <w:tcPr>
            <w:tcW w:w="1230" w:type="dxa"/>
          </w:tcPr>
          <w:p w14:paraId="45C4C016">
            <w:pPr>
              <w:jc w:val="center"/>
              <w:rPr>
                <w:rFonts w:hint="eastAsia" w:ascii="宋体" w:hAnsi="宋体" w:eastAsia="宋体" w:cs="宋体"/>
                <w:highlight w:val="none"/>
              </w:rPr>
            </w:pPr>
          </w:p>
        </w:tc>
        <w:tc>
          <w:tcPr>
            <w:tcW w:w="1506" w:type="dxa"/>
            <w:vAlign w:val="center"/>
          </w:tcPr>
          <w:p w14:paraId="037487E8">
            <w:pPr>
              <w:jc w:val="center"/>
              <w:rPr>
                <w:rFonts w:hint="eastAsia" w:ascii="宋体" w:hAnsi="宋体" w:eastAsia="宋体" w:cs="宋体"/>
                <w:highlight w:val="none"/>
              </w:rPr>
            </w:pPr>
          </w:p>
        </w:tc>
        <w:tc>
          <w:tcPr>
            <w:tcW w:w="936" w:type="dxa"/>
            <w:vAlign w:val="center"/>
          </w:tcPr>
          <w:p w14:paraId="723CE134">
            <w:pPr>
              <w:jc w:val="center"/>
              <w:rPr>
                <w:rFonts w:hint="eastAsia" w:ascii="宋体" w:hAnsi="宋体" w:eastAsia="宋体" w:cs="宋体"/>
                <w:highlight w:val="none"/>
              </w:rPr>
            </w:pPr>
          </w:p>
        </w:tc>
      </w:tr>
      <w:tr w14:paraId="4CB49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0AD2672">
            <w:pPr>
              <w:jc w:val="center"/>
              <w:rPr>
                <w:rFonts w:hint="eastAsia" w:ascii="宋体" w:hAnsi="宋体" w:eastAsia="宋体" w:cs="宋体"/>
                <w:highlight w:val="none"/>
              </w:rPr>
            </w:pPr>
          </w:p>
        </w:tc>
        <w:tc>
          <w:tcPr>
            <w:tcW w:w="1137" w:type="dxa"/>
            <w:vAlign w:val="center"/>
          </w:tcPr>
          <w:p w14:paraId="6DB5A035">
            <w:pPr>
              <w:jc w:val="center"/>
              <w:rPr>
                <w:rFonts w:hint="eastAsia" w:ascii="宋体" w:hAnsi="宋体" w:eastAsia="宋体" w:cs="宋体"/>
                <w:highlight w:val="none"/>
              </w:rPr>
            </w:pPr>
          </w:p>
        </w:tc>
        <w:tc>
          <w:tcPr>
            <w:tcW w:w="2507" w:type="dxa"/>
          </w:tcPr>
          <w:p w14:paraId="27EF8660">
            <w:pPr>
              <w:jc w:val="center"/>
              <w:rPr>
                <w:rFonts w:hint="eastAsia" w:ascii="宋体" w:hAnsi="宋体" w:eastAsia="宋体" w:cs="宋体"/>
                <w:highlight w:val="none"/>
              </w:rPr>
            </w:pPr>
          </w:p>
        </w:tc>
        <w:tc>
          <w:tcPr>
            <w:tcW w:w="1121" w:type="dxa"/>
          </w:tcPr>
          <w:p w14:paraId="5D326BB2">
            <w:pPr>
              <w:jc w:val="center"/>
              <w:rPr>
                <w:rFonts w:hint="eastAsia" w:ascii="宋体" w:hAnsi="宋体" w:eastAsia="宋体" w:cs="宋体"/>
                <w:highlight w:val="none"/>
              </w:rPr>
            </w:pPr>
          </w:p>
        </w:tc>
        <w:tc>
          <w:tcPr>
            <w:tcW w:w="1230" w:type="dxa"/>
          </w:tcPr>
          <w:p w14:paraId="1DAF32B6">
            <w:pPr>
              <w:jc w:val="center"/>
              <w:rPr>
                <w:rFonts w:hint="eastAsia" w:ascii="宋体" w:hAnsi="宋体" w:eastAsia="宋体" w:cs="宋体"/>
                <w:highlight w:val="none"/>
              </w:rPr>
            </w:pPr>
          </w:p>
        </w:tc>
        <w:tc>
          <w:tcPr>
            <w:tcW w:w="1506" w:type="dxa"/>
            <w:vAlign w:val="center"/>
          </w:tcPr>
          <w:p w14:paraId="3202E13A">
            <w:pPr>
              <w:jc w:val="center"/>
              <w:rPr>
                <w:rFonts w:hint="eastAsia" w:ascii="宋体" w:hAnsi="宋体" w:eastAsia="宋体" w:cs="宋体"/>
                <w:highlight w:val="none"/>
              </w:rPr>
            </w:pPr>
          </w:p>
        </w:tc>
        <w:tc>
          <w:tcPr>
            <w:tcW w:w="936" w:type="dxa"/>
            <w:vAlign w:val="center"/>
          </w:tcPr>
          <w:p w14:paraId="4A6232FB">
            <w:pPr>
              <w:jc w:val="center"/>
              <w:rPr>
                <w:rFonts w:hint="eastAsia" w:ascii="宋体" w:hAnsi="宋体" w:eastAsia="宋体" w:cs="宋体"/>
                <w:highlight w:val="none"/>
              </w:rPr>
            </w:pPr>
          </w:p>
        </w:tc>
      </w:tr>
      <w:tr w14:paraId="13F9A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DBF21D5">
            <w:pPr>
              <w:jc w:val="center"/>
              <w:rPr>
                <w:rFonts w:hint="eastAsia" w:ascii="宋体" w:hAnsi="宋体" w:eastAsia="宋体" w:cs="宋体"/>
                <w:highlight w:val="none"/>
              </w:rPr>
            </w:pPr>
          </w:p>
        </w:tc>
        <w:tc>
          <w:tcPr>
            <w:tcW w:w="1137" w:type="dxa"/>
            <w:vAlign w:val="center"/>
          </w:tcPr>
          <w:p w14:paraId="04A01401">
            <w:pPr>
              <w:jc w:val="center"/>
              <w:rPr>
                <w:rFonts w:hint="eastAsia" w:ascii="宋体" w:hAnsi="宋体" w:eastAsia="宋体" w:cs="宋体"/>
                <w:highlight w:val="none"/>
              </w:rPr>
            </w:pPr>
          </w:p>
        </w:tc>
        <w:tc>
          <w:tcPr>
            <w:tcW w:w="2507" w:type="dxa"/>
          </w:tcPr>
          <w:p w14:paraId="72ED71EE">
            <w:pPr>
              <w:jc w:val="center"/>
              <w:rPr>
                <w:rFonts w:hint="eastAsia" w:ascii="宋体" w:hAnsi="宋体" w:eastAsia="宋体" w:cs="宋体"/>
                <w:highlight w:val="none"/>
              </w:rPr>
            </w:pPr>
          </w:p>
        </w:tc>
        <w:tc>
          <w:tcPr>
            <w:tcW w:w="1121" w:type="dxa"/>
          </w:tcPr>
          <w:p w14:paraId="2FCF91C4">
            <w:pPr>
              <w:jc w:val="center"/>
              <w:rPr>
                <w:rFonts w:hint="eastAsia" w:ascii="宋体" w:hAnsi="宋体" w:eastAsia="宋体" w:cs="宋体"/>
                <w:highlight w:val="none"/>
              </w:rPr>
            </w:pPr>
          </w:p>
        </w:tc>
        <w:tc>
          <w:tcPr>
            <w:tcW w:w="1230" w:type="dxa"/>
          </w:tcPr>
          <w:p w14:paraId="0A5C9C19">
            <w:pPr>
              <w:jc w:val="center"/>
              <w:rPr>
                <w:rFonts w:hint="eastAsia" w:ascii="宋体" w:hAnsi="宋体" w:eastAsia="宋体" w:cs="宋体"/>
                <w:highlight w:val="none"/>
              </w:rPr>
            </w:pPr>
          </w:p>
        </w:tc>
        <w:tc>
          <w:tcPr>
            <w:tcW w:w="1506" w:type="dxa"/>
            <w:vAlign w:val="center"/>
          </w:tcPr>
          <w:p w14:paraId="13408724">
            <w:pPr>
              <w:jc w:val="center"/>
              <w:rPr>
                <w:rFonts w:hint="eastAsia" w:ascii="宋体" w:hAnsi="宋体" w:eastAsia="宋体" w:cs="宋体"/>
                <w:highlight w:val="none"/>
              </w:rPr>
            </w:pPr>
          </w:p>
        </w:tc>
        <w:tc>
          <w:tcPr>
            <w:tcW w:w="936" w:type="dxa"/>
            <w:vAlign w:val="center"/>
          </w:tcPr>
          <w:p w14:paraId="6E6CFD01">
            <w:pPr>
              <w:jc w:val="center"/>
              <w:rPr>
                <w:rFonts w:hint="eastAsia" w:ascii="宋体" w:hAnsi="宋体" w:eastAsia="宋体" w:cs="宋体"/>
                <w:highlight w:val="none"/>
              </w:rPr>
            </w:pPr>
          </w:p>
        </w:tc>
      </w:tr>
      <w:tr w14:paraId="5B261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27556D8">
            <w:pPr>
              <w:jc w:val="center"/>
              <w:rPr>
                <w:rFonts w:hint="eastAsia" w:ascii="宋体" w:hAnsi="宋体" w:eastAsia="宋体" w:cs="宋体"/>
                <w:highlight w:val="none"/>
              </w:rPr>
            </w:pPr>
          </w:p>
        </w:tc>
        <w:tc>
          <w:tcPr>
            <w:tcW w:w="1137" w:type="dxa"/>
            <w:vAlign w:val="center"/>
          </w:tcPr>
          <w:p w14:paraId="317D76CC">
            <w:pPr>
              <w:jc w:val="center"/>
              <w:rPr>
                <w:rFonts w:hint="eastAsia" w:ascii="宋体" w:hAnsi="宋体" w:eastAsia="宋体" w:cs="宋体"/>
                <w:highlight w:val="none"/>
              </w:rPr>
            </w:pPr>
          </w:p>
        </w:tc>
        <w:tc>
          <w:tcPr>
            <w:tcW w:w="2507" w:type="dxa"/>
          </w:tcPr>
          <w:p w14:paraId="0B0C8BF5">
            <w:pPr>
              <w:jc w:val="center"/>
              <w:rPr>
                <w:rFonts w:hint="eastAsia" w:ascii="宋体" w:hAnsi="宋体" w:eastAsia="宋体" w:cs="宋体"/>
                <w:highlight w:val="none"/>
              </w:rPr>
            </w:pPr>
          </w:p>
        </w:tc>
        <w:tc>
          <w:tcPr>
            <w:tcW w:w="1121" w:type="dxa"/>
          </w:tcPr>
          <w:p w14:paraId="222A4812">
            <w:pPr>
              <w:jc w:val="center"/>
              <w:rPr>
                <w:rFonts w:hint="eastAsia" w:ascii="宋体" w:hAnsi="宋体" w:eastAsia="宋体" w:cs="宋体"/>
                <w:highlight w:val="none"/>
              </w:rPr>
            </w:pPr>
          </w:p>
        </w:tc>
        <w:tc>
          <w:tcPr>
            <w:tcW w:w="1230" w:type="dxa"/>
          </w:tcPr>
          <w:p w14:paraId="3BDD15D3">
            <w:pPr>
              <w:jc w:val="center"/>
              <w:rPr>
                <w:rFonts w:hint="eastAsia" w:ascii="宋体" w:hAnsi="宋体" w:eastAsia="宋体" w:cs="宋体"/>
                <w:highlight w:val="none"/>
              </w:rPr>
            </w:pPr>
          </w:p>
        </w:tc>
        <w:tc>
          <w:tcPr>
            <w:tcW w:w="1506" w:type="dxa"/>
            <w:vAlign w:val="center"/>
          </w:tcPr>
          <w:p w14:paraId="3AD6F934">
            <w:pPr>
              <w:jc w:val="center"/>
              <w:rPr>
                <w:rFonts w:hint="eastAsia" w:ascii="宋体" w:hAnsi="宋体" w:eastAsia="宋体" w:cs="宋体"/>
                <w:highlight w:val="none"/>
              </w:rPr>
            </w:pPr>
          </w:p>
        </w:tc>
        <w:tc>
          <w:tcPr>
            <w:tcW w:w="936" w:type="dxa"/>
            <w:vAlign w:val="center"/>
          </w:tcPr>
          <w:p w14:paraId="28FEF854">
            <w:pPr>
              <w:jc w:val="center"/>
              <w:rPr>
                <w:rFonts w:hint="eastAsia" w:ascii="宋体" w:hAnsi="宋体" w:eastAsia="宋体" w:cs="宋体"/>
                <w:highlight w:val="none"/>
              </w:rPr>
            </w:pPr>
          </w:p>
        </w:tc>
      </w:tr>
      <w:tr w14:paraId="06372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74FECEF4">
            <w:pPr>
              <w:jc w:val="center"/>
              <w:rPr>
                <w:rFonts w:hint="eastAsia" w:ascii="宋体" w:hAnsi="宋体" w:eastAsia="宋体" w:cs="宋体"/>
                <w:highlight w:val="none"/>
              </w:rPr>
            </w:pPr>
          </w:p>
        </w:tc>
        <w:tc>
          <w:tcPr>
            <w:tcW w:w="1137" w:type="dxa"/>
            <w:vAlign w:val="center"/>
          </w:tcPr>
          <w:p w14:paraId="6C747697">
            <w:pPr>
              <w:jc w:val="center"/>
              <w:rPr>
                <w:rFonts w:hint="eastAsia" w:ascii="宋体" w:hAnsi="宋体" w:eastAsia="宋体" w:cs="宋体"/>
                <w:highlight w:val="none"/>
              </w:rPr>
            </w:pPr>
          </w:p>
        </w:tc>
        <w:tc>
          <w:tcPr>
            <w:tcW w:w="2507" w:type="dxa"/>
          </w:tcPr>
          <w:p w14:paraId="3AB66CDA">
            <w:pPr>
              <w:jc w:val="center"/>
              <w:rPr>
                <w:rFonts w:hint="eastAsia" w:ascii="宋体" w:hAnsi="宋体" w:eastAsia="宋体" w:cs="宋体"/>
                <w:highlight w:val="none"/>
              </w:rPr>
            </w:pPr>
          </w:p>
        </w:tc>
        <w:tc>
          <w:tcPr>
            <w:tcW w:w="1121" w:type="dxa"/>
          </w:tcPr>
          <w:p w14:paraId="03D79313">
            <w:pPr>
              <w:jc w:val="center"/>
              <w:rPr>
                <w:rFonts w:hint="eastAsia" w:ascii="宋体" w:hAnsi="宋体" w:eastAsia="宋体" w:cs="宋体"/>
                <w:highlight w:val="none"/>
              </w:rPr>
            </w:pPr>
          </w:p>
        </w:tc>
        <w:tc>
          <w:tcPr>
            <w:tcW w:w="1230" w:type="dxa"/>
          </w:tcPr>
          <w:p w14:paraId="0712406A">
            <w:pPr>
              <w:jc w:val="center"/>
              <w:rPr>
                <w:rFonts w:hint="eastAsia" w:ascii="宋体" w:hAnsi="宋体" w:eastAsia="宋体" w:cs="宋体"/>
                <w:highlight w:val="none"/>
              </w:rPr>
            </w:pPr>
          </w:p>
        </w:tc>
        <w:tc>
          <w:tcPr>
            <w:tcW w:w="1506" w:type="dxa"/>
            <w:vAlign w:val="center"/>
          </w:tcPr>
          <w:p w14:paraId="7C38251D">
            <w:pPr>
              <w:jc w:val="center"/>
              <w:rPr>
                <w:rFonts w:hint="eastAsia" w:ascii="宋体" w:hAnsi="宋体" w:eastAsia="宋体" w:cs="宋体"/>
                <w:highlight w:val="none"/>
              </w:rPr>
            </w:pPr>
          </w:p>
        </w:tc>
        <w:tc>
          <w:tcPr>
            <w:tcW w:w="936" w:type="dxa"/>
            <w:vAlign w:val="center"/>
          </w:tcPr>
          <w:p w14:paraId="5E098CFA">
            <w:pPr>
              <w:jc w:val="center"/>
              <w:rPr>
                <w:rFonts w:hint="eastAsia" w:ascii="宋体" w:hAnsi="宋体" w:eastAsia="宋体" w:cs="宋体"/>
                <w:highlight w:val="none"/>
              </w:rPr>
            </w:pPr>
          </w:p>
        </w:tc>
      </w:tr>
      <w:tr w14:paraId="2435B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269DB59D">
            <w:pPr>
              <w:jc w:val="center"/>
              <w:rPr>
                <w:rFonts w:hint="eastAsia" w:ascii="宋体" w:hAnsi="宋体" w:eastAsia="宋体" w:cs="宋体"/>
                <w:highlight w:val="none"/>
              </w:rPr>
            </w:pPr>
          </w:p>
        </w:tc>
        <w:tc>
          <w:tcPr>
            <w:tcW w:w="1137" w:type="dxa"/>
            <w:vAlign w:val="center"/>
          </w:tcPr>
          <w:p w14:paraId="6C39FE94">
            <w:pPr>
              <w:jc w:val="center"/>
              <w:rPr>
                <w:rFonts w:hint="eastAsia" w:ascii="宋体" w:hAnsi="宋体" w:eastAsia="宋体" w:cs="宋体"/>
                <w:highlight w:val="none"/>
              </w:rPr>
            </w:pPr>
          </w:p>
        </w:tc>
        <w:tc>
          <w:tcPr>
            <w:tcW w:w="2507" w:type="dxa"/>
          </w:tcPr>
          <w:p w14:paraId="2A37E117">
            <w:pPr>
              <w:jc w:val="center"/>
              <w:rPr>
                <w:rFonts w:hint="eastAsia" w:ascii="宋体" w:hAnsi="宋体" w:eastAsia="宋体" w:cs="宋体"/>
                <w:highlight w:val="none"/>
              </w:rPr>
            </w:pPr>
          </w:p>
        </w:tc>
        <w:tc>
          <w:tcPr>
            <w:tcW w:w="1121" w:type="dxa"/>
          </w:tcPr>
          <w:p w14:paraId="60FCBA31">
            <w:pPr>
              <w:jc w:val="center"/>
              <w:rPr>
                <w:rFonts w:hint="eastAsia" w:ascii="宋体" w:hAnsi="宋体" w:eastAsia="宋体" w:cs="宋体"/>
                <w:highlight w:val="none"/>
              </w:rPr>
            </w:pPr>
          </w:p>
        </w:tc>
        <w:tc>
          <w:tcPr>
            <w:tcW w:w="1230" w:type="dxa"/>
          </w:tcPr>
          <w:p w14:paraId="347D856F">
            <w:pPr>
              <w:jc w:val="center"/>
              <w:rPr>
                <w:rFonts w:hint="eastAsia" w:ascii="宋体" w:hAnsi="宋体" w:eastAsia="宋体" w:cs="宋体"/>
                <w:highlight w:val="none"/>
              </w:rPr>
            </w:pPr>
          </w:p>
        </w:tc>
        <w:tc>
          <w:tcPr>
            <w:tcW w:w="1506" w:type="dxa"/>
            <w:vAlign w:val="center"/>
          </w:tcPr>
          <w:p w14:paraId="710F0058">
            <w:pPr>
              <w:jc w:val="center"/>
              <w:rPr>
                <w:rFonts w:hint="eastAsia" w:ascii="宋体" w:hAnsi="宋体" w:eastAsia="宋体" w:cs="宋体"/>
                <w:highlight w:val="none"/>
              </w:rPr>
            </w:pPr>
          </w:p>
        </w:tc>
        <w:tc>
          <w:tcPr>
            <w:tcW w:w="936" w:type="dxa"/>
            <w:vAlign w:val="center"/>
          </w:tcPr>
          <w:p w14:paraId="74E83517">
            <w:pPr>
              <w:jc w:val="center"/>
              <w:rPr>
                <w:rFonts w:hint="eastAsia" w:ascii="宋体" w:hAnsi="宋体" w:eastAsia="宋体" w:cs="宋体"/>
                <w:highlight w:val="none"/>
              </w:rPr>
            </w:pPr>
          </w:p>
        </w:tc>
      </w:tr>
      <w:tr w14:paraId="4727B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19" w:type="dxa"/>
            <w:vAlign w:val="center"/>
          </w:tcPr>
          <w:p w14:paraId="6775BB8D">
            <w:pPr>
              <w:jc w:val="center"/>
              <w:rPr>
                <w:rFonts w:hint="eastAsia" w:ascii="宋体" w:hAnsi="宋体" w:eastAsia="宋体" w:cs="宋体"/>
                <w:highlight w:val="none"/>
              </w:rPr>
            </w:pPr>
          </w:p>
        </w:tc>
        <w:tc>
          <w:tcPr>
            <w:tcW w:w="1137" w:type="dxa"/>
            <w:vAlign w:val="center"/>
          </w:tcPr>
          <w:p w14:paraId="4E4206B3">
            <w:pPr>
              <w:jc w:val="center"/>
              <w:rPr>
                <w:rFonts w:hint="eastAsia" w:ascii="宋体" w:hAnsi="宋体" w:eastAsia="宋体" w:cs="宋体"/>
                <w:highlight w:val="none"/>
              </w:rPr>
            </w:pPr>
          </w:p>
        </w:tc>
        <w:tc>
          <w:tcPr>
            <w:tcW w:w="2507" w:type="dxa"/>
          </w:tcPr>
          <w:p w14:paraId="06ECA03A">
            <w:pPr>
              <w:jc w:val="center"/>
              <w:rPr>
                <w:rFonts w:hint="eastAsia" w:ascii="宋体" w:hAnsi="宋体" w:eastAsia="宋体" w:cs="宋体"/>
                <w:highlight w:val="none"/>
              </w:rPr>
            </w:pPr>
          </w:p>
        </w:tc>
        <w:tc>
          <w:tcPr>
            <w:tcW w:w="1121" w:type="dxa"/>
          </w:tcPr>
          <w:p w14:paraId="6044208A">
            <w:pPr>
              <w:jc w:val="center"/>
              <w:rPr>
                <w:rFonts w:hint="eastAsia" w:ascii="宋体" w:hAnsi="宋体" w:eastAsia="宋体" w:cs="宋体"/>
                <w:highlight w:val="none"/>
              </w:rPr>
            </w:pPr>
          </w:p>
        </w:tc>
        <w:tc>
          <w:tcPr>
            <w:tcW w:w="1230" w:type="dxa"/>
          </w:tcPr>
          <w:p w14:paraId="46005932">
            <w:pPr>
              <w:jc w:val="center"/>
              <w:rPr>
                <w:rFonts w:hint="eastAsia" w:ascii="宋体" w:hAnsi="宋体" w:eastAsia="宋体" w:cs="宋体"/>
                <w:highlight w:val="none"/>
              </w:rPr>
            </w:pPr>
          </w:p>
        </w:tc>
        <w:tc>
          <w:tcPr>
            <w:tcW w:w="1506" w:type="dxa"/>
            <w:vAlign w:val="center"/>
          </w:tcPr>
          <w:p w14:paraId="28335D27">
            <w:pPr>
              <w:jc w:val="center"/>
              <w:rPr>
                <w:rFonts w:hint="eastAsia" w:ascii="宋体" w:hAnsi="宋体" w:eastAsia="宋体" w:cs="宋体"/>
                <w:highlight w:val="none"/>
              </w:rPr>
            </w:pPr>
          </w:p>
        </w:tc>
        <w:tc>
          <w:tcPr>
            <w:tcW w:w="936" w:type="dxa"/>
            <w:vAlign w:val="center"/>
          </w:tcPr>
          <w:p w14:paraId="562566F4">
            <w:pPr>
              <w:jc w:val="center"/>
              <w:rPr>
                <w:rFonts w:hint="eastAsia" w:ascii="宋体" w:hAnsi="宋体" w:eastAsia="宋体" w:cs="宋体"/>
                <w:highlight w:val="none"/>
              </w:rPr>
            </w:pPr>
          </w:p>
        </w:tc>
      </w:tr>
      <w:tr w14:paraId="7415B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19" w:type="dxa"/>
            <w:vAlign w:val="center"/>
          </w:tcPr>
          <w:p w14:paraId="2C8C2940">
            <w:pPr>
              <w:jc w:val="center"/>
              <w:rPr>
                <w:rFonts w:hint="eastAsia" w:ascii="宋体" w:hAnsi="宋体" w:eastAsia="宋体" w:cs="宋体"/>
                <w:highlight w:val="none"/>
              </w:rPr>
            </w:pPr>
          </w:p>
        </w:tc>
        <w:tc>
          <w:tcPr>
            <w:tcW w:w="1137" w:type="dxa"/>
            <w:vAlign w:val="center"/>
          </w:tcPr>
          <w:p w14:paraId="498669AC">
            <w:pPr>
              <w:jc w:val="center"/>
              <w:rPr>
                <w:rFonts w:hint="eastAsia" w:ascii="宋体" w:hAnsi="宋体" w:eastAsia="宋体" w:cs="宋体"/>
                <w:highlight w:val="none"/>
              </w:rPr>
            </w:pPr>
          </w:p>
        </w:tc>
        <w:tc>
          <w:tcPr>
            <w:tcW w:w="2507" w:type="dxa"/>
          </w:tcPr>
          <w:p w14:paraId="040F22C5">
            <w:pPr>
              <w:jc w:val="center"/>
              <w:rPr>
                <w:rFonts w:hint="eastAsia" w:ascii="宋体" w:hAnsi="宋体" w:eastAsia="宋体" w:cs="宋体"/>
                <w:highlight w:val="none"/>
              </w:rPr>
            </w:pPr>
          </w:p>
        </w:tc>
        <w:tc>
          <w:tcPr>
            <w:tcW w:w="1121" w:type="dxa"/>
          </w:tcPr>
          <w:p w14:paraId="0E3BC22F">
            <w:pPr>
              <w:jc w:val="center"/>
              <w:rPr>
                <w:rFonts w:hint="eastAsia" w:ascii="宋体" w:hAnsi="宋体" w:eastAsia="宋体" w:cs="宋体"/>
                <w:highlight w:val="none"/>
              </w:rPr>
            </w:pPr>
          </w:p>
        </w:tc>
        <w:tc>
          <w:tcPr>
            <w:tcW w:w="1230" w:type="dxa"/>
          </w:tcPr>
          <w:p w14:paraId="65E5B687">
            <w:pPr>
              <w:jc w:val="center"/>
              <w:rPr>
                <w:rFonts w:hint="eastAsia" w:ascii="宋体" w:hAnsi="宋体" w:eastAsia="宋体" w:cs="宋体"/>
                <w:highlight w:val="none"/>
              </w:rPr>
            </w:pPr>
          </w:p>
        </w:tc>
        <w:tc>
          <w:tcPr>
            <w:tcW w:w="1506" w:type="dxa"/>
            <w:vAlign w:val="center"/>
          </w:tcPr>
          <w:p w14:paraId="1735718D">
            <w:pPr>
              <w:jc w:val="center"/>
              <w:rPr>
                <w:rFonts w:hint="eastAsia" w:ascii="宋体" w:hAnsi="宋体" w:eastAsia="宋体" w:cs="宋体"/>
                <w:highlight w:val="none"/>
              </w:rPr>
            </w:pPr>
          </w:p>
        </w:tc>
        <w:tc>
          <w:tcPr>
            <w:tcW w:w="936" w:type="dxa"/>
            <w:vAlign w:val="center"/>
          </w:tcPr>
          <w:p w14:paraId="316BDB3C">
            <w:pPr>
              <w:jc w:val="center"/>
              <w:rPr>
                <w:rFonts w:hint="eastAsia" w:ascii="宋体" w:hAnsi="宋体" w:eastAsia="宋体" w:cs="宋体"/>
                <w:highlight w:val="none"/>
              </w:rPr>
            </w:pPr>
          </w:p>
        </w:tc>
      </w:tr>
    </w:tbl>
    <w:p w14:paraId="22548922">
      <w:pPr>
        <w:ind w:firstLine="480" w:firstLineChars="200"/>
        <w:rPr>
          <w:rFonts w:ascii="宋体" w:hAnsi="宋体" w:cs="宋体"/>
          <w:color w:val="auto"/>
          <w:sz w:val="24"/>
          <w:highlight w:val="none"/>
        </w:rPr>
      </w:pPr>
    </w:p>
    <w:p w14:paraId="184B0B54">
      <w:pPr>
        <w:ind w:firstLine="480" w:firstLineChars="200"/>
        <w:rPr>
          <w:rFonts w:ascii="宋体" w:hAnsi="宋体" w:cs="宋体"/>
          <w:color w:val="auto"/>
          <w:sz w:val="24"/>
          <w:highlight w:val="none"/>
        </w:rPr>
      </w:pPr>
      <w:r>
        <w:rPr>
          <w:rFonts w:hint="eastAsia" w:ascii="宋体" w:hAnsi="宋体" w:cs="宋体"/>
          <w:color w:val="auto"/>
          <w:sz w:val="24"/>
          <w:highlight w:val="none"/>
        </w:rPr>
        <w:t>备注：</w:t>
      </w:r>
      <w:bookmarkEnd w:id="1044"/>
      <w:bookmarkEnd w:id="1045"/>
      <w:bookmarkEnd w:id="1046"/>
      <w:r>
        <w:rPr>
          <w:rFonts w:hint="eastAsia" w:ascii="宋体" w:hAnsi="宋体" w:eastAsia="宋体" w:cs="宋体"/>
          <w:color w:val="000000"/>
          <w:kern w:val="0"/>
          <w:sz w:val="24"/>
          <w:szCs w:val="24"/>
          <w:highlight w:val="none"/>
          <w:lang w:val="en-US" w:eastAsia="zh-CN" w:bidi="ar"/>
        </w:rPr>
        <w:t>须提供人员身份证、其他相关证书</w:t>
      </w:r>
      <w:r>
        <w:rPr>
          <w:rFonts w:hint="eastAsia" w:ascii="宋体" w:hAnsi="宋体" w:cs="宋体"/>
          <w:color w:val="000000"/>
          <w:kern w:val="0"/>
          <w:sz w:val="24"/>
          <w:szCs w:val="24"/>
          <w:highlight w:val="none"/>
          <w:lang w:val="en-US" w:eastAsia="zh-CN" w:bidi="ar"/>
        </w:rPr>
        <w:t>电子件</w:t>
      </w:r>
      <w:r>
        <w:rPr>
          <w:rFonts w:hint="eastAsia" w:ascii="宋体" w:hAnsi="宋体" w:eastAsia="宋体" w:cs="宋体"/>
          <w:color w:val="000000"/>
          <w:kern w:val="0"/>
          <w:sz w:val="24"/>
          <w:szCs w:val="24"/>
          <w:highlight w:val="none"/>
          <w:lang w:val="en-US" w:eastAsia="zh-CN" w:bidi="ar"/>
        </w:rPr>
        <w:t>等。</w:t>
      </w:r>
    </w:p>
    <w:p w14:paraId="03631455">
      <w:pPr>
        <w:spacing w:line="480" w:lineRule="auto"/>
        <w:rPr>
          <w:rFonts w:ascii="宋体" w:hAnsi="宋体" w:cs="宋体"/>
          <w:color w:val="auto"/>
          <w:sz w:val="24"/>
          <w:highlight w:val="none"/>
        </w:rPr>
      </w:pPr>
    </w:p>
    <w:p w14:paraId="03E77AA5">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：____________</w:t>
      </w:r>
    </w:p>
    <w:p w14:paraId="2B43AB06">
      <w:pPr>
        <w:autoSpaceDE w:val="0"/>
        <w:autoSpaceDN w:val="0"/>
        <w:adjustRightInd w:val="0"/>
        <w:snapToGrid w:val="0"/>
        <w:spacing w:before="25" w:after="25" w:line="360" w:lineRule="auto"/>
        <w:rPr>
          <w:color w:val="auto"/>
          <w:sz w:val="24"/>
          <w:highlight w:val="none"/>
          <w:lang w:val="zh-CN"/>
        </w:rPr>
      </w:pPr>
      <w:r>
        <w:rPr>
          <w:color w:val="auto"/>
          <w:sz w:val="24"/>
          <w:szCs w:val="20"/>
          <w:highlight w:val="none"/>
        </w:rPr>
        <w:t xml:space="preserve">日期：_____年______月______日   </w:t>
      </w:r>
    </w:p>
    <w:p w14:paraId="2A3FFAF8">
      <w:pPr>
        <w:spacing w:line="408" w:lineRule="auto"/>
        <w:jc w:val="center"/>
        <w:outlineLvl w:val="1"/>
        <w:rPr>
          <w:rFonts w:hint="eastAsia" w:ascii="宋体" w:hAnsi="宋体" w:cs="宋体"/>
          <w:b/>
          <w:color w:val="auto"/>
          <w:sz w:val="24"/>
          <w:highlight w:val="none"/>
          <w:lang w:val="en-US" w:eastAsia="zh-CN"/>
        </w:rPr>
      </w:pPr>
    </w:p>
    <w:p w14:paraId="3CDDA9B4">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320BF5E9">
      <w:pPr>
        <w:pStyle w:val="23"/>
        <w:spacing w:line="360" w:lineRule="auto"/>
        <w:ind w:left="1176" w:hanging="1181" w:hangingChars="490"/>
        <w:jc w:val="center"/>
        <w:outlineLvl w:val="2"/>
        <w:rPr>
          <w:rFonts w:hint="eastAsia" w:ascii="宋体" w:hAnsi="宋体" w:eastAsia="宋体" w:cs="宋体"/>
          <w:b/>
          <w:bCs w:val="0"/>
          <w:sz w:val="24"/>
          <w:highlight w:val="none"/>
        </w:rPr>
      </w:pPr>
      <w:r>
        <w:rPr>
          <w:rFonts w:hint="eastAsia" w:hAnsi="宋体" w:cs="宋体"/>
          <w:b/>
          <w:bCs w:val="0"/>
          <w:color w:val="auto"/>
          <w:sz w:val="24"/>
          <w:highlight w:val="none"/>
          <w:lang w:val="en-US" w:eastAsia="zh-CN"/>
        </w:rPr>
        <w:t>8</w:t>
      </w:r>
      <w:r>
        <w:rPr>
          <w:rFonts w:hint="eastAsia" w:ascii="宋体" w:hAnsi="宋体" w:cs="宋体"/>
          <w:b/>
          <w:bCs w:val="0"/>
          <w:color w:val="auto"/>
          <w:sz w:val="24"/>
          <w:highlight w:val="none"/>
          <w:lang w:val="en-US" w:eastAsia="zh-CN"/>
        </w:rPr>
        <w:t>-</w:t>
      </w:r>
      <w:r>
        <w:rPr>
          <w:rFonts w:hint="eastAsia" w:hAnsi="宋体" w:cs="宋体"/>
          <w:b/>
          <w:bCs w:val="0"/>
          <w:color w:val="auto"/>
          <w:sz w:val="24"/>
          <w:highlight w:val="none"/>
          <w:lang w:val="en-US" w:eastAsia="zh-CN"/>
        </w:rPr>
        <w:t>4</w:t>
      </w:r>
      <w:r>
        <w:rPr>
          <w:rFonts w:hAnsi="宋体" w:cs="宋体"/>
          <w:b/>
          <w:bCs w:val="0"/>
          <w:color w:val="auto"/>
          <w:sz w:val="24"/>
          <w:szCs w:val="24"/>
          <w:highlight w:val="none"/>
        </w:rPr>
        <w:t xml:space="preserve"> </w:t>
      </w:r>
      <w:r>
        <w:rPr>
          <w:rFonts w:hint="eastAsia" w:hAnsi="宋体" w:cs="宋体"/>
          <w:b/>
          <w:bCs w:val="0"/>
          <w:color w:val="auto"/>
          <w:sz w:val="24"/>
          <w:szCs w:val="24"/>
          <w:highlight w:val="none"/>
          <w:lang w:val="en-US" w:eastAsia="zh-CN"/>
        </w:rPr>
        <w:t>器械、备品备件</w:t>
      </w:r>
      <w:r>
        <w:rPr>
          <w:rFonts w:hint="eastAsia" w:ascii="宋体" w:hAnsi="宋体" w:eastAsia="宋体" w:cs="宋体"/>
          <w:b/>
          <w:bCs w:val="0"/>
          <w:kern w:val="0"/>
          <w:sz w:val="24"/>
          <w:highlight w:val="none"/>
          <w:lang w:val="en-US" w:eastAsia="zh-CN"/>
        </w:rPr>
        <w:t>情况表</w:t>
      </w:r>
    </w:p>
    <w:tbl>
      <w:tblPr>
        <w:tblStyle w:val="46"/>
        <w:tblW w:w="92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2013"/>
        <w:gridCol w:w="1409"/>
        <w:gridCol w:w="1368"/>
        <w:gridCol w:w="1954"/>
        <w:gridCol w:w="1279"/>
      </w:tblGrid>
      <w:tr w14:paraId="7859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233" w:type="dxa"/>
            <w:vAlign w:val="center"/>
          </w:tcPr>
          <w:p w14:paraId="72F7328F">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序号</w:t>
            </w:r>
          </w:p>
        </w:tc>
        <w:tc>
          <w:tcPr>
            <w:tcW w:w="2013" w:type="dxa"/>
            <w:vAlign w:val="center"/>
          </w:tcPr>
          <w:p w14:paraId="73F5E2E9">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名称</w:t>
            </w:r>
          </w:p>
        </w:tc>
        <w:tc>
          <w:tcPr>
            <w:tcW w:w="1409" w:type="dxa"/>
            <w:vAlign w:val="center"/>
          </w:tcPr>
          <w:p w14:paraId="6EEB4258">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型号</w:t>
            </w:r>
          </w:p>
          <w:p w14:paraId="0DE21EE4">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规格</w:t>
            </w:r>
          </w:p>
        </w:tc>
        <w:tc>
          <w:tcPr>
            <w:tcW w:w="1368" w:type="dxa"/>
            <w:vAlign w:val="center"/>
          </w:tcPr>
          <w:p w14:paraId="14A0FD19">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制造</w:t>
            </w:r>
          </w:p>
          <w:p w14:paraId="7CA7CE9F">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年份</w:t>
            </w:r>
          </w:p>
        </w:tc>
        <w:tc>
          <w:tcPr>
            <w:tcW w:w="1954" w:type="dxa"/>
            <w:vAlign w:val="center"/>
          </w:tcPr>
          <w:p w14:paraId="4E44F73A">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主要用途</w:t>
            </w:r>
          </w:p>
        </w:tc>
        <w:tc>
          <w:tcPr>
            <w:tcW w:w="1279" w:type="dxa"/>
            <w:vAlign w:val="center"/>
          </w:tcPr>
          <w:p w14:paraId="35083C61">
            <w:pPr>
              <w:spacing w:line="440" w:lineRule="exact"/>
              <w:jc w:val="center"/>
              <w:rPr>
                <w:rFonts w:hint="eastAsia" w:ascii="宋体" w:hAnsi="宋体" w:eastAsia="宋体" w:cs="宋体"/>
                <w:b w:val="0"/>
                <w:color w:val="000000"/>
                <w:kern w:val="2"/>
                <w:sz w:val="24"/>
                <w:szCs w:val="20"/>
                <w:highlight w:val="none"/>
                <w:u w:val="none"/>
                <w:lang w:val="en-US" w:eastAsia="zh-CN" w:bidi="ar-SA"/>
              </w:rPr>
            </w:pPr>
            <w:r>
              <w:rPr>
                <w:rFonts w:hint="eastAsia" w:ascii="宋体" w:hAnsi="宋体" w:eastAsia="宋体" w:cs="宋体"/>
                <w:b w:val="0"/>
                <w:color w:val="000000"/>
                <w:kern w:val="2"/>
                <w:sz w:val="24"/>
                <w:szCs w:val="20"/>
                <w:highlight w:val="none"/>
                <w:u w:val="none"/>
                <w:lang w:val="en-US" w:eastAsia="zh-CN" w:bidi="ar-SA"/>
              </w:rPr>
              <w:t>备注</w:t>
            </w:r>
          </w:p>
        </w:tc>
      </w:tr>
      <w:tr w14:paraId="3D95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center"/>
          </w:tcPr>
          <w:p w14:paraId="42CF37D3">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013" w:type="dxa"/>
            <w:vAlign w:val="center"/>
          </w:tcPr>
          <w:p w14:paraId="03217997">
            <w:pPr>
              <w:spacing w:line="440" w:lineRule="exact"/>
              <w:jc w:val="center"/>
              <w:rPr>
                <w:rFonts w:hint="eastAsia" w:ascii="宋体" w:hAnsi="宋体" w:eastAsia="宋体" w:cs="宋体"/>
                <w:sz w:val="21"/>
                <w:szCs w:val="21"/>
                <w:highlight w:val="none"/>
              </w:rPr>
            </w:pPr>
          </w:p>
        </w:tc>
        <w:tc>
          <w:tcPr>
            <w:tcW w:w="1409" w:type="dxa"/>
            <w:vAlign w:val="center"/>
          </w:tcPr>
          <w:p w14:paraId="4BB77EBD">
            <w:pPr>
              <w:spacing w:line="440" w:lineRule="exact"/>
              <w:jc w:val="center"/>
              <w:rPr>
                <w:rFonts w:hint="eastAsia" w:ascii="宋体" w:hAnsi="宋体" w:eastAsia="宋体" w:cs="宋体"/>
                <w:sz w:val="21"/>
                <w:szCs w:val="21"/>
                <w:highlight w:val="none"/>
              </w:rPr>
            </w:pPr>
          </w:p>
        </w:tc>
        <w:tc>
          <w:tcPr>
            <w:tcW w:w="1368" w:type="dxa"/>
            <w:vAlign w:val="center"/>
          </w:tcPr>
          <w:p w14:paraId="21045C59">
            <w:pPr>
              <w:spacing w:line="440" w:lineRule="exact"/>
              <w:jc w:val="center"/>
              <w:rPr>
                <w:rFonts w:hint="eastAsia" w:ascii="宋体" w:hAnsi="宋体" w:eastAsia="宋体" w:cs="宋体"/>
                <w:sz w:val="21"/>
                <w:szCs w:val="21"/>
                <w:highlight w:val="none"/>
              </w:rPr>
            </w:pPr>
          </w:p>
        </w:tc>
        <w:tc>
          <w:tcPr>
            <w:tcW w:w="1954" w:type="dxa"/>
            <w:vAlign w:val="center"/>
          </w:tcPr>
          <w:p w14:paraId="7A5A4905">
            <w:pPr>
              <w:spacing w:line="440" w:lineRule="exact"/>
              <w:jc w:val="center"/>
              <w:rPr>
                <w:rFonts w:hint="eastAsia" w:ascii="宋体" w:hAnsi="宋体" w:eastAsia="宋体" w:cs="宋体"/>
                <w:sz w:val="21"/>
                <w:szCs w:val="21"/>
                <w:highlight w:val="none"/>
              </w:rPr>
            </w:pPr>
          </w:p>
        </w:tc>
        <w:tc>
          <w:tcPr>
            <w:tcW w:w="1279" w:type="dxa"/>
            <w:vAlign w:val="center"/>
          </w:tcPr>
          <w:p w14:paraId="3CC6A2D3">
            <w:pPr>
              <w:spacing w:line="440" w:lineRule="exact"/>
              <w:jc w:val="center"/>
              <w:rPr>
                <w:rFonts w:hint="eastAsia" w:ascii="宋体" w:hAnsi="宋体" w:eastAsia="宋体" w:cs="宋体"/>
                <w:sz w:val="21"/>
                <w:szCs w:val="21"/>
                <w:highlight w:val="none"/>
              </w:rPr>
            </w:pPr>
          </w:p>
        </w:tc>
      </w:tr>
      <w:tr w14:paraId="3DA7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center"/>
          </w:tcPr>
          <w:p w14:paraId="375ACD19">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013" w:type="dxa"/>
            <w:vAlign w:val="center"/>
          </w:tcPr>
          <w:p w14:paraId="692FF351">
            <w:pPr>
              <w:spacing w:line="440" w:lineRule="exact"/>
              <w:jc w:val="center"/>
              <w:rPr>
                <w:rFonts w:hint="eastAsia" w:ascii="宋体" w:hAnsi="宋体" w:eastAsia="宋体" w:cs="宋体"/>
                <w:sz w:val="21"/>
                <w:szCs w:val="21"/>
                <w:highlight w:val="none"/>
              </w:rPr>
            </w:pPr>
          </w:p>
        </w:tc>
        <w:tc>
          <w:tcPr>
            <w:tcW w:w="1409" w:type="dxa"/>
            <w:vAlign w:val="center"/>
          </w:tcPr>
          <w:p w14:paraId="2B49FD7C">
            <w:pPr>
              <w:spacing w:line="440" w:lineRule="exact"/>
              <w:jc w:val="center"/>
              <w:rPr>
                <w:rFonts w:hint="eastAsia" w:ascii="宋体" w:hAnsi="宋体" w:eastAsia="宋体" w:cs="宋体"/>
                <w:sz w:val="21"/>
                <w:szCs w:val="21"/>
                <w:highlight w:val="none"/>
              </w:rPr>
            </w:pPr>
          </w:p>
        </w:tc>
        <w:tc>
          <w:tcPr>
            <w:tcW w:w="1368" w:type="dxa"/>
            <w:vAlign w:val="center"/>
          </w:tcPr>
          <w:p w14:paraId="62622960">
            <w:pPr>
              <w:spacing w:line="440" w:lineRule="exact"/>
              <w:jc w:val="center"/>
              <w:rPr>
                <w:rFonts w:hint="eastAsia" w:ascii="宋体" w:hAnsi="宋体" w:eastAsia="宋体" w:cs="宋体"/>
                <w:sz w:val="21"/>
                <w:szCs w:val="21"/>
                <w:highlight w:val="none"/>
              </w:rPr>
            </w:pPr>
          </w:p>
        </w:tc>
        <w:tc>
          <w:tcPr>
            <w:tcW w:w="1954" w:type="dxa"/>
            <w:vAlign w:val="center"/>
          </w:tcPr>
          <w:p w14:paraId="0907C792">
            <w:pPr>
              <w:spacing w:line="440" w:lineRule="exact"/>
              <w:jc w:val="center"/>
              <w:rPr>
                <w:rFonts w:hint="eastAsia" w:ascii="宋体" w:hAnsi="宋体" w:eastAsia="宋体" w:cs="宋体"/>
                <w:sz w:val="21"/>
                <w:szCs w:val="21"/>
                <w:highlight w:val="none"/>
              </w:rPr>
            </w:pPr>
          </w:p>
        </w:tc>
        <w:tc>
          <w:tcPr>
            <w:tcW w:w="1279" w:type="dxa"/>
            <w:vAlign w:val="center"/>
          </w:tcPr>
          <w:p w14:paraId="4490BBE8">
            <w:pPr>
              <w:spacing w:line="440" w:lineRule="exact"/>
              <w:jc w:val="center"/>
              <w:rPr>
                <w:rFonts w:hint="eastAsia" w:ascii="宋体" w:hAnsi="宋体" w:eastAsia="宋体" w:cs="宋体"/>
                <w:sz w:val="21"/>
                <w:szCs w:val="21"/>
                <w:highlight w:val="none"/>
              </w:rPr>
            </w:pPr>
          </w:p>
        </w:tc>
      </w:tr>
      <w:tr w14:paraId="6721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05DD2205">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013" w:type="dxa"/>
            <w:vAlign w:val="top"/>
          </w:tcPr>
          <w:p w14:paraId="540E1A07">
            <w:pPr>
              <w:spacing w:line="440" w:lineRule="exact"/>
              <w:jc w:val="center"/>
              <w:rPr>
                <w:rFonts w:hint="eastAsia" w:ascii="宋体" w:hAnsi="宋体" w:eastAsia="宋体" w:cs="宋体"/>
                <w:sz w:val="21"/>
                <w:szCs w:val="21"/>
                <w:highlight w:val="none"/>
              </w:rPr>
            </w:pPr>
          </w:p>
        </w:tc>
        <w:tc>
          <w:tcPr>
            <w:tcW w:w="1409" w:type="dxa"/>
            <w:vAlign w:val="top"/>
          </w:tcPr>
          <w:p w14:paraId="6B03F7C8">
            <w:pPr>
              <w:spacing w:line="440" w:lineRule="exact"/>
              <w:jc w:val="center"/>
              <w:rPr>
                <w:rFonts w:hint="eastAsia" w:ascii="宋体" w:hAnsi="宋体" w:eastAsia="宋体" w:cs="宋体"/>
                <w:sz w:val="21"/>
                <w:szCs w:val="21"/>
                <w:highlight w:val="none"/>
              </w:rPr>
            </w:pPr>
          </w:p>
        </w:tc>
        <w:tc>
          <w:tcPr>
            <w:tcW w:w="1368" w:type="dxa"/>
            <w:vAlign w:val="top"/>
          </w:tcPr>
          <w:p w14:paraId="631B86AC">
            <w:pPr>
              <w:spacing w:line="440" w:lineRule="exact"/>
              <w:jc w:val="center"/>
              <w:rPr>
                <w:rFonts w:hint="eastAsia" w:ascii="宋体" w:hAnsi="宋体" w:eastAsia="宋体" w:cs="宋体"/>
                <w:sz w:val="21"/>
                <w:szCs w:val="21"/>
                <w:highlight w:val="none"/>
              </w:rPr>
            </w:pPr>
          </w:p>
        </w:tc>
        <w:tc>
          <w:tcPr>
            <w:tcW w:w="1954" w:type="dxa"/>
            <w:vAlign w:val="top"/>
          </w:tcPr>
          <w:p w14:paraId="033BA87D">
            <w:pPr>
              <w:spacing w:line="440" w:lineRule="exact"/>
              <w:jc w:val="center"/>
              <w:rPr>
                <w:rFonts w:hint="eastAsia" w:ascii="宋体" w:hAnsi="宋体" w:eastAsia="宋体" w:cs="宋体"/>
                <w:sz w:val="21"/>
                <w:szCs w:val="21"/>
                <w:highlight w:val="none"/>
              </w:rPr>
            </w:pPr>
          </w:p>
        </w:tc>
        <w:tc>
          <w:tcPr>
            <w:tcW w:w="1279" w:type="dxa"/>
            <w:vAlign w:val="top"/>
          </w:tcPr>
          <w:p w14:paraId="246EDFA9">
            <w:pPr>
              <w:spacing w:line="440" w:lineRule="exact"/>
              <w:jc w:val="center"/>
              <w:rPr>
                <w:rFonts w:hint="eastAsia" w:ascii="宋体" w:hAnsi="宋体" w:eastAsia="宋体" w:cs="宋体"/>
                <w:sz w:val="21"/>
                <w:szCs w:val="21"/>
                <w:highlight w:val="none"/>
              </w:rPr>
            </w:pPr>
          </w:p>
        </w:tc>
      </w:tr>
      <w:tr w14:paraId="08B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38958722">
            <w:pPr>
              <w:spacing w:line="4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2013" w:type="dxa"/>
            <w:vAlign w:val="top"/>
          </w:tcPr>
          <w:p w14:paraId="0DCB6DC9">
            <w:pPr>
              <w:spacing w:line="440" w:lineRule="exact"/>
              <w:jc w:val="center"/>
              <w:rPr>
                <w:rFonts w:hint="eastAsia" w:ascii="宋体" w:hAnsi="宋体" w:eastAsia="宋体" w:cs="宋体"/>
                <w:sz w:val="21"/>
                <w:szCs w:val="21"/>
                <w:highlight w:val="none"/>
              </w:rPr>
            </w:pPr>
          </w:p>
        </w:tc>
        <w:tc>
          <w:tcPr>
            <w:tcW w:w="1409" w:type="dxa"/>
            <w:vAlign w:val="top"/>
          </w:tcPr>
          <w:p w14:paraId="3C7E6EE4">
            <w:pPr>
              <w:spacing w:line="440" w:lineRule="exact"/>
              <w:jc w:val="center"/>
              <w:rPr>
                <w:rFonts w:hint="eastAsia" w:ascii="宋体" w:hAnsi="宋体" w:eastAsia="宋体" w:cs="宋体"/>
                <w:sz w:val="21"/>
                <w:szCs w:val="21"/>
                <w:highlight w:val="none"/>
              </w:rPr>
            </w:pPr>
          </w:p>
        </w:tc>
        <w:tc>
          <w:tcPr>
            <w:tcW w:w="1368" w:type="dxa"/>
            <w:vAlign w:val="top"/>
          </w:tcPr>
          <w:p w14:paraId="25422A37">
            <w:pPr>
              <w:spacing w:line="440" w:lineRule="exact"/>
              <w:jc w:val="center"/>
              <w:rPr>
                <w:rFonts w:hint="eastAsia" w:ascii="宋体" w:hAnsi="宋体" w:eastAsia="宋体" w:cs="宋体"/>
                <w:sz w:val="21"/>
                <w:szCs w:val="21"/>
                <w:highlight w:val="none"/>
              </w:rPr>
            </w:pPr>
          </w:p>
        </w:tc>
        <w:tc>
          <w:tcPr>
            <w:tcW w:w="1954" w:type="dxa"/>
            <w:vAlign w:val="top"/>
          </w:tcPr>
          <w:p w14:paraId="7676BB93">
            <w:pPr>
              <w:spacing w:line="440" w:lineRule="exact"/>
              <w:jc w:val="center"/>
              <w:rPr>
                <w:rFonts w:hint="eastAsia" w:ascii="宋体" w:hAnsi="宋体" w:eastAsia="宋体" w:cs="宋体"/>
                <w:sz w:val="21"/>
                <w:szCs w:val="21"/>
                <w:highlight w:val="none"/>
              </w:rPr>
            </w:pPr>
          </w:p>
        </w:tc>
        <w:tc>
          <w:tcPr>
            <w:tcW w:w="1279" w:type="dxa"/>
            <w:vAlign w:val="top"/>
          </w:tcPr>
          <w:p w14:paraId="4BC0AAAE">
            <w:pPr>
              <w:spacing w:line="440" w:lineRule="exact"/>
              <w:jc w:val="center"/>
              <w:rPr>
                <w:rFonts w:hint="eastAsia" w:ascii="宋体" w:hAnsi="宋体" w:eastAsia="宋体" w:cs="宋体"/>
                <w:sz w:val="21"/>
                <w:szCs w:val="21"/>
                <w:highlight w:val="none"/>
              </w:rPr>
            </w:pPr>
          </w:p>
        </w:tc>
      </w:tr>
      <w:tr w14:paraId="2AAE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358EE23D">
            <w:pPr>
              <w:spacing w:line="440" w:lineRule="exact"/>
              <w:jc w:val="center"/>
              <w:rPr>
                <w:rFonts w:hint="eastAsia" w:ascii="宋体" w:hAnsi="宋体" w:eastAsia="宋体" w:cs="宋体"/>
                <w:sz w:val="21"/>
                <w:szCs w:val="21"/>
                <w:highlight w:val="none"/>
              </w:rPr>
            </w:pPr>
          </w:p>
        </w:tc>
        <w:tc>
          <w:tcPr>
            <w:tcW w:w="2013" w:type="dxa"/>
            <w:vAlign w:val="top"/>
          </w:tcPr>
          <w:p w14:paraId="6D08C1A5">
            <w:pPr>
              <w:spacing w:line="440" w:lineRule="exact"/>
              <w:jc w:val="center"/>
              <w:rPr>
                <w:rFonts w:hint="eastAsia" w:ascii="宋体" w:hAnsi="宋体" w:eastAsia="宋体" w:cs="宋体"/>
                <w:sz w:val="21"/>
                <w:szCs w:val="21"/>
                <w:highlight w:val="none"/>
              </w:rPr>
            </w:pPr>
          </w:p>
        </w:tc>
        <w:tc>
          <w:tcPr>
            <w:tcW w:w="1409" w:type="dxa"/>
            <w:vAlign w:val="top"/>
          </w:tcPr>
          <w:p w14:paraId="27329C67">
            <w:pPr>
              <w:spacing w:line="440" w:lineRule="exact"/>
              <w:jc w:val="center"/>
              <w:rPr>
                <w:rFonts w:hint="eastAsia" w:ascii="宋体" w:hAnsi="宋体" w:eastAsia="宋体" w:cs="宋体"/>
                <w:sz w:val="21"/>
                <w:szCs w:val="21"/>
                <w:highlight w:val="none"/>
              </w:rPr>
            </w:pPr>
          </w:p>
        </w:tc>
        <w:tc>
          <w:tcPr>
            <w:tcW w:w="1368" w:type="dxa"/>
            <w:vAlign w:val="top"/>
          </w:tcPr>
          <w:p w14:paraId="117CA3AB">
            <w:pPr>
              <w:spacing w:line="440" w:lineRule="exact"/>
              <w:jc w:val="center"/>
              <w:rPr>
                <w:rFonts w:hint="eastAsia" w:ascii="宋体" w:hAnsi="宋体" w:eastAsia="宋体" w:cs="宋体"/>
                <w:sz w:val="21"/>
                <w:szCs w:val="21"/>
                <w:highlight w:val="none"/>
              </w:rPr>
            </w:pPr>
          </w:p>
        </w:tc>
        <w:tc>
          <w:tcPr>
            <w:tcW w:w="1954" w:type="dxa"/>
            <w:vAlign w:val="top"/>
          </w:tcPr>
          <w:p w14:paraId="3BC4038B">
            <w:pPr>
              <w:spacing w:line="440" w:lineRule="exact"/>
              <w:jc w:val="center"/>
              <w:rPr>
                <w:rFonts w:hint="eastAsia" w:ascii="宋体" w:hAnsi="宋体" w:eastAsia="宋体" w:cs="宋体"/>
                <w:sz w:val="21"/>
                <w:szCs w:val="21"/>
                <w:highlight w:val="none"/>
              </w:rPr>
            </w:pPr>
          </w:p>
        </w:tc>
        <w:tc>
          <w:tcPr>
            <w:tcW w:w="1279" w:type="dxa"/>
            <w:vAlign w:val="top"/>
          </w:tcPr>
          <w:p w14:paraId="12C69018">
            <w:pPr>
              <w:spacing w:line="440" w:lineRule="exact"/>
              <w:jc w:val="center"/>
              <w:rPr>
                <w:rFonts w:hint="eastAsia" w:ascii="宋体" w:hAnsi="宋体" w:eastAsia="宋体" w:cs="宋体"/>
                <w:sz w:val="21"/>
                <w:szCs w:val="21"/>
                <w:highlight w:val="none"/>
              </w:rPr>
            </w:pPr>
          </w:p>
        </w:tc>
      </w:tr>
      <w:tr w14:paraId="063D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28DE7638">
            <w:pPr>
              <w:spacing w:line="440" w:lineRule="exact"/>
              <w:jc w:val="center"/>
              <w:rPr>
                <w:rFonts w:hint="eastAsia" w:ascii="宋体" w:hAnsi="宋体" w:eastAsia="宋体" w:cs="宋体"/>
                <w:sz w:val="21"/>
                <w:szCs w:val="21"/>
                <w:highlight w:val="none"/>
              </w:rPr>
            </w:pPr>
          </w:p>
        </w:tc>
        <w:tc>
          <w:tcPr>
            <w:tcW w:w="2013" w:type="dxa"/>
            <w:vAlign w:val="top"/>
          </w:tcPr>
          <w:p w14:paraId="2A99479C">
            <w:pPr>
              <w:spacing w:line="440" w:lineRule="exact"/>
              <w:jc w:val="center"/>
              <w:rPr>
                <w:rFonts w:hint="eastAsia" w:ascii="宋体" w:hAnsi="宋体" w:eastAsia="宋体" w:cs="宋体"/>
                <w:sz w:val="21"/>
                <w:szCs w:val="21"/>
                <w:highlight w:val="none"/>
              </w:rPr>
            </w:pPr>
          </w:p>
        </w:tc>
        <w:tc>
          <w:tcPr>
            <w:tcW w:w="1409" w:type="dxa"/>
            <w:vAlign w:val="top"/>
          </w:tcPr>
          <w:p w14:paraId="0D481835">
            <w:pPr>
              <w:spacing w:line="440" w:lineRule="exact"/>
              <w:jc w:val="center"/>
              <w:rPr>
                <w:rFonts w:hint="eastAsia" w:ascii="宋体" w:hAnsi="宋体" w:eastAsia="宋体" w:cs="宋体"/>
                <w:sz w:val="21"/>
                <w:szCs w:val="21"/>
                <w:highlight w:val="none"/>
              </w:rPr>
            </w:pPr>
          </w:p>
        </w:tc>
        <w:tc>
          <w:tcPr>
            <w:tcW w:w="1368" w:type="dxa"/>
            <w:vAlign w:val="top"/>
          </w:tcPr>
          <w:p w14:paraId="71AF2232">
            <w:pPr>
              <w:spacing w:line="440" w:lineRule="exact"/>
              <w:jc w:val="center"/>
              <w:rPr>
                <w:rFonts w:hint="eastAsia" w:ascii="宋体" w:hAnsi="宋体" w:eastAsia="宋体" w:cs="宋体"/>
                <w:sz w:val="21"/>
                <w:szCs w:val="21"/>
                <w:highlight w:val="none"/>
              </w:rPr>
            </w:pPr>
          </w:p>
        </w:tc>
        <w:tc>
          <w:tcPr>
            <w:tcW w:w="1954" w:type="dxa"/>
            <w:vAlign w:val="top"/>
          </w:tcPr>
          <w:p w14:paraId="3C3615DB">
            <w:pPr>
              <w:spacing w:line="440" w:lineRule="exact"/>
              <w:jc w:val="center"/>
              <w:rPr>
                <w:rFonts w:hint="eastAsia" w:ascii="宋体" w:hAnsi="宋体" w:eastAsia="宋体" w:cs="宋体"/>
                <w:sz w:val="21"/>
                <w:szCs w:val="21"/>
                <w:highlight w:val="none"/>
              </w:rPr>
            </w:pPr>
          </w:p>
        </w:tc>
        <w:tc>
          <w:tcPr>
            <w:tcW w:w="1279" w:type="dxa"/>
            <w:vAlign w:val="top"/>
          </w:tcPr>
          <w:p w14:paraId="146CD891">
            <w:pPr>
              <w:spacing w:line="440" w:lineRule="exact"/>
              <w:jc w:val="center"/>
              <w:rPr>
                <w:rFonts w:hint="eastAsia" w:ascii="宋体" w:hAnsi="宋体" w:eastAsia="宋体" w:cs="宋体"/>
                <w:sz w:val="21"/>
                <w:szCs w:val="21"/>
                <w:highlight w:val="none"/>
              </w:rPr>
            </w:pPr>
          </w:p>
        </w:tc>
      </w:tr>
      <w:tr w14:paraId="0302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72A3F23">
            <w:pPr>
              <w:spacing w:line="440" w:lineRule="exact"/>
              <w:jc w:val="center"/>
              <w:rPr>
                <w:rFonts w:hint="eastAsia" w:ascii="宋体" w:hAnsi="宋体" w:eastAsia="宋体" w:cs="宋体"/>
                <w:sz w:val="21"/>
                <w:szCs w:val="21"/>
                <w:highlight w:val="none"/>
              </w:rPr>
            </w:pPr>
          </w:p>
        </w:tc>
        <w:tc>
          <w:tcPr>
            <w:tcW w:w="2013" w:type="dxa"/>
            <w:vAlign w:val="top"/>
          </w:tcPr>
          <w:p w14:paraId="24C888F6">
            <w:pPr>
              <w:spacing w:line="440" w:lineRule="exact"/>
              <w:jc w:val="center"/>
              <w:rPr>
                <w:rFonts w:hint="eastAsia" w:ascii="宋体" w:hAnsi="宋体" w:eastAsia="宋体" w:cs="宋体"/>
                <w:sz w:val="21"/>
                <w:szCs w:val="21"/>
                <w:highlight w:val="none"/>
              </w:rPr>
            </w:pPr>
          </w:p>
        </w:tc>
        <w:tc>
          <w:tcPr>
            <w:tcW w:w="1409" w:type="dxa"/>
            <w:vAlign w:val="top"/>
          </w:tcPr>
          <w:p w14:paraId="6E6804E4">
            <w:pPr>
              <w:spacing w:line="440" w:lineRule="exact"/>
              <w:jc w:val="center"/>
              <w:rPr>
                <w:rFonts w:hint="eastAsia" w:ascii="宋体" w:hAnsi="宋体" w:eastAsia="宋体" w:cs="宋体"/>
                <w:sz w:val="21"/>
                <w:szCs w:val="21"/>
                <w:highlight w:val="none"/>
              </w:rPr>
            </w:pPr>
          </w:p>
        </w:tc>
        <w:tc>
          <w:tcPr>
            <w:tcW w:w="1368" w:type="dxa"/>
            <w:vAlign w:val="top"/>
          </w:tcPr>
          <w:p w14:paraId="28E9DBD1">
            <w:pPr>
              <w:spacing w:line="440" w:lineRule="exact"/>
              <w:jc w:val="center"/>
              <w:rPr>
                <w:rFonts w:hint="eastAsia" w:ascii="宋体" w:hAnsi="宋体" w:eastAsia="宋体" w:cs="宋体"/>
                <w:sz w:val="21"/>
                <w:szCs w:val="21"/>
                <w:highlight w:val="none"/>
              </w:rPr>
            </w:pPr>
          </w:p>
        </w:tc>
        <w:tc>
          <w:tcPr>
            <w:tcW w:w="1954" w:type="dxa"/>
            <w:vAlign w:val="top"/>
          </w:tcPr>
          <w:p w14:paraId="6CE57584">
            <w:pPr>
              <w:spacing w:line="440" w:lineRule="exact"/>
              <w:jc w:val="center"/>
              <w:rPr>
                <w:rFonts w:hint="eastAsia" w:ascii="宋体" w:hAnsi="宋体" w:eastAsia="宋体" w:cs="宋体"/>
                <w:sz w:val="21"/>
                <w:szCs w:val="21"/>
                <w:highlight w:val="none"/>
              </w:rPr>
            </w:pPr>
          </w:p>
        </w:tc>
        <w:tc>
          <w:tcPr>
            <w:tcW w:w="1279" w:type="dxa"/>
            <w:vAlign w:val="top"/>
          </w:tcPr>
          <w:p w14:paraId="2FD836F5">
            <w:pPr>
              <w:spacing w:line="440" w:lineRule="exact"/>
              <w:jc w:val="center"/>
              <w:rPr>
                <w:rFonts w:hint="eastAsia" w:ascii="宋体" w:hAnsi="宋体" w:eastAsia="宋体" w:cs="宋体"/>
                <w:sz w:val="21"/>
                <w:szCs w:val="21"/>
                <w:highlight w:val="none"/>
              </w:rPr>
            </w:pPr>
          </w:p>
        </w:tc>
      </w:tr>
      <w:tr w14:paraId="5805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2ADAA58D">
            <w:pPr>
              <w:spacing w:line="440" w:lineRule="exact"/>
              <w:jc w:val="center"/>
              <w:rPr>
                <w:rFonts w:hint="eastAsia" w:ascii="宋体" w:hAnsi="宋体" w:eastAsia="宋体" w:cs="宋体"/>
                <w:sz w:val="21"/>
                <w:szCs w:val="21"/>
                <w:highlight w:val="none"/>
              </w:rPr>
            </w:pPr>
          </w:p>
        </w:tc>
        <w:tc>
          <w:tcPr>
            <w:tcW w:w="2013" w:type="dxa"/>
            <w:vAlign w:val="top"/>
          </w:tcPr>
          <w:p w14:paraId="7A9F39CE">
            <w:pPr>
              <w:spacing w:line="440" w:lineRule="exact"/>
              <w:jc w:val="center"/>
              <w:rPr>
                <w:rFonts w:hint="eastAsia" w:ascii="宋体" w:hAnsi="宋体" w:eastAsia="宋体" w:cs="宋体"/>
                <w:sz w:val="21"/>
                <w:szCs w:val="21"/>
                <w:highlight w:val="none"/>
              </w:rPr>
            </w:pPr>
          </w:p>
        </w:tc>
        <w:tc>
          <w:tcPr>
            <w:tcW w:w="1409" w:type="dxa"/>
            <w:vAlign w:val="top"/>
          </w:tcPr>
          <w:p w14:paraId="753843A3">
            <w:pPr>
              <w:spacing w:line="440" w:lineRule="exact"/>
              <w:jc w:val="center"/>
              <w:rPr>
                <w:rFonts w:hint="eastAsia" w:ascii="宋体" w:hAnsi="宋体" w:eastAsia="宋体" w:cs="宋体"/>
                <w:sz w:val="21"/>
                <w:szCs w:val="21"/>
                <w:highlight w:val="none"/>
              </w:rPr>
            </w:pPr>
          </w:p>
        </w:tc>
        <w:tc>
          <w:tcPr>
            <w:tcW w:w="1368" w:type="dxa"/>
            <w:vAlign w:val="top"/>
          </w:tcPr>
          <w:p w14:paraId="03B325C8">
            <w:pPr>
              <w:spacing w:line="440" w:lineRule="exact"/>
              <w:jc w:val="center"/>
              <w:rPr>
                <w:rFonts w:hint="eastAsia" w:ascii="宋体" w:hAnsi="宋体" w:eastAsia="宋体" w:cs="宋体"/>
                <w:sz w:val="21"/>
                <w:szCs w:val="21"/>
                <w:highlight w:val="none"/>
              </w:rPr>
            </w:pPr>
          </w:p>
        </w:tc>
        <w:tc>
          <w:tcPr>
            <w:tcW w:w="1954" w:type="dxa"/>
            <w:vAlign w:val="top"/>
          </w:tcPr>
          <w:p w14:paraId="6C82AB30">
            <w:pPr>
              <w:spacing w:line="440" w:lineRule="exact"/>
              <w:jc w:val="center"/>
              <w:rPr>
                <w:rFonts w:hint="eastAsia" w:ascii="宋体" w:hAnsi="宋体" w:eastAsia="宋体" w:cs="宋体"/>
                <w:sz w:val="21"/>
                <w:szCs w:val="21"/>
                <w:highlight w:val="none"/>
              </w:rPr>
            </w:pPr>
          </w:p>
        </w:tc>
        <w:tc>
          <w:tcPr>
            <w:tcW w:w="1279" w:type="dxa"/>
            <w:vAlign w:val="top"/>
          </w:tcPr>
          <w:p w14:paraId="13D1B029">
            <w:pPr>
              <w:spacing w:line="440" w:lineRule="exact"/>
              <w:jc w:val="center"/>
              <w:rPr>
                <w:rFonts w:hint="eastAsia" w:ascii="宋体" w:hAnsi="宋体" w:eastAsia="宋体" w:cs="宋体"/>
                <w:sz w:val="21"/>
                <w:szCs w:val="21"/>
                <w:highlight w:val="none"/>
              </w:rPr>
            </w:pPr>
          </w:p>
        </w:tc>
      </w:tr>
      <w:tr w14:paraId="367A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02538AB">
            <w:pPr>
              <w:spacing w:line="440" w:lineRule="exact"/>
              <w:jc w:val="center"/>
              <w:rPr>
                <w:rFonts w:hint="eastAsia" w:ascii="宋体" w:hAnsi="宋体" w:eastAsia="宋体" w:cs="宋体"/>
                <w:sz w:val="21"/>
                <w:szCs w:val="21"/>
                <w:highlight w:val="none"/>
              </w:rPr>
            </w:pPr>
          </w:p>
        </w:tc>
        <w:tc>
          <w:tcPr>
            <w:tcW w:w="2013" w:type="dxa"/>
            <w:vAlign w:val="top"/>
          </w:tcPr>
          <w:p w14:paraId="570C5D03">
            <w:pPr>
              <w:spacing w:line="440" w:lineRule="exact"/>
              <w:jc w:val="center"/>
              <w:rPr>
                <w:rFonts w:hint="eastAsia" w:ascii="宋体" w:hAnsi="宋体" w:eastAsia="宋体" w:cs="宋体"/>
                <w:sz w:val="21"/>
                <w:szCs w:val="21"/>
                <w:highlight w:val="none"/>
              </w:rPr>
            </w:pPr>
          </w:p>
        </w:tc>
        <w:tc>
          <w:tcPr>
            <w:tcW w:w="1409" w:type="dxa"/>
            <w:vAlign w:val="top"/>
          </w:tcPr>
          <w:p w14:paraId="3A8D62A5">
            <w:pPr>
              <w:spacing w:line="440" w:lineRule="exact"/>
              <w:jc w:val="center"/>
              <w:rPr>
                <w:rFonts w:hint="eastAsia" w:ascii="宋体" w:hAnsi="宋体" w:eastAsia="宋体" w:cs="宋体"/>
                <w:sz w:val="21"/>
                <w:szCs w:val="21"/>
                <w:highlight w:val="none"/>
              </w:rPr>
            </w:pPr>
          </w:p>
        </w:tc>
        <w:tc>
          <w:tcPr>
            <w:tcW w:w="1368" w:type="dxa"/>
            <w:vAlign w:val="top"/>
          </w:tcPr>
          <w:p w14:paraId="7010A2C8">
            <w:pPr>
              <w:spacing w:line="440" w:lineRule="exact"/>
              <w:jc w:val="center"/>
              <w:rPr>
                <w:rFonts w:hint="eastAsia" w:ascii="宋体" w:hAnsi="宋体" w:eastAsia="宋体" w:cs="宋体"/>
                <w:sz w:val="21"/>
                <w:szCs w:val="21"/>
                <w:highlight w:val="none"/>
              </w:rPr>
            </w:pPr>
          </w:p>
        </w:tc>
        <w:tc>
          <w:tcPr>
            <w:tcW w:w="1954" w:type="dxa"/>
            <w:vAlign w:val="top"/>
          </w:tcPr>
          <w:p w14:paraId="6FCD70B1">
            <w:pPr>
              <w:spacing w:line="440" w:lineRule="exact"/>
              <w:jc w:val="center"/>
              <w:rPr>
                <w:rFonts w:hint="eastAsia" w:ascii="宋体" w:hAnsi="宋体" w:eastAsia="宋体" w:cs="宋体"/>
                <w:sz w:val="21"/>
                <w:szCs w:val="21"/>
                <w:highlight w:val="none"/>
              </w:rPr>
            </w:pPr>
          </w:p>
        </w:tc>
        <w:tc>
          <w:tcPr>
            <w:tcW w:w="1279" w:type="dxa"/>
            <w:vAlign w:val="top"/>
          </w:tcPr>
          <w:p w14:paraId="07F48B3D">
            <w:pPr>
              <w:spacing w:line="440" w:lineRule="exact"/>
              <w:jc w:val="center"/>
              <w:rPr>
                <w:rFonts w:hint="eastAsia" w:ascii="宋体" w:hAnsi="宋体" w:eastAsia="宋体" w:cs="宋体"/>
                <w:sz w:val="21"/>
                <w:szCs w:val="21"/>
                <w:highlight w:val="none"/>
              </w:rPr>
            </w:pPr>
          </w:p>
        </w:tc>
      </w:tr>
      <w:tr w14:paraId="21F1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74CDC94A">
            <w:pPr>
              <w:spacing w:line="440" w:lineRule="exact"/>
              <w:jc w:val="center"/>
              <w:rPr>
                <w:rFonts w:hint="eastAsia" w:ascii="宋体" w:hAnsi="宋体" w:eastAsia="宋体" w:cs="宋体"/>
                <w:sz w:val="21"/>
                <w:szCs w:val="21"/>
                <w:highlight w:val="none"/>
              </w:rPr>
            </w:pPr>
          </w:p>
        </w:tc>
        <w:tc>
          <w:tcPr>
            <w:tcW w:w="2013" w:type="dxa"/>
            <w:vAlign w:val="top"/>
          </w:tcPr>
          <w:p w14:paraId="5225BD8B">
            <w:pPr>
              <w:spacing w:line="440" w:lineRule="exact"/>
              <w:jc w:val="center"/>
              <w:rPr>
                <w:rFonts w:hint="eastAsia" w:ascii="宋体" w:hAnsi="宋体" w:eastAsia="宋体" w:cs="宋体"/>
                <w:sz w:val="21"/>
                <w:szCs w:val="21"/>
                <w:highlight w:val="none"/>
              </w:rPr>
            </w:pPr>
          </w:p>
        </w:tc>
        <w:tc>
          <w:tcPr>
            <w:tcW w:w="1409" w:type="dxa"/>
            <w:vAlign w:val="top"/>
          </w:tcPr>
          <w:p w14:paraId="0C0CF4DD">
            <w:pPr>
              <w:spacing w:line="440" w:lineRule="exact"/>
              <w:jc w:val="center"/>
              <w:rPr>
                <w:rFonts w:hint="eastAsia" w:ascii="宋体" w:hAnsi="宋体" w:eastAsia="宋体" w:cs="宋体"/>
                <w:sz w:val="21"/>
                <w:szCs w:val="21"/>
                <w:highlight w:val="none"/>
              </w:rPr>
            </w:pPr>
          </w:p>
        </w:tc>
        <w:tc>
          <w:tcPr>
            <w:tcW w:w="1368" w:type="dxa"/>
            <w:vAlign w:val="top"/>
          </w:tcPr>
          <w:p w14:paraId="1198F16C">
            <w:pPr>
              <w:spacing w:line="440" w:lineRule="exact"/>
              <w:jc w:val="center"/>
              <w:rPr>
                <w:rFonts w:hint="eastAsia" w:ascii="宋体" w:hAnsi="宋体" w:eastAsia="宋体" w:cs="宋体"/>
                <w:sz w:val="21"/>
                <w:szCs w:val="21"/>
                <w:highlight w:val="none"/>
              </w:rPr>
            </w:pPr>
          </w:p>
        </w:tc>
        <w:tc>
          <w:tcPr>
            <w:tcW w:w="1954" w:type="dxa"/>
            <w:vAlign w:val="top"/>
          </w:tcPr>
          <w:p w14:paraId="2B8396B7">
            <w:pPr>
              <w:spacing w:line="440" w:lineRule="exact"/>
              <w:jc w:val="center"/>
              <w:rPr>
                <w:rFonts w:hint="eastAsia" w:ascii="宋体" w:hAnsi="宋体" w:eastAsia="宋体" w:cs="宋体"/>
                <w:sz w:val="21"/>
                <w:szCs w:val="21"/>
                <w:highlight w:val="none"/>
              </w:rPr>
            </w:pPr>
          </w:p>
        </w:tc>
        <w:tc>
          <w:tcPr>
            <w:tcW w:w="1279" w:type="dxa"/>
            <w:vAlign w:val="top"/>
          </w:tcPr>
          <w:p w14:paraId="0D9B8C8E">
            <w:pPr>
              <w:spacing w:line="440" w:lineRule="exact"/>
              <w:jc w:val="center"/>
              <w:rPr>
                <w:rFonts w:hint="eastAsia" w:ascii="宋体" w:hAnsi="宋体" w:eastAsia="宋体" w:cs="宋体"/>
                <w:sz w:val="21"/>
                <w:szCs w:val="21"/>
                <w:highlight w:val="none"/>
              </w:rPr>
            </w:pPr>
          </w:p>
        </w:tc>
      </w:tr>
      <w:tr w14:paraId="788F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33" w:type="dxa"/>
            <w:vAlign w:val="top"/>
          </w:tcPr>
          <w:p w14:paraId="036E1CA1">
            <w:pPr>
              <w:spacing w:line="440" w:lineRule="exact"/>
              <w:jc w:val="center"/>
              <w:rPr>
                <w:rFonts w:hint="eastAsia" w:ascii="宋体" w:hAnsi="宋体" w:eastAsia="宋体" w:cs="宋体"/>
                <w:sz w:val="21"/>
                <w:szCs w:val="21"/>
                <w:highlight w:val="none"/>
              </w:rPr>
            </w:pPr>
          </w:p>
        </w:tc>
        <w:tc>
          <w:tcPr>
            <w:tcW w:w="2013" w:type="dxa"/>
            <w:vAlign w:val="top"/>
          </w:tcPr>
          <w:p w14:paraId="391E930E">
            <w:pPr>
              <w:spacing w:line="440" w:lineRule="exact"/>
              <w:jc w:val="center"/>
              <w:rPr>
                <w:rFonts w:hint="eastAsia" w:ascii="宋体" w:hAnsi="宋体" w:eastAsia="宋体" w:cs="宋体"/>
                <w:sz w:val="21"/>
                <w:szCs w:val="21"/>
                <w:highlight w:val="none"/>
              </w:rPr>
            </w:pPr>
          </w:p>
        </w:tc>
        <w:tc>
          <w:tcPr>
            <w:tcW w:w="1409" w:type="dxa"/>
            <w:vAlign w:val="top"/>
          </w:tcPr>
          <w:p w14:paraId="5788ECCB">
            <w:pPr>
              <w:spacing w:line="440" w:lineRule="exact"/>
              <w:jc w:val="center"/>
              <w:rPr>
                <w:rFonts w:hint="eastAsia" w:ascii="宋体" w:hAnsi="宋体" w:eastAsia="宋体" w:cs="宋体"/>
                <w:sz w:val="21"/>
                <w:szCs w:val="21"/>
                <w:highlight w:val="none"/>
              </w:rPr>
            </w:pPr>
          </w:p>
        </w:tc>
        <w:tc>
          <w:tcPr>
            <w:tcW w:w="1368" w:type="dxa"/>
            <w:vAlign w:val="top"/>
          </w:tcPr>
          <w:p w14:paraId="2B01489E">
            <w:pPr>
              <w:spacing w:line="440" w:lineRule="exact"/>
              <w:jc w:val="center"/>
              <w:rPr>
                <w:rFonts w:hint="eastAsia" w:ascii="宋体" w:hAnsi="宋体" w:eastAsia="宋体" w:cs="宋体"/>
                <w:sz w:val="21"/>
                <w:szCs w:val="21"/>
                <w:highlight w:val="none"/>
              </w:rPr>
            </w:pPr>
          </w:p>
        </w:tc>
        <w:tc>
          <w:tcPr>
            <w:tcW w:w="1954" w:type="dxa"/>
            <w:vAlign w:val="top"/>
          </w:tcPr>
          <w:p w14:paraId="7E70381D">
            <w:pPr>
              <w:spacing w:line="440" w:lineRule="exact"/>
              <w:jc w:val="center"/>
              <w:rPr>
                <w:rFonts w:hint="eastAsia" w:ascii="宋体" w:hAnsi="宋体" w:eastAsia="宋体" w:cs="宋体"/>
                <w:sz w:val="21"/>
                <w:szCs w:val="21"/>
                <w:highlight w:val="none"/>
              </w:rPr>
            </w:pPr>
          </w:p>
        </w:tc>
        <w:tc>
          <w:tcPr>
            <w:tcW w:w="1279" w:type="dxa"/>
            <w:vAlign w:val="top"/>
          </w:tcPr>
          <w:p w14:paraId="368C780F">
            <w:pPr>
              <w:spacing w:line="440" w:lineRule="exact"/>
              <w:jc w:val="center"/>
              <w:rPr>
                <w:rFonts w:hint="eastAsia" w:ascii="宋体" w:hAnsi="宋体" w:eastAsia="宋体" w:cs="宋体"/>
                <w:sz w:val="21"/>
                <w:szCs w:val="21"/>
                <w:highlight w:val="none"/>
              </w:rPr>
            </w:pPr>
          </w:p>
        </w:tc>
      </w:tr>
      <w:tr w14:paraId="7DC4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33" w:type="dxa"/>
            <w:vAlign w:val="top"/>
          </w:tcPr>
          <w:p w14:paraId="0C59944C">
            <w:pPr>
              <w:spacing w:line="440" w:lineRule="exact"/>
              <w:jc w:val="center"/>
              <w:rPr>
                <w:rFonts w:hint="eastAsia" w:ascii="宋体" w:hAnsi="宋体" w:eastAsia="宋体" w:cs="宋体"/>
                <w:sz w:val="21"/>
                <w:szCs w:val="21"/>
                <w:highlight w:val="none"/>
              </w:rPr>
            </w:pPr>
          </w:p>
        </w:tc>
        <w:tc>
          <w:tcPr>
            <w:tcW w:w="2013" w:type="dxa"/>
            <w:vAlign w:val="top"/>
          </w:tcPr>
          <w:p w14:paraId="5FEE8056">
            <w:pPr>
              <w:spacing w:line="440" w:lineRule="exact"/>
              <w:jc w:val="center"/>
              <w:rPr>
                <w:rFonts w:hint="eastAsia" w:ascii="宋体" w:hAnsi="宋体" w:eastAsia="宋体" w:cs="宋体"/>
                <w:sz w:val="21"/>
                <w:szCs w:val="21"/>
                <w:highlight w:val="none"/>
              </w:rPr>
            </w:pPr>
          </w:p>
        </w:tc>
        <w:tc>
          <w:tcPr>
            <w:tcW w:w="1409" w:type="dxa"/>
            <w:vAlign w:val="top"/>
          </w:tcPr>
          <w:p w14:paraId="2B7BE934">
            <w:pPr>
              <w:spacing w:line="440" w:lineRule="exact"/>
              <w:jc w:val="center"/>
              <w:rPr>
                <w:rFonts w:hint="eastAsia" w:ascii="宋体" w:hAnsi="宋体" w:eastAsia="宋体" w:cs="宋体"/>
                <w:sz w:val="21"/>
                <w:szCs w:val="21"/>
                <w:highlight w:val="none"/>
              </w:rPr>
            </w:pPr>
          </w:p>
        </w:tc>
        <w:tc>
          <w:tcPr>
            <w:tcW w:w="1368" w:type="dxa"/>
            <w:vAlign w:val="top"/>
          </w:tcPr>
          <w:p w14:paraId="72E819FD">
            <w:pPr>
              <w:spacing w:line="440" w:lineRule="exact"/>
              <w:jc w:val="center"/>
              <w:rPr>
                <w:rFonts w:hint="eastAsia" w:ascii="宋体" w:hAnsi="宋体" w:eastAsia="宋体" w:cs="宋体"/>
                <w:sz w:val="21"/>
                <w:szCs w:val="21"/>
                <w:highlight w:val="none"/>
              </w:rPr>
            </w:pPr>
          </w:p>
        </w:tc>
        <w:tc>
          <w:tcPr>
            <w:tcW w:w="1954" w:type="dxa"/>
            <w:vAlign w:val="top"/>
          </w:tcPr>
          <w:p w14:paraId="0D8C2B5B">
            <w:pPr>
              <w:spacing w:line="440" w:lineRule="exact"/>
              <w:jc w:val="center"/>
              <w:rPr>
                <w:rFonts w:hint="eastAsia" w:ascii="宋体" w:hAnsi="宋体" w:eastAsia="宋体" w:cs="宋体"/>
                <w:sz w:val="21"/>
                <w:szCs w:val="21"/>
                <w:highlight w:val="none"/>
              </w:rPr>
            </w:pPr>
          </w:p>
        </w:tc>
        <w:tc>
          <w:tcPr>
            <w:tcW w:w="1279" w:type="dxa"/>
            <w:vAlign w:val="top"/>
          </w:tcPr>
          <w:p w14:paraId="1D930881">
            <w:pPr>
              <w:spacing w:line="440" w:lineRule="exact"/>
              <w:jc w:val="center"/>
              <w:rPr>
                <w:rFonts w:hint="eastAsia" w:ascii="宋体" w:hAnsi="宋体" w:eastAsia="宋体" w:cs="宋体"/>
                <w:sz w:val="21"/>
                <w:szCs w:val="21"/>
                <w:highlight w:val="none"/>
              </w:rPr>
            </w:pPr>
          </w:p>
        </w:tc>
      </w:tr>
    </w:tbl>
    <w:p w14:paraId="4BA116DA">
      <w:pPr>
        <w:spacing w:line="360" w:lineRule="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w:t>
      </w:r>
      <w:r>
        <w:rPr>
          <w:rFonts w:hint="eastAsia" w:ascii="宋体" w:hAnsi="宋体" w:eastAsia="宋体" w:cs="宋体"/>
          <w:color w:val="000000"/>
          <w:sz w:val="24"/>
          <w:highlight w:val="none"/>
        </w:rPr>
        <w:t>上述各项的详细规格</w:t>
      </w:r>
      <w:r>
        <w:rPr>
          <w:rFonts w:hint="eastAsia" w:ascii="宋体" w:hAnsi="宋体" w:eastAsia="宋体" w:cs="宋体"/>
          <w:color w:val="000000"/>
          <w:sz w:val="24"/>
          <w:highlight w:val="none"/>
          <w:lang w:val="en-US" w:eastAsia="zh-CN"/>
        </w:rPr>
        <w:t>或图片</w:t>
      </w:r>
      <w:r>
        <w:rPr>
          <w:rFonts w:hint="eastAsia" w:ascii="宋体" w:hAnsi="宋体" w:eastAsia="宋体" w:cs="宋体"/>
          <w:color w:val="000000"/>
          <w:sz w:val="24"/>
          <w:highlight w:val="none"/>
        </w:rPr>
        <w:t>（如有），可另页描述。</w:t>
      </w:r>
    </w:p>
    <w:p w14:paraId="3B0D6400">
      <w:pPr>
        <w:spacing w:line="360" w:lineRule="auto"/>
        <w:rPr>
          <w:rFonts w:hint="eastAsia" w:ascii="宋体" w:hAnsi="宋体" w:eastAsia="宋体" w:cs="宋体"/>
          <w:sz w:val="24"/>
          <w:highlight w:val="none"/>
        </w:rPr>
      </w:pPr>
    </w:p>
    <w:p w14:paraId="77326687">
      <w:pPr>
        <w:pStyle w:val="17"/>
        <w:rPr>
          <w:rFonts w:hint="eastAsia" w:ascii="宋体" w:hAnsi="宋体" w:eastAsia="宋体" w:cs="宋体"/>
          <w:highlight w:val="none"/>
        </w:rPr>
      </w:pPr>
    </w:p>
    <w:p w14:paraId="54D16ECA">
      <w:pPr>
        <w:rPr>
          <w:rFonts w:hint="eastAsia" w:ascii="宋体" w:hAnsi="宋体" w:eastAsia="宋体" w:cs="宋体"/>
          <w:highlight w:val="none"/>
        </w:rPr>
      </w:pPr>
    </w:p>
    <w:p w14:paraId="18349F08">
      <w:pPr>
        <w:pStyle w:val="17"/>
        <w:rPr>
          <w:rFonts w:hint="eastAsia" w:ascii="宋体" w:hAnsi="宋体" w:eastAsia="宋体" w:cs="宋体"/>
          <w:highlight w:val="none"/>
        </w:rPr>
      </w:pPr>
    </w:p>
    <w:p w14:paraId="2C1A9B98">
      <w:pPr>
        <w:rPr>
          <w:rFonts w:hint="eastAsia" w:ascii="宋体" w:hAnsi="宋体" w:eastAsia="宋体" w:cs="宋体"/>
          <w:highlight w:val="none"/>
        </w:rPr>
      </w:pPr>
    </w:p>
    <w:p w14:paraId="318A900B">
      <w:pPr>
        <w:autoSpaceDE w:val="0"/>
        <w:autoSpaceDN w:val="0"/>
        <w:adjustRightInd w:val="0"/>
        <w:snapToGrid w:val="0"/>
        <w:spacing w:before="25" w:after="25" w:line="36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102DE17B">
      <w:pPr>
        <w:rPr>
          <w:rFonts w:hint="eastAsia" w:ascii="宋体" w:hAnsi="宋体" w:cs="宋体"/>
          <w:b/>
          <w:color w:val="auto"/>
          <w:sz w:val="24"/>
          <w:highlight w:val="none"/>
          <w:lang w:val="en-US" w:eastAsia="zh-CN"/>
        </w:rPr>
      </w:pPr>
      <w:r>
        <w:rPr>
          <w:color w:val="auto"/>
          <w:sz w:val="24"/>
          <w:szCs w:val="20"/>
          <w:highlight w:val="none"/>
        </w:rPr>
        <w:t xml:space="preserve">日期：_____年______月______日  </w:t>
      </w:r>
      <w:r>
        <w:rPr>
          <w:rFonts w:hint="eastAsia" w:ascii="宋体" w:hAnsi="宋体" w:cs="宋体"/>
          <w:b/>
          <w:color w:val="auto"/>
          <w:sz w:val="24"/>
          <w:highlight w:val="none"/>
          <w:lang w:val="en-US" w:eastAsia="zh-CN"/>
        </w:rPr>
        <w:br w:type="page"/>
      </w:r>
    </w:p>
    <w:p w14:paraId="56D0543F">
      <w:pPr>
        <w:spacing w:line="408" w:lineRule="auto"/>
        <w:jc w:val="center"/>
        <w:outlineLvl w:val="1"/>
        <w:rPr>
          <w:rFonts w:ascii="宋体" w:hAnsi="宋体" w:cs="宋体"/>
          <w:b/>
          <w:color w:val="auto"/>
          <w:sz w:val="24"/>
          <w:highlight w:val="none"/>
        </w:rPr>
      </w:pPr>
      <w:r>
        <w:rPr>
          <w:rFonts w:hint="eastAsia" w:ascii="宋体" w:hAnsi="宋体" w:cs="宋体"/>
          <w:b/>
          <w:color w:val="auto"/>
          <w:sz w:val="24"/>
          <w:highlight w:val="none"/>
          <w:lang w:val="en-US" w:eastAsia="zh-CN"/>
        </w:rPr>
        <w:t>8-5</w:t>
      </w:r>
      <w:r>
        <w:rPr>
          <w:rFonts w:hint="eastAsia" w:ascii="宋体" w:hAnsi="宋体" w:cs="宋体"/>
          <w:b/>
          <w:color w:val="auto"/>
          <w:sz w:val="24"/>
          <w:highlight w:val="none"/>
        </w:rPr>
        <w:t>投标人类似项目业绩</w:t>
      </w:r>
    </w:p>
    <w:p w14:paraId="30D9E98C">
      <w:pPr>
        <w:spacing w:line="500" w:lineRule="exact"/>
        <w:ind w:left="418" w:leftChars="199" w:firstLine="69" w:firstLineChars="29"/>
        <w:rPr>
          <w:rFonts w:ascii="宋体" w:hAnsi="宋体" w:cs="宋体"/>
          <w:color w:val="auto"/>
          <w:sz w:val="24"/>
          <w:highlight w:val="none"/>
        </w:rPr>
      </w:pPr>
      <w:r>
        <w:rPr>
          <w:rFonts w:hint="eastAsia" w:ascii="宋体" w:hAnsi="宋体" w:cs="宋体"/>
          <w:color w:val="auto"/>
          <w:sz w:val="24"/>
          <w:highlight w:val="none"/>
        </w:rPr>
        <w:t>项目编号：____________</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项目名称：____________</w:t>
      </w:r>
    </w:p>
    <w:tbl>
      <w:tblPr>
        <w:tblStyle w:val="46"/>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59"/>
        <w:gridCol w:w="2675"/>
        <w:gridCol w:w="1201"/>
        <w:gridCol w:w="1666"/>
        <w:gridCol w:w="1417"/>
      </w:tblGrid>
      <w:tr w14:paraId="36BA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1" w:type="dxa"/>
            <w:vAlign w:val="center"/>
          </w:tcPr>
          <w:p w14:paraId="1F87D01A">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1559" w:type="dxa"/>
            <w:vAlign w:val="center"/>
          </w:tcPr>
          <w:p w14:paraId="5F646EE5">
            <w:pPr>
              <w:jc w:val="center"/>
              <w:rPr>
                <w:rFonts w:ascii="宋体" w:hAnsi="宋体" w:cs="宋体"/>
                <w:color w:val="auto"/>
                <w:sz w:val="24"/>
                <w:highlight w:val="none"/>
              </w:rPr>
            </w:pPr>
            <w:r>
              <w:rPr>
                <w:rFonts w:hint="eastAsia" w:ascii="宋体" w:hAnsi="宋体" w:cs="宋体"/>
                <w:color w:val="auto"/>
                <w:sz w:val="24"/>
                <w:highlight w:val="none"/>
              </w:rPr>
              <w:t>项目业主</w:t>
            </w:r>
          </w:p>
        </w:tc>
        <w:tc>
          <w:tcPr>
            <w:tcW w:w="2675" w:type="dxa"/>
            <w:vAlign w:val="center"/>
          </w:tcPr>
          <w:p w14:paraId="313626E1">
            <w:pPr>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201" w:type="dxa"/>
            <w:vAlign w:val="center"/>
          </w:tcPr>
          <w:p w14:paraId="1F3720AE">
            <w:pPr>
              <w:jc w:val="center"/>
              <w:rPr>
                <w:rFonts w:ascii="宋体" w:hAnsi="宋体" w:cs="宋体"/>
                <w:color w:val="auto"/>
                <w:sz w:val="24"/>
                <w:highlight w:val="none"/>
              </w:rPr>
            </w:pPr>
            <w:r>
              <w:rPr>
                <w:rFonts w:hint="eastAsia" w:ascii="宋体" w:hAnsi="宋体" w:cs="宋体"/>
                <w:color w:val="auto"/>
                <w:sz w:val="24"/>
                <w:highlight w:val="none"/>
              </w:rPr>
              <w:t>合同金额</w:t>
            </w:r>
          </w:p>
        </w:tc>
        <w:tc>
          <w:tcPr>
            <w:tcW w:w="1666" w:type="dxa"/>
            <w:vAlign w:val="center"/>
          </w:tcPr>
          <w:p w14:paraId="4B4EFFDF">
            <w:pPr>
              <w:jc w:val="center"/>
              <w:rPr>
                <w:rFonts w:ascii="宋体" w:hAnsi="宋体" w:cs="宋体"/>
                <w:color w:val="auto"/>
                <w:sz w:val="24"/>
                <w:highlight w:val="none"/>
              </w:rPr>
            </w:pPr>
            <w:r>
              <w:rPr>
                <w:rFonts w:hint="eastAsia" w:ascii="宋体" w:hAnsi="宋体" w:cs="宋体"/>
                <w:color w:val="auto"/>
                <w:sz w:val="24"/>
                <w:highlight w:val="none"/>
              </w:rPr>
              <w:t>合同签订时间</w:t>
            </w:r>
          </w:p>
        </w:tc>
        <w:tc>
          <w:tcPr>
            <w:tcW w:w="1417" w:type="dxa"/>
            <w:vAlign w:val="center"/>
          </w:tcPr>
          <w:p w14:paraId="36D552FB">
            <w:pPr>
              <w:jc w:val="center"/>
              <w:rPr>
                <w:rFonts w:ascii="宋体" w:hAnsi="宋体" w:cs="宋体"/>
                <w:color w:val="auto"/>
                <w:sz w:val="24"/>
                <w:highlight w:val="none"/>
              </w:rPr>
            </w:pPr>
            <w:r>
              <w:rPr>
                <w:rFonts w:hint="eastAsia" w:ascii="宋体" w:hAnsi="宋体" w:cs="宋体"/>
                <w:color w:val="auto"/>
                <w:sz w:val="24"/>
                <w:highlight w:val="none"/>
              </w:rPr>
              <w:t>备注</w:t>
            </w:r>
          </w:p>
        </w:tc>
      </w:tr>
      <w:tr w14:paraId="0606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81" w:type="dxa"/>
            <w:vAlign w:val="center"/>
          </w:tcPr>
          <w:p w14:paraId="7C89E20E">
            <w:pPr>
              <w:jc w:val="center"/>
              <w:rPr>
                <w:rFonts w:ascii="宋体" w:hAnsi="宋体" w:cs="宋体"/>
                <w:color w:val="auto"/>
                <w:sz w:val="24"/>
                <w:highlight w:val="none"/>
              </w:rPr>
            </w:pPr>
            <w:r>
              <w:rPr>
                <w:rFonts w:hint="eastAsia" w:ascii="宋体" w:hAnsi="宋体" w:cs="宋体"/>
                <w:color w:val="auto"/>
                <w:sz w:val="24"/>
                <w:highlight w:val="none"/>
              </w:rPr>
              <w:t>1</w:t>
            </w:r>
          </w:p>
        </w:tc>
        <w:tc>
          <w:tcPr>
            <w:tcW w:w="1559" w:type="dxa"/>
            <w:vAlign w:val="center"/>
          </w:tcPr>
          <w:p w14:paraId="04E25DD9">
            <w:pPr>
              <w:rPr>
                <w:rFonts w:ascii="宋体" w:hAnsi="宋体" w:cs="宋体"/>
                <w:color w:val="auto"/>
                <w:sz w:val="24"/>
                <w:highlight w:val="none"/>
              </w:rPr>
            </w:pPr>
          </w:p>
        </w:tc>
        <w:tc>
          <w:tcPr>
            <w:tcW w:w="2675" w:type="dxa"/>
            <w:vAlign w:val="center"/>
          </w:tcPr>
          <w:p w14:paraId="67E8B87A">
            <w:pPr>
              <w:rPr>
                <w:rFonts w:ascii="宋体" w:hAnsi="宋体" w:cs="宋体"/>
                <w:color w:val="auto"/>
                <w:sz w:val="24"/>
                <w:highlight w:val="none"/>
              </w:rPr>
            </w:pPr>
          </w:p>
        </w:tc>
        <w:tc>
          <w:tcPr>
            <w:tcW w:w="1201" w:type="dxa"/>
            <w:vAlign w:val="center"/>
          </w:tcPr>
          <w:p w14:paraId="1B96D996">
            <w:pPr>
              <w:rPr>
                <w:rFonts w:ascii="宋体" w:hAnsi="宋体" w:cs="宋体"/>
                <w:color w:val="auto"/>
                <w:sz w:val="24"/>
                <w:highlight w:val="none"/>
              </w:rPr>
            </w:pPr>
          </w:p>
        </w:tc>
        <w:tc>
          <w:tcPr>
            <w:tcW w:w="1666" w:type="dxa"/>
            <w:vAlign w:val="center"/>
          </w:tcPr>
          <w:p w14:paraId="1A384C92">
            <w:pPr>
              <w:rPr>
                <w:rFonts w:ascii="宋体" w:hAnsi="宋体" w:cs="宋体"/>
                <w:color w:val="auto"/>
                <w:sz w:val="24"/>
                <w:highlight w:val="none"/>
              </w:rPr>
            </w:pPr>
          </w:p>
        </w:tc>
        <w:tc>
          <w:tcPr>
            <w:tcW w:w="1417" w:type="dxa"/>
            <w:vAlign w:val="center"/>
          </w:tcPr>
          <w:p w14:paraId="107BB37D">
            <w:pPr>
              <w:rPr>
                <w:rFonts w:ascii="宋体" w:hAnsi="宋体" w:cs="宋体"/>
                <w:color w:val="auto"/>
                <w:sz w:val="24"/>
                <w:highlight w:val="none"/>
              </w:rPr>
            </w:pPr>
          </w:p>
        </w:tc>
      </w:tr>
      <w:tr w14:paraId="7188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81" w:type="dxa"/>
            <w:vAlign w:val="center"/>
          </w:tcPr>
          <w:p w14:paraId="553D6FC6">
            <w:pPr>
              <w:jc w:val="center"/>
              <w:rPr>
                <w:rFonts w:ascii="宋体" w:hAnsi="宋体" w:cs="宋体"/>
                <w:color w:val="auto"/>
                <w:sz w:val="24"/>
                <w:highlight w:val="none"/>
              </w:rPr>
            </w:pPr>
            <w:r>
              <w:rPr>
                <w:rFonts w:hint="eastAsia" w:ascii="宋体" w:hAnsi="宋体" w:cs="宋体"/>
                <w:color w:val="auto"/>
                <w:sz w:val="24"/>
                <w:highlight w:val="none"/>
              </w:rPr>
              <w:t>2</w:t>
            </w:r>
          </w:p>
        </w:tc>
        <w:tc>
          <w:tcPr>
            <w:tcW w:w="1559" w:type="dxa"/>
            <w:vAlign w:val="center"/>
          </w:tcPr>
          <w:p w14:paraId="34543A04">
            <w:pPr>
              <w:rPr>
                <w:rFonts w:ascii="宋体" w:hAnsi="宋体" w:cs="宋体"/>
                <w:color w:val="auto"/>
                <w:sz w:val="24"/>
                <w:highlight w:val="none"/>
              </w:rPr>
            </w:pPr>
          </w:p>
        </w:tc>
        <w:tc>
          <w:tcPr>
            <w:tcW w:w="2675" w:type="dxa"/>
            <w:vAlign w:val="center"/>
          </w:tcPr>
          <w:p w14:paraId="684A131B">
            <w:pPr>
              <w:rPr>
                <w:rFonts w:ascii="宋体" w:hAnsi="宋体" w:cs="宋体"/>
                <w:color w:val="auto"/>
                <w:sz w:val="24"/>
                <w:highlight w:val="none"/>
              </w:rPr>
            </w:pPr>
          </w:p>
        </w:tc>
        <w:tc>
          <w:tcPr>
            <w:tcW w:w="1201" w:type="dxa"/>
            <w:vAlign w:val="center"/>
          </w:tcPr>
          <w:p w14:paraId="75D46EFE">
            <w:pPr>
              <w:rPr>
                <w:rFonts w:ascii="宋体" w:hAnsi="宋体" w:cs="宋体"/>
                <w:color w:val="auto"/>
                <w:sz w:val="24"/>
                <w:highlight w:val="none"/>
              </w:rPr>
            </w:pPr>
          </w:p>
        </w:tc>
        <w:tc>
          <w:tcPr>
            <w:tcW w:w="1666" w:type="dxa"/>
            <w:vAlign w:val="center"/>
          </w:tcPr>
          <w:p w14:paraId="397708C4">
            <w:pPr>
              <w:rPr>
                <w:rFonts w:ascii="宋体" w:hAnsi="宋体" w:cs="宋体"/>
                <w:color w:val="auto"/>
                <w:sz w:val="24"/>
                <w:highlight w:val="none"/>
              </w:rPr>
            </w:pPr>
          </w:p>
        </w:tc>
        <w:tc>
          <w:tcPr>
            <w:tcW w:w="1417" w:type="dxa"/>
            <w:vAlign w:val="center"/>
          </w:tcPr>
          <w:p w14:paraId="289AC8B8">
            <w:pPr>
              <w:rPr>
                <w:rFonts w:ascii="宋体" w:hAnsi="宋体" w:cs="宋体"/>
                <w:color w:val="auto"/>
                <w:sz w:val="24"/>
                <w:highlight w:val="none"/>
              </w:rPr>
            </w:pPr>
          </w:p>
        </w:tc>
      </w:tr>
      <w:tr w14:paraId="2406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4BE7005D">
            <w:pPr>
              <w:jc w:val="center"/>
              <w:rPr>
                <w:rFonts w:ascii="宋体" w:hAnsi="宋体" w:cs="宋体"/>
                <w:color w:val="auto"/>
                <w:sz w:val="24"/>
                <w:highlight w:val="none"/>
              </w:rPr>
            </w:pPr>
            <w:r>
              <w:rPr>
                <w:rFonts w:hint="eastAsia" w:ascii="宋体" w:hAnsi="宋体" w:cs="宋体"/>
                <w:color w:val="auto"/>
                <w:sz w:val="24"/>
                <w:highlight w:val="none"/>
              </w:rPr>
              <w:t>3</w:t>
            </w:r>
          </w:p>
        </w:tc>
        <w:tc>
          <w:tcPr>
            <w:tcW w:w="1559" w:type="dxa"/>
            <w:vAlign w:val="center"/>
          </w:tcPr>
          <w:p w14:paraId="527DD13D">
            <w:pPr>
              <w:rPr>
                <w:rFonts w:ascii="宋体" w:hAnsi="宋体" w:cs="宋体"/>
                <w:color w:val="auto"/>
                <w:sz w:val="24"/>
                <w:highlight w:val="none"/>
              </w:rPr>
            </w:pPr>
          </w:p>
        </w:tc>
        <w:tc>
          <w:tcPr>
            <w:tcW w:w="2675" w:type="dxa"/>
            <w:vAlign w:val="center"/>
          </w:tcPr>
          <w:p w14:paraId="0D17CC20">
            <w:pPr>
              <w:rPr>
                <w:rFonts w:ascii="宋体" w:hAnsi="宋体" w:cs="宋体"/>
                <w:color w:val="auto"/>
                <w:sz w:val="24"/>
                <w:highlight w:val="none"/>
              </w:rPr>
            </w:pPr>
          </w:p>
        </w:tc>
        <w:tc>
          <w:tcPr>
            <w:tcW w:w="1201" w:type="dxa"/>
            <w:vAlign w:val="center"/>
          </w:tcPr>
          <w:p w14:paraId="2AD4EE58">
            <w:pPr>
              <w:rPr>
                <w:rFonts w:ascii="宋体" w:hAnsi="宋体" w:cs="宋体"/>
                <w:color w:val="auto"/>
                <w:sz w:val="24"/>
                <w:highlight w:val="none"/>
              </w:rPr>
            </w:pPr>
          </w:p>
        </w:tc>
        <w:tc>
          <w:tcPr>
            <w:tcW w:w="1666" w:type="dxa"/>
            <w:vAlign w:val="center"/>
          </w:tcPr>
          <w:p w14:paraId="4D0A067E">
            <w:pPr>
              <w:rPr>
                <w:rFonts w:ascii="宋体" w:hAnsi="宋体" w:cs="宋体"/>
                <w:color w:val="auto"/>
                <w:sz w:val="24"/>
                <w:highlight w:val="none"/>
              </w:rPr>
            </w:pPr>
          </w:p>
        </w:tc>
        <w:tc>
          <w:tcPr>
            <w:tcW w:w="1417" w:type="dxa"/>
            <w:vAlign w:val="center"/>
          </w:tcPr>
          <w:p w14:paraId="4F32F0A0">
            <w:pPr>
              <w:rPr>
                <w:rFonts w:ascii="宋体" w:hAnsi="宋体" w:cs="宋体"/>
                <w:color w:val="auto"/>
                <w:sz w:val="24"/>
                <w:highlight w:val="none"/>
              </w:rPr>
            </w:pPr>
          </w:p>
        </w:tc>
      </w:tr>
      <w:tr w14:paraId="5735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169A5EC">
            <w:pPr>
              <w:jc w:val="center"/>
              <w:rPr>
                <w:rFonts w:ascii="宋体" w:hAnsi="宋体" w:cs="宋体"/>
                <w:color w:val="auto"/>
                <w:sz w:val="24"/>
                <w:highlight w:val="none"/>
              </w:rPr>
            </w:pPr>
            <w:r>
              <w:rPr>
                <w:rFonts w:hint="eastAsia" w:ascii="宋体" w:hAnsi="宋体" w:cs="宋体"/>
                <w:color w:val="auto"/>
                <w:sz w:val="24"/>
                <w:highlight w:val="none"/>
              </w:rPr>
              <w:t>4</w:t>
            </w:r>
          </w:p>
        </w:tc>
        <w:tc>
          <w:tcPr>
            <w:tcW w:w="1559" w:type="dxa"/>
            <w:vAlign w:val="center"/>
          </w:tcPr>
          <w:p w14:paraId="49733439">
            <w:pPr>
              <w:rPr>
                <w:rFonts w:ascii="宋体" w:hAnsi="宋体" w:cs="宋体"/>
                <w:color w:val="auto"/>
                <w:sz w:val="24"/>
                <w:highlight w:val="none"/>
              </w:rPr>
            </w:pPr>
          </w:p>
        </w:tc>
        <w:tc>
          <w:tcPr>
            <w:tcW w:w="2675" w:type="dxa"/>
            <w:vAlign w:val="center"/>
          </w:tcPr>
          <w:p w14:paraId="30DF8CB5">
            <w:pPr>
              <w:rPr>
                <w:rFonts w:ascii="宋体" w:hAnsi="宋体" w:cs="宋体"/>
                <w:color w:val="auto"/>
                <w:sz w:val="24"/>
                <w:highlight w:val="none"/>
              </w:rPr>
            </w:pPr>
          </w:p>
        </w:tc>
        <w:tc>
          <w:tcPr>
            <w:tcW w:w="1201" w:type="dxa"/>
            <w:vAlign w:val="center"/>
          </w:tcPr>
          <w:p w14:paraId="0E942C8B">
            <w:pPr>
              <w:rPr>
                <w:rFonts w:ascii="宋体" w:hAnsi="宋体" w:cs="宋体"/>
                <w:color w:val="auto"/>
                <w:sz w:val="24"/>
                <w:highlight w:val="none"/>
              </w:rPr>
            </w:pPr>
          </w:p>
        </w:tc>
        <w:tc>
          <w:tcPr>
            <w:tcW w:w="1666" w:type="dxa"/>
            <w:vAlign w:val="center"/>
          </w:tcPr>
          <w:p w14:paraId="528C3346">
            <w:pPr>
              <w:rPr>
                <w:rFonts w:ascii="宋体" w:hAnsi="宋体" w:cs="宋体"/>
                <w:color w:val="auto"/>
                <w:sz w:val="24"/>
                <w:highlight w:val="none"/>
              </w:rPr>
            </w:pPr>
          </w:p>
        </w:tc>
        <w:tc>
          <w:tcPr>
            <w:tcW w:w="1417" w:type="dxa"/>
            <w:vAlign w:val="center"/>
          </w:tcPr>
          <w:p w14:paraId="47C177F1">
            <w:pPr>
              <w:rPr>
                <w:rFonts w:ascii="宋体" w:hAnsi="宋体" w:cs="宋体"/>
                <w:color w:val="auto"/>
                <w:sz w:val="24"/>
                <w:highlight w:val="none"/>
              </w:rPr>
            </w:pPr>
          </w:p>
        </w:tc>
      </w:tr>
      <w:tr w14:paraId="3A4D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A27F462">
            <w:pPr>
              <w:jc w:val="center"/>
              <w:rPr>
                <w:rFonts w:ascii="宋体" w:hAnsi="宋体" w:cs="宋体"/>
                <w:color w:val="auto"/>
                <w:sz w:val="24"/>
                <w:highlight w:val="none"/>
              </w:rPr>
            </w:pPr>
            <w:r>
              <w:rPr>
                <w:rFonts w:hint="eastAsia" w:ascii="宋体" w:hAnsi="宋体" w:cs="宋体"/>
                <w:color w:val="auto"/>
                <w:sz w:val="24"/>
                <w:highlight w:val="none"/>
              </w:rPr>
              <w:t>5</w:t>
            </w:r>
          </w:p>
        </w:tc>
        <w:tc>
          <w:tcPr>
            <w:tcW w:w="1559" w:type="dxa"/>
            <w:vAlign w:val="center"/>
          </w:tcPr>
          <w:p w14:paraId="23716A81">
            <w:pPr>
              <w:rPr>
                <w:rFonts w:ascii="宋体" w:hAnsi="宋体" w:cs="宋体"/>
                <w:color w:val="auto"/>
                <w:sz w:val="24"/>
                <w:highlight w:val="none"/>
              </w:rPr>
            </w:pPr>
          </w:p>
        </w:tc>
        <w:tc>
          <w:tcPr>
            <w:tcW w:w="2675" w:type="dxa"/>
            <w:vAlign w:val="center"/>
          </w:tcPr>
          <w:p w14:paraId="23BFECAE">
            <w:pPr>
              <w:rPr>
                <w:rFonts w:ascii="宋体" w:hAnsi="宋体" w:cs="宋体"/>
                <w:color w:val="auto"/>
                <w:sz w:val="24"/>
                <w:highlight w:val="none"/>
              </w:rPr>
            </w:pPr>
          </w:p>
        </w:tc>
        <w:tc>
          <w:tcPr>
            <w:tcW w:w="1201" w:type="dxa"/>
            <w:vAlign w:val="center"/>
          </w:tcPr>
          <w:p w14:paraId="35A4F36E">
            <w:pPr>
              <w:rPr>
                <w:rFonts w:ascii="宋体" w:hAnsi="宋体" w:cs="宋体"/>
                <w:color w:val="auto"/>
                <w:sz w:val="24"/>
                <w:highlight w:val="none"/>
              </w:rPr>
            </w:pPr>
          </w:p>
        </w:tc>
        <w:tc>
          <w:tcPr>
            <w:tcW w:w="1666" w:type="dxa"/>
            <w:vAlign w:val="center"/>
          </w:tcPr>
          <w:p w14:paraId="5B6E9DEA">
            <w:pPr>
              <w:rPr>
                <w:rFonts w:ascii="宋体" w:hAnsi="宋体" w:cs="宋体"/>
                <w:color w:val="auto"/>
                <w:sz w:val="24"/>
                <w:highlight w:val="none"/>
              </w:rPr>
            </w:pPr>
          </w:p>
        </w:tc>
        <w:tc>
          <w:tcPr>
            <w:tcW w:w="1417" w:type="dxa"/>
            <w:vAlign w:val="center"/>
          </w:tcPr>
          <w:p w14:paraId="3B50A34B">
            <w:pPr>
              <w:rPr>
                <w:rFonts w:ascii="宋体" w:hAnsi="宋体" w:cs="宋体"/>
                <w:color w:val="auto"/>
                <w:sz w:val="24"/>
                <w:highlight w:val="none"/>
              </w:rPr>
            </w:pPr>
          </w:p>
        </w:tc>
      </w:tr>
      <w:tr w14:paraId="0CC0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7FA28762">
            <w:pPr>
              <w:jc w:val="center"/>
              <w:rPr>
                <w:rFonts w:ascii="宋体" w:hAnsi="宋体" w:cs="宋体"/>
                <w:color w:val="auto"/>
                <w:sz w:val="24"/>
                <w:highlight w:val="none"/>
              </w:rPr>
            </w:pPr>
            <w:r>
              <w:rPr>
                <w:rFonts w:hint="eastAsia" w:ascii="宋体" w:hAnsi="宋体" w:cs="宋体"/>
                <w:color w:val="auto"/>
                <w:sz w:val="24"/>
                <w:highlight w:val="none"/>
              </w:rPr>
              <w:t>6</w:t>
            </w:r>
          </w:p>
        </w:tc>
        <w:tc>
          <w:tcPr>
            <w:tcW w:w="1559" w:type="dxa"/>
          </w:tcPr>
          <w:p w14:paraId="5E1DE84A">
            <w:pPr>
              <w:rPr>
                <w:rFonts w:ascii="宋体" w:hAnsi="宋体" w:cs="宋体"/>
                <w:color w:val="auto"/>
                <w:sz w:val="24"/>
                <w:highlight w:val="none"/>
              </w:rPr>
            </w:pPr>
          </w:p>
        </w:tc>
        <w:tc>
          <w:tcPr>
            <w:tcW w:w="2675" w:type="dxa"/>
          </w:tcPr>
          <w:p w14:paraId="1B8B130B">
            <w:pPr>
              <w:rPr>
                <w:rFonts w:ascii="宋体" w:hAnsi="宋体" w:cs="宋体"/>
                <w:color w:val="auto"/>
                <w:sz w:val="24"/>
                <w:highlight w:val="none"/>
              </w:rPr>
            </w:pPr>
          </w:p>
        </w:tc>
        <w:tc>
          <w:tcPr>
            <w:tcW w:w="1201" w:type="dxa"/>
          </w:tcPr>
          <w:p w14:paraId="0414267D">
            <w:pPr>
              <w:rPr>
                <w:rFonts w:ascii="宋体" w:hAnsi="宋体" w:cs="宋体"/>
                <w:color w:val="auto"/>
                <w:sz w:val="24"/>
                <w:highlight w:val="none"/>
              </w:rPr>
            </w:pPr>
          </w:p>
        </w:tc>
        <w:tc>
          <w:tcPr>
            <w:tcW w:w="1666" w:type="dxa"/>
          </w:tcPr>
          <w:p w14:paraId="3AF630BE">
            <w:pPr>
              <w:rPr>
                <w:rFonts w:ascii="宋体" w:hAnsi="宋体" w:cs="宋体"/>
                <w:color w:val="auto"/>
                <w:sz w:val="24"/>
                <w:highlight w:val="none"/>
              </w:rPr>
            </w:pPr>
          </w:p>
        </w:tc>
        <w:tc>
          <w:tcPr>
            <w:tcW w:w="1417" w:type="dxa"/>
          </w:tcPr>
          <w:p w14:paraId="25D3BFC7">
            <w:pPr>
              <w:rPr>
                <w:rFonts w:ascii="宋体" w:hAnsi="宋体" w:cs="宋体"/>
                <w:color w:val="auto"/>
                <w:sz w:val="24"/>
                <w:highlight w:val="none"/>
              </w:rPr>
            </w:pPr>
          </w:p>
        </w:tc>
      </w:tr>
      <w:tr w14:paraId="4218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81" w:type="dxa"/>
            <w:vAlign w:val="center"/>
          </w:tcPr>
          <w:p w14:paraId="1D0186AB">
            <w:pPr>
              <w:jc w:val="center"/>
              <w:rPr>
                <w:rFonts w:ascii="宋体" w:hAnsi="宋体" w:cs="宋体"/>
                <w:color w:val="auto"/>
                <w:sz w:val="24"/>
                <w:highlight w:val="none"/>
              </w:rPr>
            </w:pPr>
            <w:r>
              <w:rPr>
                <w:rFonts w:hint="eastAsia" w:ascii="宋体" w:hAnsi="宋体" w:cs="宋体"/>
                <w:color w:val="auto"/>
                <w:sz w:val="24"/>
                <w:highlight w:val="none"/>
              </w:rPr>
              <w:t>7</w:t>
            </w:r>
          </w:p>
        </w:tc>
        <w:tc>
          <w:tcPr>
            <w:tcW w:w="1559" w:type="dxa"/>
            <w:vAlign w:val="center"/>
          </w:tcPr>
          <w:p w14:paraId="59A7172F">
            <w:pPr>
              <w:rPr>
                <w:rFonts w:ascii="宋体" w:hAnsi="宋体" w:cs="宋体"/>
                <w:color w:val="auto"/>
                <w:sz w:val="24"/>
                <w:highlight w:val="none"/>
              </w:rPr>
            </w:pPr>
          </w:p>
        </w:tc>
        <w:tc>
          <w:tcPr>
            <w:tcW w:w="2675" w:type="dxa"/>
            <w:vAlign w:val="center"/>
          </w:tcPr>
          <w:p w14:paraId="5C47E12A">
            <w:pPr>
              <w:rPr>
                <w:rFonts w:ascii="宋体" w:hAnsi="宋体" w:cs="宋体"/>
                <w:color w:val="auto"/>
                <w:sz w:val="24"/>
                <w:highlight w:val="none"/>
              </w:rPr>
            </w:pPr>
          </w:p>
        </w:tc>
        <w:tc>
          <w:tcPr>
            <w:tcW w:w="1201" w:type="dxa"/>
            <w:vAlign w:val="center"/>
          </w:tcPr>
          <w:p w14:paraId="5671BB67">
            <w:pPr>
              <w:rPr>
                <w:rFonts w:ascii="宋体" w:hAnsi="宋体" w:cs="宋体"/>
                <w:color w:val="auto"/>
                <w:sz w:val="24"/>
                <w:highlight w:val="none"/>
              </w:rPr>
            </w:pPr>
          </w:p>
        </w:tc>
        <w:tc>
          <w:tcPr>
            <w:tcW w:w="1666" w:type="dxa"/>
            <w:vAlign w:val="center"/>
          </w:tcPr>
          <w:p w14:paraId="5ED63991">
            <w:pPr>
              <w:rPr>
                <w:rFonts w:ascii="宋体" w:hAnsi="宋体" w:cs="宋体"/>
                <w:color w:val="auto"/>
                <w:sz w:val="24"/>
                <w:highlight w:val="none"/>
              </w:rPr>
            </w:pPr>
          </w:p>
        </w:tc>
        <w:tc>
          <w:tcPr>
            <w:tcW w:w="1417" w:type="dxa"/>
            <w:vAlign w:val="center"/>
          </w:tcPr>
          <w:p w14:paraId="5E38EB25">
            <w:pPr>
              <w:rPr>
                <w:rFonts w:ascii="宋体" w:hAnsi="宋体" w:cs="宋体"/>
                <w:color w:val="auto"/>
                <w:sz w:val="24"/>
                <w:highlight w:val="none"/>
              </w:rPr>
            </w:pPr>
          </w:p>
        </w:tc>
      </w:t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tbl>
    <w:p w14:paraId="117FA2C6">
      <w:pPr>
        <w:adjustRightInd w:val="0"/>
        <w:snapToGrid w:val="0"/>
        <w:spacing w:line="360" w:lineRule="auto"/>
        <w:rPr>
          <w:rFonts w:ascii="宋体" w:hAnsi="宋体"/>
          <w:b/>
          <w:color w:val="auto"/>
          <w:sz w:val="24"/>
          <w:highlight w:val="none"/>
        </w:rPr>
      </w:pPr>
      <w:r>
        <w:rPr>
          <w:rFonts w:hint="eastAsia" w:ascii="宋体" w:hAnsi="宋体"/>
          <w:b/>
          <w:color w:val="auto"/>
          <w:sz w:val="24"/>
          <w:highlight w:val="none"/>
        </w:rPr>
        <w:t>注：</w:t>
      </w:r>
    </w:p>
    <w:p w14:paraId="518C4E36">
      <w:pPr>
        <w:keepNext w:val="0"/>
        <w:keepLines w:val="0"/>
        <w:pageBreakBefore w:val="0"/>
        <w:widowControl w:val="0"/>
        <w:kinsoku/>
        <w:wordWrap w:val="0"/>
        <w:overflowPunct/>
        <w:topLinePunct/>
        <w:autoSpaceDE/>
        <w:autoSpaceDN/>
        <w:bidi w:val="0"/>
        <w:spacing w:line="360" w:lineRule="auto"/>
        <w:textAlignment w:val="auto"/>
        <w:rPr>
          <w:rFonts w:hint="eastAsia" w:ascii="宋体" w:hAnsi="宋体" w:eastAsia="宋体" w:cs="Times New Roman"/>
          <w:b w:val="0"/>
          <w:bCs/>
          <w:color w:val="auto"/>
          <w:sz w:val="24"/>
          <w:highlight w:val="none"/>
          <w:lang w:val="en-US" w:eastAsia="zh-CN"/>
        </w:rPr>
      </w:pPr>
      <w:r>
        <w:rPr>
          <w:rFonts w:hint="eastAsia" w:ascii="宋体" w:hAnsi="宋体" w:eastAsia="宋体" w:cs="Times New Roman"/>
          <w:b w:val="0"/>
          <w:bCs/>
          <w:color w:val="auto"/>
          <w:sz w:val="24"/>
          <w:highlight w:val="none"/>
          <w:lang w:val="en-US" w:eastAsia="zh-CN"/>
        </w:rPr>
        <w:t>1.近三年（</w:t>
      </w:r>
      <w:r>
        <w:rPr>
          <w:rFonts w:hint="eastAsia" w:ascii="宋体" w:hAnsi="宋体" w:cs="Times New Roman"/>
          <w:b w:val="0"/>
          <w:bCs/>
          <w:color w:val="auto"/>
          <w:sz w:val="24"/>
          <w:highlight w:val="none"/>
          <w:lang w:val="en-US" w:eastAsia="zh-CN"/>
        </w:rPr>
        <w:t>2023年3月20日至今</w:t>
      </w:r>
      <w:r>
        <w:rPr>
          <w:rFonts w:hint="eastAsia" w:ascii="宋体" w:hAnsi="宋体" w:eastAsia="宋体" w:cs="Times New Roman"/>
          <w:b w:val="0"/>
          <w:bCs/>
          <w:color w:val="auto"/>
          <w:sz w:val="24"/>
          <w:highlight w:val="none"/>
          <w:lang w:val="en-US" w:eastAsia="zh-CN"/>
        </w:rPr>
        <w:t xml:space="preserve">，以合同签订日期为准）承担类似项目业绩（类似项目合同业绩，包括代理商或厂家的同类型业绩）。 </w:t>
      </w:r>
    </w:p>
    <w:p w14:paraId="3686722C">
      <w:pPr>
        <w:keepNext w:val="0"/>
        <w:keepLines w:val="0"/>
        <w:pageBreakBefore w:val="0"/>
        <w:widowControl w:val="0"/>
        <w:kinsoku/>
        <w:wordWrap w:val="0"/>
        <w:overflowPunct/>
        <w:topLinePunct/>
        <w:autoSpaceDE/>
        <w:autoSpaceDN/>
        <w:bidi w:val="0"/>
        <w:spacing w:line="360" w:lineRule="auto"/>
        <w:textAlignment w:val="auto"/>
        <w:rPr>
          <w:rFonts w:hint="default" w:ascii="宋体" w:hAnsi="宋体" w:eastAsia="宋体" w:cs="Times New Roman"/>
          <w:b w:val="0"/>
          <w:bCs/>
          <w:color w:val="auto"/>
          <w:sz w:val="24"/>
          <w:highlight w:val="none"/>
          <w:lang w:val="en-US" w:eastAsia="zh-CN"/>
        </w:rPr>
      </w:pPr>
      <w:r>
        <w:rPr>
          <w:rFonts w:hint="eastAsia"/>
          <w:color w:val="auto"/>
          <w:sz w:val="24"/>
          <w:highlight w:val="none"/>
          <w:lang w:val="en-US" w:eastAsia="zh-CN"/>
        </w:rPr>
        <w:t>2.</w:t>
      </w:r>
      <w:r>
        <w:rPr>
          <w:rFonts w:hint="eastAsia" w:ascii="宋体" w:hAnsi="宋体" w:eastAsia="宋体" w:cs="Times New Roman"/>
          <w:b w:val="0"/>
          <w:bCs/>
          <w:color w:val="auto"/>
          <w:sz w:val="24"/>
          <w:highlight w:val="none"/>
          <w:lang w:val="en-US" w:eastAsia="zh-CN"/>
        </w:rPr>
        <w:t>是否在近年内以合同签订日期为准。</w:t>
      </w:r>
    </w:p>
    <w:p w14:paraId="65008E45">
      <w:pPr>
        <w:autoSpaceDE w:val="0"/>
        <w:autoSpaceDN w:val="0"/>
        <w:adjustRightInd w:val="0"/>
        <w:snapToGrid w:val="0"/>
        <w:spacing w:before="25" w:after="25" w:line="480" w:lineRule="auto"/>
        <w:rPr>
          <w:rFonts w:hint="default" w:eastAsia="宋体"/>
          <w:color w:val="auto"/>
          <w:sz w:val="24"/>
          <w:highlight w:val="none"/>
          <w:lang w:val="en-US" w:eastAsia="zh-CN"/>
        </w:rPr>
      </w:pPr>
    </w:p>
    <w:p w14:paraId="7FAB48F4">
      <w:pPr>
        <w:autoSpaceDE w:val="0"/>
        <w:autoSpaceDN w:val="0"/>
        <w:adjustRightInd w:val="0"/>
        <w:snapToGrid w:val="0"/>
        <w:spacing w:before="25" w:after="25" w:line="480" w:lineRule="auto"/>
        <w:rPr>
          <w:color w:val="auto"/>
          <w:sz w:val="24"/>
          <w:highlight w:val="none"/>
        </w:rPr>
      </w:pPr>
    </w:p>
    <w:p w14:paraId="4C8AE096">
      <w:pPr>
        <w:autoSpaceDE w:val="0"/>
        <w:autoSpaceDN w:val="0"/>
        <w:adjustRightInd w:val="0"/>
        <w:snapToGrid w:val="0"/>
        <w:spacing w:before="25" w:after="25" w:line="480" w:lineRule="auto"/>
        <w:rPr>
          <w:color w:val="auto"/>
          <w:sz w:val="24"/>
          <w:highlight w:val="none"/>
          <w:lang w:val="zh-CN"/>
        </w:rPr>
      </w:pPr>
      <w:r>
        <w:rPr>
          <w:color w:val="auto"/>
          <w:sz w:val="24"/>
          <w:highlight w:val="none"/>
        </w:rPr>
        <w:t>投标人名称（加盖公章）</w:t>
      </w:r>
      <w:r>
        <w:rPr>
          <w:color w:val="auto"/>
          <w:sz w:val="24"/>
          <w:highlight w:val="none"/>
          <w:lang w:val="zh-CN"/>
        </w:rPr>
        <w:t>： ____________</w:t>
      </w:r>
    </w:p>
    <w:p w14:paraId="1A16B88F">
      <w:pPr>
        <w:autoSpaceDE w:val="0"/>
        <w:autoSpaceDN w:val="0"/>
        <w:adjustRightInd w:val="0"/>
        <w:snapToGrid w:val="0"/>
        <w:spacing w:before="25" w:after="25" w:line="480" w:lineRule="auto"/>
        <w:rPr>
          <w:color w:val="auto"/>
          <w:sz w:val="24"/>
          <w:highlight w:val="none"/>
          <w:lang w:val="zh-CN"/>
        </w:rPr>
      </w:pPr>
      <w:r>
        <w:rPr>
          <w:color w:val="auto"/>
          <w:sz w:val="24"/>
          <w:szCs w:val="20"/>
          <w:highlight w:val="none"/>
        </w:rPr>
        <w:t xml:space="preserve">日期：_____年______月______日   </w:t>
      </w:r>
    </w:p>
    <w:p w14:paraId="4F410B1F">
      <w:pPr>
        <w:pStyle w:val="44"/>
        <w:ind w:firstLine="0" w:firstLineChars="0"/>
        <w:rPr>
          <w:rFonts w:ascii="宋体" w:hAnsi="宋体" w:cs="宋体"/>
          <w:color w:val="auto"/>
          <w:sz w:val="24"/>
          <w:highlight w:val="none"/>
        </w:rPr>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p>
    <w:p w14:paraId="2BC84B24">
      <w:pPr>
        <w:rPr>
          <w:rFonts w:hint="eastAsia" w:ascii="宋体" w:hAnsi="宋体" w:cs="宋体"/>
          <w:b/>
          <w:color w:val="auto"/>
          <w:sz w:val="24"/>
          <w:highlight w:val="none"/>
          <w:lang w:val="en-US" w:eastAsia="zh-CN"/>
        </w:rPr>
      </w:pPr>
    </w:p>
    <w:p w14:paraId="281550CF">
      <w:pPr>
        <w:pStyle w:val="44"/>
        <w:ind w:firstLine="0" w:firstLineChars="0"/>
        <w:jc w:val="center"/>
        <w:rPr>
          <w:rFonts w:ascii="宋体" w:hAnsi="宋体" w:cs="宋体"/>
          <w:bCs/>
          <w:color w:val="auto"/>
          <w:sz w:val="24"/>
          <w:highlight w:val="none"/>
        </w:rPr>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投标人认为需要提供的其他材料</w:t>
      </w:r>
    </w:p>
    <w:p w14:paraId="3C970EE5">
      <w:pPr>
        <w:adjustRightInd w:val="0"/>
        <w:snapToGrid w:val="0"/>
        <w:spacing w:line="360" w:lineRule="auto"/>
        <w:ind w:firstLine="181" w:firstLineChars="75"/>
        <w:jc w:val="center"/>
        <w:rPr>
          <w:rFonts w:ascii="宋体" w:hAnsi="宋体" w:cs="宋体"/>
          <w:b/>
          <w:color w:val="auto"/>
          <w:sz w:val="24"/>
          <w:highlight w:val="none"/>
        </w:r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7供货</w:t>
      </w:r>
      <w:r>
        <w:rPr>
          <w:rFonts w:hint="eastAsia" w:ascii="宋体" w:hAnsi="宋体" w:cs="宋体"/>
          <w:b/>
          <w:color w:val="auto"/>
          <w:sz w:val="24"/>
          <w:highlight w:val="none"/>
        </w:rPr>
        <w:t>方案相关资料</w:t>
      </w:r>
    </w:p>
    <w:p w14:paraId="2854EB9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6C89CF7E">
      <w:pPr>
        <w:spacing w:line="360" w:lineRule="auto"/>
        <w:ind w:firstLine="480" w:firstLineChars="200"/>
        <w:jc w:val="center"/>
        <w:rPr>
          <w:rFonts w:ascii="宋体" w:hAnsi="宋体" w:cs="宋体"/>
          <w:color w:val="auto"/>
          <w:sz w:val="24"/>
          <w:highlight w:val="none"/>
        </w:rPr>
      </w:pPr>
      <w:r>
        <w:rPr>
          <w:rFonts w:hint="eastAsia" w:ascii="宋体" w:hAnsi="宋体" w:cs="宋体"/>
          <w:color w:val="auto"/>
          <w:sz w:val="24"/>
          <w:highlight w:val="none"/>
        </w:rPr>
        <w:t>投标人应根据招标文件的项目需求</w:t>
      </w:r>
      <w:r>
        <w:rPr>
          <w:rFonts w:hint="eastAsia" w:ascii="宋体" w:hAnsi="宋体" w:cs="宋体"/>
          <w:color w:val="auto"/>
          <w:sz w:val="24"/>
          <w:highlight w:val="none"/>
          <w:lang w:eastAsia="zh-CN"/>
        </w:rPr>
        <w:t>及评分办法</w:t>
      </w:r>
      <w:r>
        <w:rPr>
          <w:rFonts w:hint="eastAsia" w:ascii="宋体" w:hAnsi="宋体" w:cs="宋体"/>
          <w:color w:val="auto"/>
          <w:sz w:val="24"/>
          <w:highlight w:val="none"/>
        </w:rPr>
        <w:t>自行设计本附件内容。</w:t>
      </w:r>
    </w:p>
    <w:p w14:paraId="765423D3">
      <w:pPr>
        <w:pStyle w:val="44"/>
        <w:ind w:firstLine="0" w:firstLineChars="0"/>
        <w:jc w:val="center"/>
        <w:rPr>
          <w:rFonts w:ascii="宋体" w:hAnsi="宋体" w:cs="宋体"/>
          <w:bCs/>
          <w:color w:val="auto"/>
          <w:sz w:val="24"/>
          <w:highlight w:val="none"/>
        </w:rPr>
      </w:pPr>
    </w:p>
    <w:sectPr>
      <w:pgSz w:w="11907" w:h="16840"/>
      <w:pgMar w:top="1418" w:right="1134" w:bottom="1418" w:left="1701" w:header="851" w:footer="851" w:gutter="0"/>
      <w:pgBorders w:offsetFrom="page">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5D520E-7098-4F23-B213-9797464E06D1}"/>
  </w:font>
  <w:font w:name="黑体">
    <w:panose1 w:val="02010609060101010101"/>
    <w:charset w:val="86"/>
    <w:family w:val="auto"/>
    <w:pitch w:val="default"/>
    <w:sig w:usb0="800002BF" w:usb1="38CF7CFA" w:usb2="00000016" w:usb3="00000000" w:csb0="00040001" w:csb1="00000000"/>
    <w:embedRegular r:id="rId2" w:fontKey="{B5EB25D0-8F0A-4D7D-9916-00D9876E44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FDD001E5-8EE7-4284-BE43-C11935BC21BA}"/>
  </w:font>
  <w:font w:name="Calibri">
    <w:panose1 w:val="020F0502020204030204"/>
    <w:charset w:val="00"/>
    <w:family w:val="swiss"/>
    <w:pitch w:val="default"/>
    <w:sig w:usb0="E4002EFF" w:usb1="C000247B" w:usb2="00000009" w:usb3="00000000" w:csb0="200001FF" w:csb1="00000000"/>
    <w:embedRegular r:id="rId4" w:fontKey="{0535DC2F-2E68-41E1-AE42-68A9A912D639}"/>
  </w:font>
  <w:font w:name="华文中宋">
    <w:panose1 w:val="02010600040101010101"/>
    <w:charset w:val="86"/>
    <w:family w:val="auto"/>
    <w:pitch w:val="default"/>
    <w:sig w:usb0="00000287" w:usb1="080F0000" w:usb2="00000000" w:usb3="00000000" w:csb0="0004009F" w:csb1="DFD70000"/>
    <w:embedRegular r:id="rId5" w:fontKey="{894D79C2-404F-4AE5-891B-A7C7EA43BBC2}"/>
  </w:font>
  <w:font w:name="仿宋_GB2312">
    <w:panose1 w:val="02010609030101010101"/>
    <w:charset w:val="86"/>
    <w:family w:val="modern"/>
    <w:pitch w:val="default"/>
    <w:sig w:usb0="00000001" w:usb1="080E0000" w:usb2="00000000" w:usb3="00000000" w:csb0="00040000" w:csb1="00000000"/>
    <w:embedRegular r:id="rId6" w:fontKey="{DA58B36C-648D-4C1D-AE4E-AD40A78AD3F0}"/>
  </w:font>
  <w:font w:name="Cambria">
    <w:panose1 w:val="02040503050406030204"/>
    <w:charset w:val="00"/>
    <w:family w:val="auto"/>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7" w:fontKey="{AF0CC885-FE4A-4D46-BC25-BC112FA91947}"/>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embedRegular r:id="rId8" w:fontKey="{CDCC7B29-AC9D-48A7-9407-EE492AA126AC}"/>
  </w:font>
  <w:font w:name="华文仿宋">
    <w:panose1 w:val="02010600040101010101"/>
    <w:charset w:val="86"/>
    <w:family w:val="auto"/>
    <w:pitch w:val="default"/>
    <w:sig w:usb0="00000287" w:usb1="080F0000" w:usb2="00000000" w:usb3="00000000" w:csb0="0004009F" w:csb1="DFD70000"/>
    <w:embedRegular r:id="rId9" w:fontKey="{303CFDF0-EF42-4CA3-BD57-15EBFB169361}"/>
  </w:font>
  <w:font w:name="FZShuSong-Z01">
    <w:altName w:val="Segoe Print"/>
    <w:panose1 w:val="00000000000000000000"/>
    <w:charset w:val="00"/>
    <w:family w:val="auto"/>
    <w:pitch w:val="default"/>
    <w:sig w:usb0="00000000" w:usb1="00000000" w:usb2="00000000" w:usb3="00000000" w:csb0="00000000" w:csb1="00000000"/>
    <w:embedRegular r:id="rId10" w:fontKey="{60C15773-75D6-4F4A-A8FE-01466D735378}"/>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embedRegular r:id="rId11" w:fontKey="{DF3080D7-E9F1-4F4C-B992-08FE3280C563}"/>
  </w:font>
  <w:font w:name="仿宋">
    <w:panose1 w:val="02010609060101010101"/>
    <w:charset w:val="86"/>
    <w:family w:val="modern"/>
    <w:pitch w:val="default"/>
    <w:sig w:usb0="800002BF" w:usb1="38CF7CFA" w:usb2="00000016" w:usb3="00000000" w:csb0="00040001" w:csb1="00000000"/>
    <w:embedRegular r:id="rId12" w:fontKey="{3C1D2627-2E08-45FE-9CDB-EA59F0432BB6}"/>
  </w:font>
  <w:font w:name="Helvetica">
    <w:panose1 w:val="020B0604020202020204"/>
    <w:charset w:val="00"/>
    <w:family w:val="swiss"/>
    <w:pitch w:val="default"/>
    <w:sig w:usb0="00000000" w:usb1="00000000" w:usb2="00000000" w:usb3="00000000" w:csb0="00000000" w:csb1="00000000"/>
    <w:embedRegular r:id="rId13" w:fontKey="{43FED554-2978-4D06-B26D-1296A0C8E85C}"/>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A0509">
    <w:pPr>
      <w:pStyle w:val="28"/>
      <w:tabs>
        <w:tab w:val="center" w:pos="4730"/>
        <w:tab w:val="clear" w:pos="4153"/>
      </w:tabs>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114AA">
    <w:pPr>
      <w:pStyle w:val="28"/>
      <w:tabs>
        <w:tab w:val="center" w:pos="4730"/>
        <w:tab w:val="clea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E6B8">
    <w:pPr>
      <w:pStyle w:val="28"/>
      <w:tabs>
        <w:tab w:val="center" w:pos="4730"/>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C7C46">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3CC7C46">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1BC2E">
    <w:pPr>
      <w:pStyle w:val="28"/>
      <w:framePr w:wrap="around" w:vAnchor="text" w:hAnchor="margin" w:xAlign="right" w:y="1"/>
      <w:rPr>
        <w:rStyle w:val="51"/>
      </w:rPr>
    </w:pPr>
    <w:r>
      <w:rPr>
        <w:rStyle w:val="51"/>
      </w:rPr>
      <w:fldChar w:fldCharType="begin"/>
    </w:r>
    <w:r>
      <w:rPr>
        <w:rStyle w:val="51"/>
      </w:rPr>
      <w:instrText xml:space="preserve">PAGE  </w:instrText>
    </w:r>
    <w:r>
      <w:rPr>
        <w:rStyle w:val="51"/>
      </w:rPr>
      <w:fldChar w:fldCharType="end"/>
    </w:r>
  </w:p>
  <w:p w14:paraId="73033FDE">
    <w:pPr>
      <w:pStyle w:val="2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C7609">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3189">
    <w:pPr>
      <w:snapToGrid w:val="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670C2">
                          <w:pPr>
                            <w:pStyle w:val="2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EC670C2">
                    <w:pPr>
                      <w:pStyle w:val="2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2501">
    <w:pPr>
      <w:pStyle w:val="28"/>
      <w:ind w:left="525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C0B934">
                          <w:pPr>
                            <w:pStyle w:val="2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C0B934">
                    <w:pPr>
                      <w:pStyle w:val="2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07F57">
    <w:pPr>
      <w:pStyle w:val="30"/>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17159">
    <w:pPr>
      <w:pStyle w:val="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5668">
    <w:pPr>
      <w:pStyle w:val="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15A2">
    <w:pPr>
      <w:tabs>
        <w:tab w:val="center" w:pos="4153"/>
        <w:tab w:val="right" w:pos="8306"/>
      </w:tabs>
      <w:snapToGrid w:val="0"/>
      <w:ind w:firstLine="270" w:firstLineChars="150"/>
      <w:rPr>
        <w:rFonts w:ascii="Calibri" w:hAnsi="Calibr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590DE">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80353"/>
    <w:multiLevelType w:val="singleLevel"/>
    <w:tmpl w:val="C0C80353"/>
    <w:lvl w:ilvl="0" w:tentative="0">
      <w:start w:val="4"/>
      <w:numFmt w:val="decimal"/>
      <w:suff w:val="nothing"/>
      <w:lvlText w:val="%1、"/>
      <w:lvlJc w:val="left"/>
    </w:lvl>
  </w:abstractNum>
  <w:abstractNum w:abstractNumId="1">
    <w:nsid w:val="D2883AB5"/>
    <w:multiLevelType w:val="singleLevel"/>
    <w:tmpl w:val="D2883AB5"/>
    <w:lvl w:ilvl="0" w:tentative="0">
      <w:start w:val="1"/>
      <w:numFmt w:val="decimal"/>
      <w:suff w:val="nothing"/>
      <w:lvlText w:val="（%1）"/>
      <w:lvlJc w:val="left"/>
    </w:lvl>
  </w:abstractNum>
  <w:abstractNum w:abstractNumId="2">
    <w:nsid w:val="F4AC54ED"/>
    <w:multiLevelType w:val="singleLevel"/>
    <w:tmpl w:val="F4AC54ED"/>
    <w:lvl w:ilvl="0" w:tentative="0">
      <w:start w:val="2"/>
      <w:numFmt w:val="chineseCounting"/>
      <w:suff w:val="nothing"/>
      <w:lvlText w:val="%1、"/>
      <w:lvlJc w:val="left"/>
      <w:rPr>
        <w:rFonts w:hint="eastAsia"/>
      </w:rPr>
    </w:lvl>
  </w:abstractNum>
  <w:abstractNum w:abstractNumId="3">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4">
    <w:nsid w:val="0000000A"/>
    <w:multiLevelType w:val="multilevel"/>
    <w:tmpl w:val="0000000A"/>
    <w:lvl w:ilvl="0" w:tentative="0">
      <w:start w:val="1"/>
      <w:numFmt w:val="decimal"/>
      <w:pStyle w:val="11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lowerLetter"/>
      <w:pStyle w:val="193"/>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00000013"/>
    <w:multiLevelType w:val="singleLevel"/>
    <w:tmpl w:val="00000013"/>
    <w:lvl w:ilvl="0" w:tentative="0">
      <w:start w:val="1"/>
      <w:numFmt w:val="decimal"/>
      <w:pStyle w:val="164"/>
      <w:lvlText w:val="%1."/>
      <w:lvlJc w:val="left"/>
      <w:pPr>
        <w:tabs>
          <w:tab w:val="left" w:pos="360"/>
        </w:tabs>
        <w:ind w:left="360" w:hanging="360"/>
      </w:pPr>
      <w:rPr>
        <w:rFonts w:hint="default"/>
      </w:rPr>
    </w:lvl>
  </w:abstractNum>
  <w:abstractNum w:abstractNumId="7">
    <w:nsid w:val="00000026"/>
    <w:multiLevelType w:val="multilevel"/>
    <w:tmpl w:val="00000026"/>
    <w:lvl w:ilvl="0" w:tentative="0">
      <w:start w:val="1"/>
      <w:numFmt w:val="decimal"/>
      <w:pStyle w:val="11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8">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9">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741" w:hanging="900"/>
      </w:pPr>
      <w:rPr>
        <w:rFonts w:hint="default" w:ascii="宋体" w:hAnsi="宋体" w:eastAsia="宋体" w:cs="宋体"/>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0000002F"/>
    <w:multiLevelType w:val="multilevel"/>
    <w:tmpl w:val="0000002F"/>
    <w:lvl w:ilvl="0" w:tentative="0">
      <w:start w:val="1"/>
      <w:numFmt w:val="decimal"/>
      <w:pStyle w:val="11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E230849"/>
    <w:multiLevelType w:val="multilevel"/>
    <w:tmpl w:val="0E230849"/>
    <w:lvl w:ilvl="0" w:tentative="0">
      <w:start w:val="1"/>
      <w:numFmt w:val="decimal"/>
      <w:pStyle w:val="217"/>
      <w:lvlText w:val="%1"/>
      <w:lvlJc w:val="left"/>
      <w:pPr>
        <w:ind w:left="680" w:hanging="680"/>
      </w:pPr>
      <w:rPr>
        <w:rFonts w:hint="eastAsia" w:ascii="宋体" w:hAnsi="宋体" w:eastAsia="宋体"/>
      </w:rPr>
    </w:lvl>
    <w:lvl w:ilvl="1" w:tentative="0">
      <w:start w:val="1"/>
      <w:numFmt w:val="decimal"/>
      <w:pStyle w:val="218"/>
      <w:lvlText w:val="%1.%2"/>
      <w:lvlJc w:val="left"/>
      <w:pPr>
        <w:ind w:left="851" w:hanging="851"/>
      </w:pPr>
      <w:rPr>
        <w:rFonts w:hint="eastAsia" w:ascii="宋体" w:hAnsi="宋体" w:eastAsia="宋体"/>
        <w:color w:val="auto"/>
      </w:rPr>
    </w:lvl>
    <w:lvl w:ilvl="2" w:tentative="0">
      <w:start w:val="1"/>
      <w:numFmt w:val="decimal"/>
      <w:pStyle w:val="219"/>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2">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167F1103"/>
    <w:multiLevelType w:val="singleLevel"/>
    <w:tmpl w:val="167F1103"/>
    <w:lvl w:ilvl="0" w:tentative="0">
      <w:start w:val="1"/>
      <w:numFmt w:val="decimal"/>
      <w:suff w:val="nothing"/>
      <w:lvlText w:val="（%1）"/>
      <w:lvlJc w:val="left"/>
    </w:lvl>
  </w:abstractNum>
  <w:abstractNum w:abstractNumId="14">
    <w:nsid w:val="2CE93396"/>
    <w:multiLevelType w:val="multilevel"/>
    <w:tmpl w:val="2CE93396"/>
    <w:lvl w:ilvl="0" w:tentative="0">
      <w:start w:val="7"/>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2F1A19D1"/>
    <w:multiLevelType w:val="singleLevel"/>
    <w:tmpl w:val="2F1A19D1"/>
    <w:lvl w:ilvl="0" w:tentative="0">
      <w:start w:val="6"/>
      <w:numFmt w:val="chineseCounting"/>
      <w:suff w:val="nothing"/>
      <w:lvlText w:val="%1、"/>
      <w:lvlJc w:val="left"/>
      <w:pPr>
        <w:ind w:left="210"/>
      </w:pPr>
      <w:rPr>
        <w:rFonts w:hint="eastAsia"/>
      </w:rPr>
    </w:lvl>
  </w:abstractNum>
  <w:abstractNum w:abstractNumId="16">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4D9E59F6"/>
    <w:multiLevelType w:val="singleLevel"/>
    <w:tmpl w:val="4D9E59F6"/>
    <w:lvl w:ilvl="0" w:tentative="0">
      <w:start w:val="1"/>
      <w:numFmt w:val="decimal"/>
      <w:suff w:val="nothing"/>
      <w:lvlText w:val="%1）"/>
      <w:lvlJc w:val="left"/>
    </w:lvl>
  </w:abstractNum>
  <w:abstractNum w:abstractNumId="19">
    <w:nsid w:val="5262B91F"/>
    <w:multiLevelType w:val="singleLevel"/>
    <w:tmpl w:val="5262B91F"/>
    <w:lvl w:ilvl="0" w:tentative="0">
      <w:start w:val="2"/>
      <w:numFmt w:val="decimal"/>
      <w:suff w:val="nothing"/>
      <w:lvlText w:val="（%1）"/>
      <w:lvlJc w:val="left"/>
    </w:lvl>
  </w:abstractNum>
  <w:abstractNum w:abstractNumId="20">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2">
    <w:nsid w:val="7B94F6C2"/>
    <w:multiLevelType w:val="singleLevel"/>
    <w:tmpl w:val="7B94F6C2"/>
    <w:lvl w:ilvl="0" w:tentative="0">
      <w:start w:val="1"/>
      <w:numFmt w:val="decimal"/>
      <w:suff w:val="nothing"/>
      <w:lvlText w:val="%1、"/>
      <w:lvlJc w:val="left"/>
      <w:pPr>
        <w:ind w:left="550" w:firstLine="0"/>
      </w:pPr>
    </w:lvl>
  </w:abstractNum>
  <w:num w:numId="1">
    <w:abstractNumId w:val="7"/>
  </w:num>
  <w:num w:numId="2">
    <w:abstractNumId w:val="10"/>
  </w:num>
  <w:num w:numId="3">
    <w:abstractNumId w:val="4"/>
  </w:num>
  <w:num w:numId="4">
    <w:abstractNumId w:val="8"/>
  </w:num>
  <w:num w:numId="5">
    <w:abstractNumId w:val="6"/>
  </w:num>
  <w:num w:numId="6">
    <w:abstractNumId w:val="5"/>
  </w:num>
  <w:num w:numId="7">
    <w:abstractNumId w:val="11"/>
  </w:num>
  <w:num w:numId="8">
    <w:abstractNumId w:val="15"/>
  </w:num>
  <w:num w:numId="9">
    <w:abstractNumId w:val="9"/>
  </w:num>
  <w:num w:numId="10">
    <w:abstractNumId w:val="3"/>
  </w:num>
  <w:num w:numId="11">
    <w:abstractNumId w:val="17"/>
  </w:num>
  <w:num w:numId="12">
    <w:abstractNumId w:val="12"/>
  </w:num>
  <w:num w:numId="13">
    <w:abstractNumId w:val="21"/>
  </w:num>
  <w:num w:numId="14">
    <w:abstractNumId w:val="2"/>
  </w:num>
  <w:num w:numId="15">
    <w:abstractNumId w:val="13"/>
  </w:num>
  <w:num w:numId="16">
    <w:abstractNumId w:val="1"/>
  </w:num>
  <w:num w:numId="17">
    <w:abstractNumId w:val="22"/>
  </w:num>
  <w:num w:numId="18">
    <w:abstractNumId w:val="0"/>
  </w:num>
  <w:num w:numId="19">
    <w:abstractNumId w:val="16"/>
  </w:num>
  <w:num w:numId="20">
    <w:abstractNumId w:val="19"/>
  </w:num>
  <w:num w:numId="21">
    <w:abstractNumId w:val="18"/>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ODVjYWY5YzA0NjdkZjBmM2JhMjc1M2ExYzRlMWQ1MDE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7D"/>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5EB0"/>
    <w:rsid w:val="000A60F3"/>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4C6"/>
    <w:rsid w:val="000E5525"/>
    <w:rsid w:val="000E554E"/>
    <w:rsid w:val="000E57D3"/>
    <w:rsid w:val="000E5D71"/>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3E6E"/>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660"/>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3AD"/>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4D73"/>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254"/>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89"/>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2EB7"/>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31"/>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5F2A"/>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5B9E"/>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E9A"/>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603"/>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AA6"/>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07"/>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5A4"/>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45"/>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0E1"/>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B2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CA5"/>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DE1"/>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B0A"/>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C60"/>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5CC5"/>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36"/>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31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533"/>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0D1"/>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752"/>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84F"/>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675"/>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C8F"/>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368"/>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75B"/>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0B2"/>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9C"/>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CDF"/>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CA0"/>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539"/>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128"/>
    <w:rsid w:val="00FD737E"/>
    <w:rsid w:val="00FD743B"/>
    <w:rsid w:val="00FD75A6"/>
    <w:rsid w:val="00FD7650"/>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256EF0"/>
    <w:rsid w:val="01343C25"/>
    <w:rsid w:val="01343FA0"/>
    <w:rsid w:val="01565C22"/>
    <w:rsid w:val="01632365"/>
    <w:rsid w:val="016F48DB"/>
    <w:rsid w:val="018F4C90"/>
    <w:rsid w:val="01981D96"/>
    <w:rsid w:val="01A544B3"/>
    <w:rsid w:val="01A82BFF"/>
    <w:rsid w:val="01BD35AB"/>
    <w:rsid w:val="01CF5268"/>
    <w:rsid w:val="01D51A71"/>
    <w:rsid w:val="02005B8D"/>
    <w:rsid w:val="020236B3"/>
    <w:rsid w:val="020E4B37"/>
    <w:rsid w:val="021533E7"/>
    <w:rsid w:val="02224E5E"/>
    <w:rsid w:val="02296E92"/>
    <w:rsid w:val="023C4E17"/>
    <w:rsid w:val="024C5063"/>
    <w:rsid w:val="024E3704"/>
    <w:rsid w:val="02506277"/>
    <w:rsid w:val="02647ECA"/>
    <w:rsid w:val="02707D76"/>
    <w:rsid w:val="027C2F1A"/>
    <w:rsid w:val="028D0D85"/>
    <w:rsid w:val="02A14FDF"/>
    <w:rsid w:val="02AF6722"/>
    <w:rsid w:val="02C42E58"/>
    <w:rsid w:val="02CC4B77"/>
    <w:rsid w:val="02CD5A6F"/>
    <w:rsid w:val="02CF1A58"/>
    <w:rsid w:val="02D4538B"/>
    <w:rsid w:val="02D952A3"/>
    <w:rsid w:val="02DF1815"/>
    <w:rsid w:val="02E02D8D"/>
    <w:rsid w:val="03087FE5"/>
    <w:rsid w:val="03093D9A"/>
    <w:rsid w:val="0317037B"/>
    <w:rsid w:val="0317318F"/>
    <w:rsid w:val="03231B33"/>
    <w:rsid w:val="032A7EA8"/>
    <w:rsid w:val="034675D0"/>
    <w:rsid w:val="035E31C7"/>
    <w:rsid w:val="03763367"/>
    <w:rsid w:val="03784073"/>
    <w:rsid w:val="037B196F"/>
    <w:rsid w:val="037E6D7C"/>
    <w:rsid w:val="03870314"/>
    <w:rsid w:val="039A6968"/>
    <w:rsid w:val="03A55682"/>
    <w:rsid w:val="03AB7BDA"/>
    <w:rsid w:val="03B3053A"/>
    <w:rsid w:val="03BB1AFB"/>
    <w:rsid w:val="03E5328D"/>
    <w:rsid w:val="03E72B61"/>
    <w:rsid w:val="03F90AE6"/>
    <w:rsid w:val="04240EED"/>
    <w:rsid w:val="042E5399"/>
    <w:rsid w:val="045A1585"/>
    <w:rsid w:val="04626346"/>
    <w:rsid w:val="04985BD3"/>
    <w:rsid w:val="049A5E25"/>
    <w:rsid w:val="049E4932"/>
    <w:rsid w:val="04AA0413"/>
    <w:rsid w:val="04B602E9"/>
    <w:rsid w:val="04BA0275"/>
    <w:rsid w:val="04FE63B4"/>
    <w:rsid w:val="05044810"/>
    <w:rsid w:val="0516577E"/>
    <w:rsid w:val="0543421B"/>
    <w:rsid w:val="05500BDA"/>
    <w:rsid w:val="05505DA5"/>
    <w:rsid w:val="05533A1A"/>
    <w:rsid w:val="055A4034"/>
    <w:rsid w:val="05606978"/>
    <w:rsid w:val="056106F1"/>
    <w:rsid w:val="05644397"/>
    <w:rsid w:val="05893855"/>
    <w:rsid w:val="05A401A4"/>
    <w:rsid w:val="05A40627"/>
    <w:rsid w:val="05AA02EA"/>
    <w:rsid w:val="05BE1FE7"/>
    <w:rsid w:val="05CA5D16"/>
    <w:rsid w:val="05CE3DAF"/>
    <w:rsid w:val="05D34353"/>
    <w:rsid w:val="05D666A6"/>
    <w:rsid w:val="05D76C05"/>
    <w:rsid w:val="05F041C0"/>
    <w:rsid w:val="05F61781"/>
    <w:rsid w:val="060C4B01"/>
    <w:rsid w:val="06336531"/>
    <w:rsid w:val="0639341C"/>
    <w:rsid w:val="064E0F7D"/>
    <w:rsid w:val="067673F4"/>
    <w:rsid w:val="06A579BF"/>
    <w:rsid w:val="06BF1B73"/>
    <w:rsid w:val="06D26F70"/>
    <w:rsid w:val="06D6041C"/>
    <w:rsid w:val="06DF5D71"/>
    <w:rsid w:val="06E01ACB"/>
    <w:rsid w:val="06E72E78"/>
    <w:rsid w:val="06F7755F"/>
    <w:rsid w:val="06F84A0C"/>
    <w:rsid w:val="06F85085"/>
    <w:rsid w:val="06FC4E0B"/>
    <w:rsid w:val="07013F3A"/>
    <w:rsid w:val="070B6B66"/>
    <w:rsid w:val="071719AF"/>
    <w:rsid w:val="07280296"/>
    <w:rsid w:val="072D11D3"/>
    <w:rsid w:val="0733430F"/>
    <w:rsid w:val="077F28B3"/>
    <w:rsid w:val="078132CC"/>
    <w:rsid w:val="07847D2E"/>
    <w:rsid w:val="079254DA"/>
    <w:rsid w:val="07AA637F"/>
    <w:rsid w:val="07AD5E6F"/>
    <w:rsid w:val="07B2792A"/>
    <w:rsid w:val="07C31705"/>
    <w:rsid w:val="07D6305C"/>
    <w:rsid w:val="07E82AA4"/>
    <w:rsid w:val="07E9545C"/>
    <w:rsid w:val="080812F8"/>
    <w:rsid w:val="08165F87"/>
    <w:rsid w:val="08234BB9"/>
    <w:rsid w:val="0829293A"/>
    <w:rsid w:val="083A4976"/>
    <w:rsid w:val="0842480A"/>
    <w:rsid w:val="084A51A2"/>
    <w:rsid w:val="086C5D2B"/>
    <w:rsid w:val="086E55FF"/>
    <w:rsid w:val="087846CF"/>
    <w:rsid w:val="088F1211"/>
    <w:rsid w:val="089332B7"/>
    <w:rsid w:val="08A97246"/>
    <w:rsid w:val="08AF79C5"/>
    <w:rsid w:val="08C47915"/>
    <w:rsid w:val="08D078DC"/>
    <w:rsid w:val="08D4315B"/>
    <w:rsid w:val="08F02F50"/>
    <w:rsid w:val="08F07638"/>
    <w:rsid w:val="08F17FDE"/>
    <w:rsid w:val="08F33D56"/>
    <w:rsid w:val="09057173"/>
    <w:rsid w:val="09144ED2"/>
    <w:rsid w:val="09325D70"/>
    <w:rsid w:val="09442803"/>
    <w:rsid w:val="094A6D04"/>
    <w:rsid w:val="09563A40"/>
    <w:rsid w:val="097940F5"/>
    <w:rsid w:val="098D5F59"/>
    <w:rsid w:val="099E65D1"/>
    <w:rsid w:val="09A566CA"/>
    <w:rsid w:val="09A84B40"/>
    <w:rsid w:val="09AB1135"/>
    <w:rsid w:val="09AD65FB"/>
    <w:rsid w:val="09B419BD"/>
    <w:rsid w:val="09C444A3"/>
    <w:rsid w:val="09C57903"/>
    <w:rsid w:val="09C63218"/>
    <w:rsid w:val="09C91CD1"/>
    <w:rsid w:val="09CF5561"/>
    <w:rsid w:val="09E42506"/>
    <w:rsid w:val="0A033204"/>
    <w:rsid w:val="0A052104"/>
    <w:rsid w:val="0A0819A3"/>
    <w:rsid w:val="0A0D7B74"/>
    <w:rsid w:val="0A4B5296"/>
    <w:rsid w:val="0A546366"/>
    <w:rsid w:val="0A7B64D2"/>
    <w:rsid w:val="0A7B7AF0"/>
    <w:rsid w:val="0A843939"/>
    <w:rsid w:val="0A886720"/>
    <w:rsid w:val="0A8D0153"/>
    <w:rsid w:val="0AA04FBE"/>
    <w:rsid w:val="0AA755E9"/>
    <w:rsid w:val="0AB82E3A"/>
    <w:rsid w:val="0AC43BFC"/>
    <w:rsid w:val="0AF84849"/>
    <w:rsid w:val="0B081429"/>
    <w:rsid w:val="0B187589"/>
    <w:rsid w:val="0B275F39"/>
    <w:rsid w:val="0B2C1493"/>
    <w:rsid w:val="0B660C1A"/>
    <w:rsid w:val="0B952E5E"/>
    <w:rsid w:val="0B971310"/>
    <w:rsid w:val="0BA650B0"/>
    <w:rsid w:val="0BB30FB1"/>
    <w:rsid w:val="0BE03E21"/>
    <w:rsid w:val="0BEA58E4"/>
    <w:rsid w:val="0BFF6716"/>
    <w:rsid w:val="0C043E8E"/>
    <w:rsid w:val="0C1838CF"/>
    <w:rsid w:val="0C1E10EA"/>
    <w:rsid w:val="0C21292D"/>
    <w:rsid w:val="0C434D7C"/>
    <w:rsid w:val="0C45067E"/>
    <w:rsid w:val="0C6765FF"/>
    <w:rsid w:val="0C6A3E27"/>
    <w:rsid w:val="0C6B4883"/>
    <w:rsid w:val="0C772B81"/>
    <w:rsid w:val="0C7B0C28"/>
    <w:rsid w:val="0C7C4062"/>
    <w:rsid w:val="0C807C67"/>
    <w:rsid w:val="0CAF61E6"/>
    <w:rsid w:val="0CE55B25"/>
    <w:rsid w:val="0CE75980"/>
    <w:rsid w:val="0D097FEC"/>
    <w:rsid w:val="0D2315F2"/>
    <w:rsid w:val="0D3A1F36"/>
    <w:rsid w:val="0D485ED6"/>
    <w:rsid w:val="0D5B4EAB"/>
    <w:rsid w:val="0D644C93"/>
    <w:rsid w:val="0D892EDB"/>
    <w:rsid w:val="0D904269"/>
    <w:rsid w:val="0D9773A6"/>
    <w:rsid w:val="0D984DF0"/>
    <w:rsid w:val="0DA5675A"/>
    <w:rsid w:val="0DDE4FD5"/>
    <w:rsid w:val="0DE275F0"/>
    <w:rsid w:val="0DEB519A"/>
    <w:rsid w:val="0DF77E44"/>
    <w:rsid w:val="0E0A401C"/>
    <w:rsid w:val="0E1A2C0C"/>
    <w:rsid w:val="0E1A53DD"/>
    <w:rsid w:val="0E1D5E71"/>
    <w:rsid w:val="0E22235E"/>
    <w:rsid w:val="0E296635"/>
    <w:rsid w:val="0E2B5D40"/>
    <w:rsid w:val="0E2D3B72"/>
    <w:rsid w:val="0E303356"/>
    <w:rsid w:val="0E4806A0"/>
    <w:rsid w:val="0E4A4418"/>
    <w:rsid w:val="0E67321C"/>
    <w:rsid w:val="0E7C67CB"/>
    <w:rsid w:val="0E89670B"/>
    <w:rsid w:val="0E9378A9"/>
    <w:rsid w:val="0EA44CBA"/>
    <w:rsid w:val="0EAA5352"/>
    <w:rsid w:val="0EB30E74"/>
    <w:rsid w:val="0ECE64E3"/>
    <w:rsid w:val="0EE35051"/>
    <w:rsid w:val="0EEB6425"/>
    <w:rsid w:val="0EF8023C"/>
    <w:rsid w:val="0F1121FC"/>
    <w:rsid w:val="0F1A1E09"/>
    <w:rsid w:val="0F225395"/>
    <w:rsid w:val="0F230706"/>
    <w:rsid w:val="0F727744"/>
    <w:rsid w:val="0F733D4C"/>
    <w:rsid w:val="0F8A4A20"/>
    <w:rsid w:val="0FAE6C29"/>
    <w:rsid w:val="0FBC0705"/>
    <w:rsid w:val="0FC149A6"/>
    <w:rsid w:val="0FE01357"/>
    <w:rsid w:val="0FE8213B"/>
    <w:rsid w:val="0FF878CB"/>
    <w:rsid w:val="0FFB1273"/>
    <w:rsid w:val="100466E4"/>
    <w:rsid w:val="10145EE4"/>
    <w:rsid w:val="101939DC"/>
    <w:rsid w:val="10204270"/>
    <w:rsid w:val="1021383C"/>
    <w:rsid w:val="102173FB"/>
    <w:rsid w:val="102B0279"/>
    <w:rsid w:val="102F2E92"/>
    <w:rsid w:val="10433F2A"/>
    <w:rsid w:val="104345D2"/>
    <w:rsid w:val="10492FA1"/>
    <w:rsid w:val="104B1FFC"/>
    <w:rsid w:val="108A31F2"/>
    <w:rsid w:val="109010D1"/>
    <w:rsid w:val="10A51DDA"/>
    <w:rsid w:val="10A6034C"/>
    <w:rsid w:val="10AE2508"/>
    <w:rsid w:val="10B04531"/>
    <w:rsid w:val="10BD3521"/>
    <w:rsid w:val="10D23BCA"/>
    <w:rsid w:val="10D34D34"/>
    <w:rsid w:val="10D44FF5"/>
    <w:rsid w:val="10D60BC7"/>
    <w:rsid w:val="10F56B70"/>
    <w:rsid w:val="10F71E45"/>
    <w:rsid w:val="10FA4B73"/>
    <w:rsid w:val="11001706"/>
    <w:rsid w:val="11002D49"/>
    <w:rsid w:val="11031AF2"/>
    <w:rsid w:val="110A4F99"/>
    <w:rsid w:val="110C1E59"/>
    <w:rsid w:val="1111121D"/>
    <w:rsid w:val="11523EB4"/>
    <w:rsid w:val="11535CDA"/>
    <w:rsid w:val="11561326"/>
    <w:rsid w:val="116465A6"/>
    <w:rsid w:val="116F3259"/>
    <w:rsid w:val="11751647"/>
    <w:rsid w:val="117A14B8"/>
    <w:rsid w:val="117D1F70"/>
    <w:rsid w:val="11867E5D"/>
    <w:rsid w:val="11A37A34"/>
    <w:rsid w:val="11A43CBD"/>
    <w:rsid w:val="11B60016"/>
    <w:rsid w:val="11BA18B5"/>
    <w:rsid w:val="11BD40B4"/>
    <w:rsid w:val="11BF6ECB"/>
    <w:rsid w:val="11C511D1"/>
    <w:rsid w:val="11E15093"/>
    <w:rsid w:val="11E26FD0"/>
    <w:rsid w:val="120764DB"/>
    <w:rsid w:val="12130C14"/>
    <w:rsid w:val="121A67F7"/>
    <w:rsid w:val="12624D01"/>
    <w:rsid w:val="129575B3"/>
    <w:rsid w:val="12985CEA"/>
    <w:rsid w:val="12B10F0A"/>
    <w:rsid w:val="12B1370B"/>
    <w:rsid w:val="12B761B1"/>
    <w:rsid w:val="12C405D5"/>
    <w:rsid w:val="12C86253"/>
    <w:rsid w:val="12DB3668"/>
    <w:rsid w:val="1304031C"/>
    <w:rsid w:val="13054DB2"/>
    <w:rsid w:val="13203999"/>
    <w:rsid w:val="134223C1"/>
    <w:rsid w:val="134578A4"/>
    <w:rsid w:val="134F3535"/>
    <w:rsid w:val="13596EAB"/>
    <w:rsid w:val="135A334F"/>
    <w:rsid w:val="136523E5"/>
    <w:rsid w:val="13960100"/>
    <w:rsid w:val="139D253E"/>
    <w:rsid w:val="13BA0C00"/>
    <w:rsid w:val="13BC7D4B"/>
    <w:rsid w:val="13C70351"/>
    <w:rsid w:val="13C9759C"/>
    <w:rsid w:val="13E34BA1"/>
    <w:rsid w:val="140E679D"/>
    <w:rsid w:val="14117786"/>
    <w:rsid w:val="14235B4B"/>
    <w:rsid w:val="143C2A55"/>
    <w:rsid w:val="14457303"/>
    <w:rsid w:val="144A5C3F"/>
    <w:rsid w:val="145C30F7"/>
    <w:rsid w:val="145E5B2E"/>
    <w:rsid w:val="145E6E6F"/>
    <w:rsid w:val="147072F3"/>
    <w:rsid w:val="1482021A"/>
    <w:rsid w:val="148948CC"/>
    <w:rsid w:val="14904B4F"/>
    <w:rsid w:val="14953D1B"/>
    <w:rsid w:val="14C401F3"/>
    <w:rsid w:val="14DF7617"/>
    <w:rsid w:val="14E03EB7"/>
    <w:rsid w:val="14E11066"/>
    <w:rsid w:val="14E66B54"/>
    <w:rsid w:val="150537A2"/>
    <w:rsid w:val="1509710E"/>
    <w:rsid w:val="15190FE8"/>
    <w:rsid w:val="153233EA"/>
    <w:rsid w:val="1537321C"/>
    <w:rsid w:val="1542409B"/>
    <w:rsid w:val="1543358D"/>
    <w:rsid w:val="1543751C"/>
    <w:rsid w:val="154D3D0F"/>
    <w:rsid w:val="15793835"/>
    <w:rsid w:val="157D01C2"/>
    <w:rsid w:val="15981F0D"/>
    <w:rsid w:val="15994CDD"/>
    <w:rsid w:val="15A563D8"/>
    <w:rsid w:val="15A56863"/>
    <w:rsid w:val="15AA22AC"/>
    <w:rsid w:val="15AE5BDA"/>
    <w:rsid w:val="15C050DC"/>
    <w:rsid w:val="15C90318"/>
    <w:rsid w:val="15CE592F"/>
    <w:rsid w:val="15D76017"/>
    <w:rsid w:val="15D96718"/>
    <w:rsid w:val="15EB3754"/>
    <w:rsid w:val="15F03903"/>
    <w:rsid w:val="15FE13BC"/>
    <w:rsid w:val="1606134D"/>
    <w:rsid w:val="160C53EC"/>
    <w:rsid w:val="161F67E4"/>
    <w:rsid w:val="16226447"/>
    <w:rsid w:val="16290DB7"/>
    <w:rsid w:val="16411302"/>
    <w:rsid w:val="16450281"/>
    <w:rsid w:val="16461969"/>
    <w:rsid w:val="1647748F"/>
    <w:rsid w:val="16511E04"/>
    <w:rsid w:val="16576981"/>
    <w:rsid w:val="165F6ECF"/>
    <w:rsid w:val="16704C38"/>
    <w:rsid w:val="1683189B"/>
    <w:rsid w:val="16AF087E"/>
    <w:rsid w:val="16B25250"/>
    <w:rsid w:val="16B8213B"/>
    <w:rsid w:val="16C136E5"/>
    <w:rsid w:val="16D319C8"/>
    <w:rsid w:val="16D927DD"/>
    <w:rsid w:val="16DB5FED"/>
    <w:rsid w:val="16DC7BBA"/>
    <w:rsid w:val="16E71F08"/>
    <w:rsid w:val="17013AE2"/>
    <w:rsid w:val="171D2EE8"/>
    <w:rsid w:val="171D6872"/>
    <w:rsid w:val="173619DD"/>
    <w:rsid w:val="173C4B1A"/>
    <w:rsid w:val="17417784"/>
    <w:rsid w:val="1750223C"/>
    <w:rsid w:val="17572FBC"/>
    <w:rsid w:val="176F4DAB"/>
    <w:rsid w:val="177916BB"/>
    <w:rsid w:val="17BD3AD8"/>
    <w:rsid w:val="17F84EE5"/>
    <w:rsid w:val="17F93E0B"/>
    <w:rsid w:val="1814164D"/>
    <w:rsid w:val="18153CE9"/>
    <w:rsid w:val="1826421D"/>
    <w:rsid w:val="18497453"/>
    <w:rsid w:val="18576801"/>
    <w:rsid w:val="186E51F9"/>
    <w:rsid w:val="189A5F9C"/>
    <w:rsid w:val="18B727CA"/>
    <w:rsid w:val="18BF01DF"/>
    <w:rsid w:val="18C96881"/>
    <w:rsid w:val="18D203E7"/>
    <w:rsid w:val="18D47700"/>
    <w:rsid w:val="18D851B5"/>
    <w:rsid w:val="190653E0"/>
    <w:rsid w:val="19067AA1"/>
    <w:rsid w:val="19123796"/>
    <w:rsid w:val="19297320"/>
    <w:rsid w:val="19311B56"/>
    <w:rsid w:val="19765580"/>
    <w:rsid w:val="197C6F8D"/>
    <w:rsid w:val="198560C9"/>
    <w:rsid w:val="19873C1D"/>
    <w:rsid w:val="199C1BFC"/>
    <w:rsid w:val="19B137D8"/>
    <w:rsid w:val="19CD3751"/>
    <w:rsid w:val="19CE23A1"/>
    <w:rsid w:val="19D67508"/>
    <w:rsid w:val="19EE2A43"/>
    <w:rsid w:val="19F142E2"/>
    <w:rsid w:val="1A0F5BFA"/>
    <w:rsid w:val="1A246465"/>
    <w:rsid w:val="1A2D49C4"/>
    <w:rsid w:val="1A3D1234"/>
    <w:rsid w:val="1A5328A6"/>
    <w:rsid w:val="1A7840BB"/>
    <w:rsid w:val="1A7C004F"/>
    <w:rsid w:val="1A813BD5"/>
    <w:rsid w:val="1A881766"/>
    <w:rsid w:val="1AB1581F"/>
    <w:rsid w:val="1AB75FA6"/>
    <w:rsid w:val="1ACE4623"/>
    <w:rsid w:val="1AE51161"/>
    <w:rsid w:val="1AE844BC"/>
    <w:rsid w:val="1B02294E"/>
    <w:rsid w:val="1B2B548A"/>
    <w:rsid w:val="1B356A9D"/>
    <w:rsid w:val="1B4548E5"/>
    <w:rsid w:val="1B5623CB"/>
    <w:rsid w:val="1B593EEC"/>
    <w:rsid w:val="1B8847D2"/>
    <w:rsid w:val="1B952EC6"/>
    <w:rsid w:val="1B976E2D"/>
    <w:rsid w:val="1BB2184F"/>
    <w:rsid w:val="1BB41D9C"/>
    <w:rsid w:val="1BCF7B2B"/>
    <w:rsid w:val="1BD244C7"/>
    <w:rsid w:val="1BD32925"/>
    <w:rsid w:val="1BDB348B"/>
    <w:rsid w:val="1BEA2D97"/>
    <w:rsid w:val="1BFC198E"/>
    <w:rsid w:val="1C011659"/>
    <w:rsid w:val="1C455CA5"/>
    <w:rsid w:val="1C4F6411"/>
    <w:rsid w:val="1C5F7AD6"/>
    <w:rsid w:val="1C69096F"/>
    <w:rsid w:val="1C8078E6"/>
    <w:rsid w:val="1C8A31C6"/>
    <w:rsid w:val="1CA67605"/>
    <w:rsid w:val="1CB3587E"/>
    <w:rsid w:val="1CCC570F"/>
    <w:rsid w:val="1CCE4466"/>
    <w:rsid w:val="1CD8480E"/>
    <w:rsid w:val="1CFF0991"/>
    <w:rsid w:val="1D036806"/>
    <w:rsid w:val="1D0936F0"/>
    <w:rsid w:val="1D0C4F8F"/>
    <w:rsid w:val="1D187B25"/>
    <w:rsid w:val="1D1B44A9"/>
    <w:rsid w:val="1D2C69D2"/>
    <w:rsid w:val="1D3E6F57"/>
    <w:rsid w:val="1D570900"/>
    <w:rsid w:val="1D5D57EA"/>
    <w:rsid w:val="1D69418F"/>
    <w:rsid w:val="1D7274E7"/>
    <w:rsid w:val="1D7A68B9"/>
    <w:rsid w:val="1D9C67E9"/>
    <w:rsid w:val="1DBA4F96"/>
    <w:rsid w:val="1DC13FCB"/>
    <w:rsid w:val="1DC64350"/>
    <w:rsid w:val="1DCA10D2"/>
    <w:rsid w:val="1DD0420E"/>
    <w:rsid w:val="1DD75487"/>
    <w:rsid w:val="1DE57CB9"/>
    <w:rsid w:val="1E09504B"/>
    <w:rsid w:val="1E172574"/>
    <w:rsid w:val="1E2C2424"/>
    <w:rsid w:val="1E323280"/>
    <w:rsid w:val="1E4002A6"/>
    <w:rsid w:val="1E5438EA"/>
    <w:rsid w:val="1E714198"/>
    <w:rsid w:val="1E7B52E2"/>
    <w:rsid w:val="1E934CC5"/>
    <w:rsid w:val="1EBB0A1A"/>
    <w:rsid w:val="1ECD408D"/>
    <w:rsid w:val="1ED06D2B"/>
    <w:rsid w:val="1EE617A3"/>
    <w:rsid w:val="1EF270E6"/>
    <w:rsid w:val="1EFF2FFD"/>
    <w:rsid w:val="1F1D16D5"/>
    <w:rsid w:val="1F2D73A2"/>
    <w:rsid w:val="1F301408"/>
    <w:rsid w:val="1F355E9A"/>
    <w:rsid w:val="1F3E5968"/>
    <w:rsid w:val="1F4D1FBA"/>
    <w:rsid w:val="1F5218AC"/>
    <w:rsid w:val="1F5A0233"/>
    <w:rsid w:val="1F707A57"/>
    <w:rsid w:val="1F72557D"/>
    <w:rsid w:val="1F752B76"/>
    <w:rsid w:val="1F931E30"/>
    <w:rsid w:val="1F957AD4"/>
    <w:rsid w:val="1FB12B1C"/>
    <w:rsid w:val="1FC332C3"/>
    <w:rsid w:val="1FC41B50"/>
    <w:rsid w:val="1FDA25C0"/>
    <w:rsid w:val="1FE12599"/>
    <w:rsid w:val="20001013"/>
    <w:rsid w:val="20102EB5"/>
    <w:rsid w:val="20126D60"/>
    <w:rsid w:val="20174376"/>
    <w:rsid w:val="201E74B3"/>
    <w:rsid w:val="201F3EE8"/>
    <w:rsid w:val="202071F2"/>
    <w:rsid w:val="202A1A39"/>
    <w:rsid w:val="202A7DFC"/>
    <w:rsid w:val="203767C6"/>
    <w:rsid w:val="20495DA5"/>
    <w:rsid w:val="204C4020"/>
    <w:rsid w:val="20592BE1"/>
    <w:rsid w:val="206E52B8"/>
    <w:rsid w:val="20790B8D"/>
    <w:rsid w:val="208C266E"/>
    <w:rsid w:val="20AC0F62"/>
    <w:rsid w:val="20B41BC5"/>
    <w:rsid w:val="20D76E58"/>
    <w:rsid w:val="20EC0C4F"/>
    <w:rsid w:val="21083C61"/>
    <w:rsid w:val="21090163"/>
    <w:rsid w:val="210E6691"/>
    <w:rsid w:val="2112552E"/>
    <w:rsid w:val="21303322"/>
    <w:rsid w:val="21340B44"/>
    <w:rsid w:val="215C64E4"/>
    <w:rsid w:val="215D7CAE"/>
    <w:rsid w:val="2168734E"/>
    <w:rsid w:val="216A4942"/>
    <w:rsid w:val="216D6944"/>
    <w:rsid w:val="21866195"/>
    <w:rsid w:val="218E5E49"/>
    <w:rsid w:val="21B53E47"/>
    <w:rsid w:val="21D3134C"/>
    <w:rsid w:val="21D56297"/>
    <w:rsid w:val="21D6555B"/>
    <w:rsid w:val="21FD729B"/>
    <w:rsid w:val="220801C4"/>
    <w:rsid w:val="222B1F06"/>
    <w:rsid w:val="22455CB6"/>
    <w:rsid w:val="224B437D"/>
    <w:rsid w:val="22525B39"/>
    <w:rsid w:val="225355F8"/>
    <w:rsid w:val="226F3F88"/>
    <w:rsid w:val="228F3E7B"/>
    <w:rsid w:val="22C4136F"/>
    <w:rsid w:val="22D91657"/>
    <w:rsid w:val="230014D0"/>
    <w:rsid w:val="230B6414"/>
    <w:rsid w:val="23137EF7"/>
    <w:rsid w:val="23331D69"/>
    <w:rsid w:val="233D0598"/>
    <w:rsid w:val="2366460D"/>
    <w:rsid w:val="23700025"/>
    <w:rsid w:val="2375131B"/>
    <w:rsid w:val="237D5D28"/>
    <w:rsid w:val="23827D58"/>
    <w:rsid w:val="239006C7"/>
    <w:rsid w:val="23982893"/>
    <w:rsid w:val="239D403D"/>
    <w:rsid w:val="239E00B4"/>
    <w:rsid w:val="23D71405"/>
    <w:rsid w:val="23E17175"/>
    <w:rsid w:val="23EA239B"/>
    <w:rsid w:val="23ED78C8"/>
    <w:rsid w:val="24191008"/>
    <w:rsid w:val="241A0B5A"/>
    <w:rsid w:val="241A4435"/>
    <w:rsid w:val="242B03F0"/>
    <w:rsid w:val="243279D1"/>
    <w:rsid w:val="244A2F6C"/>
    <w:rsid w:val="245A56AD"/>
    <w:rsid w:val="245E07C6"/>
    <w:rsid w:val="24620F42"/>
    <w:rsid w:val="2462766C"/>
    <w:rsid w:val="24690BB3"/>
    <w:rsid w:val="24771D12"/>
    <w:rsid w:val="248B5AF9"/>
    <w:rsid w:val="24A4525D"/>
    <w:rsid w:val="24A7208E"/>
    <w:rsid w:val="24B228BF"/>
    <w:rsid w:val="24BC4AE1"/>
    <w:rsid w:val="24CF3CF1"/>
    <w:rsid w:val="24DD793C"/>
    <w:rsid w:val="24DE1C7D"/>
    <w:rsid w:val="25192833"/>
    <w:rsid w:val="251D41DD"/>
    <w:rsid w:val="251E74A4"/>
    <w:rsid w:val="25387269"/>
    <w:rsid w:val="253E511F"/>
    <w:rsid w:val="25496D80"/>
    <w:rsid w:val="254C2A1B"/>
    <w:rsid w:val="255068F0"/>
    <w:rsid w:val="25654055"/>
    <w:rsid w:val="256716F0"/>
    <w:rsid w:val="25746E57"/>
    <w:rsid w:val="2584600A"/>
    <w:rsid w:val="25873D4C"/>
    <w:rsid w:val="25A00E3D"/>
    <w:rsid w:val="25AB3597"/>
    <w:rsid w:val="25D85D7E"/>
    <w:rsid w:val="25DE1575"/>
    <w:rsid w:val="25E52E51"/>
    <w:rsid w:val="25EC118F"/>
    <w:rsid w:val="25FE0D5E"/>
    <w:rsid w:val="2602685B"/>
    <w:rsid w:val="260450DB"/>
    <w:rsid w:val="26154EB4"/>
    <w:rsid w:val="26193F32"/>
    <w:rsid w:val="264F6618"/>
    <w:rsid w:val="265E102D"/>
    <w:rsid w:val="266D2F42"/>
    <w:rsid w:val="26844DDC"/>
    <w:rsid w:val="26A5092E"/>
    <w:rsid w:val="26A56466"/>
    <w:rsid w:val="26AC220D"/>
    <w:rsid w:val="26B50445"/>
    <w:rsid w:val="26C43A6E"/>
    <w:rsid w:val="26C62652"/>
    <w:rsid w:val="26D703BB"/>
    <w:rsid w:val="26DF742E"/>
    <w:rsid w:val="26EE1E12"/>
    <w:rsid w:val="26F62F37"/>
    <w:rsid w:val="26F82F83"/>
    <w:rsid w:val="2707581A"/>
    <w:rsid w:val="27127645"/>
    <w:rsid w:val="27144592"/>
    <w:rsid w:val="271C6A3E"/>
    <w:rsid w:val="27421CD9"/>
    <w:rsid w:val="274301E8"/>
    <w:rsid w:val="274517C9"/>
    <w:rsid w:val="274E4F2E"/>
    <w:rsid w:val="27557702"/>
    <w:rsid w:val="275A3968"/>
    <w:rsid w:val="27756424"/>
    <w:rsid w:val="27794327"/>
    <w:rsid w:val="27843CE5"/>
    <w:rsid w:val="278772D4"/>
    <w:rsid w:val="278C7A4A"/>
    <w:rsid w:val="27B81C74"/>
    <w:rsid w:val="27CF73A5"/>
    <w:rsid w:val="27E601D4"/>
    <w:rsid w:val="27EB6814"/>
    <w:rsid w:val="280137FF"/>
    <w:rsid w:val="28017DE6"/>
    <w:rsid w:val="28191A53"/>
    <w:rsid w:val="281B5692"/>
    <w:rsid w:val="2858552C"/>
    <w:rsid w:val="285C326E"/>
    <w:rsid w:val="285D746B"/>
    <w:rsid w:val="28650375"/>
    <w:rsid w:val="286918F0"/>
    <w:rsid w:val="286F2FA1"/>
    <w:rsid w:val="28732366"/>
    <w:rsid w:val="289E73E3"/>
    <w:rsid w:val="28A35D2A"/>
    <w:rsid w:val="28A40771"/>
    <w:rsid w:val="28BE1833"/>
    <w:rsid w:val="28BE1F7F"/>
    <w:rsid w:val="28C11323"/>
    <w:rsid w:val="28CF3A40"/>
    <w:rsid w:val="28D42E04"/>
    <w:rsid w:val="28DC36D3"/>
    <w:rsid w:val="28EB6B86"/>
    <w:rsid w:val="28EF4539"/>
    <w:rsid w:val="290114EB"/>
    <w:rsid w:val="2914410B"/>
    <w:rsid w:val="29285EFD"/>
    <w:rsid w:val="292D0766"/>
    <w:rsid w:val="29353E22"/>
    <w:rsid w:val="29424212"/>
    <w:rsid w:val="294352CC"/>
    <w:rsid w:val="294D2BB7"/>
    <w:rsid w:val="296642D8"/>
    <w:rsid w:val="29764DB1"/>
    <w:rsid w:val="2977419A"/>
    <w:rsid w:val="297939AC"/>
    <w:rsid w:val="29800FFC"/>
    <w:rsid w:val="2991163B"/>
    <w:rsid w:val="29B844D4"/>
    <w:rsid w:val="29EC0622"/>
    <w:rsid w:val="2A2C4D44"/>
    <w:rsid w:val="2A3A75DF"/>
    <w:rsid w:val="2A3D3173"/>
    <w:rsid w:val="2A4B5348"/>
    <w:rsid w:val="2A697EC4"/>
    <w:rsid w:val="2A6B55DE"/>
    <w:rsid w:val="2A742AF1"/>
    <w:rsid w:val="2A950CB9"/>
    <w:rsid w:val="2A9513C6"/>
    <w:rsid w:val="2AB96BDA"/>
    <w:rsid w:val="2AE068BD"/>
    <w:rsid w:val="2AE54AB6"/>
    <w:rsid w:val="2AED2E8D"/>
    <w:rsid w:val="2AFF4C94"/>
    <w:rsid w:val="2B211442"/>
    <w:rsid w:val="2B2838DB"/>
    <w:rsid w:val="2B587C5B"/>
    <w:rsid w:val="2B634913"/>
    <w:rsid w:val="2B6D7540"/>
    <w:rsid w:val="2BA0794B"/>
    <w:rsid w:val="2BA32F62"/>
    <w:rsid w:val="2BBF5E5B"/>
    <w:rsid w:val="2BDA70E6"/>
    <w:rsid w:val="2BE076F4"/>
    <w:rsid w:val="2BE1693C"/>
    <w:rsid w:val="2BF0264B"/>
    <w:rsid w:val="2BFE692D"/>
    <w:rsid w:val="2C094F00"/>
    <w:rsid w:val="2C1F1FBF"/>
    <w:rsid w:val="2C201C60"/>
    <w:rsid w:val="2C351F7F"/>
    <w:rsid w:val="2C3A5674"/>
    <w:rsid w:val="2C4E6D38"/>
    <w:rsid w:val="2C604777"/>
    <w:rsid w:val="2C714D86"/>
    <w:rsid w:val="2C81324C"/>
    <w:rsid w:val="2C9E3E55"/>
    <w:rsid w:val="2CA60F5C"/>
    <w:rsid w:val="2CCD708D"/>
    <w:rsid w:val="2CD943D6"/>
    <w:rsid w:val="2CDC4194"/>
    <w:rsid w:val="2CE13D42"/>
    <w:rsid w:val="2CF950D6"/>
    <w:rsid w:val="2CFF3F4B"/>
    <w:rsid w:val="2D041D8F"/>
    <w:rsid w:val="2D1146BC"/>
    <w:rsid w:val="2D3A16A4"/>
    <w:rsid w:val="2D3E36C5"/>
    <w:rsid w:val="2D455150"/>
    <w:rsid w:val="2D4B150D"/>
    <w:rsid w:val="2D8C67ED"/>
    <w:rsid w:val="2D8D04FD"/>
    <w:rsid w:val="2D9708A4"/>
    <w:rsid w:val="2D9B2143"/>
    <w:rsid w:val="2DA25052"/>
    <w:rsid w:val="2DBE5AC1"/>
    <w:rsid w:val="2DBF5314"/>
    <w:rsid w:val="2DC43E7F"/>
    <w:rsid w:val="2DF77787"/>
    <w:rsid w:val="2E5D564A"/>
    <w:rsid w:val="2E7E4C4B"/>
    <w:rsid w:val="2EC60C00"/>
    <w:rsid w:val="2ED95618"/>
    <w:rsid w:val="2EDA6BAD"/>
    <w:rsid w:val="2EE93382"/>
    <w:rsid w:val="2EEF10D4"/>
    <w:rsid w:val="2F0672B1"/>
    <w:rsid w:val="2F0A60BD"/>
    <w:rsid w:val="2F1403FE"/>
    <w:rsid w:val="2F297666"/>
    <w:rsid w:val="2F2F36B1"/>
    <w:rsid w:val="2F3326A3"/>
    <w:rsid w:val="2F52478B"/>
    <w:rsid w:val="2F650C5A"/>
    <w:rsid w:val="2F85760A"/>
    <w:rsid w:val="2F8B61E7"/>
    <w:rsid w:val="2F923A19"/>
    <w:rsid w:val="2F9466BB"/>
    <w:rsid w:val="2F996F10"/>
    <w:rsid w:val="2FA87094"/>
    <w:rsid w:val="2FB8401F"/>
    <w:rsid w:val="2FC40AFA"/>
    <w:rsid w:val="2FD159CA"/>
    <w:rsid w:val="2FD67E3E"/>
    <w:rsid w:val="2FF16992"/>
    <w:rsid w:val="301D7787"/>
    <w:rsid w:val="301E14CD"/>
    <w:rsid w:val="303F24BC"/>
    <w:rsid w:val="304940D8"/>
    <w:rsid w:val="306929CC"/>
    <w:rsid w:val="30E8538C"/>
    <w:rsid w:val="31057C08"/>
    <w:rsid w:val="310C7C42"/>
    <w:rsid w:val="310E5321"/>
    <w:rsid w:val="3112096E"/>
    <w:rsid w:val="31120F17"/>
    <w:rsid w:val="31175895"/>
    <w:rsid w:val="311C69D9"/>
    <w:rsid w:val="31236A35"/>
    <w:rsid w:val="312B21BD"/>
    <w:rsid w:val="312E379D"/>
    <w:rsid w:val="31407A7D"/>
    <w:rsid w:val="315A43B3"/>
    <w:rsid w:val="31746893"/>
    <w:rsid w:val="317F39BB"/>
    <w:rsid w:val="3186310A"/>
    <w:rsid w:val="319C5F3C"/>
    <w:rsid w:val="319C62FD"/>
    <w:rsid w:val="31AD27C6"/>
    <w:rsid w:val="31B1462B"/>
    <w:rsid w:val="31C13416"/>
    <w:rsid w:val="31C14142"/>
    <w:rsid w:val="31C942AB"/>
    <w:rsid w:val="31ED4F37"/>
    <w:rsid w:val="31EE13DB"/>
    <w:rsid w:val="32325DB3"/>
    <w:rsid w:val="3234712F"/>
    <w:rsid w:val="3239017C"/>
    <w:rsid w:val="3244724D"/>
    <w:rsid w:val="3247112A"/>
    <w:rsid w:val="324F5BF1"/>
    <w:rsid w:val="32536FF3"/>
    <w:rsid w:val="326C2300"/>
    <w:rsid w:val="32725B2C"/>
    <w:rsid w:val="32884234"/>
    <w:rsid w:val="328D3171"/>
    <w:rsid w:val="32B1421A"/>
    <w:rsid w:val="32C263C3"/>
    <w:rsid w:val="32D33E04"/>
    <w:rsid w:val="32E36F4F"/>
    <w:rsid w:val="32EB653A"/>
    <w:rsid w:val="32F347CF"/>
    <w:rsid w:val="330A2FD8"/>
    <w:rsid w:val="331F5DE1"/>
    <w:rsid w:val="332171ED"/>
    <w:rsid w:val="332D5F33"/>
    <w:rsid w:val="3350577D"/>
    <w:rsid w:val="33673B3E"/>
    <w:rsid w:val="336B292C"/>
    <w:rsid w:val="337E2FAE"/>
    <w:rsid w:val="337F2687"/>
    <w:rsid w:val="33802506"/>
    <w:rsid w:val="33865643"/>
    <w:rsid w:val="33903A78"/>
    <w:rsid w:val="339D49D6"/>
    <w:rsid w:val="33AE1DBD"/>
    <w:rsid w:val="33B912D3"/>
    <w:rsid w:val="33D53ED4"/>
    <w:rsid w:val="33DE77D3"/>
    <w:rsid w:val="33E60D3E"/>
    <w:rsid w:val="33F9355C"/>
    <w:rsid w:val="343B01DB"/>
    <w:rsid w:val="34583ED8"/>
    <w:rsid w:val="34675563"/>
    <w:rsid w:val="348222AE"/>
    <w:rsid w:val="348E0ECD"/>
    <w:rsid w:val="34A94EDC"/>
    <w:rsid w:val="34BF2BBB"/>
    <w:rsid w:val="34C71A6F"/>
    <w:rsid w:val="34C7245F"/>
    <w:rsid w:val="34CD660B"/>
    <w:rsid w:val="34CF0009"/>
    <w:rsid w:val="34D606AD"/>
    <w:rsid w:val="34E6283D"/>
    <w:rsid w:val="34EE34A0"/>
    <w:rsid w:val="35044A71"/>
    <w:rsid w:val="35066003"/>
    <w:rsid w:val="35082926"/>
    <w:rsid w:val="351153E0"/>
    <w:rsid w:val="351E2050"/>
    <w:rsid w:val="352260F8"/>
    <w:rsid w:val="35237212"/>
    <w:rsid w:val="354C454A"/>
    <w:rsid w:val="35507CB7"/>
    <w:rsid w:val="3555718B"/>
    <w:rsid w:val="35583F98"/>
    <w:rsid w:val="3575596F"/>
    <w:rsid w:val="357736EF"/>
    <w:rsid w:val="358B7AFD"/>
    <w:rsid w:val="359C2EFC"/>
    <w:rsid w:val="35AE2C2F"/>
    <w:rsid w:val="35B3528C"/>
    <w:rsid w:val="35B450D6"/>
    <w:rsid w:val="35BD0727"/>
    <w:rsid w:val="35CE5B68"/>
    <w:rsid w:val="35DF4502"/>
    <w:rsid w:val="35E13004"/>
    <w:rsid w:val="36251782"/>
    <w:rsid w:val="363650FE"/>
    <w:rsid w:val="363B39B8"/>
    <w:rsid w:val="36401AD9"/>
    <w:rsid w:val="36533142"/>
    <w:rsid w:val="3676199F"/>
    <w:rsid w:val="367E0853"/>
    <w:rsid w:val="367E2138"/>
    <w:rsid w:val="36946F76"/>
    <w:rsid w:val="369F2539"/>
    <w:rsid w:val="36A864C7"/>
    <w:rsid w:val="36AE1B85"/>
    <w:rsid w:val="36CC4D48"/>
    <w:rsid w:val="36E7289C"/>
    <w:rsid w:val="36F53FA9"/>
    <w:rsid w:val="372E1214"/>
    <w:rsid w:val="37320B19"/>
    <w:rsid w:val="37377380"/>
    <w:rsid w:val="3739240F"/>
    <w:rsid w:val="376E04D2"/>
    <w:rsid w:val="37781A80"/>
    <w:rsid w:val="377D0B0B"/>
    <w:rsid w:val="37B93AC1"/>
    <w:rsid w:val="37C404E8"/>
    <w:rsid w:val="37DB423A"/>
    <w:rsid w:val="37E41D69"/>
    <w:rsid w:val="37F05781"/>
    <w:rsid w:val="3806171D"/>
    <w:rsid w:val="383340DB"/>
    <w:rsid w:val="3838681B"/>
    <w:rsid w:val="38471845"/>
    <w:rsid w:val="38920DEB"/>
    <w:rsid w:val="389D0CDF"/>
    <w:rsid w:val="38A677F3"/>
    <w:rsid w:val="38C10B8F"/>
    <w:rsid w:val="38D12155"/>
    <w:rsid w:val="38D43D3D"/>
    <w:rsid w:val="38DF261E"/>
    <w:rsid w:val="38F52C52"/>
    <w:rsid w:val="391D37EA"/>
    <w:rsid w:val="3929092F"/>
    <w:rsid w:val="393D3264"/>
    <w:rsid w:val="394B3786"/>
    <w:rsid w:val="394E09B1"/>
    <w:rsid w:val="397D6C5D"/>
    <w:rsid w:val="397F500E"/>
    <w:rsid w:val="397F651D"/>
    <w:rsid w:val="399F51B0"/>
    <w:rsid w:val="39A22AAB"/>
    <w:rsid w:val="39A237EA"/>
    <w:rsid w:val="39B527AA"/>
    <w:rsid w:val="39BD3093"/>
    <w:rsid w:val="39C23EF3"/>
    <w:rsid w:val="39D23390"/>
    <w:rsid w:val="39DB0ED3"/>
    <w:rsid w:val="39E22A5C"/>
    <w:rsid w:val="39F6369D"/>
    <w:rsid w:val="3A0C4978"/>
    <w:rsid w:val="3A1B0767"/>
    <w:rsid w:val="3A4E1EF6"/>
    <w:rsid w:val="3A5A20CF"/>
    <w:rsid w:val="3A65164A"/>
    <w:rsid w:val="3A687850"/>
    <w:rsid w:val="3A712BA9"/>
    <w:rsid w:val="3A7417E1"/>
    <w:rsid w:val="3A905C8A"/>
    <w:rsid w:val="3AB40624"/>
    <w:rsid w:val="3AC727C9"/>
    <w:rsid w:val="3AC87CF7"/>
    <w:rsid w:val="3AD925A5"/>
    <w:rsid w:val="3ADE08B4"/>
    <w:rsid w:val="3AEC66D3"/>
    <w:rsid w:val="3AED318F"/>
    <w:rsid w:val="3AFC0CAA"/>
    <w:rsid w:val="3AFD61EB"/>
    <w:rsid w:val="3B027CA5"/>
    <w:rsid w:val="3B0F5846"/>
    <w:rsid w:val="3B274878"/>
    <w:rsid w:val="3B5E36C8"/>
    <w:rsid w:val="3B612FE9"/>
    <w:rsid w:val="3B646E83"/>
    <w:rsid w:val="3B6F08F3"/>
    <w:rsid w:val="3B8461BF"/>
    <w:rsid w:val="3B8E32E7"/>
    <w:rsid w:val="3BB52F69"/>
    <w:rsid w:val="3BC545FB"/>
    <w:rsid w:val="3BCB6780"/>
    <w:rsid w:val="3BCB7708"/>
    <w:rsid w:val="3BDC363C"/>
    <w:rsid w:val="3BE15EB6"/>
    <w:rsid w:val="3BE23632"/>
    <w:rsid w:val="3BF754F1"/>
    <w:rsid w:val="3BF768BF"/>
    <w:rsid w:val="3C090537"/>
    <w:rsid w:val="3C0F609D"/>
    <w:rsid w:val="3C2E403A"/>
    <w:rsid w:val="3C37572C"/>
    <w:rsid w:val="3C3F6CE9"/>
    <w:rsid w:val="3C4D31A2"/>
    <w:rsid w:val="3C5B60FB"/>
    <w:rsid w:val="3C6127A9"/>
    <w:rsid w:val="3C74454B"/>
    <w:rsid w:val="3C76158A"/>
    <w:rsid w:val="3C7C5835"/>
    <w:rsid w:val="3C8539D8"/>
    <w:rsid w:val="3C9C48E4"/>
    <w:rsid w:val="3CBC20D5"/>
    <w:rsid w:val="3CDC46B9"/>
    <w:rsid w:val="3CE21B3C"/>
    <w:rsid w:val="3CE60F00"/>
    <w:rsid w:val="3CE8111C"/>
    <w:rsid w:val="3CF61143"/>
    <w:rsid w:val="3D103642"/>
    <w:rsid w:val="3D251C58"/>
    <w:rsid w:val="3D271042"/>
    <w:rsid w:val="3D2F2C1F"/>
    <w:rsid w:val="3D583BAC"/>
    <w:rsid w:val="3D65276D"/>
    <w:rsid w:val="3D711112"/>
    <w:rsid w:val="3D717CBF"/>
    <w:rsid w:val="3D8175A7"/>
    <w:rsid w:val="3D8D719C"/>
    <w:rsid w:val="3D902001"/>
    <w:rsid w:val="3DB22008"/>
    <w:rsid w:val="3DC2201D"/>
    <w:rsid w:val="3DC96858"/>
    <w:rsid w:val="3DD524BB"/>
    <w:rsid w:val="3DD53474"/>
    <w:rsid w:val="3DFA4C63"/>
    <w:rsid w:val="3E081A5E"/>
    <w:rsid w:val="3E0C2BE9"/>
    <w:rsid w:val="3E194F1D"/>
    <w:rsid w:val="3E2D703D"/>
    <w:rsid w:val="3E4C5F02"/>
    <w:rsid w:val="3E526C64"/>
    <w:rsid w:val="3E6914BF"/>
    <w:rsid w:val="3E807EF2"/>
    <w:rsid w:val="3E8166DB"/>
    <w:rsid w:val="3E883AD5"/>
    <w:rsid w:val="3EAD09AE"/>
    <w:rsid w:val="3EB70DA6"/>
    <w:rsid w:val="3EBD2871"/>
    <w:rsid w:val="3EC55271"/>
    <w:rsid w:val="3ECC6D7D"/>
    <w:rsid w:val="3ED302DB"/>
    <w:rsid w:val="3EF643A5"/>
    <w:rsid w:val="3F0454FB"/>
    <w:rsid w:val="3F2226C4"/>
    <w:rsid w:val="3F487C50"/>
    <w:rsid w:val="3F5B39A5"/>
    <w:rsid w:val="3F6C1654"/>
    <w:rsid w:val="3F7315F1"/>
    <w:rsid w:val="3F870691"/>
    <w:rsid w:val="3F8C6BD7"/>
    <w:rsid w:val="3F982C48"/>
    <w:rsid w:val="3FE66005"/>
    <w:rsid w:val="3FF5666B"/>
    <w:rsid w:val="40153FD6"/>
    <w:rsid w:val="4027633C"/>
    <w:rsid w:val="402A528B"/>
    <w:rsid w:val="4030282F"/>
    <w:rsid w:val="403E4E33"/>
    <w:rsid w:val="405A16B1"/>
    <w:rsid w:val="406017DE"/>
    <w:rsid w:val="4061721C"/>
    <w:rsid w:val="40704361"/>
    <w:rsid w:val="409018AF"/>
    <w:rsid w:val="40905D53"/>
    <w:rsid w:val="409A17EE"/>
    <w:rsid w:val="409C3C83"/>
    <w:rsid w:val="40A05997"/>
    <w:rsid w:val="40A4535A"/>
    <w:rsid w:val="40AA67DA"/>
    <w:rsid w:val="40AB477C"/>
    <w:rsid w:val="40B40C18"/>
    <w:rsid w:val="40C50268"/>
    <w:rsid w:val="40C55F22"/>
    <w:rsid w:val="40F46D4D"/>
    <w:rsid w:val="41040AA3"/>
    <w:rsid w:val="411822DB"/>
    <w:rsid w:val="411A4C6D"/>
    <w:rsid w:val="411E32F9"/>
    <w:rsid w:val="4121045B"/>
    <w:rsid w:val="41381EE1"/>
    <w:rsid w:val="413B7632"/>
    <w:rsid w:val="415009F1"/>
    <w:rsid w:val="415B1EBD"/>
    <w:rsid w:val="41631CCB"/>
    <w:rsid w:val="416C40CA"/>
    <w:rsid w:val="41850CE8"/>
    <w:rsid w:val="41896B25"/>
    <w:rsid w:val="41964F53"/>
    <w:rsid w:val="41AD2E46"/>
    <w:rsid w:val="41B034B4"/>
    <w:rsid w:val="41B07C95"/>
    <w:rsid w:val="41BA6D71"/>
    <w:rsid w:val="41D23D44"/>
    <w:rsid w:val="41EC71F4"/>
    <w:rsid w:val="41FB544E"/>
    <w:rsid w:val="41FF6765"/>
    <w:rsid w:val="42224789"/>
    <w:rsid w:val="422E6094"/>
    <w:rsid w:val="4259518B"/>
    <w:rsid w:val="425A02DC"/>
    <w:rsid w:val="42614D21"/>
    <w:rsid w:val="426C648E"/>
    <w:rsid w:val="42713E15"/>
    <w:rsid w:val="42765202"/>
    <w:rsid w:val="427E4870"/>
    <w:rsid w:val="429C54A7"/>
    <w:rsid w:val="42A45AE6"/>
    <w:rsid w:val="42AD52B2"/>
    <w:rsid w:val="42BA2152"/>
    <w:rsid w:val="42C45840"/>
    <w:rsid w:val="42C52901"/>
    <w:rsid w:val="42CD0A84"/>
    <w:rsid w:val="42CD0A98"/>
    <w:rsid w:val="42D24401"/>
    <w:rsid w:val="42DE2DA6"/>
    <w:rsid w:val="42E20147"/>
    <w:rsid w:val="42E45EE2"/>
    <w:rsid w:val="42F70A1A"/>
    <w:rsid w:val="42FE546C"/>
    <w:rsid w:val="42FE6FA4"/>
    <w:rsid w:val="431A0C09"/>
    <w:rsid w:val="431D42DB"/>
    <w:rsid w:val="43200B63"/>
    <w:rsid w:val="434B10DD"/>
    <w:rsid w:val="43564C46"/>
    <w:rsid w:val="435766B4"/>
    <w:rsid w:val="435E3EE6"/>
    <w:rsid w:val="43664B49"/>
    <w:rsid w:val="437B6846"/>
    <w:rsid w:val="43866F99"/>
    <w:rsid w:val="43972B4E"/>
    <w:rsid w:val="439C4085"/>
    <w:rsid w:val="43AF1E3B"/>
    <w:rsid w:val="43BC29BB"/>
    <w:rsid w:val="43C20EE5"/>
    <w:rsid w:val="43CB70DF"/>
    <w:rsid w:val="43D71252"/>
    <w:rsid w:val="43F51F63"/>
    <w:rsid w:val="43FF1225"/>
    <w:rsid w:val="440D5ADD"/>
    <w:rsid w:val="44293EF0"/>
    <w:rsid w:val="44386FE9"/>
    <w:rsid w:val="44407014"/>
    <w:rsid w:val="44417B79"/>
    <w:rsid w:val="445A15E0"/>
    <w:rsid w:val="445A7389"/>
    <w:rsid w:val="44600C6D"/>
    <w:rsid w:val="446D195D"/>
    <w:rsid w:val="4496580A"/>
    <w:rsid w:val="449A2CFC"/>
    <w:rsid w:val="44A21FE4"/>
    <w:rsid w:val="44A26055"/>
    <w:rsid w:val="44BB002C"/>
    <w:rsid w:val="44C85ABB"/>
    <w:rsid w:val="44CC5B5F"/>
    <w:rsid w:val="44CE67B3"/>
    <w:rsid w:val="44CF26DE"/>
    <w:rsid w:val="44D51F86"/>
    <w:rsid w:val="44F87A23"/>
    <w:rsid w:val="44FE14DD"/>
    <w:rsid w:val="4504422D"/>
    <w:rsid w:val="45050F2E"/>
    <w:rsid w:val="452B604A"/>
    <w:rsid w:val="455C26A8"/>
    <w:rsid w:val="4568104C"/>
    <w:rsid w:val="456A130B"/>
    <w:rsid w:val="456F19FF"/>
    <w:rsid w:val="45797BD8"/>
    <w:rsid w:val="45863281"/>
    <w:rsid w:val="458B32B0"/>
    <w:rsid w:val="4595637A"/>
    <w:rsid w:val="45BA19C0"/>
    <w:rsid w:val="45E6315E"/>
    <w:rsid w:val="45EE1552"/>
    <w:rsid w:val="460F7A06"/>
    <w:rsid w:val="46137F37"/>
    <w:rsid w:val="4618037D"/>
    <w:rsid w:val="461B197A"/>
    <w:rsid w:val="462C6C72"/>
    <w:rsid w:val="46373D9E"/>
    <w:rsid w:val="464838C9"/>
    <w:rsid w:val="46676C0A"/>
    <w:rsid w:val="4669507C"/>
    <w:rsid w:val="46713F31"/>
    <w:rsid w:val="467C29DA"/>
    <w:rsid w:val="46810644"/>
    <w:rsid w:val="468C64C8"/>
    <w:rsid w:val="468E063F"/>
    <w:rsid w:val="469056A9"/>
    <w:rsid w:val="469556B5"/>
    <w:rsid w:val="469764F5"/>
    <w:rsid w:val="46A269DC"/>
    <w:rsid w:val="46B32782"/>
    <w:rsid w:val="46BA4297"/>
    <w:rsid w:val="46BD694C"/>
    <w:rsid w:val="46BF6A4A"/>
    <w:rsid w:val="46E22739"/>
    <w:rsid w:val="46E41891"/>
    <w:rsid w:val="46E80E3D"/>
    <w:rsid w:val="470D3C59"/>
    <w:rsid w:val="4732546E"/>
    <w:rsid w:val="473476B5"/>
    <w:rsid w:val="47411F4D"/>
    <w:rsid w:val="4741387D"/>
    <w:rsid w:val="47523D62"/>
    <w:rsid w:val="47635580"/>
    <w:rsid w:val="477916A5"/>
    <w:rsid w:val="477E4B57"/>
    <w:rsid w:val="47956E7B"/>
    <w:rsid w:val="47AE2C97"/>
    <w:rsid w:val="47B441D8"/>
    <w:rsid w:val="47C167F2"/>
    <w:rsid w:val="47C22C96"/>
    <w:rsid w:val="47D64774"/>
    <w:rsid w:val="47E80223"/>
    <w:rsid w:val="47FF34B8"/>
    <w:rsid w:val="480E2158"/>
    <w:rsid w:val="48334A7D"/>
    <w:rsid w:val="48480DBD"/>
    <w:rsid w:val="484C60BA"/>
    <w:rsid w:val="48511C73"/>
    <w:rsid w:val="48617B98"/>
    <w:rsid w:val="48641A97"/>
    <w:rsid w:val="487A07B5"/>
    <w:rsid w:val="488B752C"/>
    <w:rsid w:val="48A61241"/>
    <w:rsid w:val="48A86C1C"/>
    <w:rsid w:val="48B110C3"/>
    <w:rsid w:val="48B13CBF"/>
    <w:rsid w:val="48C22F6B"/>
    <w:rsid w:val="48C93BB0"/>
    <w:rsid w:val="48DF421C"/>
    <w:rsid w:val="48EB2DF2"/>
    <w:rsid w:val="48F54560"/>
    <w:rsid w:val="4922246A"/>
    <w:rsid w:val="493F0316"/>
    <w:rsid w:val="493F1574"/>
    <w:rsid w:val="495609E8"/>
    <w:rsid w:val="49652B1B"/>
    <w:rsid w:val="496951F5"/>
    <w:rsid w:val="49AA41B6"/>
    <w:rsid w:val="49B02498"/>
    <w:rsid w:val="49B33C60"/>
    <w:rsid w:val="49B52386"/>
    <w:rsid w:val="49E05308"/>
    <w:rsid w:val="49FE1F7F"/>
    <w:rsid w:val="49FE3FB0"/>
    <w:rsid w:val="4A233794"/>
    <w:rsid w:val="4A3605A8"/>
    <w:rsid w:val="4A361719"/>
    <w:rsid w:val="4A3B451C"/>
    <w:rsid w:val="4A437992"/>
    <w:rsid w:val="4A4756D4"/>
    <w:rsid w:val="4A653DAC"/>
    <w:rsid w:val="4A815643"/>
    <w:rsid w:val="4A8B6AF7"/>
    <w:rsid w:val="4A8D6F5A"/>
    <w:rsid w:val="4ABB0A02"/>
    <w:rsid w:val="4ABD6801"/>
    <w:rsid w:val="4AC4398B"/>
    <w:rsid w:val="4ACC5DAF"/>
    <w:rsid w:val="4ADC2719"/>
    <w:rsid w:val="4AEB42B2"/>
    <w:rsid w:val="4AEC002A"/>
    <w:rsid w:val="4AF0758A"/>
    <w:rsid w:val="4B007A08"/>
    <w:rsid w:val="4B0836CE"/>
    <w:rsid w:val="4B0E61F2"/>
    <w:rsid w:val="4B1A0735"/>
    <w:rsid w:val="4B2A660D"/>
    <w:rsid w:val="4B362460"/>
    <w:rsid w:val="4B580267"/>
    <w:rsid w:val="4B65373A"/>
    <w:rsid w:val="4B796D9B"/>
    <w:rsid w:val="4B9045BF"/>
    <w:rsid w:val="4BA84E1A"/>
    <w:rsid w:val="4BD016F9"/>
    <w:rsid w:val="4BD612C1"/>
    <w:rsid w:val="4BE86A43"/>
    <w:rsid w:val="4BFC701B"/>
    <w:rsid w:val="4C013661"/>
    <w:rsid w:val="4C022DB6"/>
    <w:rsid w:val="4C106ED4"/>
    <w:rsid w:val="4C2061DD"/>
    <w:rsid w:val="4C3862DD"/>
    <w:rsid w:val="4C4D6F48"/>
    <w:rsid w:val="4C5347AB"/>
    <w:rsid w:val="4C5D6A3D"/>
    <w:rsid w:val="4C6F3921"/>
    <w:rsid w:val="4C71080A"/>
    <w:rsid w:val="4C7E1178"/>
    <w:rsid w:val="4CC6459A"/>
    <w:rsid w:val="4CD944C9"/>
    <w:rsid w:val="4CF257EA"/>
    <w:rsid w:val="4D00163A"/>
    <w:rsid w:val="4D0616EF"/>
    <w:rsid w:val="4D0C6B88"/>
    <w:rsid w:val="4D1B3425"/>
    <w:rsid w:val="4D3006A2"/>
    <w:rsid w:val="4D40647A"/>
    <w:rsid w:val="4D461C73"/>
    <w:rsid w:val="4D464B6B"/>
    <w:rsid w:val="4D632FFB"/>
    <w:rsid w:val="4D695962"/>
    <w:rsid w:val="4D6B4B5C"/>
    <w:rsid w:val="4D6F1F52"/>
    <w:rsid w:val="4D814A59"/>
    <w:rsid w:val="4DA22C22"/>
    <w:rsid w:val="4DCA75CA"/>
    <w:rsid w:val="4DD97D0D"/>
    <w:rsid w:val="4DDB33BE"/>
    <w:rsid w:val="4DDF5C24"/>
    <w:rsid w:val="4DE419DD"/>
    <w:rsid w:val="4DE671A0"/>
    <w:rsid w:val="4E0302C9"/>
    <w:rsid w:val="4E045FDF"/>
    <w:rsid w:val="4E151645"/>
    <w:rsid w:val="4E173610"/>
    <w:rsid w:val="4E355844"/>
    <w:rsid w:val="4E486D40"/>
    <w:rsid w:val="4E6F51FA"/>
    <w:rsid w:val="4E7A17A5"/>
    <w:rsid w:val="4E7B76FB"/>
    <w:rsid w:val="4E8202ED"/>
    <w:rsid w:val="4E8A004E"/>
    <w:rsid w:val="4E8F13F8"/>
    <w:rsid w:val="4E924C46"/>
    <w:rsid w:val="4E9A591B"/>
    <w:rsid w:val="4EEC693C"/>
    <w:rsid w:val="4EFF402A"/>
    <w:rsid w:val="4F030514"/>
    <w:rsid w:val="4F0F5BE3"/>
    <w:rsid w:val="4F2032FB"/>
    <w:rsid w:val="4F353655"/>
    <w:rsid w:val="4F386F3E"/>
    <w:rsid w:val="4F3D2BD9"/>
    <w:rsid w:val="4F4425D5"/>
    <w:rsid w:val="4F6E5B9F"/>
    <w:rsid w:val="4F8534D4"/>
    <w:rsid w:val="4F8545A9"/>
    <w:rsid w:val="4F8C3149"/>
    <w:rsid w:val="4F9B0E06"/>
    <w:rsid w:val="4F9D18F3"/>
    <w:rsid w:val="4FA34B34"/>
    <w:rsid w:val="4FB54225"/>
    <w:rsid w:val="4FDF7BD6"/>
    <w:rsid w:val="4FF44BAF"/>
    <w:rsid w:val="4FFB2837"/>
    <w:rsid w:val="50184C79"/>
    <w:rsid w:val="501A0CDD"/>
    <w:rsid w:val="50262A74"/>
    <w:rsid w:val="503009B9"/>
    <w:rsid w:val="5046440F"/>
    <w:rsid w:val="504F0E3F"/>
    <w:rsid w:val="505C355C"/>
    <w:rsid w:val="506B5FA9"/>
    <w:rsid w:val="50940112"/>
    <w:rsid w:val="509507D9"/>
    <w:rsid w:val="509F6E67"/>
    <w:rsid w:val="50A32F39"/>
    <w:rsid w:val="50B12FCF"/>
    <w:rsid w:val="50C10DAC"/>
    <w:rsid w:val="50EE7CD8"/>
    <w:rsid w:val="50F41D56"/>
    <w:rsid w:val="51022355"/>
    <w:rsid w:val="510C561F"/>
    <w:rsid w:val="51181B78"/>
    <w:rsid w:val="511E615A"/>
    <w:rsid w:val="512B0E01"/>
    <w:rsid w:val="51493AE0"/>
    <w:rsid w:val="515360B3"/>
    <w:rsid w:val="515E50B1"/>
    <w:rsid w:val="51676ACA"/>
    <w:rsid w:val="516A65BF"/>
    <w:rsid w:val="518C7E71"/>
    <w:rsid w:val="51927C6D"/>
    <w:rsid w:val="519554EB"/>
    <w:rsid w:val="51BB48D4"/>
    <w:rsid w:val="51CC7EA0"/>
    <w:rsid w:val="51EE28D9"/>
    <w:rsid w:val="51F83758"/>
    <w:rsid w:val="52003AB8"/>
    <w:rsid w:val="520077DE"/>
    <w:rsid w:val="52057A3C"/>
    <w:rsid w:val="522712D1"/>
    <w:rsid w:val="52422029"/>
    <w:rsid w:val="52426781"/>
    <w:rsid w:val="5246001F"/>
    <w:rsid w:val="52584F1D"/>
    <w:rsid w:val="52650A3E"/>
    <w:rsid w:val="52734B8D"/>
    <w:rsid w:val="52784713"/>
    <w:rsid w:val="527A416D"/>
    <w:rsid w:val="5284290A"/>
    <w:rsid w:val="52884ADC"/>
    <w:rsid w:val="529C0587"/>
    <w:rsid w:val="529E42FF"/>
    <w:rsid w:val="52A12C66"/>
    <w:rsid w:val="52BC4786"/>
    <w:rsid w:val="52D937BD"/>
    <w:rsid w:val="52F047D2"/>
    <w:rsid w:val="52F73609"/>
    <w:rsid w:val="52FD006A"/>
    <w:rsid w:val="53132A54"/>
    <w:rsid w:val="531B4AE6"/>
    <w:rsid w:val="531D0A50"/>
    <w:rsid w:val="5323355B"/>
    <w:rsid w:val="532F31A9"/>
    <w:rsid w:val="5333477F"/>
    <w:rsid w:val="53513EE3"/>
    <w:rsid w:val="53672943"/>
    <w:rsid w:val="536C7562"/>
    <w:rsid w:val="536F17F8"/>
    <w:rsid w:val="53930F3C"/>
    <w:rsid w:val="539712FA"/>
    <w:rsid w:val="539A4AC7"/>
    <w:rsid w:val="539B083F"/>
    <w:rsid w:val="539D45B7"/>
    <w:rsid w:val="53BD48B2"/>
    <w:rsid w:val="53D80F2A"/>
    <w:rsid w:val="53D941A3"/>
    <w:rsid w:val="53F80214"/>
    <w:rsid w:val="53FF2B7C"/>
    <w:rsid w:val="540168F4"/>
    <w:rsid w:val="54063F0A"/>
    <w:rsid w:val="540C5299"/>
    <w:rsid w:val="541E2C15"/>
    <w:rsid w:val="54280486"/>
    <w:rsid w:val="5435782D"/>
    <w:rsid w:val="54372AB5"/>
    <w:rsid w:val="54400B9A"/>
    <w:rsid w:val="544B21FC"/>
    <w:rsid w:val="5453233C"/>
    <w:rsid w:val="545F7ABE"/>
    <w:rsid w:val="546B6463"/>
    <w:rsid w:val="549239F0"/>
    <w:rsid w:val="54930741"/>
    <w:rsid w:val="549D3040"/>
    <w:rsid w:val="54AB5A3B"/>
    <w:rsid w:val="54BC0A6D"/>
    <w:rsid w:val="54D758DC"/>
    <w:rsid w:val="54E22DEA"/>
    <w:rsid w:val="54E57FC4"/>
    <w:rsid w:val="54EB4EAE"/>
    <w:rsid w:val="54FA095E"/>
    <w:rsid w:val="55040901"/>
    <w:rsid w:val="55161546"/>
    <w:rsid w:val="55264138"/>
    <w:rsid w:val="557E3F74"/>
    <w:rsid w:val="5591141A"/>
    <w:rsid w:val="559A27AA"/>
    <w:rsid w:val="559F7E7D"/>
    <w:rsid w:val="55AF3397"/>
    <w:rsid w:val="55B56982"/>
    <w:rsid w:val="55B72B09"/>
    <w:rsid w:val="55B74101"/>
    <w:rsid w:val="55CD539B"/>
    <w:rsid w:val="55F04E72"/>
    <w:rsid w:val="56063E55"/>
    <w:rsid w:val="561D4162"/>
    <w:rsid w:val="562D159C"/>
    <w:rsid w:val="562D351C"/>
    <w:rsid w:val="565E78A2"/>
    <w:rsid w:val="56775DA9"/>
    <w:rsid w:val="5696091C"/>
    <w:rsid w:val="569752EE"/>
    <w:rsid w:val="56DE395A"/>
    <w:rsid w:val="56DF05DE"/>
    <w:rsid w:val="56E60023"/>
    <w:rsid w:val="56F04E7B"/>
    <w:rsid w:val="56F12EA9"/>
    <w:rsid w:val="56F253F0"/>
    <w:rsid w:val="56F70118"/>
    <w:rsid w:val="57041F6D"/>
    <w:rsid w:val="570507AE"/>
    <w:rsid w:val="57234DD3"/>
    <w:rsid w:val="5730129E"/>
    <w:rsid w:val="57342729"/>
    <w:rsid w:val="573D2E15"/>
    <w:rsid w:val="574843AE"/>
    <w:rsid w:val="57703F90"/>
    <w:rsid w:val="578707D4"/>
    <w:rsid w:val="57A96F0D"/>
    <w:rsid w:val="57AC5FE6"/>
    <w:rsid w:val="57DE0D23"/>
    <w:rsid w:val="57F05B64"/>
    <w:rsid w:val="57F23498"/>
    <w:rsid w:val="57F347A6"/>
    <w:rsid w:val="57FC6189"/>
    <w:rsid w:val="58137926"/>
    <w:rsid w:val="581A4428"/>
    <w:rsid w:val="58245546"/>
    <w:rsid w:val="582F26A6"/>
    <w:rsid w:val="58316C07"/>
    <w:rsid w:val="583F03D5"/>
    <w:rsid w:val="58421B0A"/>
    <w:rsid w:val="5853068D"/>
    <w:rsid w:val="586E207E"/>
    <w:rsid w:val="587B1D88"/>
    <w:rsid w:val="588B0E82"/>
    <w:rsid w:val="588C4ECA"/>
    <w:rsid w:val="58F307D5"/>
    <w:rsid w:val="58F9403E"/>
    <w:rsid w:val="59047963"/>
    <w:rsid w:val="590D1600"/>
    <w:rsid w:val="59254E33"/>
    <w:rsid w:val="593F3A1A"/>
    <w:rsid w:val="59433BCE"/>
    <w:rsid w:val="59462FFB"/>
    <w:rsid w:val="59476D0F"/>
    <w:rsid w:val="594F29F4"/>
    <w:rsid w:val="596671F9"/>
    <w:rsid w:val="59675E4B"/>
    <w:rsid w:val="596811C3"/>
    <w:rsid w:val="596F5A35"/>
    <w:rsid w:val="59746952"/>
    <w:rsid w:val="59784F85"/>
    <w:rsid w:val="599B30DC"/>
    <w:rsid w:val="59A57D21"/>
    <w:rsid w:val="59AC0C08"/>
    <w:rsid w:val="59B60181"/>
    <w:rsid w:val="59C16C5B"/>
    <w:rsid w:val="59C86B3A"/>
    <w:rsid w:val="59D27ABB"/>
    <w:rsid w:val="59D61BA3"/>
    <w:rsid w:val="59D979CB"/>
    <w:rsid w:val="59E14FC6"/>
    <w:rsid w:val="59E940B2"/>
    <w:rsid w:val="5A094754"/>
    <w:rsid w:val="5A0F7C61"/>
    <w:rsid w:val="5A1702BB"/>
    <w:rsid w:val="5A183594"/>
    <w:rsid w:val="5A2041E5"/>
    <w:rsid w:val="5A273691"/>
    <w:rsid w:val="5A3C0647"/>
    <w:rsid w:val="5A3D301B"/>
    <w:rsid w:val="5A45049F"/>
    <w:rsid w:val="5A4934B6"/>
    <w:rsid w:val="5A5233BE"/>
    <w:rsid w:val="5A5D54D2"/>
    <w:rsid w:val="5A766C6C"/>
    <w:rsid w:val="5A8D2322"/>
    <w:rsid w:val="5A9757E2"/>
    <w:rsid w:val="5AAB75B9"/>
    <w:rsid w:val="5ABF6477"/>
    <w:rsid w:val="5AC431FB"/>
    <w:rsid w:val="5ACE14FA"/>
    <w:rsid w:val="5ADF3707"/>
    <w:rsid w:val="5B0F5966"/>
    <w:rsid w:val="5B16597E"/>
    <w:rsid w:val="5B3136D2"/>
    <w:rsid w:val="5B314EF5"/>
    <w:rsid w:val="5B394BC5"/>
    <w:rsid w:val="5B3F56E9"/>
    <w:rsid w:val="5B4517BC"/>
    <w:rsid w:val="5B4F1401"/>
    <w:rsid w:val="5B513352"/>
    <w:rsid w:val="5B56702F"/>
    <w:rsid w:val="5B5711A3"/>
    <w:rsid w:val="5B597E09"/>
    <w:rsid w:val="5B600CF8"/>
    <w:rsid w:val="5B784E68"/>
    <w:rsid w:val="5B834581"/>
    <w:rsid w:val="5BA504AD"/>
    <w:rsid w:val="5BFB3A80"/>
    <w:rsid w:val="5C0B1E98"/>
    <w:rsid w:val="5C0E2BD2"/>
    <w:rsid w:val="5C1D0043"/>
    <w:rsid w:val="5C213FDB"/>
    <w:rsid w:val="5C2A2760"/>
    <w:rsid w:val="5C311D40"/>
    <w:rsid w:val="5C6668C6"/>
    <w:rsid w:val="5C7D739C"/>
    <w:rsid w:val="5C814D6E"/>
    <w:rsid w:val="5C817227"/>
    <w:rsid w:val="5C8F65FA"/>
    <w:rsid w:val="5C9704CD"/>
    <w:rsid w:val="5C9A78E6"/>
    <w:rsid w:val="5CA43F8A"/>
    <w:rsid w:val="5CB07109"/>
    <w:rsid w:val="5CB37354"/>
    <w:rsid w:val="5CBA3DE7"/>
    <w:rsid w:val="5CBB4AA3"/>
    <w:rsid w:val="5CC002EA"/>
    <w:rsid w:val="5CC901CB"/>
    <w:rsid w:val="5CCB5CF1"/>
    <w:rsid w:val="5CD34BA6"/>
    <w:rsid w:val="5CE9035C"/>
    <w:rsid w:val="5CFA5452"/>
    <w:rsid w:val="5CFD63D8"/>
    <w:rsid w:val="5D26535D"/>
    <w:rsid w:val="5D320BE3"/>
    <w:rsid w:val="5D6C28C5"/>
    <w:rsid w:val="5DAD328C"/>
    <w:rsid w:val="5DCB2717"/>
    <w:rsid w:val="5DD20027"/>
    <w:rsid w:val="5DD859C9"/>
    <w:rsid w:val="5DDB01B6"/>
    <w:rsid w:val="5E364A48"/>
    <w:rsid w:val="5E3A7074"/>
    <w:rsid w:val="5E552D22"/>
    <w:rsid w:val="5E72566F"/>
    <w:rsid w:val="5E826BF9"/>
    <w:rsid w:val="5E8A5738"/>
    <w:rsid w:val="5E8D40F1"/>
    <w:rsid w:val="5E943E1E"/>
    <w:rsid w:val="5EAD20F2"/>
    <w:rsid w:val="5EAE38D8"/>
    <w:rsid w:val="5EBD78BB"/>
    <w:rsid w:val="5EC2745F"/>
    <w:rsid w:val="5EEE7770"/>
    <w:rsid w:val="5F073306"/>
    <w:rsid w:val="5F293A37"/>
    <w:rsid w:val="5F335DCF"/>
    <w:rsid w:val="5F363E6E"/>
    <w:rsid w:val="5F3B6A32"/>
    <w:rsid w:val="5F3F2515"/>
    <w:rsid w:val="5F4678B1"/>
    <w:rsid w:val="5F4920F1"/>
    <w:rsid w:val="5F4B0077"/>
    <w:rsid w:val="5F4D50E3"/>
    <w:rsid w:val="5F5F73B9"/>
    <w:rsid w:val="5F65707D"/>
    <w:rsid w:val="5FAA4B6F"/>
    <w:rsid w:val="5FB155C3"/>
    <w:rsid w:val="5FB35B53"/>
    <w:rsid w:val="5FB67688"/>
    <w:rsid w:val="5FC353A5"/>
    <w:rsid w:val="5FE80968"/>
    <w:rsid w:val="5FE8149A"/>
    <w:rsid w:val="601B2AEB"/>
    <w:rsid w:val="60242EDD"/>
    <w:rsid w:val="6024439E"/>
    <w:rsid w:val="603B0634"/>
    <w:rsid w:val="605320D3"/>
    <w:rsid w:val="605838ED"/>
    <w:rsid w:val="60787F3E"/>
    <w:rsid w:val="608579F9"/>
    <w:rsid w:val="609F3AD2"/>
    <w:rsid w:val="60DD7FB7"/>
    <w:rsid w:val="60E23609"/>
    <w:rsid w:val="60F60980"/>
    <w:rsid w:val="61083E89"/>
    <w:rsid w:val="61130F7B"/>
    <w:rsid w:val="6119108F"/>
    <w:rsid w:val="611D3E0F"/>
    <w:rsid w:val="612E684E"/>
    <w:rsid w:val="613B181F"/>
    <w:rsid w:val="614C769B"/>
    <w:rsid w:val="616214C7"/>
    <w:rsid w:val="61643B05"/>
    <w:rsid w:val="616D381B"/>
    <w:rsid w:val="61721C9C"/>
    <w:rsid w:val="61747702"/>
    <w:rsid w:val="617C38AC"/>
    <w:rsid w:val="617E67FE"/>
    <w:rsid w:val="61852FB7"/>
    <w:rsid w:val="61895FDA"/>
    <w:rsid w:val="61AB4083"/>
    <w:rsid w:val="61B04F6E"/>
    <w:rsid w:val="61C8671E"/>
    <w:rsid w:val="61F50BF2"/>
    <w:rsid w:val="61FB6655"/>
    <w:rsid w:val="62001846"/>
    <w:rsid w:val="62017F17"/>
    <w:rsid w:val="621E4B15"/>
    <w:rsid w:val="622456E7"/>
    <w:rsid w:val="62372BD2"/>
    <w:rsid w:val="623B74ED"/>
    <w:rsid w:val="623F0028"/>
    <w:rsid w:val="625E7616"/>
    <w:rsid w:val="6260097F"/>
    <w:rsid w:val="62816E52"/>
    <w:rsid w:val="6283706E"/>
    <w:rsid w:val="62967EC8"/>
    <w:rsid w:val="62A25746"/>
    <w:rsid w:val="62A56FE4"/>
    <w:rsid w:val="62C234F0"/>
    <w:rsid w:val="62CE701D"/>
    <w:rsid w:val="62D358FF"/>
    <w:rsid w:val="62DB0C58"/>
    <w:rsid w:val="62DD052C"/>
    <w:rsid w:val="62E25B42"/>
    <w:rsid w:val="62E75A03"/>
    <w:rsid w:val="62EA0E9B"/>
    <w:rsid w:val="62FB24CC"/>
    <w:rsid w:val="63071A4D"/>
    <w:rsid w:val="630930CF"/>
    <w:rsid w:val="630C2BBF"/>
    <w:rsid w:val="630F26B0"/>
    <w:rsid w:val="631C2CE9"/>
    <w:rsid w:val="633F11E7"/>
    <w:rsid w:val="63471E49"/>
    <w:rsid w:val="63500834"/>
    <w:rsid w:val="63546819"/>
    <w:rsid w:val="63612220"/>
    <w:rsid w:val="63715B8B"/>
    <w:rsid w:val="637B5C50"/>
    <w:rsid w:val="63953991"/>
    <w:rsid w:val="63AA3A46"/>
    <w:rsid w:val="63AF4246"/>
    <w:rsid w:val="63B50DB2"/>
    <w:rsid w:val="63BA6C0F"/>
    <w:rsid w:val="63BD2550"/>
    <w:rsid w:val="63C96D02"/>
    <w:rsid w:val="63DC5F56"/>
    <w:rsid w:val="63E219C0"/>
    <w:rsid w:val="63E23009"/>
    <w:rsid w:val="63EE01E7"/>
    <w:rsid w:val="63F35B2D"/>
    <w:rsid w:val="63F52D70"/>
    <w:rsid w:val="6401024A"/>
    <w:rsid w:val="640403C0"/>
    <w:rsid w:val="64326656"/>
    <w:rsid w:val="643710FC"/>
    <w:rsid w:val="64373FEB"/>
    <w:rsid w:val="6448098F"/>
    <w:rsid w:val="644A511E"/>
    <w:rsid w:val="64634A61"/>
    <w:rsid w:val="647153D0"/>
    <w:rsid w:val="64744EC0"/>
    <w:rsid w:val="64796354"/>
    <w:rsid w:val="64846D27"/>
    <w:rsid w:val="649F36B1"/>
    <w:rsid w:val="64A81D13"/>
    <w:rsid w:val="64CC2DA2"/>
    <w:rsid w:val="64D654C4"/>
    <w:rsid w:val="64DD378A"/>
    <w:rsid w:val="64E32187"/>
    <w:rsid w:val="64E87687"/>
    <w:rsid w:val="64ED07CF"/>
    <w:rsid w:val="650A1380"/>
    <w:rsid w:val="650B0F5A"/>
    <w:rsid w:val="65106E6A"/>
    <w:rsid w:val="65177A63"/>
    <w:rsid w:val="65183A9D"/>
    <w:rsid w:val="651A0231"/>
    <w:rsid w:val="652609C5"/>
    <w:rsid w:val="65491388"/>
    <w:rsid w:val="655748CB"/>
    <w:rsid w:val="656E7B61"/>
    <w:rsid w:val="658C1461"/>
    <w:rsid w:val="65A05841"/>
    <w:rsid w:val="65A55BDD"/>
    <w:rsid w:val="65B6655A"/>
    <w:rsid w:val="65B91F22"/>
    <w:rsid w:val="65BA7FB3"/>
    <w:rsid w:val="65BD073D"/>
    <w:rsid w:val="65F20792"/>
    <w:rsid w:val="65FD2C93"/>
    <w:rsid w:val="663A405A"/>
    <w:rsid w:val="66643978"/>
    <w:rsid w:val="666F2852"/>
    <w:rsid w:val="667271DD"/>
    <w:rsid w:val="667411A7"/>
    <w:rsid w:val="66790E41"/>
    <w:rsid w:val="667C153E"/>
    <w:rsid w:val="668C2375"/>
    <w:rsid w:val="669F1676"/>
    <w:rsid w:val="66A6557C"/>
    <w:rsid w:val="66A82BFF"/>
    <w:rsid w:val="66A85222"/>
    <w:rsid w:val="66B477F6"/>
    <w:rsid w:val="66D63B6E"/>
    <w:rsid w:val="66E15C82"/>
    <w:rsid w:val="66E87B5D"/>
    <w:rsid w:val="67074A02"/>
    <w:rsid w:val="670D44B4"/>
    <w:rsid w:val="67101041"/>
    <w:rsid w:val="67191E9B"/>
    <w:rsid w:val="67281F92"/>
    <w:rsid w:val="672C55DE"/>
    <w:rsid w:val="673369F2"/>
    <w:rsid w:val="674943E2"/>
    <w:rsid w:val="67512AF6"/>
    <w:rsid w:val="676D7A10"/>
    <w:rsid w:val="678905F2"/>
    <w:rsid w:val="67A41B04"/>
    <w:rsid w:val="67BB58B4"/>
    <w:rsid w:val="67C16124"/>
    <w:rsid w:val="67D77C40"/>
    <w:rsid w:val="67F61C90"/>
    <w:rsid w:val="68017CE4"/>
    <w:rsid w:val="68120C78"/>
    <w:rsid w:val="681A6810"/>
    <w:rsid w:val="683071D0"/>
    <w:rsid w:val="6838144E"/>
    <w:rsid w:val="683F7593"/>
    <w:rsid w:val="684D23D1"/>
    <w:rsid w:val="686C33FF"/>
    <w:rsid w:val="686D5C6A"/>
    <w:rsid w:val="687356EA"/>
    <w:rsid w:val="687B3A21"/>
    <w:rsid w:val="689063CF"/>
    <w:rsid w:val="68992F13"/>
    <w:rsid w:val="689E59DA"/>
    <w:rsid w:val="68AA7398"/>
    <w:rsid w:val="68B77EC1"/>
    <w:rsid w:val="68D4417F"/>
    <w:rsid w:val="68E85E7D"/>
    <w:rsid w:val="68FB38F6"/>
    <w:rsid w:val="69074555"/>
    <w:rsid w:val="69281841"/>
    <w:rsid w:val="69734775"/>
    <w:rsid w:val="69840B82"/>
    <w:rsid w:val="69884A52"/>
    <w:rsid w:val="69990F25"/>
    <w:rsid w:val="69AA4EE0"/>
    <w:rsid w:val="69DB4C7C"/>
    <w:rsid w:val="69F068FB"/>
    <w:rsid w:val="69F63767"/>
    <w:rsid w:val="6A000318"/>
    <w:rsid w:val="6A366774"/>
    <w:rsid w:val="6A3E3402"/>
    <w:rsid w:val="6A4614B1"/>
    <w:rsid w:val="6A484E25"/>
    <w:rsid w:val="6A555DAE"/>
    <w:rsid w:val="6A562711"/>
    <w:rsid w:val="6A9A5AB8"/>
    <w:rsid w:val="6AB801E2"/>
    <w:rsid w:val="6AC4570C"/>
    <w:rsid w:val="6ACC18F4"/>
    <w:rsid w:val="6AE12A31"/>
    <w:rsid w:val="6AED32A0"/>
    <w:rsid w:val="6AEF704E"/>
    <w:rsid w:val="6AF047CD"/>
    <w:rsid w:val="6AFC5A6E"/>
    <w:rsid w:val="6AFD2811"/>
    <w:rsid w:val="6B063110"/>
    <w:rsid w:val="6B160A7F"/>
    <w:rsid w:val="6B1C6E35"/>
    <w:rsid w:val="6B2F7D93"/>
    <w:rsid w:val="6B340F05"/>
    <w:rsid w:val="6B354EF8"/>
    <w:rsid w:val="6B4D12BC"/>
    <w:rsid w:val="6B5D6793"/>
    <w:rsid w:val="6B62298A"/>
    <w:rsid w:val="6B623CC4"/>
    <w:rsid w:val="6B680EFE"/>
    <w:rsid w:val="6B6F33E6"/>
    <w:rsid w:val="6B6F6C1F"/>
    <w:rsid w:val="6B93363B"/>
    <w:rsid w:val="6BA67487"/>
    <w:rsid w:val="6BB32772"/>
    <w:rsid w:val="6BBE51DA"/>
    <w:rsid w:val="6BCF16EA"/>
    <w:rsid w:val="6BD80588"/>
    <w:rsid w:val="6BF3491C"/>
    <w:rsid w:val="6BF54B38"/>
    <w:rsid w:val="6BF92949"/>
    <w:rsid w:val="6C132AF4"/>
    <w:rsid w:val="6C2C14E7"/>
    <w:rsid w:val="6C3306D2"/>
    <w:rsid w:val="6C3B5506"/>
    <w:rsid w:val="6C4E249B"/>
    <w:rsid w:val="6C543A21"/>
    <w:rsid w:val="6C5E25FF"/>
    <w:rsid w:val="6C6A66E2"/>
    <w:rsid w:val="6C735B50"/>
    <w:rsid w:val="6C9D2ADA"/>
    <w:rsid w:val="6CA45446"/>
    <w:rsid w:val="6CA976D1"/>
    <w:rsid w:val="6CAD6D0B"/>
    <w:rsid w:val="6CB417F8"/>
    <w:rsid w:val="6CB61B52"/>
    <w:rsid w:val="6CC4450B"/>
    <w:rsid w:val="6CC83FFB"/>
    <w:rsid w:val="6CC938CF"/>
    <w:rsid w:val="6CDE3F67"/>
    <w:rsid w:val="6CF2109E"/>
    <w:rsid w:val="6CFD1949"/>
    <w:rsid w:val="6D0C32BA"/>
    <w:rsid w:val="6D1927C4"/>
    <w:rsid w:val="6D294566"/>
    <w:rsid w:val="6D29520A"/>
    <w:rsid w:val="6D3163D6"/>
    <w:rsid w:val="6D447B9D"/>
    <w:rsid w:val="6D5165B8"/>
    <w:rsid w:val="6D5813ED"/>
    <w:rsid w:val="6D5E2269"/>
    <w:rsid w:val="6D6B4986"/>
    <w:rsid w:val="6D7579EB"/>
    <w:rsid w:val="6D7E660E"/>
    <w:rsid w:val="6D8C3C34"/>
    <w:rsid w:val="6D9C5E4A"/>
    <w:rsid w:val="6D9F452E"/>
    <w:rsid w:val="6DAA59E1"/>
    <w:rsid w:val="6DAE41D9"/>
    <w:rsid w:val="6DBC1754"/>
    <w:rsid w:val="6DC24EEE"/>
    <w:rsid w:val="6DD17D62"/>
    <w:rsid w:val="6DF26D1E"/>
    <w:rsid w:val="6DFA10E3"/>
    <w:rsid w:val="6DFC2164"/>
    <w:rsid w:val="6E032876"/>
    <w:rsid w:val="6E041063"/>
    <w:rsid w:val="6E0607D2"/>
    <w:rsid w:val="6E0A3A7A"/>
    <w:rsid w:val="6E13237E"/>
    <w:rsid w:val="6E290AC9"/>
    <w:rsid w:val="6E2F38EA"/>
    <w:rsid w:val="6E541F55"/>
    <w:rsid w:val="6E881C94"/>
    <w:rsid w:val="6E922E13"/>
    <w:rsid w:val="6E9B4D97"/>
    <w:rsid w:val="6EAF5B84"/>
    <w:rsid w:val="6EC234F4"/>
    <w:rsid w:val="6ED55E17"/>
    <w:rsid w:val="6ED950BD"/>
    <w:rsid w:val="6EF53B72"/>
    <w:rsid w:val="6EF80022"/>
    <w:rsid w:val="6F064E76"/>
    <w:rsid w:val="6F0917CE"/>
    <w:rsid w:val="6F154B2D"/>
    <w:rsid w:val="6F1A043A"/>
    <w:rsid w:val="6F26325B"/>
    <w:rsid w:val="6F3709D4"/>
    <w:rsid w:val="6F377906"/>
    <w:rsid w:val="6F40431D"/>
    <w:rsid w:val="6F78369C"/>
    <w:rsid w:val="6F822B79"/>
    <w:rsid w:val="6F97D24A"/>
    <w:rsid w:val="6F991C7F"/>
    <w:rsid w:val="6F9F1765"/>
    <w:rsid w:val="6FA5218B"/>
    <w:rsid w:val="6FA80114"/>
    <w:rsid w:val="6FB46AB9"/>
    <w:rsid w:val="6FBB1352"/>
    <w:rsid w:val="6FD159D2"/>
    <w:rsid w:val="6FD83846"/>
    <w:rsid w:val="6FEF1A29"/>
    <w:rsid w:val="6FF9096F"/>
    <w:rsid w:val="6FFA2E4B"/>
    <w:rsid w:val="700510C2"/>
    <w:rsid w:val="700A05C5"/>
    <w:rsid w:val="7012558D"/>
    <w:rsid w:val="70180DF5"/>
    <w:rsid w:val="70241B57"/>
    <w:rsid w:val="70251A96"/>
    <w:rsid w:val="70297111"/>
    <w:rsid w:val="70551E67"/>
    <w:rsid w:val="705F630C"/>
    <w:rsid w:val="70690614"/>
    <w:rsid w:val="70A51997"/>
    <w:rsid w:val="70B86AA7"/>
    <w:rsid w:val="70C50229"/>
    <w:rsid w:val="70DD00DC"/>
    <w:rsid w:val="70E67ED5"/>
    <w:rsid w:val="70EB02B8"/>
    <w:rsid w:val="70F13B89"/>
    <w:rsid w:val="70F80805"/>
    <w:rsid w:val="70FE448F"/>
    <w:rsid w:val="71167478"/>
    <w:rsid w:val="711C4915"/>
    <w:rsid w:val="711D130A"/>
    <w:rsid w:val="711D243B"/>
    <w:rsid w:val="711D50BB"/>
    <w:rsid w:val="7123011D"/>
    <w:rsid w:val="71237896"/>
    <w:rsid w:val="712A5284"/>
    <w:rsid w:val="71390D7C"/>
    <w:rsid w:val="71420031"/>
    <w:rsid w:val="71437E38"/>
    <w:rsid w:val="715660A1"/>
    <w:rsid w:val="715C7F8E"/>
    <w:rsid w:val="716A4668"/>
    <w:rsid w:val="71746807"/>
    <w:rsid w:val="717A6480"/>
    <w:rsid w:val="718B1D52"/>
    <w:rsid w:val="71D33A30"/>
    <w:rsid w:val="71E837D8"/>
    <w:rsid w:val="71F25676"/>
    <w:rsid w:val="71FD0A71"/>
    <w:rsid w:val="722E2B52"/>
    <w:rsid w:val="725956F5"/>
    <w:rsid w:val="725C373A"/>
    <w:rsid w:val="726253E1"/>
    <w:rsid w:val="72667796"/>
    <w:rsid w:val="727C57D9"/>
    <w:rsid w:val="72B94E61"/>
    <w:rsid w:val="72C43AB7"/>
    <w:rsid w:val="72E9198B"/>
    <w:rsid w:val="73093F8E"/>
    <w:rsid w:val="73357DF4"/>
    <w:rsid w:val="733D1612"/>
    <w:rsid w:val="734168B5"/>
    <w:rsid w:val="73581D10"/>
    <w:rsid w:val="737456F6"/>
    <w:rsid w:val="73777D21"/>
    <w:rsid w:val="739B2790"/>
    <w:rsid w:val="739D2629"/>
    <w:rsid w:val="73BE7F06"/>
    <w:rsid w:val="73CC3FDE"/>
    <w:rsid w:val="73D50AB3"/>
    <w:rsid w:val="73DE2E8F"/>
    <w:rsid w:val="74015112"/>
    <w:rsid w:val="740D392B"/>
    <w:rsid w:val="741D18EF"/>
    <w:rsid w:val="74236399"/>
    <w:rsid w:val="742C597A"/>
    <w:rsid w:val="743C0E2B"/>
    <w:rsid w:val="74485068"/>
    <w:rsid w:val="74542618"/>
    <w:rsid w:val="74610AB3"/>
    <w:rsid w:val="74627DA3"/>
    <w:rsid w:val="74681C20"/>
    <w:rsid w:val="7485382A"/>
    <w:rsid w:val="749125C2"/>
    <w:rsid w:val="74A7141D"/>
    <w:rsid w:val="74AF1679"/>
    <w:rsid w:val="74B35591"/>
    <w:rsid w:val="74BA2E14"/>
    <w:rsid w:val="74D06D4B"/>
    <w:rsid w:val="74DD3B22"/>
    <w:rsid w:val="74DE08FF"/>
    <w:rsid w:val="74E16B0E"/>
    <w:rsid w:val="74F769C2"/>
    <w:rsid w:val="75151DA7"/>
    <w:rsid w:val="75183C6C"/>
    <w:rsid w:val="75232716"/>
    <w:rsid w:val="75250343"/>
    <w:rsid w:val="752A55EB"/>
    <w:rsid w:val="752C1160"/>
    <w:rsid w:val="7533222E"/>
    <w:rsid w:val="754040AE"/>
    <w:rsid w:val="7554008E"/>
    <w:rsid w:val="756E770A"/>
    <w:rsid w:val="75724718"/>
    <w:rsid w:val="757848E4"/>
    <w:rsid w:val="75820565"/>
    <w:rsid w:val="75866C69"/>
    <w:rsid w:val="75886287"/>
    <w:rsid w:val="758B0BA4"/>
    <w:rsid w:val="75A77A0B"/>
    <w:rsid w:val="75A82C1C"/>
    <w:rsid w:val="75AA118F"/>
    <w:rsid w:val="75AF3FAA"/>
    <w:rsid w:val="75C33EB4"/>
    <w:rsid w:val="75E875B4"/>
    <w:rsid w:val="75EB0756"/>
    <w:rsid w:val="75F153E8"/>
    <w:rsid w:val="75F8498C"/>
    <w:rsid w:val="75FB6E8A"/>
    <w:rsid w:val="76125DCB"/>
    <w:rsid w:val="76263B40"/>
    <w:rsid w:val="762E0340"/>
    <w:rsid w:val="762F0C47"/>
    <w:rsid w:val="76326989"/>
    <w:rsid w:val="7662101C"/>
    <w:rsid w:val="76A33C20"/>
    <w:rsid w:val="76B63F2A"/>
    <w:rsid w:val="76B841D0"/>
    <w:rsid w:val="76E934EC"/>
    <w:rsid w:val="771439B4"/>
    <w:rsid w:val="77174DA1"/>
    <w:rsid w:val="772A140E"/>
    <w:rsid w:val="773C2BB6"/>
    <w:rsid w:val="77737259"/>
    <w:rsid w:val="77765011"/>
    <w:rsid w:val="77775308"/>
    <w:rsid w:val="778D55C5"/>
    <w:rsid w:val="77901B44"/>
    <w:rsid w:val="779E505D"/>
    <w:rsid w:val="77A363F9"/>
    <w:rsid w:val="77A86B72"/>
    <w:rsid w:val="77B72E83"/>
    <w:rsid w:val="77D00208"/>
    <w:rsid w:val="77DC082E"/>
    <w:rsid w:val="77E516AE"/>
    <w:rsid w:val="78016613"/>
    <w:rsid w:val="782A7918"/>
    <w:rsid w:val="782C1E65"/>
    <w:rsid w:val="784529A4"/>
    <w:rsid w:val="784677F8"/>
    <w:rsid w:val="7859182A"/>
    <w:rsid w:val="785C7CED"/>
    <w:rsid w:val="78643617"/>
    <w:rsid w:val="786C6182"/>
    <w:rsid w:val="78871BA5"/>
    <w:rsid w:val="788B1F2C"/>
    <w:rsid w:val="788F1E71"/>
    <w:rsid w:val="789433CB"/>
    <w:rsid w:val="78B6564F"/>
    <w:rsid w:val="78C57641"/>
    <w:rsid w:val="78C67BA5"/>
    <w:rsid w:val="78C95383"/>
    <w:rsid w:val="78CA21F2"/>
    <w:rsid w:val="78D760B6"/>
    <w:rsid w:val="78D96057"/>
    <w:rsid w:val="78EA52F9"/>
    <w:rsid w:val="79022643"/>
    <w:rsid w:val="792128F0"/>
    <w:rsid w:val="794B3FEA"/>
    <w:rsid w:val="7967694A"/>
    <w:rsid w:val="79734022"/>
    <w:rsid w:val="799736F9"/>
    <w:rsid w:val="799A6677"/>
    <w:rsid w:val="799B093F"/>
    <w:rsid w:val="79A408EB"/>
    <w:rsid w:val="79B00192"/>
    <w:rsid w:val="79C43D9C"/>
    <w:rsid w:val="79D7762B"/>
    <w:rsid w:val="79DC7CBF"/>
    <w:rsid w:val="79FF6B82"/>
    <w:rsid w:val="7A016D9E"/>
    <w:rsid w:val="7A047BEE"/>
    <w:rsid w:val="7A0643B5"/>
    <w:rsid w:val="7A0C6E22"/>
    <w:rsid w:val="7A1446D5"/>
    <w:rsid w:val="7A2A1C30"/>
    <w:rsid w:val="7A2B1A70"/>
    <w:rsid w:val="7A2C7387"/>
    <w:rsid w:val="7A3902E6"/>
    <w:rsid w:val="7A6262A3"/>
    <w:rsid w:val="7A643724"/>
    <w:rsid w:val="7A67775E"/>
    <w:rsid w:val="7A684727"/>
    <w:rsid w:val="7A7C1AD0"/>
    <w:rsid w:val="7A7E672B"/>
    <w:rsid w:val="7A94376E"/>
    <w:rsid w:val="7AA0263D"/>
    <w:rsid w:val="7AAC0793"/>
    <w:rsid w:val="7AAC536B"/>
    <w:rsid w:val="7AB4152A"/>
    <w:rsid w:val="7ABE07EB"/>
    <w:rsid w:val="7AD7365B"/>
    <w:rsid w:val="7ADE37AF"/>
    <w:rsid w:val="7AE7015F"/>
    <w:rsid w:val="7AFE508C"/>
    <w:rsid w:val="7B130B37"/>
    <w:rsid w:val="7B145A11"/>
    <w:rsid w:val="7B167964"/>
    <w:rsid w:val="7B271F47"/>
    <w:rsid w:val="7B2A20B0"/>
    <w:rsid w:val="7B2B7C6E"/>
    <w:rsid w:val="7B477562"/>
    <w:rsid w:val="7B4C5FDE"/>
    <w:rsid w:val="7B615D46"/>
    <w:rsid w:val="7B6232FE"/>
    <w:rsid w:val="7B783090"/>
    <w:rsid w:val="7B7B492E"/>
    <w:rsid w:val="7B805E5E"/>
    <w:rsid w:val="7B8F7E40"/>
    <w:rsid w:val="7B931C78"/>
    <w:rsid w:val="7B9C1CE2"/>
    <w:rsid w:val="7BA31C9B"/>
    <w:rsid w:val="7BB76606"/>
    <w:rsid w:val="7BBA572A"/>
    <w:rsid w:val="7BBB7FA8"/>
    <w:rsid w:val="7BC2430B"/>
    <w:rsid w:val="7BC506FF"/>
    <w:rsid w:val="7BD063E4"/>
    <w:rsid w:val="7BD06A28"/>
    <w:rsid w:val="7BE67FFA"/>
    <w:rsid w:val="7BF422EC"/>
    <w:rsid w:val="7C06508E"/>
    <w:rsid w:val="7C077F70"/>
    <w:rsid w:val="7C1034D3"/>
    <w:rsid w:val="7C1B18FB"/>
    <w:rsid w:val="7C211032"/>
    <w:rsid w:val="7C231940"/>
    <w:rsid w:val="7C350C01"/>
    <w:rsid w:val="7C4B2553"/>
    <w:rsid w:val="7C7354BB"/>
    <w:rsid w:val="7C742262"/>
    <w:rsid w:val="7C750D4B"/>
    <w:rsid w:val="7C7C1E47"/>
    <w:rsid w:val="7C8B0BA1"/>
    <w:rsid w:val="7C8C7D46"/>
    <w:rsid w:val="7C8D0199"/>
    <w:rsid w:val="7CA9787A"/>
    <w:rsid w:val="7CAB2FF1"/>
    <w:rsid w:val="7CBC6BC7"/>
    <w:rsid w:val="7CD15708"/>
    <w:rsid w:val="7CE64029"/>
    <w:rsid w:val="7CF91FAF"/>
    <w:rsid w:val="7D182727"/>
    <w:rsid w:val="7D413844"/>
    <w:rsid w:val="7D5C784E"/>
    <w:rsid w:val="7D8A6AEF"/>
    <w:rsid w:val="7DB36601"/>
    <w:rsid w:val="7DDB1AC2"/>
    <w:rsid w:val="7DE90E7A"/>
    <w:rsid w:val="7DF04F86"/>
    <w:rsid w:val="7E0D6D80"/>
    <w:rsid w:val="7E23398C"/>
    <w:rsid w:val="7E2766A8"/>
    <w:rsid w:val="7E2B6198"/>
    <w:rsid w:val="7E437985"/>
    <w:rsid w:val="7E5241E6"/>
    <w:rsid w:val="7E5B5E04"/>
    <w:rsid w:val="7E797ED1"/>
    <w:rsid w:val="7E8D3366"/>
    <w:rsid w:val="7E937C47"/>
    <w:rsid w:val="7EC82CE9"/>
    <w:rsid w:val="7F036DAF"/>
    <w:rsid w:val="7F0A2251"/>
    <w:rsid w:val="7F1E5CFC"/>
    <w:rsid w:val="7F251D0E"/>
    <w:rsid w:val="7F45772D"/>
    <w:rsid w:val="7F465549"/>
    <w:rsid w:val="7F4709F7"/>
    <w:rsid w:val="7F4D294D"/>
    <w:rsid w:val="7F5B5851"/>
    <w:rsid w:val="7F5F372B"/>
    <w:rsid w:val="7F65392B"/>
    <w:rsid w:val="7F6C4232"/>
    <w:rsid w:val="7F8738A2"/>
    <w:rsid w:val="7F97D7F2"/>
    <w:rsid w:val="7FB93F2D"/>
    <w:rsid w:val="7FCA19E0"/>
    <w:rsid w:val="7FD42113"/>
    <w:rsid w:val="7FE17456"/>
    <w:rsid w:val="7FE4653A"/>
    <w:rsid w:val="7FE9455C"/>
    <w:rsid w:val="7FFD38A2"/>
    <w:rsid w:val="A6FEB8E8"/>
    <w:rsid w:val="B85FDB83"/>
    <w:rsid w:val="C1BF7C39"/>
    <w:rsid w:val="C4BD4666"/>
    <w:rsid w:val="DAF67373"/>
    <w:rsid w:val="DC7C6527"/>
    <w:rsid w:val="DEE73C2B"/>
    <w:rsid w:val="EBA7250A"/>
    <w:rsid w:val="EDFF1E69"/>
    <w:rsid w:val="EF7CB3D9"/>
    <w:rsid w:val="F9F3A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2"/>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9"/>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70"/>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71"/>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7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73"/>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7"/>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74"/>
    <w:qFormat/>
    <w:uiPriority w:val="0"/>
    <w:pPr>
      <w:shd w:val="clear" w:color="auto" w:fill="000080"/>
    </w:pPr>
  </w:style>
  <w:style w:type="paragraph" w:styleId="15">
    <w:name w:val="annotation text"/>
    <w:basedOn w:val="1"/>
    <w:link w:val="75"/>
    <w:qFormat/>
    <w:uiPriority w:val="99"/>
    <w:pPr>
      <w:jc w:val="left"/>
    </w:pPr>
  </w:style>
  <w:style w:type="paragraph" w:styleId="16">
    <w:name w:val="Body Text 3"/>
    <w:basedOn w:val="1"/>
    <w:link w:val="76"/>
    <w:qFormat/>
    <w:uiPriority w:val="0"/>
    <w:pPr>
      <w:spacing w:after="120"/>
    </w:pPr>
    <w:rPr>
      <w:sz w:val="16"/>
      <w:szCs w:val="16"/>
    </w:rPr>
  </w:style>
  <w:style w:type="paragraph" w:styleId="17">
    <w:name w:val="Body Text"/>
    <w:basedOn w:val="1"/>
    <w:link w:val="77"/>
    <w:qFormat/>
    <w:uiPriority w:val="0"/>
    <w:pPr>
      <w:tabs>
        <w:tab w:val="left" w:pos="567"/>
      </w:tabs>
      <w:spacing w:before="120" w:line="22" w:lineRule="atLeast"/>
    </w:pPr>
    <w:rPr>
      <w:rFonts w:ascii="宋体" w:hAnsi="宋体"/>
      <w:sz w:val="24"/>
    </w:rPr>
  </w:style>
  <w:style w:type="paragraph" w:styleId="18">
    <w:name w:val="Body Text Indent"/>
    <w:basedOn w:val="1"/>
    <w:link w:val="62"/>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78"/>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79"/>
    <w:qFormat/>
    <w:uiPriority w:val="0"/>
    <w:pPr>
      <w:ind w:left="100" w:leftChars="2500"/>
    </w:pPr>
    <w:rPr>
      <w:rFonts w:ascii="仿宋_GB2312" w:hAnsi="宋体" w:eastAsia="仿宋_GB2312"/>
      <w:color w:val="000000"/>
      <w:sz w:val="24"/>
    </w:rPr>
  </w:style>
  <w:style w:type="paragraph" w:styleId="26">
    <w:name w:val="Body Text Indent 2"/>
    <w:basedOn w:val="1"/>
    <w:link w:val="80"/>
    <w:qFormat/>
    <w:uiPriority w:val="0"/>
    <w:pPr>
      <w:ind w:firstLine="480" w:firstLineChars="200"/>
    </w:pPr>
    <w:rPr>
      <w:rFonts w:ascii="仿宋_GB2312" w:eastAsia="仿宋_GB2312"/>
      <w:sz w:val="24"/>
    </w:rPr>
  </w:style>
  <w:style w:type="paragraph" w:styleId="27">
    <w:name w:val="Balloon Text"/>
    <w:basedOn w:val="1"/>
    <w:link w:val="81"/>
    <w:qFormat/>
    <w:uiPriority w:val="0"/>
    <w:rPr>
      <w:sz w:val="18"/>
      <w:szCs w:val="18"/>
    </w:rPr>
  </w:style>
  <w:style w:type="paragraph" w:styleId="28">
    <w:name w:val="footer"/>
    <w:basedOn w:val="1"/>
    <w:link w:val="82"/>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envelope return"/>
    <w:basedOn w:val="1"/>
    <w:qFormat/>
    <w:uiPriority w:val="99"/>
    <w:rPr>
      <w:rFonts w:ascii="Arial" w:hAnsi="Arial" w:cs="Arial"/>
      <w:kern w:val="1"/>
    </w:rPr>
  </w:style>
  <w:style w:type="paragraph" w:styleId="30">
    <w:name w:val="header"/>
    <w:basedOn w:val="1"/>
    <w:link w:val="83"/>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Subtitle"/>
    <w:basedOn w:val="1"/>
    <w:next w:val="1"/>
    <w:qFormat/>
    <w:uiPriority w:val="11"/>
    <w:pPr>
      <w:widowControl/>
      <w:spacing w:after="60"/>
      <w:jc w:val="left"/>
      <w:outlineLvl w:val="1"/>
    </w:pPr>
    <w:rPr>
      <w:rFonts w:ascii="Cambria" w:hAnsi="Cambria" w:eastAsia="宋体" w:cs="Times New Roman"/>
      <w:b/>
      <w:kern w:val="0"/>
      <w:sz w:val="28"/>
    </w:rPr>
  </w:style>
  <w:style w:type="paragraph" w:styleId="34">
    <w:name w:val="footnote text"/>
    <w:basedOn w:val="1"/>
    <w:next w:val="30"/>
    <w:unhideWhenUsed/>
    <w:qFormat/>
    <w:uiPriority w:val="0"/>
    <w:pPr>
      <w:snapToGrid w:val="0"/>
      <w:jc w:val="left"/>
    </w:pPr>
  </w:style>
  <w:style w:type="paragraph" w:styleId="35">
    <w:name w:val="toc 6"/>
    <w:basedOn w:val="1"/>
    <w:next w:val="1"/>
    <w:qFormat/>
    <w:uiPriority w:val="0"/>
    <w:pPr>
      <w:ind w:left="2100" w:leftChars="1000"/>
    </w:pPr>
  </w:style>
  <w:style w:type="paragraph" w:styleId="36">
    <w:name w:val="Body Text Indent 3"/>
    <w:basedOn w:val="1"/>
    <w:link w:val="84"/>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7">
    <w:name w:val="toc 2"/>
    <w:basedOn w:val="1"/>
    <w:next w:val="1"/>
    <w:qFormat/>
    <w:uiPriority w:val="39"/>
    <w:pPr>
      <w:tabs>
        <w:tab w:val="right" w:leader="dot" w:pos="8937"/>
      </w:tabs>
      <w:spacing w:line="312" w:lineRule="auto"/>
      <w:ind w:left="420" w:leftChars="200"/>
    </w:pPr>
  </w:style>
  <w:style w:type="paragraph" w:styleId="38">
    <w:name w:val="toc 9"/>
    <w:basedOn w:val="1"/>
    <w:next w:val="1"/>
    <w:qFormat/>
    <w:uiPriority w:val="0"/>
    <w:pPr>
      <w:ind w:left="3360" w:leftChars="1600"/>
    </w:pPr>
  </w:style>
  <w:style w:type="paragraph" w:styleId="39">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1">
    <w:name w:val="index 1"/>
    <w:basedOn w:val="1"/>
    <w:next w:val="1"/>
    <w:qFormat/>
    <w:uiPriority w:val="0"/>
    <w:rPr>
      <w:szCs w:val="20"/>
    </w:rPr>
  </w:style>
  <w:style w:type="paragraph" w:styleId="42">
    <w:name w:val="Title"/>
    <w:basedOn w:val="1"/>
    <w:next w:val="1"/>
    <w:link w:val="86"/>
    <w:qFormat/>
    <w:uiPriority w:val="0"/>
    <w:pPr>
      <w:jc w:val="center"/>
      <w:outlineLvl w:val="0"/>
    </w:pPr>
    <w:rPr>
      <w:b/>
      <w:sz w:val="32"/>
      <w:szCs w:val="20"/>
    </w:rPr>
  </w:style>
  <w:style w:type="paragraph" w:styleId="43">
    <w:name w:val="annotation subject"/>
    <w:basedOn w:val="15"/>
    <w:next w:val="15"/>
    <w:link w:val="87"/>
    <w:qFormat/>
    <w:uiPriority w:val="0"/>
    <w:rPr>
      <w:b/>
      <w:bCs/>
    </w:rPr>
  </w:style>
  <w:style w:type="paragraph" w:styleId="44">
    <w:name w:val="Body Text First Indent"/>
    <w:basedOn w:val="17"/>
    <w:next w:val="45"/>
    <w:qFormat/>
    <w:uiPriority w:val="0"/>
    <w:pPr>
      <w:spacing w:after="120"/>
      <w:ind w:firstLine="420" w:firstLineChars="100"/>
    </w:pPr>
    <w:rPr>
      <w:rFonts w:ascii="Calibri" w:hAnsi="Calibri"/>
      <w:sz w:val="21"/>
    </w:rPr>
  </w:style>
  <w:style w:type="paragraph" w:styleId="45">
    <w:name w:val="Body Text First Indent 2"/>
    <w:basedOn w:val="18"/>
    <w:link w:val="63"/>
    <w:qFormat/>
    <w:uiPriority w:val="0"/>
    <w:pPr>
      <w:spacing w:after="120" w:line="480" w:lineRule="exact"/>
      <w:ind w:left="420" w:leftChars="200" w:firstLine="420" w:firstLineChars="200"/>
    </w:pPr>
    <w:rPr>
      <w:szCs w:val="20"/>
    </w:rPr>
  </w:style>
  <w:style w:type="table" w:styleId="47">
    <w:name w:val="Table Grid"/>
    <w:basedOn w:val="4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8">
    <w:name w:val="Medium Grid 1 Accent 2"/>
    <w:basedOn w:val="46"/>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qFormat/>
    <w:uiPriority w:val="0"/>
    <w:rPr>
      <w:color w:val="CC0033"/>
    </w:rPr>
  </w:style>
  <w:style w:type="character" w:styleId="54">
    <w:name w:val="Hyperlink"/>
    <w:qFormat/>
    <w:uiPriority w:val="99"/>
    <w:rPr>
      <w:color w:val="0000FF"/>
      <w:u w:val="single"/>
    </w:rPr>
  </w:style>
  <w:style w:type="character" w:styleId="55">
    <w:name w:val="annotation reference"/>
    <w:qFormat/>
    <w:uiPriority w:val="99"/>
    <w:rPr>
      <w:sz w:val="21"/>
      <w:szCs w:val="21"/>
    </w:rPr>
  </w:style>
  <w:style w:type="character" w:styleId="56">
    <w:name w:val="HTML Cite"/>
    <w:qFormat/>
    <w:uiPriority w:val="0"/>
    <w:rPr>
      <w:i/>
      <w:iCs/>
    </w:rPr>
  </w:style>
  <w:style w:type="paragraph" w:customStyle="1" w:styleId="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9">
    <w:name w:val="正文1"/>
    <w:basedOn w:val="1"/>
    <w:next w:val="1"/>
    <w:qFormat/>
    <w:uiPriority w:val="99"/>
    <w:pPr>
      <w:tabs>
        <w:tab w:val="left" w:pos="480"/>
      </w:tabs>
      <w:spacing w:line="500" w:lineRule="exact"/>
      <w:ind w:left="359" w:hanging="359" w:hangingChars="171"/>
    </w:pPr>
    <w:rPr>
      <w:rFonts w:ascii="黑体" w:hAnsi="宋体" w:cs="黑体"/>
      <w:szCs w:val="21"/>
    </w:rPr>
  </w:style>
  <w:style w:type="paragraph" w:styleId="6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1">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62">
    <w:name w:val="正文文本缩进 字符"/>
    <w:link w:val="18"/>
    <w:qFormat/>
    <w:uiPriority w:val="0"/>
    <w:rPr>
      <w:rFonts w:eastAsia="宋体"/>
      <w:kern w:val="2"/>
      <w:sz w:val="24"/>
      <w:szCs w:val="24"/>
      <w:lang w:val="en-US" w:eastAsia="zh-CN" w:bidi="ar-SA"/>
    </w:rPr>
  </w:style>
  <w:style w:type="character" w:customStyle="1" w:styleId="63">
    <w:name w:val="正文文本首行缩进 2 字符"/>
    <w:basedOn w:val="62"/>
    <w:link w:val="45"/>
    <w:qFormat/>
    <w:uiPriority w:val="0"/>
    <w:rPr>
      <w:rFonts w:eastAsia="宋体"/>
      <w:kern w:val="2"/>
      <w:sz w:val="24"/>
      <w:szCs w:val="24"/>
      <w:lang w:val="en-US" w:eastAsia="zh-CN" w:bidi="ar-SA"/>
    </w:rPr>
  </w:style>
  <w:style w:type="character" w:customStyle="1" w:styleId="64">
    <w:name w:val="标题 1 字符"/>
    <w:basedOn w:val="49"/>
    <w:qFormat/>
    <w:uiPriority w:val="0"/>
    <w:rPr>
      <w:rFonts w:ascii="宋体"/>
      <w:b/>
      <w:kern w:val="44"/>
      <w:sz w:val="32"/>
    </w:rPr>
  </w:style>
  <w:style w:type="character" w:customStyle="1" w:styleId="65">
    <w:name w:val="标题 2 字符"/>
    <w:link w:val="3"/>
    <w:qFormat/>
    <w:uiPriority w:val="0"/>
    <w:rPr>
      <w:rFonts w:ascii="Arial" w:hAnsi="Arial" w:eastAsia="黑体"/>
      <w:b/>
      <w:sz w:val="30"/>
      <w:lang w:val="en-US" w:eastAsia="zh-CN" w:bidi="ar-SA"/>
    </w:rPr>
  </w:style>
  <w:style w:type="character" w:customStyle="1" w:styleId="66">
    <w:name w:val="标题 3 字符"/>
    <w:link w:val="4"/>
    <w:qFormat/>
    <w:uiPriority w:val="0"/>
    <w:rPr>
      <w:rFonts w:ascii="宋体" w:eastAsia="宋体"/>
      <w:b/>
      <w:sz w:val="24"/>
      <w:u w:val="single"/>
      <w:lang w:val="en-US" w:eastAsia="zh-CN" w:bidi="ar-SA"/>
    </w:rPr>
  </w:style>
  <w:style w:type="character" w:customStyle="1" w:styleId="67">
    <w:name w:val="正文缩进 字符"/>
    <w:link w:val="5"/>
    <w:qFormat/>
    <w:uiPriority w:val="0"/>
    <w:rPr>
      <w:rFonts w:ascii="宋体" w:eastAsia="宋体"/>
      <w:kern w:val="2"/>
      <w:sz w:val="24"/>
      <w:szCs w:val="24"/>
      <w:lang w:val="en-US" w:eastAsia="zh-CN" w:bidi="ar-SA"/>
    </w:rPr>
  </w:style>
  <w:style w:type="character" w:customStyle="1" w:styleId="68">
    <w:name w:val="标题 4 字符"/>
    <w:basedOn w:val="49"/>
    <w:link w:val="6"/>
    <w:qFormat/>
    <w:uiPriority w:val="0"/>
    <w:rPr>
      <w:rFonts w:ascii="Arial" w:hAnsi="Arial" w:eastAsia="黑体"/>
      <w:b/>
      <w:sz w:val="28"/>
    </w:rPr>
  </w:style>
  <w:style w:type="character" w:customStyle="1" w:styleId="69">
    <w:name w:val="标题 5 字符"/>
    <w:basedOn w:val="49"/>
    <w:link w:val="7"/>
    <w:qFormat/>
    <w:uiPriority w:val="0"/>
    <w:rPr>
      <w:b/>
      <w:sz w:val="28"/>
    </w:rPr>
  </w:style>
  <w:style w:type="character" w:customStyle="1" w:styleId="70">
    <w:name w:val="标题 6 字符"/>
    <w:basedOn w:val="49"/>
    <w:link w:val="8"/>
    <w:qFormat/>
    <w:uiPriority w:val="0"/>
    <w:rPr>
      <w:rFonts w:ascii="Arial" w:hAnsi="Arial" w:eastAsia="黑体"/>
      <w:b/>
      <w:sz w:val="24"/>
    </w:rPr>
  </w:style>
  <w:style w:type="character" w:customStyle="1" w:styleId="71">
    <w:name w:val="标题 7 字符"/>
    <w:basedOn w:val="49"/>
    <w:link w:val="9"/>
    <w:qFormat/>
    <w:uiPriority w:val="0"/>
    <w:rPr>
      <w:b/>
      <w:sz w:val="24"/>
    </w:rPr>
  </w:style>
  <w:style w:type="character" w:customStyle="1" w:styleId="72">
    <w:name w:val="标题 8 字符"/>
    <w:basedOn w:val="49"/>
    <w:link w:val="10"/>
    <w:qFormat/>
    <w:uiPriority w:val="0"/>
    <w:rPr>
      <w:rFonts w:ascii="Arial" w:hAnsi="Arial" w:eastAsia="黑体"/>
      <w:sz w:val="24"/>
    </w:rPr>
  </w:style>
  <w:style w:type="character" w:customStyle="1" w:styleId="73">
    <w:name w:val="标题 9 字符"/>
    <w:basedOn w:val="49"/>
    <w:link w:val="11"/>
    <w:qFormat/>
    <w:uiPriority w:val="0"/>
    <w:rPr>
      <w:rFonts w:ascii="Arial" w:hAnsi="Arial" w:eastAsia="黑体"/>
      <w:sz w:val="21"/>
    </w:rPr>
  </w:style>
  <w:style w:type="character" w:customStyle="1" w:styleId="74">
    <w:name w:val="文档结构图 字符"/>
    <w:basedOn w:val="49"/>
    <w:link w:val="14"/>
    <w:qFormat/>
    <w:uiPriority w:val="0"/>
    <w:rPr>
      <w:kern w:val="2"/>
      <w:sz w:val="21"/>
      <w:szCs w:val="24"/>
      <w:shd w:val="clear" w:color="auto" w:fill="000080"/>
    </w:rPr>
  </w:style>
  <w:style w:type="character" w:customStyle="1" w:styleId="75">
    <w:name w:val="批注文字 字符1"/>
    <w:link w:val="15"/>
    <w:qFormat/>
    <w:uiPriority w:val="99"/>
    <w:rPr>
      <w:kern w:val="2"/>
      <w:sz w:val="21"/>
      <w:szCs w:val="24"/>
    </w:rPr>
  </w:style>
  <w:style w:type="character" w:customStyle="1" w:styleId="76">
    <w:name w:val="正文文本 3 字符"/>
    <w:basedOn w:val="49"/>
    <w:link w:val="16"/>
    <w:qFormat/>
    <w:uiPriority w:val="0"/>
    <w:rPr>
      <w:kern w:val="2"/>
      <w:sz w:val="16"/>
      <w:szCs w:val="16"/>
    </w:rPr>
  </w:style>
  <w:style w:type="character" w:customStyle="1" w:styleId="77">
    <w:name w:val="正文文本 字符"/>
    <w:basedOn w:val="49"/>
    <w:link w:val="17"/>
    <w:qFormat/>
    <w:uiPriority w:val="0"/>
    <w:rPr>
      <w:rFonts w:ascii="宋体" w:hAnsi="宋体"/>
      <w:kern w:val="2"/>
      <w:sz w:val="24"/>
      <w:szCs w:val="24"/>
    </w:rPr>
  </w:style>
  <w:style w:type="character" w:customStyle="1" w:styleId="78">
    <w:name w:val="纯文本 字符2"/>
    <w:basedOn w:val="49"/>
    <w:link w:val="23"/>
    <w:qFormat/>
    <w:uiPriority w:val="0"/>
    <w:rPr>
      <w:rFonts w:hint="eastAsia" w:ascii="宋体" w:hAnsi="Courier New" w:eastAsia="宋体" w:cs="宋体"/>
      <w:kern w:val="2"/>
      <w:sz w:val="21"/>
    </w:rPr>
  </w:style>
  <w:style w:type="character" w:customStyle="1" w:styleId="79">
    <w:name w:val="日期 字符"/>
    <w:basedOn w:val="49"/>
    <w:link w:val="25"/>
    <w:qFormat/>
    <w:uiPriority w:val="0"/>
    <w:rPr>
      <w:rFonts w:ascii="仿宋_GB2312" w:hAnsi="宋体" w:eastAsia="仿宋_GB2312"/>
      <w:color w:val="000000"/>
      <w:kern w:val="2"/>
      <w:sz w:val="24"/>
      <w:szCs w:val="24"/>
    </w:rPr>
  </w:style>
  <w:style w:type="character" w:customStyle="1" w:styleId="80">
    <w:name w:val="正文文本缩进 2 字符"/>
    <w:basedOn w:val="49"/>
    <w:link w:val="26"/>
    <w:qFormat/>
    <w:uiPriority w:val="0"/>
    <w:rPr>
      <w:rFonts w:ascii="仿宋_GB2312" w:eastAsia="仿宋_GB2312"/>
      <w:kern w:val="2"/>
      <w:sz w:val="24"/>
      <w:szCs w:val="24"/>
    </w:rPr>
  </w:style>
  <w:style w:type="character" w:customStyle="1" w:styleId="81">
    <w:name w:val="批注框文本 字符"/>
    <w:basedOn w:val="49"/>
    <w:link w:val="27"/>
    <w:qFormat/>
    <w:uiPriority w:val="0"/>
    <w:rPr>
      <w:kern w:val="2"/>
      <w:sz w:val="18"/>
      <w:szCs w:val="18"/>
    </w:rPr>
  </w:style>
  <w:style w:type="character" w:customStyle="1" w:styleId="82">
    <w:name w:val="页脚 字符"/>
    <w:link w:val="28"/>
    <w:qFormat/>
    <w:uiPriority w:val="99"/>
    <w:rPr>
      <w:rFonts w:ascii="宋体" w:eastAsia="宋体"/>
      <w:sz w:val="18"/>
      <w:lang w:val="en-US" w:eastAsia="zh-CN" w:bidi="ar-SA"/>
    </w:rPr>
  </w:style>
  <w:style w:type="character" w:customStyle="1" w:styleId="83">
    <w:name w:val="页眉 字符"/>
    <w:link w:val="30"/>
    <w:qFormat/>
    <w:uiPriority w:val="0"/>
    <w:rPr>
      <w:rFonts w:eastAsia="宋体"/>
      <w:kern w:val="2"/>
      <w:sz w:val="18"/>
      <w:szCs w:val="18"/>
      <w:lang w:val="en-US" w:eastAsia="zh-CN" w:bidi="ar-SA"/>
    </w:rPr>
  </w:style>
  <w:style w:type="character" w:customStyle="1" w:styleId="84">
    <w:name w:val="正文文本缩进 3 字符"/>
    <w:basedOn w:val="49"/>
    <w:link w:val="36"/>
    <w:qFormat/>
    <w:uiPriority w:val="0"/>
    <w:rPr>
      <w:rFonts w:ascii="宋体"/>
      <w:sz w:val="24"/>
    </w:rPr>
  </w:style>
  <w:style w:type="character" w:customStyle="1" w:styleId="85">
    <w:name w:val="HTML 预设格式 字符"/>
    <w:basedOn w:val="49"/>
    <w:link w:val="39"/>
    <w:qFormat/>
    <w:uiPriority w:val="0"/>
    <w:rPr>
      <w:rFonts w:ascii="宋体" w:hAnsi="宋体" w:cs="宋体"/>
      <w:sz w:val="24"/>
      <w:szCs w:val="24"/>
    </w:rPr>
  </w:style>
  <w:style w:type="character" w:customStyle="1" w:styleId="86">
    <w:name w:val="标题 字符"/>
    <w:link w:val="42"/>
    <w:qFormat/>
    <w:uiPriority w:val="0"/>
    <w:rPr>
      <w:b/>
      <w:kern w:val="2"/>
      <w:sz w:val="32"/>
    </w:rPr>
  </w:style>
  <w:style w:type="character" w:customStyle="1" w:styleId="87">
    <w:name w:val="批注主题 字符"/>
    <w:basedOn w:val="88"/>
    <w:link w:val="43"/>
    <w:qFormat/>
    <w:uiPriority w:val="0"/>
    <w:rPr>
      <w:rFonts w:ascii="Times New Roman" w:hAnsi="Times New Roman" w:eastAsia="宋体" w:cs="Times New Roman"/>
      <w:b/>
      <w:bCs/>
      <w:kern w:val="2"/>
      <w:sz w:val="21"/>
      <w:szCs w:val="24"/>
      <w:lang w:val="en-US" w:eastAsia="zh-CN" w:bidi="ar-SA"/>
    </w:rPr>
  </w:style>
  <w:style w:type="character" w:customStyle="1" w:styleId="88">
    <w:name w:val="批注文字 字符"/>
    <w:qFormat/>
    <w:uiPriority w:val="99"/>
    <w:rPr>
      <w:rFonts w:ascii="Times New Roman" w:hAnsi="Times New Roman" w:eastAsia="宋体" w:cs="Times New Roman"/>
      <w:sz w:val="24"/>
      <w:lang w:val="en-US" w:eastAsia="zh-CN" w:bidi="ar-SA"/>
    </w:rPr>
  </w:style>
  <w:style w:type="character" w:customStyle="1" w:styleId="89">
    <w:name w:val="标题 1 字符1"/>
    <w:basedOn w:val="49"/>
    <w:link w:val="2"/>
    <w:qFormat/>
    <w:uiPriority w:val="0"/>
    <w:rPr>
      <w:rFonts w:ascii="宋体" w:hAnsi="Times New Roman" w:eastAsia="宋体" w:cs="Times New Roman"/>
      <w:b/>
      <w:kern w:val="44"/>
      <w:sz w:val="32"/>
      <w:szCs w:val="20"/>
    </w:rPr>
  </w:style>
  <w:style w:type="character" w:customStyle="1" w:styleId="90">
    <w:name w:val="c21"/>
    <w:qFormat/>
    <w:uiPriority w:val="0"/>
    <w:rPr>
      <w:rFonts w:hint="default" w:ascii="ˎ̥" w:hAnsi="ˎ̥"/>
      <w:color w:val="000000"/>
      <w:sz w:val="20"/>
      <w:szCs w:val="20"/>
      <w:u w:val="none"/>
    </w:rPr>
  </w:style>
  <w:style w:type="character" w:customStyle="1" w:styleId="91">
    <w:name w:val="title4"/>
    <w:qFormat/>
    <w:uiPriority w:val="0"/>
    <w:rPr>
      <w:b/>
      <w:bCs/>
      <w:color w:val="1D87B3"/>
      <w:sz w:val="15"/>
      <w:szCs w:val="15"/>
    </w:rPr>
  </w:style>
  <w:style w:type="character" w:customStyle="1" w:styleId="92">
    <w:name w:val="标题 2 Char Char"/>
    <w:qFormat/>
    <w:uiPriority w:val="0"/>
    <w:rPr>
      <w:rFonts w:ascii="Arial" w:hAnsi="Arial" w:eastAsia="黑体"/>
      <w:b/>
      <w:bCs/>
      <w:kern w:val="2"/>
      <w:sz w:val="32"/>
      <w:szCs w:val="32"/>
      <w:lang w:val="en-US" w:eastAsia="zh-CN" w:bidi="ar-SA"/>
    </w:rPr>
  </w:style>
  <w:style w:type="character" w:customStyle="1" w:styleId="93">
    <w:name w:val="black1"/>
    <w:qFormat/>
    <w:uiPriority w:val="0"/>
    <w:rPr>
      <w:color w:val="000000"/>
    </w:rPr>
  </w:style>
  <w:style w:type="character" w:customStyle="1" w:styleId="94">
    <w:name w:val="street-address"/>
    <w:basedOn w:val="49"/>
    <w:qFormat/>
    <w:uiPriority w:val="0"/>
  </w:style>
  <w:style w:type="character" w:customStyle="1" w:styleId="95">
    <w:name w:val="locality"/>
    <w:basedOn w:val="49"/>
    <w:qFormat/>
    <w:uiPriority w:val="0"/>
  </w:style>
  <w:style w:type="character" w:customStyle="1" w:styleId="96">
    <w:name w:val="正文文本缩进 Char1"/>
    <w:link w:val="97"/>
    <w:qFormat/>
    <w:uiPriority w:val="0"/>
    <w:rPr>
      <w:rFonts w:ascii="宋体" w:hAnsi="宋体" w:eastAsia="宋体"/>
      <w:sz w:val="24"/>
      <w:szCs w:val="24"/>
      <w:lang w:bidi="ar-SA"/>
    </w:rPr>
  </w:style>
  <w:style w:type="paragraph" w:customStyle="1" w:styleId="97">
    <w:name w:val="正文文本缩进1"/>
    <w:basedOn w:val="1"/>
    <w:link w:val="96"/>
    <w:qFormat/>
    <w:uiPriority w:val="0"/>
    <w:pPr>
      <w:spacing w:line="480" w:lineRule="exact"/>
      <w:ind w:firstLine="480" w:firstLineChars="200"/>
    </w:pPr>
    <w:rPr>
      <w:rFonts w:ascii="宋体" w:hAnsi="宋体"/>
      <w:kern w:val="0"/>
      <w:sz w:val="24"/>
    </w:rPr>
  </w:style>
  <w:style w:type="character" w:customStyle="1" w:styleId="98">
    <w:name w:val="Char Char11"/>
    <w:qFormat/>
    <w:uiPriority w:val="0"/>
    <w:rPr>
      <w:rFonts w:ascii="宋体" w:eastAsia="宋体"/>
      <w:b/>
      <w:sz w:val="24"/>
      <w:u w:val="single"/>
      <w:lang w:val="en-US" w:eastAsia="zh-CN" w:bidi="ar-SA"/>
    </w:rPr>
  </w:style>
  <w:style w:type="character" w:customStyle="1" w:styleId="99">
    <w:name w:val="txt"/>
    <w:basedOn w:val="49"/>
    <w:qFormat/>
    <w:uiPriority w:val="0"/>
  </w:style>
  <w:style w:type="character" w:customStyle="1" w:styleId="100">
    <w:name w:val="正文缩进 Char Char"/>
    <w:link w:val="101"/>
    <w:qFormat/>
    <w:uiPriority w:val="0"/>
    <w:rPr>
      <w:rFonts w:ascii="宋体" w:eastAsia="宋体"/>
      <w:snapToGrid w:val="0"/>
      <w:color w:val="000000"/>
      <w:kern w:val="28"/>
      <w:sz w:val="28"/>
      <w:lang w:bidi="ar-SA"/>
    </w:rPr>
  </w:style>
  <w:style w:type="paragraph" w:customStyle="1" w:styleId="101">
    <w:name w:val="正文缩进1"/>
    <w:basedOn w:val="1"/>
    <w:link w:val="100"/>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2">
    <w:name w:val="普通文字1 Char1"/>
    <w:qFormat/>
    <w:uiPriority w:val="0"/>
    <w:rPr>
      <w:rFonts w:ascii="宋体" w:hAnsi="Courier New" w:eastAsia="宋体"/>
      <w:kern w:val="2"/>
      <w:sz w:val="21"/>
      <w:lang w:val="en-US" w:eastAsia="zh-CN" w:bidi="ar-SA"/>
    </w:rPr>
  </w:style>
  <w:style w:type="character" w:customStyle="1" w:styleId="103">
    <w:name w:val="chanpin1"/>
    <w:qFormat/>
    <w:uiPriority w:val="0"/>
    <w:rPr>
      <w:rFonts w:hint="default" w:ascii="ˎ̥" w:hAnsi="ˎ̥"/>
      <w:color w:val="000000"/>
      <w:sz w:val="20"/>
      <w:szCs w:val="20"/>
      <w:u w:val="none"/>
    </w:rPr>
  </w:style>
  <w:style w:type="character" w:customStyle="1" w:styleId="104">
    <w:name w:val="列表段落 字符"/>
    <w:link w:val="105"/>
    <w:qFormat/>
    <w:uiPriority w:val="34"/>
    <w:rPr>
      <w:rFonts w:ascii="Calibri" w:hAnsi="Calibri" w:eastAsia="宋体"/>
      <w:kern w:val="2"/>
      <w:sz w:val="21"/>
      <w:szCs w:val="22"/>
      <w:lang w:val="en-US" w:eastAsia="zh-CN" w:bidi="ar-SA"/>
    </w:rPr>
  </w:style>
  <w:style w:type="paragraph" w:styleId="105">
    <w:name w:val="List Paragraph"/>
    <w:basedOn w:val="1"/>
    <w:link w:val="104"/>
    <w:qFormat/>
    <w:uiPriority w:val="34"/>
    <w:pPr>
      <w:ind w:firstLine="420" w:firstLineChars="200"/>
    </w:pPr>
    <w:rPr>
      <w:rFonts w:ascii="Calibri" w:hAnsi="Calibri"/>
      <w:szCs w:val="22"/>
    </w:rPr>
  </w:style>
  <w:style w:type="character" w:customStyle="1" w:styleId="106">
    <w:name w:val="标题 3 Char Char"/>
    <w:qFormat/>
    <w:uiPriority w:val="0"/>
    <w:rPr>
      <w:rFonts w:eastAsia="宋体"/>
      <w:b/>
      <w:bCs/>
      <w:kern w:val="2"/>
      <w:sz w:val="32"/>
      <w:szCs w:val="32"/>
      <w:lang w:val="en-US" w:eastAsia="zh-CN" w:bidi="ar-SA"/>
    </w:rPr>
  </w:style>
  <w:style w:type="character" w:customStyle="1" w:styleId="107">
    <w:name w:val="段1 Char"/>
    <w:qFormat/>
    <w:uiPriority w:val="0"/>
    <w:rPr>
      <w:rFonts w:ascii="宋体" w:eastAsia="宋体"/>
      <w:sz w:val="24"/>
      <w:lang w:val="en-US" w:eastAsia="zh-CN" w:bidi="ar-SA"/>
    </w:rPr>
  </w:style>
  <w:style w:type="character" w:customStyle="1" w:styleId="108">
    <w:name w:val="chanpin拷贝"/>
    <w:basedOn w:val="49"/>
    <w:qFormat/>
    <w:uiPriority w:val="0"/>
  </w:style>
  <w:style w:type="character" w:customStyle="1" w:styleId="109">
    <w:name w:val="纯文本 Char1"/>
    <w:qFormat/>
    <w:uiPriority w:val="0"/>
    <w:rPr>
      <w:rFonts w:ascii="宋体" w:hAnsi="Courier New" w:eastAsia="宋体"/>
      <w:kern w:val="2"/>
      <w:sz w:val="21"/>
      <w:lang w:val="en-US" w:eastAsia="zh-CN" w:bidi="ar-SA"/>
    </w:rPr>
  </w:style>
  <w:style w:type="character" w:customStyle="1" w:styleId="110">
    <w:name w:val="apple-style-span"/>
    <w:qFormat/>
    <w:uiPriority w:val="0"/>
    <w:rPr>
      <w:rFonts w:cs="Times New Roman"/>
    </w:rPr>
  </w:style>
  <w:style w:type="paragraph" w:customStyle="1" w:styleId="111">
    <w:name w:val="二级条标题"/>
    <w:basedOn w:val="112"/>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12">
    <w:name w:val="一级条标题"/>
    <w:basedOn w:val="113"/>
    <w:next w:val="1"/>
    <w:qFormat/>
    <w:uiPriority w:val="0"/>
    <w:pPr>
      <w:numPr>
        <w:ilvl w:val="1"/>
      </w:numPr>
      <w:tabs>
        <w:tab w:val="left" w:pos="360"/>
        <w:tab w:val="left" w:pos="840"/>
      </w:tabs>
      <w:ind w:left="0" w:hanging="840"/>
      <w:outlineLvl w:val="1"/>
    </w:pPr>
  </w:style>
  <w:style w:type="paragraph" w:customStyle="1" w:styleId="11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15">
    <w:name w:val="字元 字元"/>
    <w:basedOn w:val="1"/>
    <w:qFormat/>
    <w:uiPriority w:val="0"/>
    <w:rPr>
      <w:rFonts w:ascii="Tahoma" w:hAnsi="Tahoma"/>
      <w:sz w:val="24"/>
      <w:szCs w:val="20"/>
    </w:rPr>
  </w:style>
  <w:style w:type="paragraph" w:customStyle="1" w:styleId="116">
    <w:name w:val="Char3 Char Char Char"/>
    <w:basedOn w:val="1"/>
    <w:qFormat/>
    <w:uiPriority w:val="0"/>
    <w:rPr>
      <w:rFonts w:ascii="Tahoma" w:hAnsi="Tahoma"/>
      <w:sz w:val="24"/>
      <w:szCs w:val="20"/>
    </w:rPr>
  </w:style>
  <w:style w:type="paragraph" w:customStyle="1" w:styleId="11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8">
    <w:name w:val="项目编号2"/>
    <w:basedOn w:val="119"/>
    <w:qFormat/>
    <w:uiPriority w:val="0"/>
    <w:pPr>
      <w:numPr>
        <w:numId w:val="2"/>
      </w:numPr>
    </w:pPr>
  </w:style>
  <w:style w:type="paragraph" w:customStyle="1" w:styleId="11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20">
    <w:name w:val="图中文字"/>
    <w:basedOn w:val="1"/>
    <w:qFormat/>
    <w:uiPriority w:val="0"/>
    <w:pPr>
      <w:adjustRightInd w:val="0"/>
      <w:snapToGrid w:val="0"/>
      <w:spacing w:line="0" w:lineRule="atLeast"/>
      <w:jc w:val="center"/>
    </w:pPr>
    <w:rPr>
      <w:sz w:val="24"/>
      <w:szCs w:val="20"/>
    </w:rPr>
  </w:style>
  <w:style w:type="paragraph" w:customStyle="1" w:styleId="12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3">
    <w:name w:val="Char2"/>
    <w:basedOn w:val="1"/>
    <w:qFormat/>
    <w:uiPriority w:val="0"/>
    <w:rPr>
      <w:rFonts w:ascii="Tahoma" w:hAnsi="Tahoma"/>
      <w:sz w:val="24"/>
      <w:szCs w:val="20"/>
    </w:rPr>
  </w:style>
  <w:style w:type="paragraph" w:customStyle="1" w:styleId="12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3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3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7">
    <w:name w:val="font8"/>
    <w:basedOn w:val="1"/>
    <w:qFormat/>
    <w:uiPriority w:val="0"/>
    <w:pPr>
      <w:widowControl/>
      <w:spacing w:before="100" w:beforeAutospacing="1" w:after="100" w:afterAutospacing="1"/>
      <w:jc w:val="left"/>
    </w:pPr>
    <w:rPr>
      <w:kern w:val="0"/>
      <w:sz w:val="36"/>
      <w:szCs w:val="36"/>
    </w:rPr>
  </w:style>
  <w:style w:type="paragraph" w:customStyle="1" w:styleId="138">
    <w:name w:val="Char"/>
    <w:basedOn w:val="1"/>
    <w:qFormat/>
    <w:uiPriority w:val="0"/>
    <w:pPr>
      <w:tabs>
        <w:tab w:val="left" w:pos="360"/>
      </w:tabs>
    </w:pPr>
    <w:rPr>
      <w:sz w:val="24"/>
    </w:rPr>
  </w:style>
  <w:style w:type="paragraph" w:customStyle="1" w:styleId="13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4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1"/>
    <w:basedOn w:val="14"/>
    <w:qFormat/>
    <w:uiPriority w:val="0"/>
    <w:rPr>
      <w:rFonts w:ascii="Tahoma" w:hAnsi="Tahoma"/>
      <w:sz w:val="24"/>
    </w:rPr>
  </w:style>
  <w:style w:type="paragraph" w:customStyle="1" w:styleId="14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47">
    <w:name w:val="Char1 Char Char Char1"/>
    <w:basedOn w:val="1"/>
    <w:qFormat/>
    <w:uiPriority w:val="0"/>
    <w:rPr>
      <w:rFonts w:ascii="Tahoma" w:hAnsi="Tahoma" w:cs="仿宋_GB2312"/>
      <w:sz w:val="24"/>
      <w:szCs w:val="28"/>
    </w:rPr>
  </w:style>
  <w:style w:type="paragraph" w:customStyle="1" w:styleId="148">
    <w:name w:val="四级条标题"/>
    <w:basedOn w:val="149"/>
    <w:next w:val="1"/>
    <w:qFormat/>
    <w:uiPriority w:val="0"/>
    <w:pPr>
      <w:numPr>
        <w:ilvl w:val="4"/>
      </w:numPr>
      <w:tabs>
        <w:tab w:val="left" w:pos="360"/>
        <w:tab w:val="left" w:pos="840"/>
      </w:tabs>
      <w:ind w:left="0" w:hanging="840"/>
      <w:outlineLvl w:val="4"/>
    </w:pPr>
  </w:style>
  <w:style w:type="paragraph" w:customStyle="1" w:styleId="149">
    <w:name w:val="三级条标题"/>
    <w:basedOn w:val="111"/>
    <w:next w:val="1"/>
    <w:qFormat/>
    <w:uiPriority w:val="0"/>
    <w:pPr>
      <w:numPr>
        <w:ilvl w:val="3"/>
        <w:numId w:val="1"/>
      </w:numPr>
      <w:ind w:left="0" w:hanging="840"/>
      <w:outlineLvl w:val="3"/>
    </w:pPr>
  </w:style>
  <w:style w:type="paragraph" w:customStyle="1" w:styleId="15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1">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2">
    <w:name w:val="List Paragraph1"/>
    <w:basedOn w:val="1"/>
    <w:qFormat/>
    <w:uiPriority w:val="0"/>
    <w:pPr>
      <w:ind w:firstLine="420" w:firstLineChars="200"/>
    </w:pPr>
    <w:rPr>
      <w:rFonts w:ascii="Calibri" w:hAnsi="Calibri"/>
      <w:szCs w:val="22"/>
    </w:rPr>
  </w:style>
  <w:style w:type="paragraph" w:customStyle="1" w:styleId="153">
    <w:name w:val="项目符号1"/>
    <w:basedOn w:val="154"/>
    <w:qFormat/>
    <w:uiPriority w:val="0"/>
    <w:pPr>
      <w:ind w:left="-25" w:firstLine="0"/>
    </w:pPr>
  </w:style>
  <w:style w:type="paragraph" w:customStyle="1" w:styleId="154">
    <w:name w:val="正文文本样式"/>
    <w:basedOn w:val="1"/>
    <w:qFormat/>
    <w:uiPriority w:val="0"/>
    <w:pPr>
      <w:spacing w:line="360" w:lineRule="auto"/>
      <w:ind w:firstLine="482"/>
    </w:pPr>
    <w:rPr>
      <w:rFonts w:cs="宋体"/>
      <w:sz w:val="24"/>
      <w:szCs w:val="20"/>
    </w:rPr>
  </w:style>
  <w:style w:type="paragraph" w:customStyle="1" w:styleId="15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7">
    <w:name w:val="五级条标题"/>
    <w:basedOn w:val="148"/>
    <w:next w:val="1"/>
    <w:qFormat/>
    <w:uiPriority w:val="0"/>
    <w:pPr>
      <w:numPr>
        <w:ilvl w:val="5"/>
      </w:numPr>
      <w:ind w:left="0" w:hanging="840"/>
      <w:outlineLvl w:val="5"/>
    </w:pPr>
  </w:style>
  <w:style w:type="paragraph" w:customStyle="1" w:styleId="15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9">
    <w:name w:val="文档正文"/>
    <w:basedOn w:val="1"/>
    <w:qFormat/>
    <w:uiPriority w:val="0"/>
    <w:pPr>
      <w:snapToGrid w:val="0"/>
      <w:spacing w:before="120" w:after="120" w:line="180" w:lineRule="auto"/>
    </w:pPr>
    <w:rPr>
      <w:rFonts w:ascii="Arial" w:hAnsi="Arial"/>
      <w:szCs w:val="20"/>
    </w:rPr>
  </w:style>
  <w:style w:type="paragraph" w:customStyle="1" w:styleId="16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2">
    <w:name w:val="Char Char Char1 Char"/>
    <w:basedOn w:val="1"/>
    <w:qFormat/>
    <w:uiPriority w:val="0"/>
    <w:rPr>
      <w:rFonts w:ascii="Tahoma" w:hAnsi="Tahoma"/>
      <w:sz w:val="24"/>
      <w:szCs w:val="20"/>
    </w:rPr>
  </w:style>
  <w:style w:type="paragraph" w:customStyle="1" w:styleId="16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4">
    <w:name w:val="1名"/>
    <w:basedOn w:val="1"/>
    <w:qFormat/>
    <w:uiPriority w:val="0"/>
    <w:pPr>
      <w:numPr>
        <w:ilvl w:val="0"/>
        <w:numId w:val="5"/>
      </w:numPr>
      <w:spacing w:before="120"/>
    </w:pPr>
    <w:rPr>
      <w:rFonts w:ascii="宋体"/>
      <w:sz w:val="28"/>
      <w:szCs w:val="20"/>
    </w:rPr>
  </w:style>
  <w:style w:type="paragraph" w:customStyle="1" w:styleId="16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6">
    <w:name w:val="Char Char Char1 Char1"/>
    <w:basedOn w:val="1"/>
    <w:qFormat/>
    <w:uiPriority w:val="0"/>
    <w:rPr>
      <w:rFonts w:ascii="Tahoma" w:hAnsi="Tahoma"/>
      <w:sz w:val="24"/>
      <w:szCs w:val="20"/>
    </w:rPr>
  </w:style>
  <w:style w:type="paragraph" w:customStyle="1" w:styleId="167">
    <w:name w:val="Char Char Char Char Char Char Char Char Char Char"/>
    <w:basedOn w:val="1"/>
    <w:qFormat/>
    <w:uiPriority w:val="0"/>
  </w:style>
  <w:style w:type="paragraph" w:customStyle="1" w:styleId="16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9">
    <w:name w:val="Char1"/>
    <w:basedOn w:val="1"/>
    <w:qFormat/>
    <w:uiPriority w:val="0"/>
    <w:pPr>
      <w:tabs>
        <w:tab w:val="left" w:pos="360"/>
      </w:tabs>
    </w:pPr>
    <w:rPr>
      <w:sz w:val="24"/>
    </w:rPr>
  </w:style>
  <w:style w:type="paragraph" w:customStyle="1" w:styleId="17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3">
    <w:name w:val="默认段落字体 Para Char Char Char Char"/>
    <w:basedOn w:val="1"/>
    <w:qFormat/>
    <w:uiPriority w:val="0"/>
    <w:rPr>
      <w:rFonts w:ascii="Arial" w:hAnsi="Arial" w:cs="Arial"/>
      <w:szCs w:val="21"/>
    </w:rPr>
  </w:style>
  <w:style w:type="paragraph" w:customStyle="1" w:styleId="17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7">
    <w:name w:val="Char Char Char"/>
    <w:basedOn w:val="1"/>
    <w:qFormat/>
    <w:uiPriority w:val="0"/>
    <w:rPr>
      <w:rFonts w:ascii="Tahoma" w:hAnsi="Tahoma"/>
      <w:sz w:val="24"/>
      <w:szCs w:val="20"/>
    </w:rPr>
  </w:style>
  <w:style w:type="paragraph" w:customStyle="1" w:styleId="17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9">
    <w:name w:val="缺省文本"/>
    <w:basedOn w:val="1"/>
    <w:qFormat/>
    <w:uiPriority w:val="0"/>
    <w:pPr>
      <w:autoSpaceDE w:val="0"/>
      <w:autoSpaceDN w:val="0"/>
      <w:adjustRightInd w:val="0"/>
      <w:jc w:val="left"/>
    </w:pPr>
    <w:rPr>
      <w:kern w:val="0"/>
      <w:sz w:val="24"/>
    </w:rPr>
  </w:style>
  <w:style w:type="paragraph" w:customStyle="1" w:styleId="180">
    <w:name w:val="Char Char Char1"/>
    <w:basedOn w:val="1"/>
    <w:qFormat/>
    <w:uiPriority w:val="0"/>
    <w:rPr>
      <w:rFonts w:ascii="Tahoma" w:hAnsi="Tahoma"/>
      <w:sz w:val="24"/>
      <w:szCs w:val="20"/>
    </w:rPr>
  </w:style>
  <w:style w:type="paragraph" w:customStyle="1" w:styleId="18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8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3">
    <w:name w:val="样式2"/>
    <w:basedOn w:val="41"/>
    <w:qFormat/>
    <w:uiPriority w:val="0"/>
    <w:pPr>
      <w:spacing w:line="360" w:lineRule="auto"/>
      <w:jc w:val="center"/>
    </w:pPr>
    <w:rPr>
      <w:sz w:val="24"/>
    </w:rPr>
  </w:style>
  <w:style w:type="paragraph" w:customStyle="1" w:styleId="18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6">
    <w:name w:val="正文 + 楷体_GB2312"/>
    <w:basedOn w:val="1"/>
    <w:qFormat/>
    <w:uiPriority w:val="0"/>
    <w:pPr>
      <w:widowControl/>
      <w:jc w:val="left"/>
    </w:pPr>
    <w:rPr>
      <w:rFonts w:ascii="楷体_GB2312" w:eastAsia="楷体_GB2312" w:cs="Arial"/>
      <w:kern w:val="0"/>
      <w:sz w:val="24"/>
    </w:rPr>
  </w:style>
  <w:style w:type="paragraph" w:customStyle="1" w:styleId="18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8">
    <w:name w:val="1 Char Char Char Char"/>
    <w:basedOn w:val="1"/>
    <w:qFormat/>
    <w:uiPriority w:val="0"/>
    <w:rPr>
      <w:rFonts w:ascii="Tahoma" w:hAnsi="Tahoma"/>
      <w:sz w:val="24"/>
      <w:szCs w:val="20"/>
    </w:rPr>
  </w:style>
  <w:style w:type="paragraph" w:customStyle="1" w:styleId="189">
    <w:name w:val="列出段落1"/>
    <w:basedOn w:val="1"/>
    <w:qFormat/>
    <w:uiPriority w:val="0"/>
    <w:pPr>
      <w:ind w:firstLine="420" w:firstLineChars="200"/>
    </w:pPr>
    <w:rPr>
      <w:rFonts w:ascii="Calibri" w:hAnsi="Calibri"/>
      <w:szCs w:val="22"/>
    </w:rPr>
  </w:style>
  <w:style w:type="paragraph" w:customStyle="1" w:styleId="19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91">
    <w:name w:val="字元 字元1"/>
    <w:basedOn w:val="1"/>
    <w:qFormat/>
    <w:uiPriority w:val="0"/>
    <w:rPr>
      <w:rFonts w:ascii="Tahoma" w:hAnsi="Tahoma"/>
      <w:sz w:val="24"/>
      <w:szCs w:val="20"/>
    </w:rPr>
  </w:style>
  <w:style w:type="paragraph" w:customStyle="1" w:styleId="192">
    <w:name w:val="_Style 160"/>
    <w:qFormat/>
    <w:uiPriority w:val="0"/>
    <w:rPr>
      <w:rFonts w:ascii="Times New Roman" w:hAnsi="Times New Roman" w:eastAsia="宋体" w:cs="Times New Roman"/>
      <w:kern w:val="2"/>
      <w:sz w:val="21"/>
      <w:szCs w:val="24"/>
      <w:lang w:val="en-US" w:eastAsia="zh-CN" w:bidi="ar-SA"/>
    </w:rPr>
  </w:style>
  <w:style w:type="paragraph" w:customStyle="1" w:styleId="193">
    <w:name w:val="项目编号3"/>
    <w:basedOn w:val="154"/>
    <w:qFormat/>
    <w:uiPriority w:val="0"/>
    <w:pPr>
      <w:numPr>
        <w:ilvl w:val="0"/>
        <w:numId w:val="6"/>
      </w:numPr>
    </w:pPr>
  </w:style>
  <w:style w:type="paragraph" w:customStyle="1" w:styleId="194">
    <w:name w:val="Char21"/>
    <w:basedOn w:val="1"/>
    <w:qFormat/>
    <w:uiPriority w:val="0"/>
    <w:rPr>
      <w:rFonts w:ascii="Tahoma" w:hAnsi="Tahoma"/>
      <w:sz w:val="24"/>
      <w:szCs w:val="20"/>
    </w:rPr>
  </w:style>
  <w:style w:type="paragraph" w:customStyle="1" w:styleId="195">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96">
    <w:name w:val="Char Char Char Char Char Char Char Char Char Char1"/>
    <w:basedOn w:val="1"/>
    <w:qFormat/>
    <w:uiPriority w:val="0"/>
    <w:rPr>
      <w:rFonts w:ascii="宋体" w:hAnsi="宋体" w:cs="Courier New"/>
      <w:sz w:val="32"/>
      <w:szCs w:val="32"/>
    </w:rPr>
  </w:style>
  <w:style w:type="paragraph" w:customStyle="1" w:styleId="197">
    <w:name w:val="正文文本样式 加粗"/>
    <w:basedOn w:val="154"/>
    <w:qFormat/>
    <w:uiPriority w:val="0"/>
    <w:rPr>
      <w:b/>
    </w:rPr>
  </w:style>
  <w:style w:type="paragraph" w:customStyle="1" w:styleId="198">
    <w:name w:val="Char2 Char Char Char Char Char Char"/>
    <w:basedOn w:val="1"/>
    <w:qFormat/>
    <w:uiPriority w:val="0"/>
    <w:pPr>
      <w:widowControl/>
      <w:spacing w:line="400" w:lineRule="exact"/>
      <w:jc w:val="center"/>
    </w:pPr>
  </w:style>
  <w:style w:type="paragraph" w:customStyle="1" w:styleId="199">
    <w:name w:val="Char Char4"/>
    <w:basedOn w:val="1"/>
    <w:qFormat/>
    <w:uiPriority w:val="0"/>
    <w:pPr>
      <w:widowControl/>
      <w:spacing w:line="400" w:lineRule="exact"/>
      <w:jc w:val="center"/>
    </w:pPr>
  </w:style>
  <w:style w:type="paragraph" w:customStyle="1" w:styleId="200">
    <w:name w:val="Char3 Char Char Char1"/>
    <w:basedOn w:val="1"/>
    <w:qFormat/>
    <w:uiPriority w:val="0"/>
    <w:rPr>
      <w:rFonts w:ascii="Tahoma" w:hAnsi="Tahoma"/>
      <w:sz w:val="24"/>
      <w:szCs w:val="20"/>
    </w:rPr>
  </w:style>
  <w:style w:type="paragraph" w:customStyle="1" w:styleId="20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02">
    <w:name w:val="中等深浅网格 1 - 强调文字颜色 2 Char"/>
    <w:link w:val="203"/>
    <w:qFormat/>
    <w:uiPriority w:val="0"/>
    <w:rPr>
      <w:kern w:val="2"/>
      <w:sz w:val="21"/>
      <w:szCs w:val="24"/>
      <w:lang w:val="zh-CN" w:eastAsia="zh-CN"/>
    </w:rPr>
  </w:style>
  <w:style w:type="paragraph" w:customStyle="1" w:styleId="203">
    <w:name w:val="1"/>
    <w:link w:val="202"/>
    <w:qFormat/>
    <w:uiPriority w:val="0"/>
    <w:rPr>
      <w:rFonts w:ascii="Times New Roman" w:hAnsi="Times New Roman" w:eastAsia="宋体" w:cs="Times New Roman"/>
      <w:kern w:val="2"/>
      <w:sz w:val="21"/>
      <w:szCs w:val="24"/>
      <w:lang w:val="zh-CN" w:eastAsia="zh-CN" w:bidi="ar-SA"/>
    </w:rPr>
  </w:style>
  <w:style w:type="paragraph" w:customStyle="1" w:styleId="204">
    <w:name w:val="图文"/>
    <w:basedOn w:val="1"/>
    <w:qFormat/>
    <w:uiPriority w:val="0"/>
    <w:pPr>
      <w:adjustRightInd w:val="0"/>
      <w:snapToGrid w:val="0"/>
      <w:spacing w:after="50" w:line="360" w:lineRule="auto"/>
    </w:pPr>
    <w:rPr>
      <w:sz w:val="24"/>
    </w:rPr>
  </w:style>
  <w:style w:type="paragraph" w:customStyle="1" w:styleId="20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6">
    <w:name w:val="正文表格"/>
    <w:basedOn w:val="1"/>
    <w:link w:val="207"/>
    <w:qFormat/>
    <w:uiPriority w:val="0"/>
    <w:pPr>
      <w:adjustRightInd w:val="0"/>
      <w:snapToGrid w:val="0"/>
      <w:jc w:val="left"/>
    </w:pPr>
    <w:rPr>
      <w:rFonts w:ascii="宋体" w:hAnsi="宋体"/>
      <w:color w:val="000000"/>
      <w:szCs w:val="21"/>
    </w:rPr>
  </w:style>
  <w:style w:type="character" w:customStyle="1" w:styleId="207">
    <w:name w:val="正文表格 Char"/>
    <w:link w:val="206"/>
    <w:qFormat/>
    <w:uiPriority w:val="0"/>
    <w:rPr>
      <w:rFonts w:ascii="宋体" w:hAnsi="宋体"/>
      <w:color w:val="000000"/>
      <w:kern w:val="2"/>
      <w:sz w:val="21"/>
      <w:szCs w:val="21"/>
    </w:rPr>
  </w:style>
  <w:style w:type="paragraph" w:customStyle="1" w:styleId="208">
    <w:name w:val="正文重点"/>
    <w:basedOn w:val="1"/>
    <w:link w:val="209"/>
    <w:qFormat/>
    <w:uiPriority w:val="0"/>
    <w:pPr>
      <w:adjustRightInd w:val="0"/>
      <w:spacing w:line="360" w:lineRule="auto"/>
      <w:ind w:firstLine="482" w:firstLineChars="200"/>
      <w:jc w:val="left"/>
      <w:textAlignment w:val="baseline"/>
    </w:pPr>
    <w:rPr>
      <w:b/>
      <w:kern w:val="0"/>
      <w:sz w:val="24"/>
      <w:szCs w:val="20"/>
    </w:rPr>
  </w:style>
  <w:style w:type="character" w:customStyle="1" w:styleId="209">
    <w:name w:val="正文重点 Char"/>
    <w:link w:val="208"/>
    <w:qFormat/>
    <w:uiPriority w:val="0"/>
    <w:rPr>
      <w:b/>
      <w:sz w:val="24"/>
    </w:rPr>
  </w:style>
  <w:style w:type="paragraph" w:customStyle="1" w:styleId="210">
    <w:name w:val="标题1-附件"/>
    <w:basedOn w:val="2"/>
    <w:qFormat/>
    <w:uiPriority w:val="0"/>
    <w:pPr>
      <w:jc w:val="left"/>
    </w:pPr>
    <w:rPr>
      <w:sz w:val="24"/>
      <w:szCs w:val="24"/>
    </w:rPr>
  </w:style>
  <w:style w:type="paragraph" w:customStyle="1" w:styleId="211">
    <w:name w:val="正文小标题"/>
    <w:basedOn w:val="1"/>
    <w:next w:val="5"/>
    <w:link w:val="212"/>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12">
    <w:name w:val="正文小标题 Char"/>
    <w:link w:val="211"/>
    <w:qFormat/>
    <w:uiPriority w:val="0"/>
    <w:rPr>
      <w:rFonts w:ascii="宋体" w:hAnsi="宋体"/>
      <w:b/>
      <w:i/>
      <w:color w:val="FF0000"/>
      <w:kern w:val="2"/>
      <w:sz w:val="24"/>
    </w:rPr>
  </w:style>
  <w:style w:type="paragraph" w:customStyle="1" w:styleId="213">
    <w:name w:val="正文大标题"/>
    <w:basedOn w:val="211"/>
    <w:next w:val="5"/>
    <w:link w:val="214"/>
    <w:qFormat/>
    <w:uiPriority w:val="0"/>
    <w:pPr>
      <w:jc w:val="center"/>
    </w:pPr>
    <w:rPr>
      <w:i w:val="0"/>
      <w:color w:val="000000"/>
      <w:sz w:val="28"/>
      <w:szCs w:val="21"/>
    </w:rPr>
  </w:style>
  <w:style w:type="character" w:customStyle="1" w:styleId="214">
    <w:name w:val="正文大标题 Char"/>
    <w:link w:val="213"/>
    <w:qFormat/>
    <w:uiPriority w:val="0"/>
    <w:rPr>
      <w:rFonts w:ascii="宋体" w:hAnsi="宋体"/>
      <w:b/>
      <w:color w:val="000000"/>
      <w:kern w:val="2"/>
      <w:sz w:val="28"/>
      <w:szCs w:val="21"/>
    </w:rPr>
  </w:style>
  <w:style w:type="paragraph" w:customStyle="1" w:styleId="215">
    <w:name w:val="注释"/>
    <w:basedOn w:val="1"/>
    <w:link w:val="216"/>
    <w:qFormat/>
    <w:uiPriority w:val="0"/>
    <w:pPr>
      <w:adjustRightInd w:val="0"/>
      <w:snapToGrid w:val="0"/>
      <w:ind w:left="420" w:hanging="420" w:hangingChars="200"/>
      <w:jc w:val="left"/>
    </w:pPr>
    <w:rPr>
      <w:rFonts w:ascii="宋体" w:hAnsi="宋体"/>
      <w:szCs w:val="21"/>
    </w:rPr>
  </w:style>
  <w:style w:type="character" w:customStyle="1" w:styleId="216">
    <w:name w:val="注释 Char"/>
    <w:link w:val="215"/>
    <w:qFormat/>
    <w:uiPriority w:val="0"/>
    <w:rPr>
      <w:rFonts w:ascii="宋体" w:hAnsi="宋体"/>
      <w:kern w:val="2"/>
      <w:sz w:val="21"/>
      <w:szCs w:val="21"/>
    </w:rPr>
  </w:style>
  <w:style w:type="paragraph" w:customStyle="1" w:styleId="217">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8">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9">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20">
    <w:name w:val="纯文本 字符"/>
    <w:qFormat/>
    <w:uiPriority w:val="99"/>
    <w:rPr>
      <w:rFonts w:ascii="宋体" w:hAnsi="Courier New" w:eastAsia="宋体" w:cs="Times New Roman"/>
      <w:kern w:val="2"/>
      <w:sz w:val="21"/>
      <w:szCs w:val="21"/>
      <w:lang w:val="en-US" w:eastAsia="zh-CN" w:bidi="ar-SA"/>
    </w:rPr>
  </w:style>
  <w:style w:type="paragraph" w:customStyle="1" w:styleId="221">
    <w:name w:val="表格1"/>
    <w:basedOn w:val="1"/>
    <w:qFormat/>
    <w:uiPriority w:val="0"/>
    <w:pPr>
      <w:ind w:firstLine="480" w:firstLineChars="200"/>
      <w:jc w:val="center"/>
    </w:pPr>
    <w:rPr>
      <w:sz w:val="24"/>
      <w:szCs w:val="20"/>
    </w:rPr>
  </w:style>
  <w:style w:type="character" w:customStyle="1" w:styleId="222">
    <w:name w:val="纯文本 字符1"/>
    <w:qFormat/>
    <w:uiPriority w:val="0"/>
    <w:rPr>
      <w:rFonts w:ascii="宋体" w:hAnsi="Courier New"/>
    </w:rPr>
  </w:style>
  <w:style w:type="character" w:customStyle="1" w:styleId="223">
    <w:name w:val="bjh-p"/>
    <w:qFormat/>
    <w:uiPriority w:val="0"/>
  </w:style>
  <w:style w:type="paragraph" w:customStyle="1" w:styleId="224">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25">
    <w:name w:val="正文格式 Char"/>
    <w:link w:val="226"/>
    <w:qFormat/>
    <w:locked/>
    <w:uiPriority w:val="0"/>
    <w:rPr>
      <w:rFonts w:ascii="宋体" w:hAnsi="宋体"/>
      <w:sz w:val="24"/>
      <w:szCs w:val="24"/>
      <w:lang w:val="en-GB"/>
    </w:rPr>
  </w:style>
  <w:style w:type="paragraph" w:customStyle="1" w:styleId="226">
    <w:name w:val="正文格式"/>
    <w:basedOn w:val="1"/>
    <w:link w:val="225"/>
    <w:qFormat/>
    <w:uiPriority w:val="0"/>
    <w:pPr>
      <w:spacing w:beforeLines="50" w:line="360" w:lineRule="auto"/>
      <w:ind w:firstLine="480" w:firstLineChars="200"/>
    </w:pPr>
    <w:rPr>
      <w:rFonts w:ascii="宋体" w:hAnsi="宋体"/>
      <w:kern w:val="0"/>
      <w:sz w:val="24"/>
      <w:lang w:val="en-GB"/>
    </w:rPr>
  </w:style>
  <w:style w:type="character" w:customStyle="1" w:styleId="227">
    <w:name w:val="标题 3 Char"/>
    <w:qFormat/>
    <w:uiPriority w:val="0"/>
    <w:rPr>
      <w:rFonts w:ascii="宋体" w:eastAsia="宋体"/>
      <w:b/>
      <w:sz w:val="24"/>
      <w:u w:val="single"/>
      <w:lang w:val="en-US" w:eastAsia="zh-CN" w:bidi="ar-SA"/>
    </w:rPr>
  </w:style>
  <w:style w:type="character" w:customStyle="1" w:styleId="228">
    <w:name w:val="正文缩进 Char"/>
    <w:qFormat/>
    <w:uiPriority w:val="0"/>
    <w:rPr>
      <w:rFonts w:ascii="宋体" w:eastAsia="宋体"/>
      <w:kern w:val="2"/>
      <w:sz w:val="24"/>
      <w:szCs w:val="24"/>
      <w:lang w:val="en-US" w:eastAsia="zh-CN" w:bidi="ar-SA"/>
    </w:rPr>
  </w:style>
  <w:style w:type="character" w:customStyle="1" w:styleId="229">
    <w:name w:val="Char Char111"/>
    <w:qFormat/>
    <w:uiPriority w:val="0"/>
    <w:rPr>
      <w:rFonts w:ascii="宋体" w:eastAsia="宋体"/>
      <w:b/>
      <w:sz w:val="24"/>
      <w:u w:val="single"/>
      <w:lang w:val="en-US" w:eastAsia="zh-CN" w:bidi="ar-SA"/>
    </w:rPr>
  </w:style>
  <w:style w:type="character" w:customStyle="1" w:styleId="230">
    <w:name w:val="正文文本缩进 Char"/>
    <w:qFormat/>
    <w:uiPriority w:val="0"/>
    <w:rPr>
      <w:rFonts w:eastAsia="宋体"/>
      <w:kern w:val="2"/>
      <w:sz w:val="24"/>
      <w:szCs w:val="24"/>
      <w:lang w:val="en-US" w:eastAsia="zh-CN" w:bidi="ar-SA"/>
    </w:rPr>
  </w:style>
  <w:style w:type="character" w:customStyle="1" w:styleId="231">
    <w:name w:val="列出段落 Char"/>
    <w:qFormat/>
    <w:uiPriority w:val="0"/>
    <w:rPr>
      <w:rFonts w:ascii="Calibri" w:hAnsi="Calibri" w:eastAsia="宋体"/>
      <w:kern w:val="2"/>
      <w:sz w:val="21"/>
      <w:szCs w:val="22"/>
      <w:lang w:val="en-US" w:eastAsia="zh-CN" w:bidi="ar-SA"/>
    </w:rPr>
  </w:style>
  <w:style w:type="character" w:customStyle="1" w:styleId="232">
    <w:name w:val="页眉 Char"/>
    <w:qFormat/>
    <w:uiPriority w:val="0"/>
    <w:rPr>
      <w:rFonts w:eastAsia="宋体"/>
      <w:kern w:val="2"/>
      <w:sz w:val="18"/>
      <w:szCs w:val="18"/>
      <w:lang w:val="en-US" w:eastAsia="zh-CN" w:bidi="ar-SA"/>
    </w:rPr>
  </w:style>
  <w:style w:type="character" w:customStyle="1" w:styleId="233">
    <w:name w:val="标题 2 Char"/>
    <w:qFormat/>
    <w:uiPriority w:val="0"/>
    <w:rPr>
      <w:rFonts w:ascii="Arial" w:hAnsi="Arial" w:eastAsia="黑体"/>
      <w:b/>
      <w:sz w:val="30"/>
      <w:lang w:val="en-US" w:eastAsia="zh-CN" w:bidi="ar-SA"/>
    </w:rPr>
  </w:style>
  <w:style w:type="paragraph" w:customStyle="1" w:styleId="234">
    <w:name w:val="字元 字元2"/>
    <w:basedOn w:val="1"/>
    <w:qFormat/>
    <w:uiPriority w:val="0"/>
    <w:rPr>
      <w:rFonts w:ascii="Tahoma" w:hAnsi="Tahoma"/>
      <w:sz w:val="24"/>
      <w:szCs w:val="20"/>
    </w:rPr>
  </w:style>
  <w:style w:type="paragraph" w:customStyle="1" w:styleId="235">
    <w:name w:val="Char3 Char Char Char2"/>
    <w:basedOn w:val="1"/>
    <w:qFormat/>
    <w:uiPriority w:val="0"/>
    <w:rPr>
      <w:rFonts w:ascii="Tahoma" w:hAnsi="Tahoma"/>
      <w:sz w:val="24"/>
      <w:szCs w:val="20"/>
    </w:rPr>
  </w:style>
  <w:style w:type="paragraph" w:customStyle="1" w:styleId="23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7">
    <w:name w:val="Char3"/>
    <w:basedOn w:val="1"/>
    <w:qFormat/>
    <w:uiPriority w:val="0"/>
    <w:pPr>
      <w:tabs>
        <w:tab w:val="left" w:pos="360"/>
      </w:tabs>
    </w:pPr>
    <w:rPr>
      <w:sz w:val="24"/>
    </w:rPr>
  </w:style>
  <w:style w:type="paragraph" w:customStyle="1" w:styleId="238">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0">
    <w:name w:val="列出段落2"/>
    <w:basedOn w:val="1"/>
    <w:qFormat/>
    <w:uiPriority w:val="0"/>
    <w:pPr>
      <w:ind w:firstLine="420" w:firstLineChars="200"/>
    </w:pPr>
    <w:rPr>
      <w:rFonts w:ascii="Calibri" w:hAnsi="Calibri"/>
      <w:szCs w:val="22"/>
    </w:rPr>
  </w:style>
  <w:style w:type="paragraph" w:customStyle="1" w:styleId="241">
    <w:name w:val="Char Char Char1 Char2"/>
    <w:basedOn w:val="1"/>
    <w:qFormat/>
    <w:uiPriority w:val="0"/>
    <w:rPr>
      <w:rFonts w:ascii="Tahoma" w:hAnsi="Tahoma"/>
      <w:sz w:val="24"/>
      <w:szCs w:val="20"/>
    </w:rPr>
  </w:style>
  <w:style w:type="paragraph" w:customStyle="1" w:styleId="242">
    <w:name w:val="Char Char Char2"/>
    <w:basedOn w:val="1"/>
    <w:qFormat/>
    <w:uiPriority w:val="0"/>
    <w:rPr>
      <w:rFonts w:ascii="Tahoma" w:hAnsi="Tahoma"/>
      <w:sz w:val="24"/>
      <w:szCs w:val="20"/>
    </w:rPr>
  </w:style>
  <w:style w:type="paragraph" w:customStyle="1" w:styleId="243">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44">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5">
    <w:name w:val="修订1"/>
    <w:qFormat/>
    <w:uiPriority w:val="0"/>
    <w:rPr>
      <w:rFonts w:ascii="Times New Roman" w:hAnsi="Times New Roman" w:eastAsia="宋体" w:cs="Times New Roman"/>
      <w:kern w:val="2"/>
      <w:sz w:val="21"/>
      <w:szCs w:val="24"/>
      <w:lang w:val="en-US" w:eastAsia="zh-CN" w:bidi="ar-SA"/>
    </w:rPr>
  </w:style>
  <w:style w:type="paragraph" w:customStyle="1" w:styleId="246">
    <w:name w:val="Char22"/>
    <w:basedOn w:val="1"/>
    <w:qFormat/>
    <w:uiPriority w:val="0"/>
    <w:rPr>
      <w:rFonts w:ascii="Tahoma" w:hAnsi="Tahoma"/>
      <w:sz w:val="24"/>
      <w:szCs w:val="20"/>
    </w:rPr>
  </w:style>
  <w:style w:type="paragraph" w:customStyle="1" w:styleId="247">
    <w:name w:val="Char Char Char Char Char Char Char Char Char Char2"/>
    <w:basedOn w:val="1"/>
    <w:qFormat/>
    <w:uiPriority w:val="0"/>
    <w:rPr>
      <w:rFonts w:ascii="宋体" w:hAnsi="宋体" w:cs="Courier New"/>
      <w:sz w:val="32"/>
      <w:szCs w:val="32"/>
    </w:rPr>
  </w:style>
  <w:style w:type="paragraph" w:customStyle="1" w:styleId="248">
    <w:name w:val="Char2 Char Char Char Char Char Char1"/>
    <w:basedOn w:val="1"/>
    <w:qFormat/>
    <w:uiPriority w:val="0"/>
    <w:pPr>
      <w:widowControl/>
      <w:spacing w:line="400" w:lineRule="exact"/>
      <w:jc w:val="center"/>
    </w:pPr>
  </w:style>
  <w:style w:type="character" w:customStyle="1" w:styleId="249">
    <w:name w:val="页脚 Char"/>
    <w:qFormat/>
    <w:uiPriority w:val="0"/>
    <w:rPr>
      <w:rFonts w:ascii="宋体" w:eastAsia="宋体"/>
      <w:sz w:val="18"/>
      <w:lang w:val="en-US" w:eastAsia="zh-CN" w:bidi="ar-SA"/>
    </w:rPr>
  </w:style>
  <w:style w:type="paragraph" w:customStyle="1" w:styleId="250">
    <w:name w:val="Char Char41"/>
    <w:basedOn w:val="1"/>
    <w:qFormat/>
    <w:uiPriority w:val="0"/>
    <w:pPr>
      <w:widowControl/>
      <w:spacing w:line="400" w:lineRule="exact"/>
      <w:jc w:val="center"/>
    </w:pPr>
  </w:style>
  <w:style w:type="character" w:customStyle="1" w:styleId="251">
    <w:name w:val="批注文字 Char"/>
    <w:qFormat/>
    <w:uiPriority w:val="99"/>
    <w:rPr>
      <w:kern w:val="2"/>
      <w:sz w:val="21"/>
      <w:szCs w:val="24"/>
    </w:rPr>
  </w:style>
  <w:style w:type="character" w:customStyle="1" w:styleId="252">
    <w:name w:val="标题 Char"/>
    <w:qFormat/>
    <w:uiPriority w:val="0"/>
    <w:rPr>
      <w:b/>
      <w:kern w:val="2"/>
      <w:sz w:val="32"/>
    </w:rPr>
  </w:style>
  <w:style w:type="paragraph" w:customStyle="1" w:styleId="253">
    <w:name w:val="图例"/>
    <w:basedOn w:val="1"/>
    <w:qFormat/>
    <w:uiPriority w:val="0"/>
    <w:pPr>
      <w:spacing w:before="120" w:after="120" w:line="360" w:lineRule="auto"/>
      <w:jc w:val="center"/>
    </w:pPr>
    <w:rPr>
      <w:rFonts w:eastAsia="仿宋_GB2312"/>
      <w:b/>
      <w:sz w:val="24"/>
      <w:szCs w:val="20"/>
    </w:rPr>
  </w:style>
  <w:style w:type="table" w:customStyle="1" w:styleId="254">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5">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56">
    <w:name w:val="表格内容"/>
    <w:basedOn w:val="1"/>
    <w:qFormat/>
    <w:uiPriority w:val="0"/>
    <w:pPr>
      <w:spacing w:line="300" w:lineRule="auto"/>
      <w:ind w:firstLine="50" w:firstLineChars="50"/>
    </w:pPr>
    <w:rPr>
      <w:szCs w:val="21"/>
    </w:rPr>
  </w:style>
  <w:style w:type="paragraph" w:customStyle="1" w:styleId="257">
    <w:name w:val="WW-普通文字"/>
    <w:basedOn w:val="1"/>
    <w:qFormat/>
    <w:uiPriority w:val="0"/>
    <w:pPr>
      <w:suppressAutoHyphens/>
    </w:pPr>
    <w:rPr>
      <w:rFonts w:ascii="宋体" w:hAnsi="宋体"/>
      <w:kern w:val="1"/>
      <w:szCs w:val="20"/>
      <w:lang w:eastAsia="ar-SA"/>
    </w:rPr>
  </w:style>
  <w:style w:type="paragraph" w:customStyle="1" w:styleId="258">
    <w:name w:val="Body text|1"/>
    <w:basedOn w:val="1"/>
    <w:qFormat/>
    <w:uiPriority w:val="0"/>
    <w:pPr>
      <w:spacing w:line="432" w:lineRule="auto"/>
      <w:ind w:firstLine="400"/>
    </w:pPr>
    <w:rPr>
      <w:rFonts w:ascii="宋体" w:hAnsi="宋体" w:cs="宋体"/>
      <w:sz w:val="30"/>
      <w:szCs w:val="30"/>
      <w:lang w:val="zh-TW" w:eastAsia="zh-TW" w:bidi="zh-TW"/>
    </w:rPr>
  </w:style>
  <w:style w:type="paragraph" w:customStyle="1" w:styleId="259">
    <w:name w:val="样式 标题 2 + Times New Roman 四号 非加粗 段前: 5 磅 段后: 0 磅 行距: 固定值 20..."/>
    <w:basedOn w:val="3"/>
    <w:qFormat/>
    <w:uiPriority w:val="0"/>
    <w:pPr>
      <w:spacing w:beforeLines="50" w:afterLines="50" w:line="360" w:lineRule="auto"/>
      <w:jc w:val="both"/>
    </w:pPr>
    <w:rPr>
      <w:rFonts w:hAnsi="Times New Roman" w:cs="宋体"/>
      <w:b w:val="0"/>
      <w:sz w:val="28"/>
    </w:rPr>
  </w:style>
  <w:style w:type="paragraph" w:customStyle="1" w:styleId="260">
    <w:name w:val="样式 标题 3 + (中文) 黑体 小四 非加粗 段前: 7.8 磅 段后: 0 磅 行距: 固定值 20 磅"/>
    <w:basedOn w:val="4"/>
    <w:qFormat/>
    <w:uiPriority w:val="0"/>
    <w:pPr>
      <w:spacing w:before="0" w:after="0" w:line="400" w:lineRule="exact"/>
      <w:jc w:val="both"/>
    </w:pPr>
    <w:rPr>
      <w:rFonts w:ascii="Times New Roman" w:eastAsia="黑体"/>
      <w:b w:val="0"/>
      <w:lang w:eastAsia="en-US"/>
    </w:rPr>
  </w:style>
  <w:style w:type="paragraph" w:customStyle="1" w:styleId="261">
    <w:name w:val="_Style 6"/>
    <w:basedOn w:val="2"/>
    <w:next w:val="1"/>
    <w:qFormat/>
    <w:uiPriority w:val="0"/>
    <w:pPr>
      <w:spacing w:before="120"/>
      <w:ind w:firstLine="600" w:firstLineChars="200"/>
      <w:textAlignment w:val="baseline"/>
      <w:outlineLvl w:val="9"/>
    </w:pPr>
    <w:rPr>
      <w:rFonts w:ascii="华文中宋" w:hAnsi="华文中宋" w:eastAsia="华文中宋"/>
      <w:b w:val="0"/>
      <w:color w:val="000000"/>
      <w:szCs w:val="44"/>
    </w:rPr>
  </w:style>
  <w:style w:type="character" w:customStyle="1" w:styleId="262">
    <w:name w:val="font31"/>
    <w:basedOn w:val="49"/>
    <w:qFormat/>
    <w:uiPriority w:val="0"/>
    <w:rPr>
      <w:rFonts w:hint="eastAsia" w:ascii="宋体" w:hAnsi="宋体" w:eastAsia="宋体" w:cs="宋体"/>
      <w:color w:val="000000"/>
      <w:sz w:val="22"/>
      <w:szCs w:val="22"/>
      <w:u w:val="none"/>
    </w:rPr>
  </w:style>
  <w:style w:type="character" w:customStyle="1" w:styleId="263">
    <w:name w:val="font01"/>
    <w:basedOn w:val="49"/>
    <w:qFormat/>
    <w:uiPriority w:val="0"/>
    <w:rPr>
      <w:rFonts w:hint="eastAsia" w:ascii="宋体" w:hAnsi="宋体" w:eastAsia="宋体" w:cs="宋体"/>
      <w:color w:val="000000"/>
      <w:sz w:val="22"/>
      <w:szCs w:val="22"/>
      <w:u w:val="none"/>
    </w:rPr>
  </w:style>
  <w:style w:type="character" w:customStyle="1" w:styleId="264">
    <w:name w:val="font61"/>
    <w:basedOn w:val="49"/>
    <w:qFormat/>
    <w:uiPriority w:val="0"/>
    <w:rPr>
      <w:rFonts w:hint="eastAsia" w:ascii="宋体" w:hAnsi="宋体" w:eastAsia="宋体" w:cs="宋体"/>
      <w:color w:val="000000"/>
      <w:sz w:val="22"/>
      <w:szCs w:val="22"/>
      <w:u w:val="none"/>
    </w:rPr>
  </w:style>
  <w:style w:type="character" w:customStyle="1" w:styleId="265">
    <w:name w:val="font21"/>
    <w:basedOn w:val="49"/>
    <w:qFormat/>
    <w:uiPriority w:val="0"/>
    <w:rPr>
      <w:rFonts w:hint="eastAsia" w:ascii="宋体" w:hAnsi="宋体" w:eastAsia="宋体" w:cs="宋体"/>
      <w:color w:val="000000"/>
      <w:sz w:val="22"/>
      <w:szCs w:val="22"/>
      <w:u w:val="none"/>
    </w:rPr>
  </w:style>
  <w:style w:type="paragraph" w:customStyle="1" w:styleId="266">
    <w:name w:val="列出段落"/>
    <w:basedOn w:val="1"/>
    <w:qFormat/>
    <w:uiPriority w:val="34"/>
    <w:pPr>
      <w:ind w:firstLine="420" w:firstLineChars="200"/>
    </w:pPr>
  </w:style>
  <w:style w:type="character" w:customStyle="1" w:styleId="267">
    <w:name w:val="font11"/>
    <w:basedOn w:val="49"/>
    <w:qFormat/>
    <w:uiPriority w:val="0"/>
    <w:rPr>
      <w:rFonts w:hint="default" w:ascii="Arial" w:hAnsi="Arial" w:cs="Arial"/>
      <w:color w:val="000000"/>
      <w:sz w:val="20"/>
      <w:szCs w:val="20"/>
      <w:u w:val="none"/>
    </w:rPr>
  </w:style>
  <w:style w:type="character" w:customStyle="1" w:styleId="268">
    <w:name w:val="font51"/>
    <w:basedOn w:val="49"/>
    <w:qFormat/>
    <w:uiPriority w:val="0"/>
    <w:rPr>
      <w:rFonts w:hint="eastAsia" w:ascii="宋体" w:hAnsi="宋体" w:eastAsia="宋体" w:cs="宋体"/>
      <w:b/>
      <w:bCs/>
      <w:color w:val="000000"/>
      <w:sz w:val="20"/>
      <w:szCs w:val="20"/>
      <w:u w:val="single"/>
    </w:rPr>
  </w:style>
  <w:style w:type="paragraph" w:customStyle="1" w:styleId="269">
    <w:name w:val="样式 首行缩进:  2 字符1"/>
    <w:basedOn w:val="1"/>
    <w:qFormat/>
    <w:uiPriority w:val="0"/>
    <w:pPr>
      <w:spacing w:line="360" w:lineRule="auto"/>
      <w:ind w:firstLine="200" w:firstLineChars="200"/>
    </w:pPr>
    <w:rPr>
      <w:rFonts w:cs="宋体"/>
      <w:sz w:val="28"/>
      <w:szCs w:val="20"/>
    </w:rPr>
  </w:style>
  <w:style w:type="paragraph" w:customStyle="1" w:styleId="270">
    <w:name w:val="列表段落1"/>
    <w:basedOn w:val="1"/>
    <w:qFormat/>
    <w:uiPriority w:val="99"/>
    <w:pPr>
      <w:ind w:firstLine="420" w:firstLineChars="200"/>
    </w:pPr>
    <w:rPr>
      <w:rFonts w:ascii="Calibri" w:hAnsi="Calibri" w:cstheme="minorBidi"/>
      <w:szCs w:val="22"/>
    </w:rPr>
  </w:style>
  <w:style w:type="table" w:customStyle="1" w:styleId="271">
    <w:name w:val="Table Normal_0"/>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72">
    <w:name w:val="标题 1 Char"/>
    <w:link w:val="2"/>
    <w:qFormat/>
    <w:uiPriority w:val="0"/>
    <w:rPr>
      <w:rFonts w:ascii="宋体"/>
      <w:b/>
      <w:kern w:val="44"/>
      <w:sz w:val="32"/>
      <w:szCs w:val="20"/>
    </w:rPr>
  </w:style>
  <w:style w:type="paragraph" w:customStyle="1" w:styleId="273">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4">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90</Pages>
  <Words>148</Words>
  <Characters>178</Characters>
  <Lines>307</Lines>
  <Paragraphs>86</Paragraphs>
  <TotalTime>59</TotalTime>
  <ScaleCrop>false</ScaleCrop>
  <LinksUpToDate>false</LinksUpToDate>
  <CharactersWithSpaces>214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2022-03-28T10:52:00Z</dcterms:created>
  <dc:creator>尹皓</dc:creator>
  <cp:lastModifiedBy>久驻</cp:lastModifiedBy>
  <cp:lastPrinted>2026-03-20T00:39:00Z</cp:lastPrinted>
  <dcterms:modified xsi:type="dcterms:W3CDTF">2026-03-20T02:04:22Z</dcterms:modified>
  <dc:title>02年杜范本稿</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6E0C57F94E45430F9E4477A8E8B3B4B4</vt:lpwstr>
  </property>
  <property fmtid="{D5CDD505-2E9C-101B-9397-08002B2CF9AE}" pid="4" name="commondata">
    <vt:lpwstr>eyJoZGlkIjoiMTExMjQ4ZmNjMzM3M2UzMjkzYzFlNmRmNjYwOWFlNWQifQ==</vt:lpwstr>
  </property>
  <property fmtid="{D5CDD505-2E9C-101B-9397-08002B2CF9AE}" pid="5" name="KSOTemplateDocerSaveRecord">
    <vt:lpwstr>eyJoZGlkIjoiY2Y4Y2FhM2NmNGRkMjBiZWIxNWVlZWIzM2FmNDViZGEiLCJ1c2VySWQiOiI0MDA2Njc2MzMifQ==</vt:lpwstr>
  </property>
</Properties>
</file>