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C0041A">
      <w:pPr>
        <w:spacing w:line="360" w:lineRule="auto"/>
        <w:ind w:firstLine="300" w:firstLineChars="50"/>
        <w:rPr>
          <w:rFonts w:hint="eastAsia" w:ascii="宋体" w:hAnsi="宋体" w:eastAsia="宋体" w:cs="宋体"/>
          <w:color w:val="auto"/>
          <w:spacing w:val="0"/>
          <w:w w:val="100"/>
          <w:kern w:val="0"/>
          <w:position w:val="0"/>
          <w:sz w:val="60"/>
          <w:szCs w:val="60"/>
          <w:highlight w:val="none"/>
        </w:rPr>
      </w:pPr>
    </w:p>
    <w:p w14:paraId="675B2E56">
      <w:pPr>
        <w:spacing w:line="360" w:lineRule="auto"/>
        <w:ind w:right="630" w:rightChars="300"/>
        <w:jc w:val="center"/>
        <w:outlineLvl w:val="9"/>
        <w:rPr>
          <w:rFonts w:hint="eastAsia" w:ascii="宋体" w:hAnsi="宋体" w:eastAsia="宋体" w:cs="宋体"/>
          <w:b/>
          <w:color w:val="auto"/>
          <w:spacing w:val="0"/>
          <w:w w:val="100"/>
          <w:kern w:val="0"/>
          <w:position w:val="0"/>
          <w:sz w:val="36"/>
          <w:szCs w:val="36"/>
          <w:highlight w:val="none"/>
        </w:rPr>
      </w:pPr>
      <w:bookmarkStart w:id="0" w:name="_Toc99301418"/>
    </w:p>
    <w:p w14:paraId="2AA6CB68">
      <w:pPr>
        <w:keepNext w:val="0"/>
        <w:keepLines w:val="0"/>
        <w:pageBreakBefore w:val="0"/>
        <w:widowControl/>
        <w:kinsoku/>
        <w:wordWrap/>
        <w:overflowPunct/>
        <w:topLinePunct w:val="0"/>
        <w:bidi w:val="0"/>
        <w:adjustRightInd/>
        <w:snapToGrid/>
        <w:spacing w:line="2" w:lineRule="atLeast"/>
        <w:ind w:right="1890" w:rightChars="900"/>
        <w:textAlignment w:val="auto"/>
        <w:rPr>
          <w:rFonts w:hint="eastAsia" w:ascii="宋体" w:hAnsi="宋体" w:eastAsia="宋体" w:cs="宋体"/>
          <w:b w:val="0"/>
          <w:bCs w:val="0"/>
          <w:color w:val="auto"/>
          <w:spacing w:val="17"/>
          <w:kern w:val="0"/>
          <w:sz w:val="28"/>
          <w:szCs w:val="28"/>
          <w:highlight w:val="none"/>
          <w:lang w:val="en-US" w:eastAsia="zh-CN"/>
        </w:rPr>
      </w:pPr>
      <w:r>
        <w:rPr>
          <w:rFonts w:hint="eastAsia" w:ascii="宋体" w:hAnsi="宋体" w:eastAsia="宋体" w:cs="宋体"/>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4366895</wp:posOffset>
                </wp:positionH>
                <wp:positionV relativeFrom="paragraph">
                  <wp:posOffset>7816850</wp:posOffset>
                </wp:positionV>
                <wp:extent cx="1916430" cy="42545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916430" cy="425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897FA">
                            <w:pPr>
                              <w:keepNext w:val="0"/>
                              <w:keepLines w:val="0"/>
                              <w:pageBreakBefore w:val="0"/>
                              <w:widowControl w:val="0"/>
                              <w:kinsoku/>
                              <w:wordWrap/>
                              <w:overflowPunct/>
                              <w:topLinePunct w:val="0"/>
                              <w:bidi w:val="0"/>
                              <w:adjustRightInd/>
                              <w:snapToGrid/>
                              <w:spacing w:line="440" w:lineRule="exact"/>
                              <w:ind w:right="-57" w:rightChars="-27"/>
                              <w:jc w:val="right"/>
                              <w:textAlignment w:val="auto"/>
                              <w:rPr>
                                <w:rFonts w:hint="eastAsia" w:ascii="微软雅黑" w:hAnsi="微软雅黑" w:eastAsia="微软雅黑" w:cs="微软雅黑"/>
                                <w:b w:val="0"/>
                                <w:bCs w:val="0"/>
                                <w:color w:val="37013C"/>
                                <w:spacing w:val="17"/>
                                <w:kern w:val="0"/>
                                <w:sz w:val="30"/>
                                <w:szCs w:val="30"/>
                              </w:rPr>
                            </w:pPr>
                            <w:r>
                              <w:rPr>
                                <w:rFonts w:hint="eastAsia" w:ascii="微软雅黑" w:hAnsi="微软雅黑" w:eastAsia="微软雅黑" w:cs="微软雅黑"/>
                                <w:b w:val="0"/>
                                <w:bCs w:val="0"/>
                                <w:color w:val="37013C"/>
                                <w:spacing w:val="17"/>
                                <w:kern w:val="0"/>
                                <w:sz w:val="30"/>
                                <w:szCs w:val="30"/>
                                <w:lang w:val="en-US" w:eastAsia="zh-CN"/>
                              </w:rPr>
                              <w:t>2026年3月</w:t>
                            </w:r>
                          </w:p>
                          <w:p w14:paraId="45A79B1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3.85pt;margin-top:615.5pt;height:33.5pt;width:150.9pt;z-index:251663360;mso-width-relative:page;mso-height-relative:page;" filled="f" stroked="f" coordsize="21600,21600" o:gfxdata="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mi4Ai3QAAAA0BAAAPAAAAAAAAAAEAIAAAACIA&#10;AABkcnMvZG93bnJldi54bWxQSwECFAAUAAAACACHTuJA9EROHz0CAABqBAAADgAAAAAAAAABACAA&#10;AAAsAQAAZHJzL2Uyb0RvYy54bWxQSwUGAAAAAAYABgBZAQAA2wUAAAAA&#10;">
                <v:fill on="f" focussize="0,0"/>
                <v:stroke on="f" weight="0.5pt"/>
                <v:imagedata o:title=""/>
                <o:lock v:ext="edit" aspectratio="f"/>
                <v:textbox>
                  <w:txbxContent>
                    <w:p w14:paraId="3DF897FA">
                      <w:pPr>
                        <w:keepNext w:val="0"/>
                        <w:keepLines w:val="0"/>
                        <w:pageBreakBefore w:val="0"/>
                        <w:widowControl w:val="0"/>
                        <w:kinsoku/>
                        <w:wordWrap/>
                        <w:overflowPunct/>
                        <w:topLinePunct w:val="0"/>
                        <w:bidi w:val="0"/>
                        <w:adjustRightInd/>
                        <w:snapToGrid/>
                        <w:spacing w:line="440" w:lineRule="exact"/>
                        <w:ind w:right="-57" w:rightChars="-27"/>
                        <w:jc w:val="right"/>
                        <w:textAlignment w:val="auto"/>
                        <w:rPr>
                          <w:rFonts w:hint="eastAsia" w:ascii="微软雅黑" w:hAnsi="微软雅黑" w:eastAsia="微软雅黑" w:cs="微软雅黑"/>
                          <w:b w:val="0"/>
                          <w:bCs w:val="0"/>
                          <w:color w:val="37013C"/>
                          <w:spacing w:val="17"/>
                          <w:kern w:val="0"/>
                          <w:sz w:val="30"/>
                          <w:szCs w:val="30"/>
                        </w:rPr>
                      </w:pPr>
                      <w:r>
                        <w:rPr>
                          <w:rFonts w:hint="eastAsia" w:ascii="微软雅黑" w:hAnsi="微软雅黑" w:eastAsia="微软雅黑" w:cs="微软雅黑"/>
                          <w:b w:val="0"/>
                          <w:bCs w:val="0"/>
                          <w:color w:val="37013C"/>
                          <w:spacing w:val="17"/>
                          <w:kern w:val="0"/>
                          <w:sz w:val="30"/>
                          <w:szCs w:val="30"/>
                          <w:lang w:val="en-US" w:eastAsia="zh-CN"/>
                        </w:rPr>
                        <w:t>2026年3月</w:t>
                      </w:r>
                    </w:p>
                    <w:p w14:paraId="45A79B14"/>
                  </w:txbxContent>
                </v:textbox>
              </v:shape>
            </w:pict>
          </mc:Fallback>
        </mc:AlternateContent>
      </w:r>
    </w:p>
    <w:p w14:paraId="5B263B14">
      <w:pPr>
        <w:keepNext w:val="0"/>
        <w:keepLines w:val="0"/>
        <w:pageBreakBefore w:val="0"/>
        <w:widowControl w:val="0"/>
        <w:kinsoku/>
        <w:wordWrap/>
        <w:overflowPunct/>
        <w:topLinePunct w:val="0"/>
        <w:bidi w:val="0"/>
        <w:adjustRightInd/>
        <w:snapToGrid/>
        <w:spacing w:line="440" w:lineRule="exact"/>
        <w:ind w:right="1890" w:rightChars="900"/>
        <w:textAlignment w:val="auto"/>
        <w:rPr>
          <w:rFonts w:hint="eastAsia" w:ascii="宋体" w:hAnsi="宋体" w:eastAsia="宋体" w:cs="宋体"/>
          <w:b w:val="0"/>
          <w:bCs w:val="0"/>
          <w:color w:val="auto"/>
          <w:spacing w:val="17"/>
          <w:kern w:val="0"/>
          <w:sz w:val="28"/>
          <w:szCs w:val="28"/>
          <w:highlight w:val="none"/>
          <w:lang w:val="en-US" w:eastAsia="zh-CN"/>
        </w:rPr>
      </w:pPr>
      <w:r>
        <w:rPr>
          <w:rFonts w:hint="eastAsia" w:ascii="宋体" w:hAnsi="宋体" w:eastAsia="宋体" w:cs="宋体"/>
          <w:b w:val="0"/>
          <w:bCs w:val="0"/>
          <w:color w:val="auto"/>
          <w:spacing w:val="17"/>
          <w:kern w:val="0"/>
          <w:sz w:val="28"/>
          <w:szCs w:val="28"/>
          <w:highlight w:val="none"/>
          <w:lang w:val="en-US" w:eastAsia="zh-CN"/>
        </w:rPr>
        <w:t>项目名称</w:t>
      </w:r>
    </w:p>
    <w:p w14:paraId="44631D8D">
      <w:pPr>
        <w:keepNext w:val="0"/>
        <w:keepLines w:val="0"/>
        <w:pageBreakBefore w:val="0"/>
        <w:widowControl w:val="0"/>
        <w:kinsoku/>
        <w:wordWrap/>
        <w:overflowPunct/>
        <w:topLinePunct w:val="0"/>
        <w:bidi w:val="0"/>
        <w:adjustRightInd/>
        <w:snapToGrid/>
        <w:spacing w:line="440" w:lineRule="exact"/>
        <w:ind w:right="1890" w:rightChars="900"/>
        <w:textAlignment w:val="auto"/>
        <w:rPr>
          <w:rFonts w:hint="eastAsia" w:ascii="宋体" w:hAnsi="宋体" w:eastAsia="宋体" w:cs="宋体"/>
          <w:b/>
          <w:bCs/>
          <w:color w:val="auto"/>
          <w:spacing w:val="17"/>
          <w:kern w:val="0"/>
          <w:sz w:val="36"/>
          <w:szCs w:val="36"/>
          <w:highlight w:val="none"/>
          <w:lang w:val="en-US" w:eastAsia="zh-CN"/>
        </w:rPr>
      </w:pPr>
      <w:r>
        <w:rPr>
          <w:rFonts w:hint="eastAsia" w:ascii="宋体" w:hAnsi="宋体" w:eastAsia="宋体" w:cs="宋体"/>
          <w:b/>
          <w:bCs/>
          <w:color w:val="auto"/>
          <w:spacing w:val="17"/>
          <w:kern w:val="0"/>
          <w:sz w:val="36"/>
          <w:szCs w:val="36"/>
          <w:highlight w:val="none"/>
          <w:lang w:val="en-US" w:eastAsia="zh-CN"/>
        </w:rPr>
        <w:t>海淀区残疾人职业康复中心设备采购项目</w:t>
      </w:r>
    </w:p>
    <w:p w14:paraId="276481CC">
      <w:pPr>
        <w:keepNext w:val="0"/>
        <w:keepLines w:val="0"/>
        <w:pageBreakBefore w:val="0"/>
        <w:widowControl w:val="0"/>
        <w:kinsoku/>
        <w:wordWrap/>
        <w:overflowPunct/>
        <w:topLinePunct w:val="0"/>
        <w:bidi w:val="0"/>
        <w:adjustRightInd/>
        <w:snapToGrid/>
        <w:spacing w:line="440" w:lineRule="exact"/>
        <w:ind w:right="1890" w:rightChars="900"/>
        <w:jc w:val="left"/>
        <w:textAlignment w:val="auto"/>
        <w:rPr>
          <w:rFonts w:hint="eastAsia" w:ascii="宋体" w:hAnsi="宋体" w:eastAsia="宋体" w:cs="宋体"/>
          <w:b/>
          <w:bCs/>
          <w:color w:val="auto"/>
          <w:spacing w:val="17"/>
          <w:kern w:val="0"/>
          <w:sz w:val="32"/>
          <w:szCs w:val="32"/>
          <w:highlight w:val="none"/>
          <w:lang w:val="en-US" w:eastAsia="zh-CN"/>
        </w:rPr>
      </w:pPr>
    </w:p>
    <w:p w14:paraId="3DC4626A">
      <w:pPr>
        <w:keepNext w:val="0"/>
        <w:keepLines w:val="0"/>
        <w:pageBreakBefore w:val="0"/>
        <w:widowControl w:val="0"/>
        <w:kinsoku/>
        <w:wordWrap/>
        <w:overflowPunct/>
        <w:topLinePunct w:val="0"/>
        <w:bidi w:val="0"/>
        <w:adjustRightInd/>
        <w:snapToGrid/>
        <w:spacing w:line="440" w:lineRule="exact"/>
        <w:ind w:right="1890" w:rightChars="900"/>
        <w:jc w:val="left"/>
        <w:textAlignment w:val="auto"/>
        <w:rPr>
          <w:rFonts w:hint="eastAsia" w:ascii="宋体" w:hAnsi="宋体" w:eastAsia="宋体" w:cs="宋体"/>
          <w:b/>
          <w:bCs/>
          <w:color w:val="auto"/>
          <w:spacing w:val="17"/>
          <w:kern w:val="0"/>
          <w:sz w:val="32"/>
          <w:szCs w:val="32"/>
          <w:highlight w:val="none"/>
          <w:lang w:val="en-US" w:eastAsia="zh-CN"/>
        </w:rPr>
      </w:pPr>
    </w:p>
    <w:p w14:paraId="01DC908B">
      <w:pPr>
        <w:keepNext w:val="0"/>
        <w:keepLines w:val="0"/>
        <w:pageBreakBefore w:val="0"/>
        <w:widowControl w:val="0"/>
        <w:kinsoku/>
        <w:wordWrap/>
        <w:overflowPunct/>
        <w:topLinePunct w:val="0"/>
        <w:bidi w:val="0"/>
        <w:adjustRightInd/>
        <w:snapToGrid/>
        <w:spacing w:line="440" w:lineRule="exact"/>
        <w:ind w:right="1890" w:rightChars="900"/>
        <w:jc w:val="left"/>
        <w:textAlignment w:val="auto"/>
        <w:rPr>
          <w:rFonts w:hint="eastAsia" w:ascii="宋体" w:hAnsi="宋体" w:eastAsia="宋体" w:cs="宋体"/>
          <w:b w:val="0"/>
          <w:bCs w:val="0"/>
          <w:color w:val="auto"/>
          <w:spacing w:val="17"/>
          <w:kern w:val="0"/>
          <w:sz w:val="28"/>
          <w:szCs w:val="28"/>
          <w:highlight w:val="none"/>
          <w:lang w:val="en-US" w:eastAsia="zh-CN"/>
        </w:rPr>
      </w:pPr>
      <w:r>
        <w:rPr>
          <w:rFonts w:hint="eastAsia" w:ascii="宋体" w:hAnsi="宋体" w:eastAsia="宋体" w:cs="宋体"/>
          <w:b w:val="0"/>
          <w:bCs w:val="0"/>
          <w:color w:val="auto"/>
          <w:spacing w:val="17"/>
          <w:kern w:val="0"/>
          <w:sz w:val="28"/>
          <w:szCs w:val="28"/>
          <w:highlight w:val="none"/>
          <w:lang w:val="en-US" w:eastAsia="zh-CN"/>
        </w:rPr>
        <w:t>项目编号</w:t>
      </w:r>
    </w:p>
    <w:p w14:paraId="57D305D6">
      <w:pPr>
        <w:keepNext w:val="0"/>
        <w:keepLines w:val="0"/>
        <w:pageBreakBefore w:val="0"/>
        <w:widowControl w:val="0"/>
        <w:kinsoku/>
        <w:wordWrap/>
        <w:overflowPunct/>
        <w:topLinePunct w:val="0"/>
        <w:bidi w:val="0"/>
        <w:adjustRightInd/>
        <w:snapToGrid/>
        <w:spacing w:line="440" w:lineRule="exact"/>
        <w:ind w:right="1890" w:rightChars="900"/>
        <w:jc w:val="left"/>
        <w:textAlignment w:val="auto"/>
        <w:rPr>
          <w:rFonts w:hint="eastAsia" w:ascii="宋体" w:hAnsi="宋体" w:eastAsia="宋体" w:cs="宋体"/>
          <w:b/>
          <w:bCs/>
          <w:color w:val="auto"/>
          <w:spacing w:val="17"/>
          <w:kern w:val="0"/>
          <w:sz w:val="32"/>
          <w:szCs w:val="32"/>
          <w:highlight w:val="none"/>
          <w:lang w:val="en-US" w:eastAsia="zh-CN"/>
        </w:rPr>
      </w:pPr>
      <w:r>
        <w:rPr>
          <w:rFonts w:hint="eastAsia" w:ascii="宋体" w:hAnsi="宋体" w:cs="宋体"/>
          <w:b/>
          <w:bCs/>
          <w:color w:val="auto"/>
          <w:spacing w:val="17"/>
          <w:kern w:val="0"/>
          <w:sz w:val="32"/>
          <w:szCs w:val="32"/>
          <w:highlight w:val="none"/>
          <w:lang w:val="en-US" w:eastAsia="zh-CN"/>
        </w:rPr>
        <w:t>11010826210200054453-XM001</w:t>
      </w:r>
    </w:p>
    <w:p w14:paraId="47E90D09">
      <w:pPr>
        <w:keepNext w:val="0"/>
        <w:keepLines w:val="0"/>
        <w:pageBreakBefore w:val="0"/>
        <w:widowControl w:val="0"/>
        <w:kinsoku/>
        <w:wordWrap/>
        <w:overflowPunct/>
        <w:topLinePunct w:val="0"/>
        <w:bidi w:val="0"/>
        <w:adjustRightInd/>
        <w:snapToGrid/>
        <w:spacing w:line="440" w:lineRule="exact"/>
        <w:ind w:right="1890" w:rightChars="900"/>
        <w:jc w:val="left"/>
        <w:textAlignment w:val="auto"/>
        <w:rPr>
          <w:rFonts w:hint="eastAsia" w:ascii="宋体" w:hAnsi="宋体" w:eastAsia="宋体" w:cs="宋体"/>
          <w:b/>
          <w:bCs/>
          <w:color w:val="auto"/>
          <w:spacing w:val="17"/>
          <w:kern w:val="0"/>
          <w:sz w:val="32"/>
          <w:szCs w:val="32"/>
          <w:highlight w:val="none"/>
          <w:lang w:val="en-US" w:eastAsia="zh-CN"/>
        </w:rPr>
      </w:pPr>
    </w:p>
    <w:p w14:paraId="00E76AFF">
      <w:pPr>
        <w:keepNext w:val="0"/>
        <w:keepLines w:val="0"/>
        <w:pageBreakBefore w:val="0"/>
        <w:widowControl w:val="0"/>
        <w:kinsoku/>
        <w:wordWrap/>
        <w:overflowPunct/>
        <w:topLinePunct w:val="0"/>
        <w:bidi w:val="0"/>
        <w:adjustRightInd/>
        <w:snapToGrid/>
        <w:spacing w:line="440" w:lineRule="exact"/>
        <w:ind w:right="1890" w:rightChars="900"/>
        <w:textAlignment w:val="auto"/>
        <w:rPr>
          <w:rFonts w:hint="eastAsia" w:ascii="宋体" w:hAnsi="宋体" w:eastAsia="宋体" w:cs="宋体"/>
          <w:b/>
          <w:bCs/>
          <w:color w:val="auto"/>
          <w:spacing w:val="17"/>
          <w:kern w:val="0"/>
          <w:sz w:val="28"/>
          <w:szCs w:val="28"/>
          <w:highlight w:val="none"/>
          <w:lang w:eastAsia="zh-CN"/>
        </w:rPr>
      </w:pPr>
      <w:r>
        <w:rPr>
          <w:rFonts w:hint="eastAsia" w:ascii="宋体" w:hAnsi="宋体" w:eastAsia="宋体" w:cs="宋体"/>
          <w:b w:val="0"/>
          <w:bCs w:val="0"/>
          <w:color w:val="auto"/>
          <w:spacing w:val="17"/>
          <w:kern w:val="0"/>
          <w:sz w:val="28"/>
          <w:szCs w:val="28"/>
          <w:highlight w:val="none"/>
          <w:lang w:val="en-US" w:eastAsia="zh-CN"/>
        </w:rPr>
        <w:t>招标人</w:t>
      </w:r>
    </w:p>
    <w:p w14:paraId="2667F1BE">
      <w:pPr>
        <w:keepNext w:val="0"/>
        <w:keepLines w:val="0"/>
        <w:pageBreakBefore w:val="0"/>
        <w:widowControl w:val="0"/>
        <w:kinsoku/>
        <w:wordWrap/>
        <w:overflowPunct/>
        <w:topLinePunct w:val="0"/>
        <w:bidi w:val="0"/>
        <w:adjustRightInd/>
        <w:snapToGrid/>
        <w:spacing w:line="440" w:lineRule="exact"/>
        <w:ind w:right="1890" w:rightChars="900"/>
        <w:jc w:val="left"/>
        <w:textAlignment w:val="auto"/>
        <w:rPr>
          <w:rFonts w:hint="eastAsia" w:ascii="宋体" w:hAnsi="宋体" w:eastAsia="宋体" w:cs="宋体"/>
          <w:b/>
          <w:bCs/>
          <w:color w:val="auto"/>
          <w:spacing w:val="17"/>
          <w:kern w:val="0"/>
          <w:sz w:val="32"/>
          <w:szCs w:val="32"/>
          <w:highlight w:val="none"/>
          <w:lang w:val="en-US" w:eastAsia="zh-CN"/>
        </w:rPr>
      </w:pPr>
      <w:r>
        <w:rPr>
          <w:rFonts w:hint="eastAsia" w:ascii="宋体" w:hAnsi="宋体" w:eastAsia="宋体" w:cs="宋体"/>
          <w:b/>
          <w:bCs/>
          <w:color w:val="auto"/>
          <w:spacing w:val="17"/>
          <w:kern w:val="0"/>
          <w:sz w:val="32"/>
          <w:szCs w:val="32"/>
          <w:highlight w:val="none"/>
          <w:lang w:val="en-US" w:eastAsia="zh-CN"/>
        </w:rPr>
        <w:t>北京市海淀区残疾人联合会</w:t>
      </w:r>
    </w:p>
    <w:p w14:paraId="77989314">
      <w:pPr>
        <w:keepNext w:val="0"/>
        <w:keepLines w:val="0"/>
        <w:pageBreakBefore w:val="0"/>
        <w:widowControl w:val="0"/>
        <w:kinsoku/>
        <w:wordWrap/>
        <w:overflowPunct/>
        <w:topLinePunct w:val="0"/>
        <w:bidi w:val="0"/>
        <w:adjustRightInd/>
        <w:snapToGrid/>
        <w:spacing w:line="440" w:lineRule="exact"/>
        <w:ind w:right="1890" w:rightChars="900"/>
        <w:jc w:val="left"/>
        <w:textAlignment w:val="auto"/>
        <w:rPr>
          <w:rFonts w:hint="eastAsia" w:ascii="宋体" w:hAnsi="宋体" w:eastAsia="宋体" w:cs="宋体"/>
          <w:b/>
          <w:bCs/>
          <w:color w:val="auto"/>
          <w:spacing w:val="17"/>
          <w:kern w:val="0"/>
          <w:sz w:val="32"/>
          <w:szCs w:val="32"/>
          <w:highlight w:val="none"/>
          <w:lang w:eastAsia="zh-CN"/>
        </w:rPr>
      </w:pPr>
    </w:p>
    <w:p w14:paraId="082D86D4">
      <w:pPr>
        <w:keepNext w:val="0"/>
        <w:keepLines w:val="0"/>
        <w:pageBreakBefore w:val="0"/>
        <w:widowControl w:val="0"/>
        <w:kinsoku/>
        <w:wordWrap/>
        <w:overflowPunct/>
        <w:topLinePunct w:val="0"/>
        <w:bidi w:val="0"/>
        <w:adjustRightInd/>
        <w:snapToGrid/>
        <w:spacing w:line="440" w:lineRule="exact"/>
        <w:ind w:right="1890" w:rightChars="900"/>
        <w:jc w:val="left"/>
        <w:textAlignment w:val="auto"/>
        <w:rPr>
          <w:rFonts w:hint="eastAsia" w:ascii="宋体" w:hAnsi="宋体" w:eastAsia="宋体" w:cs="宋体"/>
          <w:b/>
          <w:bCs/>
          <w:color w:val="auto"/>
          <w:spacing w:val="17"/>
          <w:kern w:val="0"/>
          <w:sz w:val="32"/>
          <w:szCs w:val="32"/>
          <w:highlight w:val="none"/>
          <w:lang w:eastAsia="zh-CN"/>
        </w:rPr>
      </w:pPr>
    </w:p>
    <w:p w14:paraId="0BEC5D4F">
      <w:pPr>
        <w:keepNext w:val="0"/>
        <w:keepLines w:val="0"/>
        <w:pageBreakBefore w:val="0"/>
        <w:widowControl w:val="0"/>
        <w:kinsoku/>
        <w:wordWrap/>
        <w:overflowPunct/>
        <w:topLinePunct w:val="0"/>
        <w:bidi w:val="0"/>
        <w:adjustRightInd/>
        <w:snapToGrid/>
        <w:spacing w:line="440" w:lineRule="exact"/>
        <w:ind w:right="1890" w:rightChars="900"/>
        <w:textAlignment w:val="auto"/>
        <w:rPr>
          <w:rFonts w:hint="eastAsia" w:ascii="宋体" w:hAnsi="宋体" w:eastAsia="宋体" w:cs="宋体"/>
          <w:b w:val="0"/>
          <w:bCs w:val="0"/>
          <w:color w:val="auto"/>
          <w:spacing w:val="17"/>
          <w:kern w:val="0"/>
          <w:sz w:val="28"/>
          <w:szCs w:val="28"/>
          <w:highlight w:val="none"/>
          <w:lang w:val="en-US" w:eastAsia="zh-CN"/>
        </w:rPr>
      </w:pPr>
      <w:r>
        <w:rPr>
          <w:rFonts w:hint="eastAsia" w:ascii="宋体" w:hAnsi="宋体" w:eastAsia="宋体" w:cs="宋体"/>
          <w:b w:val="0"/>
          <w:bCs w:val="0"/>
          <w:color w:val="auto"/>
          <w:spacing w:val="17"/>
          <w:kern w:val="0"/>
          <w:sz w:val="28"/>
          <w:szCs w:val="28"/>
          <w:highlight w:val="none"/>
          <w:lang w:val="en-US" w:eastAsia="zh-CN"/>
        </w:rPr>
        <w:t>招标代理机构</w:t>
      </w:r>
    </w:p>
    <w:p w14:paraId="1EF0A0B8">
      <w:pPr>
        <w:keepNext w:val="0"/>
        <w:keepLines w:val="0"/>
        <w:pageBreakBefore w:val="0"/>
        <w:widowControl w:val="0"/>
        <w:kinsoku/>
        <w:wordWrap/>
        <w:overflowPunct/>
        <w:topLinePunct w:val="0"/>
        <w:bidi w:val="0"/>
        <w:adjustRightInd/>
        <w:snapToGrid/>
        <w:spacing w:line="440" w:lineRule="exact"/>
        <w:ind w:right="1890" w:rightChars="900"/>
        <w:jc w:val="left"/>
        <w:textAlignment w:val="auto"/>
        <w:rPr>
          <w:rFonts w:hint="eastAsia" w:ascii="宋体" w:hAnsi="宋体" w:eastAsia="宋体" w:cs="宋体"/>
          <w:b/>
          <w:bCs/>
          <w:color w:val="auto"/>
          <w:spacing w:val="17"/>
          <w:kern w:val="0"/>
          <w:sz w:val="32"/>
          <w:szCs w:val="32"/>
          <w:highlight w:val="none"/>
          <w:lang w:val="en-US" w:eastAsia="zh-CN"/>
        </w:rPr>
      </w:pPr>
      <w:r>
        <w:rPr>
          <w:rFonts w:hint="eastAsia" w:ascii="宋体" w:hAnsi="宋体" w:eastAsia="宋体" w:cs="宋体"/>
          <w:b/>
          <w:bCs/>
          <w:color w:val="auto"/>
          <w:spacing w:val="17"/>
          <w:kern w:val="0"/>
          <w:sz w:val="32"/>
          <w:szCs w:val="32"/>
          <w:highlight w:val="none"/>
          <w:lang w:val="en-US" w:eastAsia="zh-CN"/>
        </w:rPr>
        <w:t>北京旌开咨询有限公司</w:t>
      </w:r>
    </w:p>
    <w:p w14:paraId="6508E73B">
      <w:pPr>
        <w:spacing w:line="360" w:lineRule="auto"/>
        <w:ind w:right="630" w:rightChars="300"/>
        <w:jc w:val="center"/>
        <w:outlineLvl w:val="9"/>
        <w:rPr>
          <w:rFonts w:hint="eastAsia" w:ascii="宋体" w:hAnsi="宋体" w:eastAsia="宋体" w:cs="宋体"/>
          <w:b/>
          <w:color w:val="auto"/>
          <w:spacing w:val="0"/>
          <w:w w:val="100"/>
          <w:kern w:val="0"/>
          <w:position w:val="0"/>
          <w:sz w:val="36"/>
          <w:szCs w:val="36"/>
          <w:highlight w:val="none"/>
        </w:rPr>
        <w:sectPr>
          <w:headerReference r:id="rId3" w:type="default"/>
          <w:footerReference r:id="rId4" w:type="default"/>
          <w:pgSz w:w="11907" w:h="16840"/>
          <w:pgMar w:top="1440" w:right="1083" w:bottom="1440" w:left="1083" w:header="851" w:footer="851" w:gutter="0"/>
          <w:pgBorders>
            <w:top w:val="none" w:sz="0" w:space="0"/>
            <w:left w:val="none" w:sz="0" w:space="0"/>
            <w:bottom w:val="none" w:sz="0" w:space="0"/>
            <w:right w:val="none" w:sz="0" w:space="0"/>
          </w:pgBorders>
          <w:pgNumType w:fmt="numberInDash"/>
          <w:cols w:space="720" w:num="1"/>
          <w:docGrid w:linePitch="462" w:charSpace="0"/>
        </w:sectPr>
      </w:pPr>
    </w:p>
    <w:bookmarkEnd w:id="0"/>
    <w:sdt>
      <w:sdtPr>
        <w:rPr>
          <w:rFonts w:hint="eastAsia" w:ascii="宋体" w:hAnsi="宋体" w:eastAsia="宋体" w:cs="宋体"/>
          <w:color w:val="auto"/>
          <w:spacing w:val="0"/>
          <w:w w:val="100"/>
          <w:kern w:val="2"/>
          <w:sz w:val="21"/>
          <w:szCs w:val="24"/>
          <w:highlight w:val="none"/>
          <w:lang w:val="en-US" w:eastAsia="zh-CN" w:bidi="ar-SA"/>
        </w:rPr>
        <w:id w:val="147451560"/>
        <w15:color w:val="DBDBDB"/>
        <w:docPartObj>
          <w:docPartGallery w:val="Table of Contents"/>
          <w:docPartUnique/>
        </w:docPartObj>
      </w:sdtPr>
      <w:sdtEndPr>
        <w:rPr>
          <w:rFonts w:hint="eastAsia" w:ascii="宋体" w:hAnsi="宋体" w:eastAsia="宋体" w:cs="宋体"/>
          <w:color w:val="auto"/>
          <w:spacing w:val="0"/>
          <w:w w:val="100"/>
          <w:kern w:val="2"/>
          <w:sz w:val="21"/>
          <w:szCs w:val="24"/>
          <w:highlight w:val="none"/>
          <w:lang w:val="en-US" w:eastAsia="zh-CN" w:bidi="ar-SA"/>
        </w:rPr>
      </w:sdtEndPr>
      <w:sdtContent>
        <w:p w14:paraId="327973B7">
          <w:pPr>
            <w:spacing w:before="0" w:beforeLines="0" w:after="0" w:afterLines="0" w:line="240" w:lineRule="auto"/>
            <w:ind w:left="0" w:leftChars="0" w:right="0" w:rightChars="0" w:firstLine="0" w:firstLineChars="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mc:AlternateContent>
              <mc:Choice Requires="wpg">
                <w:drawing>
                  <wp:anchor distT="0" distB="0" distL="114300" distR="114300" simplePos="0" relativeHeight="251665408" behindDoc="0" locked="0" layoutInCell="1" allowOverlap="1">
                    <wp:simplePos x="0" y="0"/>
                    <wp:positionH relativeFrom="column">
                      <wp:posOffset>-14605</wp:posOffset>
                    </wp:positionH>
                    <wp:positionV relativeFrom="paragraph">
                      <wp:posOffset>-406400</wp:posOffset>
                    </wp:positionV>
                    <wp:extent cx="6319520" cy="653415"/>
                    <wp:effectExtent l="0" t="635" r="0" b="0"/>
                    <wp:wrapNone/>
                    <wp:docPr id="40" name="组合 40"/>
                    <wp:cNvGraphicFramePr/>
                    <a:graphic xmlns:a="http://schemas.openxmlformats.org/drawingml/2006/main">
                      <a:graphicData uri="http://schemas.microsoft.com/office/word/2010/wordprocessingGroup">
                        <wpg:wgp>
                          <wpg:cNvGrpSpPr/>
                          <wpg:grpSpPr>
                            <a:xfrm>
                              <a:off x="0" y="0"/>
                              <a:ext cx="6319520" cy="653415"/>
                              <a:chOff x="3757" y="17973"/>
                              <a:chExt cx="9952" cy="1029"/>
                            </a:xfrm>
                          </wpg:grpSpPr>
                          <pic:pic xmlns:pic="http://schemas.openxmlformats.org/drawingml/2006/picture">
                            <pic:nvPicPr>
                              <pic:cNvPr id="41" name="图片 24" descr="2a256df2e259f3abea602d07e48348a"/>
                              <pic:cNvPicPr>
                                <a:picLocks noChangeAspect="1"/>
                              </pic:cNvPicPr>
                            </pic:nvPicPr>
                            <pic:blipFill>
                              <a:blip r:embed="rId10"/>
                              <a:stretch>
                                <a:fillRect/>
                              </a:stretch>
                            </pic:blipFill>
                            <pic:spPr>
                              <a:xfrm>
                                <a:off x="3757" y="18297"/>
                                <a:ext cx="2633" cy="515"/>
                              </a:xfrm>
                              <a:prstGeom prst="rect">
                                <a:avLst/>
                              </a:prstGeom>
                            </pic:spPr>
                          </pic:pic>
                          <wpg:grpSp>
                            <wpg:cNvPr id="43" name="组合 31"/>
                            <wpg:cNvGrpSpPr/>
                            <wpg:grpSpPr>
                              <a:xfrm>
                                <a:off x="4682" y="17973"/>
                                <a:ext cx="8828" cy="596"/>
                                <a:chOff x="3575" y="54397"/>
                                <a:chExt cx="5625" cy="596"/>
                              </a:xfrm>
                            </wpg:grpSpPr>
                            <wps:wsp>
                              <wps:cNvPr id="44" name="直接连接符 42"/>
                              <wps:cNvCnPr/>
                              <wps:spPr>
                                <a:xfrm flipV="1">
                                  <a:off x="3582" y="54402"/>
                                  <a:ext cx="0" cy="295"/>
                                </a:xfrm>
                                <a:prstGeom prst="line">
                                  <a:avLst/>
                                </a:prstGeom>
                                <a:ln w="15875">
                                  <a:solidFill>
                                    <a:srgbClr val="53005C"/>
                                  </a:solidFill>
                                </a:ln>
                              </wps:spPr>
                              <wps:style>
                                <a:lnRef idx="2">
                                  <a:schemeClr val="accent1"/>
                                </a:lnRef>
                                <a:fillRef idx="0">
                                  <a:srgbClr val="FFFFFF"/>
                                </a:fillRef>
                                <a:effectRef idx="0">
                                  <a:srgbClr val="FFFFFF"/>
                                </a:effectRef>
                                <a:fontRef idx="minor">
                                  <a:schemeClr val="tx1"/>
                                </a:fontRef>
                              </wps:style>
                              <wps:bodyPr/>
                            </wps:wsp>
                            <wps:wsp>
                              <wps:cNvPr id="45" name="直接连接符 43"/>
                              <wps:cNvCnPr/>
                              <wps:spPr>
                                <a:xfrm>
                                  <a:off x="3575" y="54408"/>
                                  <a:ext cx="5625" cy="0"/>
                                </a:xfrm>
                                <a:prstGeom prst="line">
                                  <a:avLst/>
                                </a:prstGeom>
                                <a:ln w="15875">
                                  <a:solidFill>
                                    <a:srgbClr val="53005C"/>
                                  </a:solidFill>
                                </a:ln>
                              </wps:spPr>
                              <wps:style>
                                <a:lnRef idx="2">
                                  <a:schemeClr val="accent1"/>
                                </a:lnRef>
                                <a:fillRef idx="0">
                                  <a:srgbClr val="FFFFFF"/>
                                </a:fillRef>
                                <a:effectRef idx="0">
                                  <a:srgbClr val="FFFFFF"/>
                                </a:effectRef>
                                <a:fontRef idx="minor">
                                  <a:schemeClr val="tx1"/>
                                </a:fontRef>
                              </wps:style>
                              <wps:bodyPr/>
                            </wps:wsp>
                            <wps:wsp>
                              <wps:cNvPr id="46" name="直接连接符 44"/>
                              <wps:cNvCnPr/>
                              <wps:spPr>
                                <a:xfrm flipV="1">
                                  <a:off x="9193" y="54397"/>
                                  <a:ext cx="0" cy="596"/>
                                </a:xfrm>
                                <a:prstGeom prst="line">
                                  <a:avLst/>
                                </a:prstGeom>
                                <a:ln w="15875">
                                  <a:solidFill>
                                    <a:srgbClr val="53005C"/>
                                  </a:solidFill>
                                </a:ln>
                              </wps:spPr>
                              <wps:style>
                                <a:lnRef idx="2">
                                  <a:schemeClr val="accent1"/>
                                </a:lnRef>
                                <a:fillRef idx="0">
                                  <a:srgbClr val="FFFFFF"/>
                                </a:fillRef>
                                <a:effectRef idx="0">
                                  <a:srgbClr val="FFFFFF"/>
                                </a:effectRef>
                                <a:fontRef idx="minor">
                                  <a:schemeClr val="tx1"/>
                                </a:fontRef>
                              </wps:style>
                              <wps:bodyPr/>
                            </wps:wsp>
                          </wpg:grpSp>
                          <wps:wsp>
                            <wps:cNvPr id="47" name="文本框 68"/>
                            <wps:cNvSpPr txBox="1"/>
                            <wps:spPr>
                              <a:xfrm>
                                <a:off x="12417" y="18034"/>
                                <a:ext cx="1292" cy="96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CD6F2">
                                  <w:pPr>
                                    <w:rPr>
                                      <w:rFonts w:hint="eastAsia" w:ascii="微软雅黑" w:hAnsi="微软雅黑" w:eastAsia="微软雅黑" w:cs="微软雅黑"/>
                                      <w:b/>
                                      <w:bCs/>
                                      <w:color w:val="4D0769"/>
                                      <w:sz w:val="32"/>
                                      <w:szCs w:val="40"/>
                                      <w:lang w:val="en-US" w:eastAsia="zh-CN"/>
                                    </w:rPr>
                                  </w:pPr>
                                  <w:r>
                                    <w:rPr>
                                      <w:rFonts w:hint="eastAsia" w:ascii="微软雅黑" w:hAnsi="微软雅黑" w:eastAsia="微软雅黑" w:cs="微软雅黑"/>
                                      <w:b/>
                                      <w:bCs/>
                                      <w:color w:val="4D0769"/>
                                      <w:sz w:val="32"/>
                                      <w:szCs w:val="40"/>
                                      <w:lang w:val="en-US" w:eastAsia="zh-CN"/>
                                    </w:rPr>
                                    <w:t>目录</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15pt;margin-top:-32pt;height:51.45pt;width:497.6pt;z-index:251665408;mso-width-relative:page;mso-height-relative:page;" coordorigin="3757,17973" coordsize="9952,1029" o:gfxdata="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KomDr62AAAAIQEA&#10;ABkAAABkcnMvX3JlbHMvZTJvRG9jLnhtbC5yZWxzhY9BasMwEEX3hdxBzD6WnUUoxbI3oeBtSA4w&#10;SGNZxBoJSS317SPIJoFAl/M//z2mH//8Kn4pZRdYQde0IIh1MI6tguvle/8JIhdkg2tgUrBRhnHY&#10;ffRnWrHUUV5czKJSOCtYSolfUma9kMfchEhcmzkkj6WeycqI+oaW5KFtjzI9M2B4YYrJKEiT6UBc&#10;tljN/7PDPDtNp6B/PHF5o5DOV3cFYrJUFHgyDh9h10S2IIdevjw23AF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">
                    <o:lock v:ext="edit" aspectratio="f"/>
                    <v:shape id="图片 24" o:spid="_x0000_s1026" o:spt="75" alt="2a256df2e259f3abea602d07e48348a" type="#_x0000_t75" style="position:absolute;left:3757;top:18297;height:515;width:2633;" filled="f" o:preferrelative="t" stroked="f" coordsize="21600,21600" o:gfxdata="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Qb3GvQAA&#10;ANsAAAAPAAAAAAAAAAEAIAAAACIAAABkcnMvZG93bnJldi54bWxQSwECFAAUAAAACACHTuJAMy8F&#10;njsAAAA5AAAAEAAAAAAAAAABACAAAAAMAQAAZHJzL3NoYXBleG1sLnhtbFBLBQYAAAAABgAGAFsB&#10;AAC2AwAAAAA=&#10;">
                      <v:fill on="f" focussize="0,0"/>
                      <v:stroke on="f"/>
                      <v:imagedata r:id="rId10" o:title=""/>
                      <o:lock v:ext="edit" aspectratio="t"/>
                    </v:shape>
                    <v:group id="组合 31" o:spid="_x0000_s1026" o:spt="203" style="position:absolute;left:4682;top:17973;height:596;width:8828;" coordorigin="3575,54397" coordsize="5625,596"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line id="直接连接符 42" o:spid="_x0000_s1026" o:spt="20" style="position:absolute;left:3582;top:54402;flip:y;height:295;width:0;" filled="f" stroked="t" coordsize="21600,21600" o:gfxdata="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ci8wbsAAADb&#10;AAAADwAAAAAAAAABACAAAAAiAAAAZHJzL2Rvd25yZXYueG1sUEsBAhQAFAAAAAgAh07iQDMvBZ47&#10;AAAAOQAAABAAAAAAAAAAAQAgAAAACgEAAGRycy9zaGFwZXhtbC54bWxQSwUGAAAAAAYABgBbAQAA&#10;tAMAAAAA&#10;">
                        <v:fill on="f" focussize="0,0"/>
                        <v:stroke weight="1.25pt" color="#53005C [3204]" joinstyle="round"/>
                        <v:imagedata o:title=""/>
                        <o:lock v:ext="edit" aspectratio="f"/>
                      </v:line>
                      <v:line id="直接连接符 43" o:spid="_x0000_s1026" o:spt="20" style="position:absolute;left:3575;top:54408;height:0;width:5625;" filled="f" stroked="t" coordsize="21600,21600" o:gfxdata="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dPQ1vQAA&#10;ANsAAAAPAAAAAAAAAAEAIAAAACIAAABkcnMvZG93bnJldi54bWxQSwECFAAUAAAACACHTuJAMy8F&#10;njsAAAA5AAAAEAAAAAAAAAABACAAAAAMAQAAZHJzL3NoYXBleG1sLnhtbFBLBQYAAAAABgAGAFsB&#10;AAC2AwAAAAA=&#10;">
                        <v:fill on="f" focussize="0,0"/>
                        <v:stroke weight="1.25pt" color="#53005C [3204]" joinstyle="round"/>
                        <v:imagedata o:title=""/>
                        <o:lock v:ext="edit" aspectratio="f"/>
                      </v:line>
                      <v:line id="直接连接符 44" o:spid="_x0000_s1026" o:spt="20" style="position:absolute;left:9193;top:54397;flip:y;height:596;width:0;" filled="f" stroked="t" coordsize="21600,21600" o:gfxdata="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VoctvQAA&#10;ANsAAAAPAAAAAAAAAAEAIAAAACIAAABkcnMvZG93bnJldi54bWxQSwECFAAUAAAACACHTuJAMy8F&#10;njsAAAA5AAAAEAAAAAAAAAABACAAAAAMAQAAZHJzL3NoYXBleG1sLnhtbFBLBQYAAAAABgAGAFsB&#10;AAC2AwAAAAA=&#10;">
                        <v:fill on="f" focussize="0,0"/>
                        <v:stroke weight="1.25pt" color="#53005C [3204]" joinstyle="round"/>
                        <v:imagedata o:title=""/>
                        <o:lock v:ext="edit" aspectratio="f"/>
                      </v:line>
                    </v:group>
                    <v:shape id="文本框 68" o:spid="_x0000_s1026" o:spt="202" type="#_x0000_t202" style="position:absolute;left:12417;top:18034;height:969;width:1292;" filled="f" stroked="f" coordsize="21600,2160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0F4CD6F2">
                            <w:pPr>
                              <w:rPr>
                                <w:rFonts w:hint="eastAsia" w:ascii="微软雅黑" w:hAnsi="微软雅黑" w:eastAsia="微软雅黑" w:cs="微软雅黑"/>
                                <w:b/>
                                <w:bCs/>
                                <w:color w:val="4D0769"/>
                                <w:sz w:val="32"/>
                                <w:szCs w:val="40"/>
                                <w:lang w:val="en-US" w:eastAsia="zh-CN"/>
                              </w:rPr>
                            </w:pPr>
                            <w:r>
                              <w:rPr>
                                <w:rFonts w:hint="eastAsia" w:ascii="微软雅黑" w:hAnsi="微软雅黑" w:eastAsia="微软雅黑" w:cs="微软雅黑"/>
                                <w:b/>
                                <w:bCs/>
                                <w:color w:val="4D0769"/>
                                <w:sz w:val="32"/>
                                <w:szCs w:val="40"/>
                                <w:lang w:val="en-US" w:eastAsia="zh-CN"/>
                              </w:rPr>
                              <w:t>目录</w:t>
                            </w:r>
                          </w:p>
                        </w:txbxContent>
                      </v:textbox>
                    </v:shape>
                  </v:group>
                </w:pict>
              </mc:Fallback>
            </mc:AlternateContent>
          </w:r>
        </w:p>
        <w:p w14:paraId="4B031CB0">
          <w:pPr>
            <w:spacing w:before="0" w:beforeLines="0" w:after="0" w:afterLines="0" w:line="240" w:lineRule="auto"/>
            <w:ind w:left="0" w:leftChars="0" w:right="0" w:rightChars="0" w:firstLine="0" w:firstLineChars="0"/>
            <w:jc w:val="center"/>
            <w:rPr>
              <w:rFonts w:hint="eastAsia" w:ascii="宋体" w:hAnsi="宋体" w:eastAsia="宋体" w:cs="宋体"/>
              <w:color w:val="auto"/>
              <w:sz w:val="21"/>
              <w:highlight w:val="none"/>
            </w:rPr>
          </w:pPr>
        </w:p>
        <w:p w14:paraId="6E4D3BE1">
          <w:pPr>
            <w:pStyle w:val="31"/>
            <w:keepNext w:val="0"/>
            <w:keepLines w:val="0"/>
            <w:pageBreakBefore w:val="0"/>
            <w:widowControl w:val="0"/>
            <w:tabs>
              <w:tab w:val="right" w:leader="dot" w:pos="9740"/>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color w:val="auto"/>
              <w:spacing w:val="0"/>
              <w:w w:val="100"/>
              <w:sz w:val="24"/>
              <w:szCs w:val="24"/>
              <w:highlight w:val="none"/>
            </w:rPr>
            <w:fldChar w:fldCharType="begin"/>
          </w:r>
          <w:r>
            <w:rPr>
              <w:rFonts w:hint="eastAsia" w:ascii="宋体" w:hAnsi="宋体" w:eastAsia="宋体" w:cs="宋体"/>
              <w:color w:val="auto"/>
              <w:spacing w:val="0"/>
              <w:w w:val="100"/>
              <w:sz w:val="24"/>
              <w:szCs w:val="24"/>
              <w:highlight w:val="none"/>
            </w:rPr>
            <w:instrText xml:space="preserve">TOC \o "1-1" \h \u </w:instrText>
          </w:r>
          <w:r>
            <w:rPr>
              <w:rFonts w:hint="eastAsia" w:ascii="宋体" w:hAnsi="宋体" w:eastAsia="宋体" w:cs="宋体"/>
              <w:color w:val="auto"/>
              <w:spacing w:val="0"/>
              <w:w w:val="100"/>
              <w:sz w:val="24"/>
              <w:szCs w:val="24"/>
              <w:highlight w:val="none"/>
            </w:rPr>
            <w:fldChar w:fldCharType="separate"/>
          </w:r>
          <w:r>
            <w:rPr>
              <w:rFonts w:hint="eastAsia" w:ascii="宋体" w:hAnsi="宋体" w:eastAsia="宋体" w:cs="宋体"/>
              <w:color w:val="auto"/>
              <w:spacing w:val="0"/>
              <w:w w:val="100"/>
              <w:szCs w:val="24"/>
              <w:highlight w:val="none"/>
            </w:rPr>
            <w:fldChar w:fldCharType="begin"/>
          </w:r>
          <w:r>
            <w:rPr>
              <w:rFonts w:hint="eastAsia" w:ascii="宋体" w:hAnsi="宋体" w:eastAsia="宋体" w:cs="宋体"/>
              <w:spacing w:val="0"/>
              <w:w w:val="100"/>
              <w:szCs w:val="24"/>
              <w:highlight w:val="none"/>
            </w:rPr>
            <w:instrText xml:space="preserve"> HYPERLINK \l _Toc20660 </w:instrText>
          </w:r>
          <w:r>
            <w:rPr>
              <w:rFonts w:hint="eastAsia" w:ascii="宋体" w:hAnsi="宋体" w:eastAsia="宋体" w:cs="宋体"/>
              <w:spacing w:val="0"/>
              <w:w w:val="100"/>
              <w:szCs w:val="24"/>
              <w:highlight w:val="none"/>
            </w:rPr>
            <w:fldChar w:fldCharType="separate"/>
          </w:r>
          <w:r>
            <w:rPr>
              <w:rFonts w:hint="eastAsia" w:ascii="宋体" w:hAnsi="宋体" w:eastAsia="宋体" w:cs="宋体"/>
            </w:rPr>
            <w:t xml:space="preserve">第一章 </w:t>
          </w:r>
          <w:r>
            <w:rPr>
              <w:rFonts w:hint="eastAsia" w:ascii="宋体" w:hAnsi="宋体" w:eastAsia="宋体" w:cs="宋体"/>
              <w:highlight w:val="none"/>
            </w:rPr>
            <w:t>投标邀请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_Toc20660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color w:val="auto"/>
              <w:spacing w:val="0"/>
              <w:w w:val="100"/>
              <w:szCs w:val="24"/>
              <w:highlight w:val="none"/>
            </w:rPr>
            <w:fldChar w:fldCharType="end"/>
          </w:r>
        </w:p>
        <w:p w14:paraId="690F97A3">
          <w:pPr>
            <w:pStyle w:val="31"/>
            <w:keepNext w:val="0"/>
            <w:keepLines w:val="0"/>
            <w:pageBreakBefore w:val="0"/>
            <w:widowControl w:val="0"/>
            <w:tabs>
              <w:tab w:val="right" w:leader="dot" w:pos="9740"/>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color w:val="auto"/>
              <w:spacing w:val="0"/>
              <w:w w:val="100"/>
              <w:szCs w:val="24"/>
              <w:highlight w:val="none"/>
            </w:rPr>
            <w:fldChar w:fldCharType="begin"/>
          </w:r>
          <w:r>
            <w:rPr>
              <w:rFonts w:hint="eastAsia" w:ascii="宋体" w:hAnsi="宋体" w:eastAsia="宋体" w:cs="宋体"/>
              <w:spacing w:val="0"/>
              <w:w w:val="100"/>
              <w:szCs w:val="24"/>
              <w:highlight w:val="none"/>
            </w:rPr>
            <w:instrText xml:space="preserve"> HYPERLINK \l _Toc8295 </w:instrText>
          </w:r>
          <w:r>
            <w:rPr>
              <w:rFonts w:hint="eastAsia" w:ascii="宋体" w:hAnsi="宋体" w:eastAsia="宋体" w:cs="宋体"/>
              <w:spacing w:val="0"/>
              <w:w w:val="100"/>
              <w:szCs w:val="24"/>
              <w:highlight w:val="none"/>
            </w:rPr>
            <w:fldChar w:fldCharType="separate"/>
          </w:r>
          <w:r>
            <w:rPr>
              <w:rFonts w:hint="eastAsia" w:ascii="宋体" w:hAnsi="宋体" w:eastAsia="宋体" w:cs="宋体"/>
            </w:rPr>
            <w:t xml:space="preserve">第二章 </w:t>
          </w:r>
          <w:r>
            <w:rPr>
              <w:rFonts w:hint="eastAsia" w:ascii="宋体" w:hAnsi="宋体" w:eastAsia="宋体" w:cs="宋体"/>
              <w:highlight w:val="none"/>
            </w:rPr>
            <w:t>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_Toc8295 \h </w:instrText>
          </w:r>
          <w:r>
            <w:rPr>
              <w:rFonts w:hint="eastAsia" w:ascii="宋体" w:hAnsi="宋体" w:eastAsia="宋体" w:cs="宋体"/>
            </w:rPr>
            <w:fldChar w:fldCharType="separate"/>
          </w:r>
          <w:r>
            <w:rPr>
              <w:rFonts w:hint="eastAsia" w:ascii="宋体" w:hAnsi="宋体" w:eastAsia="宋体" w:cs="宋体"/>
            </w:rPr>
            <w:t>- 6 -</w:t>
          </w:r>
          <w:r>
            <w:rPr>
              <w:rFonts w:hint="eastAsia" w:ascii="宋体" w:hAnsi="宋体" w:eastAsia="宋体" w:cs="宋体"/>
            </w:rPr>
            <w:fldChar w:fldCharType="end"/>
          </w:r>
          <w:r>
            <w:rPr>
              <w:rFonts w:hint="eastAsia" w:ascii="宋体" w:hAnsi="宋体" w:eastAsia="宋体" w:cs="宋体"/>
              <w:color w:val="auto"/>
              <w:spacing w:val="0"/>
              <w:w w:val="100"/>
              <w:szCs w:val="24"/>
              <w:highlight w:val="none"/>
            </w:rPr>
            <w:fldChar w:fldCharType="end"/>
          </w:r>
        </w:p>
        <w:p w14:paraId="642ACE30">
          <w:pPr>
            <w:pStyle w:val="31"/>
            <w:keepNext w:val="0"/>
            <w:keepLines w:val="0"/>
            <w:pageBreakBefore w:val="0"/>
            <w:widowControl w:val="0"/>
            <w:tabs>
              <w:tab w:val="right" w:leader="dot" w:pos="9740"/>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color w:val="auto"/>
              <w:spacing w:val="0"/>
              <w:w w:val="100"/>
              <w:szCs w:val="24"/>
              <w:highlight w:val="none"/>
            </w:rPr>
            <w:fldChar w:fldCharType="begin"/>
          </w:r>
          <w:r>
            <w:rPr>
              <w:rFonts w:hint="eastAsia" w:ascii="宋体" w:hAnsi="宋体" w:eastAsia="宋体" w:cs="宋体"/>
              <w:spacing w:val="0"/>
              <w:w w:val="100"/>
              <w:szCs w:val="24"/>
              <w:highlight w:val="none"/>
            </w:rPr>
            <w:instrText xml:space="preserve"> HYPERLINK \l _Toc12293 </w:instrText>
          </w:r>
          <w:r>
            <w:rPr>
              <w:rFonts w:hint="eastAsia" w:ascii="宋体" w:hAnsi="宋体" w:eastAsia="宋体" w:cs="宋体"/>
              <w:spacing w:val="0"/>
              <w:w w:val="100"/>
              <w:szCs w:val="24"/>
              <w:highlight w:val="none"/>
            </w:rPr>
            <w:fldChar w:fldCharType="separate"/>
          </w:r>
          <w:r>
            <w:rPr>
              <w:rFonts w:hint="eastAsia" w:ascii="宋体" w:hAnsi="宋体" w:eastAsia="宋体" w:cs="宋体"/>
            </w:rPr>
            <w:t xml:space="preserve">第三章 </w:t>
          </w:r>
          <w:r>
            <w:rPr>
              <w:rFonts w:hint="eastAsia" w:ascii="宋体" w:hAnsi="宋体" w:eastAsia="宋体" w:cs="宋体"/>
              <w:highlight w:val="none"/>
            </w:rPr>
            <w:t>资格审查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_Toc12293 \h </w:instrText>
          </w:r>
          <w:r>
            <w:rPr>
              <w:rFonts w:hint="eastAsia" w:ascii="宋体" w:hAnsi="宋体" w:eastAsia="宋体" w:cs="宋体"/>
            </w:rPr>
            <w:fldChar w:fldCharType="separate"/>
          </w:r>
          <w:r>
            <w:rPr>
              <w:rFonts w:hint="eastAsia" w:ascii="宋体" w:hAnsi="宋体" w:eastAsia="宋体" w:cs="宋体"/>
            </w:rPr>
            <w:t>- 21 -</w:t>
          </w:r>
          <w:r>
            <w:rPr>
              <w:rFonts w:hint="eastAsia" w:ascii="宋体" w:hAnsi="宋体" w:eastAsia="宋体" w:cs="宋体"/>
            </w:rPr>
            <w:fldChar w:fldCharType="end"/>
          </w:r>
          <w:r>
            <w:rPr>
              <w:rFonts w:hint="eastAsia" w:ascii="宋体" w:hAnsi="宋体" w:eastAsia="宋体" w:cs="宋体"/>
              <w:color w:val="auto"/>
              <w:spacing w:val="0"/>
              <w:w w:val="100"/>
              <w:szCs w:val="24"/>
              <w:highlight w:val="none"/>
            </w:rPr>
            <w:fldChar w:fldCharType="end"/>
          </w:r>
        </w:p>
        <w:p w14:paraId="6822E062">
          <w:pPr>
            <w:pStyle w:val="31"/>
            <w:keepNext w:val="0"/>
            <w:keepLines w:val="0"/>
            <w:pageBreakBefore w:val="0"/>
            <w:widowControl w:val="0"/>
            <w:tabs>
              <w:tab w:val="right" w:leader="dot" w:pos="9740"/>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color w:val="auto"/>
              <w:spacing w:val="0"/>
              <w:w w:val="100"/>
              <w:szCs w:val="24"/>
              <w:highlight w:val="none"/>
            </w:rPr>
            <w:fldChar w:fldCharType="begin"/>
          </w:r>
          <w:r>
            <w:rPr>
              <w:rFonts w:hint="eastAsia" w:ascii="宋体" w:hAnsi="宋体" w:eastAsia="宋体" w:cs="宋体"/>
              <w:spacing w:val="0"/>
              <w:w w:val="100"/>
              <w:szCs w:val="24"/>
              <w:highlight w:val="none"/>
            </w:rPr>
            <w:instrText xml:space="preserve"> HYPERLINK \l _Toc18488 </w:instrText>
          </w:r>
          <w:r>
            <w:rPr>
              <w:rFonts w:hint="eastAsia" w:ascii="宋体" w:hAnsi="宋体" w:eastAsia="宋体" w:cs="宋体"/>
              <w:spacing w:val="0"/>
              <w:w w:val="100"/>
              <w:szCs w:val="24"/>
              <w:highlight w:val="none"/>
            </w:rPr>
            <w:fldChar w:fldCharType="separate"/>
          </w:r>
          <w:r>
            <w:rPr>
              <w:rFonts w:hint="eastAsia" w:ascii="宋体" w:hAnsi="宋体" w:eastAsia="宋体" w:cs="宋体"/>
            </w:rPr>
            <w:t xml:space="preserve">第四章 </w:t>
          </w:r>
          <w:r>
            <w:rPr>
              <w:rFonts w:hint="eastAsia" w:ascii="宋体" w:hAnsi="宋体" w:eastAsia="宋体" w:cs="宋体"/>
              <w:highlight w:val="none"/>
            </w:rPr>
            <w:t>评标程序、评标方法和评标标准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_Toc18488 \h </w:instrText>
          </w:r>
          <w:r>
            <w:rPr>
              <w:rFonts w:hint="eastAsia" w:ascii="宋体" w:hAnsi="宋体" w:eastAsia="宋体" w:cs="宋体"/>
            </w:rPr>
            <w:fldChar w:fldCharType="separate"/>
          </w:r>
          <w:r>
            <w:rPr>
              <w:rFonts w:hint="eastAsia" w:ascii="宋体" w:hAnsi="宋体" w:eastAsia="宋体" w:cs="宋体"/>
            </w:rPr>
            <w:t>- 24 -</w:t>
          </w:r>
          <w:r>
            <w:rPr>
              <w:rFonts w:hint="eastAsia" w:ascii="宋体" w:hAnsi="宋体" w:eastAsia="宋体" w:cs="宋体"/>
            </w:rPr>
            <w:fldChar w:fldCharType="end"/>
          </w:r>
          <w:r>
            <w:rPr>
              <w:rFonts w:hint="eastAsia" w:ascii="宋体" w:hAnsi="宋体" w:eastAsia="宋体" w:cs="宋体"/>
              <w:color w:val="auto"/>
              <w:spacing w:val="0"/>
              <w:w w:val="100"/>
              <w:szCs w:val="24"/>
              <w:highlight w:val="none"/>
            </w:rPr>
            <w:fldChar w:fldCharType="end"/>
          </w:r>
        </w:p>
        <w:p w14:paraId="2C16BF4D">
          <w:pPr>
            <w:pStyle w:val="31"/>
            <w:keepNext w:val="0"/>
            <w:keepLines w:val="0"/>
            <w:pageBreakBefore w:val="0"/>
            <w:widowControl w:val="0"/>
            <w:tabs>
              <w:tab w:val="right" w:leader="dot" w:pos="9740"/>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color w:val="auto"/>
              <w:spacing w:val="0"/>
              <w:w w:val="100"/>
              <w:szCs w:val="24"/>
              <w:highlight w:val="none"/>
            </w:rPr>
            <w:fldChar w:fldCharType="begin"/>
          </w:r>
          <w:r>
            <w:rPr>
              <w:rFonts w:hint="eastAsia" w:ascii="宋体" w:hAnsi="宋体" w:eastAsia="宋体" w:cs="宋体"/>
              <w:spacing w:val="0"/>
              <w:w w:val="100"/>
              <w:szCs w:val="24"/>
              <w:highlight w:val="none"/>
            </w:rPr>
            <w:instrText xml:space="preserve"> HYPERLINK \l _Toc8429 </w:instrText>
          </w:r>
          <w:r>
            <w:rPr>
              <w:rFonts w:hint="eastAsia" w:ascii="宋体" w:hAnsi="宋体" w:eastAsia="宋体" w:cs="宋体"/>
              <w:spacing w:val="0"/>
              <w:w w:val="100"/>
              <w:szCs w:val="24"/>
              <w:highlight w:val="none"/>
            </w:rPr>
            <w:fldChar w:fldCharType="separate"/>
          </w:r>
          <w:r>
            <w:rPr>
              <w:rFonts w:hint="eastAsia" w:ascii="宋体" w:hAnsi="宋体" w:eastAsia="宋体" w:cs="宋体"/>
            </w:rPr>
            <w:t xml:space="preserve">第五章 </w:t>
          </w:r>
          <w:r>
            <w:rPr>
              <w:rFonts w:hint="eastAsia" w:ascii="宋体" w:hAnsi="宋体" w:eastAsia="宋体" w:cs="宋体"/>
              <w:highlight w:val="none"/>
            </w:rPr>
            <w:t>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_Toc8429 \h </w:instrText>
          </w:r>
          <w:r>
            <w:rPr>
              <w:rFonts w:hint="eastAsia" w:ascii="宋体" w:hAnsi="宋体" w:eastAsia="宋体" w:cs="宋体"/>
            </w:rPr>
            <w:fldChar w:fldCharType="separate"/>
          </w:r>
          <w:r>
            <w:rPr>
              <w:rFonts w:hint="eastAsia" w:ascii="宋体" w:hAnsi="宋体" w:eastAsia="宋体" w:cs="宋体"/>
            </w:rPr>
            <w:t>- 34 -</w:t>
          </w:r>
          <w:r>
            <w:rPr>
              <w:rFonts w:hint="eastAsia" w:ascii="宋体" w:hAnsi="宋体" w:eastAsia="宋体" w:cs="宋体"/>
            </w:rPr>
            <w:fldChar w:fldCharType="end"/>
          </w:r>
          <w:r>
            <w:rPr>
              <w:rFonts w:hint="eastAsia" w:ascii="宋体" w:hAnsi="宋体" w:eastAsia="宋体" w:cs="宋体"/>
              <w:color w:val="auto"/>
              <w:spacing w:val="0"/>
              <w:w w:val="100"/>
              <w:szCs w:val="24"/>
              <w:highlight w:val="none"/>
            </w:rPr>
            <w:fldChar w:fldCharType="end"/>
          </w:r>
        </w:p>
        <w:p w14:paraId="0AD1D363">
          <w:pPr>
            <w:pStyle w:val="31"/>
            <w:keepNext w:val="0"/>
            <w:keepLines w:val="0"/>
            <w:pageBreakBefore w:val="0"/>
            <w:widowControl w:val="0"/>
            <w:tabs>
              <w:tab w:val="right" w:leader="dot" w:pos="9740"/>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color w:val="auto"/>
              <w:spacing w:val="0"/>
              <w:w w:val="100"/>
              <w:szCs w:val="24"/>
              <w:highlight w:val="none"/>
            </w:rPr>
            <w:fldChar w:fldCharType="begin"/>
          </w:r>
          <w:r>
            <w:rPr>
              <w:rFonts w:hint="eastAsia" w:ascii="宋体" w:hAnsi="宋体" w:eastAsia="宋体" w:cs="宋体"/>
              <w:spacing w:val="0"/>
              <w:w w:val="100"/>
              <w:szCs w:val="24"/>
              <w:highlight w:val="none"/>
            </w:rPr>
            <w:instrText xml:space="preserve"> HYPERLINK \l _Toc3983 </w:instrText>
          </w:r>
          <w:r>
            <w:rPr>
              <w:rFonts w:hint="eastAsia" w:ascii="宋体" w:hAnsi="宋体" w:eastAsia="宋体" w:cs="宋体"/>
              <w:spacing w:val="0"/>
              <w:w w:val="100"/>
              <w:szCs w:val="24"/>
              <w:highlight w:val="none"/>
            </w:rPr>
            <w:fldChar w:fldCharType="separate"/>
          </w:r>
          <w:r>
            <w:rPr>
              <w:rFonts w:hint="eastAsia" w:ascii="宋体" w:hAnsi="宋体" w:eastAsia="宋体" w:cs="宋体"/>
            </w:rPr>
            <w:t xml:space="preserve">第六章 </w:t>
          </w:r>
          <w:r>
            <w:rPr>
              <w:rFonts w:hint="eastAsia" w:ascii="宋体" w:hAnsi="宋体" w:eastAsia="宋体" w:cs="宋体"/>
              <w:highlight w:val="none"/>
            </w:rPr>
            <w:t>拟签订的合同文本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_Toc3983 \h </w:instrText>
          </w:r>
          <w:r>
            <w:rPr>
              <w:rFonts w:hint="eastAsia" w:ascii="宋体" w:hAnsi="宋体" w:eastAsia="宋体" w:cs="宋体"/>
            </w:rPr>
            <w:fldChar w:fldCharType="separate"/>
          </w:r>
          <w:r>
            <w:rPr>
              <w:rFonts w:hint="eastAsia" w:ascii="宋体" w:hAnsi="宋体" w:eastAsia="宋体" w:cs="宋体"/>
            </w:rPr>
            <w:t>- 163 -</w:t>
          </w:r>
          <w:r>
            <w:rPr>
              <w:rFonts w:hint="eastAsia" w:ascii="宋体" w:hAnsi="宋体" w:eastAsia="宋体" w:cs="宋体"/>
            </w:rPr>
            <w:fldChar w:fldCharType="end"/>
          </w:r>
          <w:r>
            <w:rPr>
              <w:rFonts w:hint="eastAsia" w:ascii="宋体" w:hAnsi="宋体" w:eastAsia="宋体" w:cs="宋体"/>
              <w:color w:val="auto"/>
              <w:spacing w:val="0"/>
              <w:w w:val="100"/>
              <w:szCs w:val="24"/>
              <w:highlight w:val="none"/>
            </w:rPr>
            <w:fldChar w:fldCharType="end"/>
          </w:r>
        </w:p>
        <w:p w14:paraId="385C25F3">
          <w:pPr>
            <w:pStyle w:val="31"/>
            <w:keepNext w:val="0"/>
            <w:keepLines w:val="0"/>
            <w:pageBreakBefore w:val="0"/>
            <w:widowControl w:val="0"/>
            <w:tabs>
              <w:tab w:val="right" w:leader="dot" w:pos="9740"/>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color w:val="auto"/>
              <w:spacing w:val="0"/>
              <w:w w:val="100"/>
              <w:szCs w:val="24"/>
              <w:highlight w:val="none"/>
            </w:rPr>
            <w:fldChar w:fldCharType="begin"/>
          </w:r>
          <w:r>
            <w:rPr>
              <w:rFonts w:hint="eastAsia" w:ascii="宋体" w:hAnsi="宋体" w:eastAsia="宋体" w:cs="宋体"/>
              <w:spacing w:val="0"/>
              <w:w w:val="100"/>
              <w:szCs w:val="24"/>
              <w:highlight w:val="none"/>
            </w:rPr>
            <w:instrText xml:space="preserve"> HYPERLINK \l _Toc853 </w:instrText>
          </w:r>
          <w:r>
            <w:rPr>
              <w:rFonts w:hint="eastAsia" w:ascii="宋体" w:hAnsi="宋体" w:eastAsia="宋体" w:cs="宋体"/>
              <w:spacing w:val="0"/>
              <w:w w:val="100"/>
              <w:szCs w:val="24"/>
              <w:highlight w:val="none"/>
            </w:rPr>
            <w:fldChar w:fldCharType="separate"/>
          </w:r>
          <w:r>
            <w:rPr>
              <w:rFonts w:hint="eastAsia" w:ascii="宋体" w:hAnsi="宋体" w:eastAsia="宋体" w:cs="宋体"/>
            </w:rPr>
            <w:t xml:space="preserve">第七章 </w:t>
          </w:r>
          <w:r>
            <w:rPr>
              <w:rFonts w:hint="eastAsia" w:ascii="宋体" w:hAnsi="宋体" w:eastAsia="宋体" w:cs="宋体"/>
              <w:highlight w:val="none"/>
            </w:rPr>
            <w:t>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_Toc853 \h </w:instrText>
          </w:r>
          <w:r>
            <w:rPr>
              <w:rFonts w:hint="eastAsia" w:ascii="宋体" w:hAnsi="宋体" w:eastAsia="宋体" w:cs="宋体"/>
            </w:rPr>
            <w:fldChar w:fldCharType="separate"/>
          </w:r>
          <w:r>
            <w:rPr>
              <w:rFonts w:hint="eastAsia" w:ascii="宋体" w:hAnsi="宋体" w:eastAsia="宋体" w:cs="宋体"/>
            </w:rPr>
            <w:t>- 179 -</w:t>
          </w:r>
          <w:r>
            <w:rPr>
              <w:rFonts w:hint="eastAsia" w:ascii="宋体" w:hAnsi="宋体" w:eastAsia="宋体" w:cs="宋体"/>
            </w:rPr>
            <w:fldChar w:fldCharType="end"/>
          </w:r>
          <w:r>
            <w:rPr>
              <w:rFonts w:hint="eastAsia" w:ascii="宋体" w:hAnsi="宋体" w:eastAsia="宋体" w:cs="宋体"/>
              <w:color w:val="auto"/>
              <w:spacing w:val="0"/>
              <w:w w:val="100"/>
              <w:szCs w:val="24"/>
              <w:highlight w:val="none"/>
            </w:rPr>
            <w:fldChar w:fldCharType="end"/>
          </w:r>
        </w:p>
        <w:p w14:paraId="6E9C262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0"/>
              <w:w w:val="100"/>
              <w:kern w:val="2"/>
              <w:sz w:val="21"/>
              <w:szCs w:val="24"/>
              <w:highlight w:val="none"/>
              <w:lang w:val="en-US" w:eastAsia="zh-CN" w:bidi="ar-SA"/>
            </w:rPr>
          </w:pPr>
          <w:r>
            <w:rPr>
              <w:rFonts w:hint="eastAsia" w:ascii="宋体" w:hAnsi="宋体" w:eastAsia="宋体" w:cs="宋体"/>
              <w:color w:val="auto"/>
              <w:spacing w:val="0"/>
              <w:w w:val="100"/>
              <w:szCs w:val="24"/>
              <w:highlight w:val="none"/>
            </w:rPr>
            <w:fldChar w:fldCharType="end"/>
          </w:r>
        </w:p>
      </w:sdtContent>
    </w:sdt>
    <w:p w14:paraId="55B1589C">
      <w:pPr>
        <w:rPr>
          <w:rFonts w:hint="eastAsia" w:ascii="宋体" w:hAnsi="宋体" w:eastAsia="宋体" w:cs="宋体"/>
          <w:color w:val="auto"/>
          <w:spacing w:val="0"/>
          <w:w w:val="100"/>
          <w:kern w:val="2"/>
          <w:sz w:val="21"/>
          <w:szCs w:val="24"/>
          <w:highlight w:val="none"/>
          <w:lang w:val="en-US" w:eastAsia="zh-CN" w:bidi="ar-SA"/>
        </w:rPr>
      </w:pPr>
    </w:p>
    <w:p w14:paraId="0656EF7B">
      <w:pPr>
        <w:rPr>
          <w:rFonts w:hint="eastAsia" w:ascii="宋体" w:hAnsi="宋体" w:eastAsia="宋体" w:cs="宋体"/>
          <w:color w:val="auto"/>
          <w:highlight w:val="none"/>
          <w:lang w:eastAsia="zh-CN"/>
        </w:rPr>
      </w:pPr>
      <w:r>
        <w:rPr>
          <w:rFonts w:hint="eastAsia" w:ascii="宋体" w:hAnsi="宋体" w:eastAsia="宋体" w:cs="宋体"/>
          <w:color w:val="auto"/>
          <w:highlight w:val="none"/>
        </w:rPr>
        <w:t>注：采购文件条款中以“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”形式标记的内容适用于本项目，以“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”形式标记的内容不适用于本项目</w:t>
      </w:r>
      <w:r>
        <w:rPr>
          <w:rFonts w:hint="eastAsia" w:ascii="宋体" w:hAnsi="宋体" w:eastAsia="宋体" w:cs="宋体"/>
          <w:color w:val="auto"/>
          <w:highlight w:val="none"/>
          <w:lang w:eastAsia="zh-CN"/>
        </w:rPr>
        <w:t>。</w:t>
      </w:r>
    </w:p>
    <w:p w14:paraId="70267D0F">
      <w:pPr>
        <w:rPr>
          <w:rFonts w:hint="eastAsia" w:ascii="宋体" w:hAnsi="宋体" w:eastAsia="宋体" w:cs="宋体"/>
          <w:color w:val="auto"/>
          <w:highlight w:val="none"/>
          <w:lang w:val="en-US" w:eastAsia="zh-CN"/>
        </w:rPr>
      </w:pPr>
    </w:p>
    <w:p w14:paraId="7389CC52">
      <w:pPr>
        <w:pStyle w:val="2"/>
        <w:keepNext/>
        <w:keepLines/>
        <w:pageBreakBefore w:val="0"/>
        <w:widowControl w:val="0"/>
        <w:numPr>
          <w:ilvl w:val="0"/>
          <w:numId w:val="0"/>
        </w:numPr>
        <w:tabs>
          <w:tab w:val="clear" w:pos="0"/>
        </w:tabs>
        <w:kinsoku/>
        <w:wordWrap/>
        <w:overflowPunct/>
        <w:topLinePunct w:val="0"/>
        <w:autoSpaceDE w:val="0"/>
        <w:autoSpaceDN w:val="0"/>
        <w:bidi w:val="0"/>
        <w:adjustRightInd w:val="0"/>
        <w:snapToGrid/>
        <w:spacing w:before="240" w:after="120" w:line="300" w:lineRule="auto"/>
        <w:jc w:val="center"/>
        <w:textAlignment w:val="auto"/>
        <w:outlineLvl w:val="0"/>
        <w:rPr>
          <w:rFonts w:hint="eastAsia" w:ascii="宋体" w:hAnsi="宋体" w:eastAsia="宋体" w:cs="宋体"/>
          <w:color w:val="auto"/>
          <w:spacing w:val="0"/>
          <w:w w:val="100"/>
          <w:position w:val="0"/>
          <w:highlight w:val="none"/>
        </w:rPr>
        <w:sectPr>
          <w:headerReference r:id="rId5" w:type="default"/>
          <w:footerReference r:id="rId6" w:type="default"/>
          <w:pgSz w:w="11906" w:h="16838"/>
          <w:pgMar w:top="1440" w:right="1083" w:bottom="1440" w:left="1083"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1" w:name="_Toc28122"/>
    </w:p>
    <w:bookmarkEnd w:id="1"/>
    <w:p w14:paraId="44AF7A54">
      <w:pPr>
        <w:pStyle w:val="2"/>
        <w:bidi w:val="0"/>
        <w:rPr>
          <w:rFonts w:hint="eastAsia" w:ascii="宋体" w:hAnsi="宋体" w:eastAsia="宋体" w:cs="宋体"/>
          <w:color w:val="auto"/>
          <w:highlight w:val="none"/>
        </w:rPr>
      </w:pPr>
      <w:bookmarkStart w:id="2" w:name="_Toc22999"/>
      <w:r>
        <w:rPr>
          <w:rFonts w:hint="eastAsia" w:ascii="宋体" w:hAnsi="宋体" w:eastAsia="宋体" w:cs="宋体"/>
          <w:color w:val="auto"/>
          <w:highlight w:val="none"/>
          <w:lang w:val="en-US" w:eastAsia="zh-CN"/>
        </w:rPr>
        <w:t xml:space="preserve">  </w:t>
      </w:r>
      <w:bookmarkStart w:id="3" w:name="_Toc20660"/>
      <w:r>
        <w:rPr>
          <w:rFonts w:hint="eastAsia" w:ascii="宋体" w:hAnsi="宋体" w:eastAsia="宋体" w:cs="宋体"/>
          <w:color w:val="auto"/>
          <w:highlight w:val="none"/>
        </w:rPr>
        <w:t>投标邀请</w:t>
      </w:r>
      <w:bookmarkEnd w:id="3"/>
    </w:p>
    <w:p w14:paraId="4DA937DD">
      <w:pPr>
        <w:pStyle w:val="3"/>
        <w:bidi w:val="0"/>
        <w:rPr>
          <w:rFonts w:hint="eastAsia" w:ascii="宋体" w:hAnsi="宋体" w:eastAsia="宋体" w:cs="宋体"/>
          <w:color w:val="auto"/>
          <w:highlight w:val="none"/>
        </w:rPr>
      </w:pPr>
      <w:r>
        <w:rPr>
          <w:rFonts w:hint="eastAsia" w:ascii="宋体" w:hAnsi="宋体" w:eastAsia="宋体" w:cs="宋体"/>
          <w:color w:val="auto"/>
          <w:highlight w:val="none"/>
        </w:rPr>
        <w:t>项目基本情况</w:t>
      </w:r>
    </w:p>
    <w:p w14:paraId="1C567802">
      <w:pPr>
        <w:pStyle w:val="4"/>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项目名称：海淀区残疾人职业康复中心设备采购项目</w:t>
      </w:r>
    </w:p>
    <w:p w14:paraId="60C8FF3D">
      <w:pPr>
        <w:pStyle w:val="4"/>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项目编号：</w:t>
      </w:r>
      <w:r>
        <w:rPr>
          <w:rFonts w:hint="eastAsia" w:cs="宋体"/>
          <w:color w:val="auto"/>
          <w:highlight w:val="none"/>
          <w:lang w:val="en-US" w:eastAsia="zh-CN"/>
        </w:rPr>
        <w:t>11010826210200054453-XM001</w:t>
      </w:r>
    </w:p>
    <w:p w14:paraId="0C0AF328">
      <w:pPr>
        <w:pStyle w:val="4"/>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项目预算金额：1064</w:t>
      </w:r>
      <w:r>
        <w:rPr>
          <w:rFonts w:hint="eastAsia" w:cs="宋体"/>
          <w:color w:val="auto"/>
          <w:highlight w:val="none"/>
          <w:lang w:val="en-US" w:eastAsia="zh-CN"/>
        </w:rPr>
        <w:t>.</w:t>
      </w:r>
      <w:r>
        <w:rPr>
          <w:rFonts w:hint="eastAsia" w:ascii="宋体" w:hAnsi="宋体" w:eastAsia="宋体" w:cs="宋体"/>
          <w:color w:val="auto"/>
          <w:highlight w:val="none"/>
          <w:lang w:val="en-US" w:eastAsia="zh-CN"/>
        </w:rPr>
        <w:t>9020</w:t>
      </w:r>
      <w:r>
        <w:rPr>
          <w:rFonts w:hint="eastAsia" w:cs="宋体"/>
          <w:color w:val="auto"/>
          <w:highlight w:val="none"/>
          <w:lang w:val="en-US" w:eastAsia="zh-CN"/>
        </w:rPr>
        <w:t>万</w:t>
      </w:r>
      <w:r>
        <w:rPr>
          <w:rFonts w:hint="eastAsia" w:ascii="宋体" w:hAnsi="宋体" w:eastAsia="宋体" w:cs="宋体"/>
          <w:color w:val="auto"/>
          <w:highlight w:val="none"/>
          <w:lang w:val="en-US" w:eastAsia="zh-CN"/>
        </w:rPr>
        <w:t>元</w:t>
      </w:r>
    </w:p>
    <w:p w14:paraId="5B570FC1">
      <w:pPr>
        <w:pStyle w:val="4"/>
        <w:bidi w:val="0"/>
        <w:rPr>
          <w:rFonts w:hint="eastAsia"/>
          <w:lang w:val="en-US" w:eastAsia="zh-CN"/>
        </w:rPr>
      </w:pPr>
      <w:r>
        <w:rPr>
          <w:rFonts w:hint="eastAsia" w:ascii="宋体" w:hAnsi="宋体" w:eastAsia="宋体" w:cs="宋体"/>
          <w:color w:val="auto"/>
          <w:highlight w:val="none"/>
          <w:lang w:val="en-US" w:eastAsia="zh-CN"/>
        </w:rPr>
        <w:t>采购需求：</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25"/>
        <w:gridCol w:w="1382"/>
        <w:gridCol w:w="1286"/>
        <w:gridCol w:w="4110"/>
      </w:tblGrid>
      <w:tr w14:paraId="34DE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796458E">
            <w:pPr>
              <w:jc w:val="center"/>
              <w:rPr>
                <w:rFonts w:hint="eastAsia" w:ascii="宋体" w:hAnsi="宋体" w:eastAsia="宋体" w:cs="宋体"/>
                <w:bCs/>
                <w:color w:val="auto"/>
                <w:spacing w:val="0"/>
                <w:w w:val="100"/>
                <w:kern w:val="0"/>
                <w:position w:val="0"/>
                <w:szCs w:val="21"/>
                <w:highlight w:val="none"/>
              </w:rPr>
            </w:pPr>
            <w:r>
              <w:rPr>
                <w:rFonts w:hint="eastAsia" w:ascii="宋体" w:hAnsi="宋体" w:eastAsia="宋体" w:cs="宋体"/>
                <w:bCs/>
                <w:color w:val="auto"/>
                <w:spacing w:val="0"/>
                <w:w w:val="100"/>
                <w:kern w:val="0"/>
                <w:position w:val="0"/>
                <w:szCs w:val="21"/>
                <w:highlight w:val="none"/>
              </w:rPr>
              <w:t>包号</w:t>
            </w:r>
          </w:p>
        </w:tc>
        <w:tc>
          <w:tcPr>
            <w:tcW w:w="2625" w:type="dxa"/>
            <w:vAlign w:val="center"/>
          </w:tcPr>
          <w:p w14:paraId="384DD154">
            <w:pPr>
              <w:jc w:val="center"/>
              <w:rPr>
                <w:rFonts w:hint="eastAsia" w:ascii="宋体" w:hAnsi="宋体" w:eastAsia="宋体" w:cs="宋体"/>
                <w:bCs/>
                <w:color w:val="auto"/>
                <w:spacing w:val="0"/>
                <w:w w:val="100"/>
                <w:kern w:val="0"/>
                <w:position w:val="0"/>
                <w:szCs w:val="21"/>
                <w:highlight w:val="none"/>
                <w:lang w:eastAsia="zh-CN"/>
              </w:rPr>
            </w:pPr>
            <w:r>
              <w:rPr>
                <w:rFonts w:hint="eastAsia" w:ascii="宋体" w:hAnsi="宋体" w:eastAsia="宋体" w:cs="宋体"/>
                <w:bCs/>
                <w:color w:val="auto"/>
                <w:spacing w:val="0"/>
                <w:w w:val="100"/>
                <w:kern w:val="0"/>
                <w:position w:val="0"/>
                <w:szCs w:val="21"/>
                <w:highlight w:val="none"/>
                <w:lang w:eastAsia="zh-CN"/>
              </w:rPr>
              <w:t>分包名称</w:t>
            </w:r>
          </w:p>
        </w:tc>
        <w:tc>
          <w:tcPr>
            <w:tcW w:w="1382" w:type="dxa"/>
            <w:vAlign w:val="center"/>
          </w:tcPr>
          <w:p w14:paraId="74E5A4AE">
            <w:pPr>
              <w:jc w:val="center"/>
              <w:rPr>
                <w:rFonts w:hint="eastAsia" w:ascii="宋体" w:hAnsi="宋体" w:eastAsia="宋体" w:cs="宋体"/>
                <w:bCs/>
                <w:color w:val="auto"/>
                <w:spacing w:val="0"/>
                <w:w w:val="100"/>
                <w:kern w:val="0"/>
                <w:position w:val="0"/>
                <w:szCs w:val="21"/>
                <w:highlight w:val="none"/>
                <w:lang w:val="en-US" w:eastAsia="zh-CN"/>
              </w:rPr>
            </w:pPr>
            <w:r>
              <w:rPr>
                <w:rFonts w:hint="eastAsia" w:ascii="宋体" w:hAnsi="宋体" w:eastAsia="宋体" w:cs="宋体"/>
                <w:color w:val="auto"/>
                <w:spacing w:val="0"/>
                <w:w w:val="100"/>
                <w:position w:val="0"/>
                <w:highlight w:val="none"/>
              </w:rPr>
              <w:t>预算金额</w:t>
            </w:r>
            <w:r>
              <w:rPr>
                <w:rFonts w:hint="eastAsia" w:ascii="宋体" w:hAnsi="宋体" w:eastAsia="宋体" w:cs="宋体"/>
                <w:color w:val="auto"/>
                <w:spacing w:val="0"/>
                <w:w w:val="100"/>
                <w:position w:val="0"/>
                <w:highlight w:val="none"/>
                <w:lang w:eastAsia="zh-CN"/>
              </w:rPr>
              <w:t>（</w:t>
            </w:r>
            <w:r>
              <w:rPr>
                <w:rFonts w:hint="eastAsia" w:ascii="宋体" w:hAnsi="宋体" w:cs="宋体"/>
                <w:color w:val="auto"/>
                <w:spacing w:val="0"/>
                <w:w w:val="100"/>
                <w:position w:val="0"/>
                <w:highlight w:val="none"/>
                <w:lang w:val="en-US" w:eastAsia="zh-CN"/>
              </w:rPr>
              <w:t>万</w:t>
            </w:r>
            <w:r>
              <w:rPr>
                <w:rFonts w:hint="eastAsia" w:ascii="宋体" w:hAnsi="宋体" w:eastAsia="宋体" w:cs="宋体"/>
                <w:color w:val="auto"/>
                <w:spacing w:val="0"/>
                <w:highlight w:val="none"/>
                <w:lang w:val="en-US" w:eastAsia="zh-CN"/>
              </w:rPr>
              <w:t>元</w:t>
            </w:r>
            <w:r>
              <w:rPr>
                <w:rFonts w:hint="eastAsia" w:ascii="宋体" w:hAnsi="宋体" w:eastAsia="宋体" w:cs="宋体"/>
                <w:color w:val="auto"/>
                <w:spacing w:val="0"/>
                <w:w w:val="100"/>
                <w:position w:val="0"/>
                <w:highlight w:val="none"/>
                <w:lang w:eastAsia="zh-CN"/>
              </w:rPr>
              <w:t>）</w:t>
            </w:r>
          </w:p>
        </w:tc>
        <w:tc>
          <w:tcPr>
            <w:tcW w:w="1286" w:type="dxa"/>
            <w:vAlign w:val="center"/>
          </w:tcPr>
          <w:p w14:paraId="7AC96702">
            <w:pPr>
              <w:jc w:val="center"/>
              <w:rPr>
                <w:rFonts w:hint="eastAsia" w:ascii="宋体" w:hAnsi="宋体" w:eastAsia="宋体" w:cs="宋体"/>
                <w:bCs/>
                <w:color w:val="auto"/>
                <w:spacing w:val="0"/>
                <w:w w:val="100"/>
                <w:kern w:val="0"/>
                <w:position w:val="0"/>
                <w:szCs w:val="21"/>
                <w:highlight w:val="none"/>
              </w:rPr>
            </w:pPr>
            <w:r>
              <w:rPr>
                <w:rFonts w:hint="eastAsia" w:ascii="宋体" w:hAnsi="宋体" w:eastAsia="宋体" w:cs="宋体"/>
                <w:bCs/>
                <w:color w:val="auto"/>
                <w:spacing w:val="0"/>
                <w:w w:val="100"/>
                <w:kern w:val="0"/>
                <w:position w:val="0"/>
                <w:szCs w:val="21"/>
                <w:highlight w:val="none"/>
                <w:lang w:val="en-US" w:eastAsia="zh-CN"/>
              </w:rPr>
              <w:t>采购</w:t>
            </w:r>
            <w:r>
              <w:rPr>
                <w:rFonts w:hint="eastAsia" w:ascii="宋体" w:hAnsi="宋体" w:eastAsia="宋体" w:cs="宋体"/>
                <w:bCs/>
                <w:color w:val="auto"/>
                <w:spacing w:val="0"/>
                <w:w w:val="100"/>
                <w:kern w:val="0"/>
                <w:position w:val="0"/>
                <w:szCs w:val="21"/>
                <w:highlight w:val="none"/>
              </w:rPr>
              <w:t>数量</w:t>
            </w:r>
          </w:p>
        </w:tc>
        <w:tc>
          <w:tcPr>
            <w:tcW w:w="4110" w:type="dxa"/>
            <w:vAlign w:val="center"/>
          </w:tcPr>
          <w:p w14:paraId="2CE64F02">
            <w:pPr>
              <w:jc w:val="center"/>
              <w:rPr>
                <w:rFonts w:hint="eastAsia" w:ascii="宋体" w:hAnsi="宋体" w:eastAsia="宋体" w:cs="宋体"/>
                <w:color w:val="auto"/>
                <w:spacing w:val="0"/>
                <w:w w:val="100"/>
                <w:kern w:val="0"/>
                <w:position w:val="0"/>
                <w:szCs w:val="21"/>
                <w:highlight w:val="none"/>
              </w:rPr>
            </w:pPr>
            <w:r>
              <w:rPr>
                <w:rFonts w:hint="eastAsia" w:ascii="宋体" w:hAnsi="宋体" w:eastAsia="宋体" w:cs="宋体"/>
                <w:color w:val="auto"/>
                <w:spacing w:val="0"/>
                <w:w w:val="100"/>
                <w:kern w:val="0"/>
                <w:position w:val="0"/>
                <w:szCs w:val="21"/>
                <w:highlight w:val="none"/>
              </w:rPr>
              <w:t>简要技术需求或服务要求</w:t>
            </w:r>
          </w:p>
        </w:tc>
      </w:tr>
      <w:tr w14:paraId="44F8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0" w:type="auto"/>
            <w:vAlign w:val="center"/>
          </w:tcPr>
          <w:p w14:paraId="594F03D4">
            <w:pPr>
              <w:jc w:val="center"/>
              <w:rPr>
                <w:rFonts w:hint="eastAsia" w:ascii="宋体" w:hAnsi="宋体" w:eastAsia="宋体" w:cs="宋体"/>
                <w:b/>
                <w:bCs w:val="0"/>
                <w:color w:val="auto"/>
                <w:spacing w:val="0"/>
                <w:w w:val="100"/>
                <w:kern w:val="0"/>
                <w:position w:val="0"/>
                <w:szCs w:val="21"/>
                <w:highlight w:val="none"/>
                <w:lang w:val="en-US" w:eastAsia="zh-CN"/>
              </w:rPr>
            </w:pPr>
            <w:r>
              <w:rPr>
                <w:rFonts w:hint="eastAsia" w:ascii="宋体" w:hAnsi="宋体" w:eastAsia="宋体" w:cs="宋体"/>
                <w:b/>
                <w:bCs w:val="0"/>
                <w:color w:val="auto"/>
                <w:spacing w:val="0"/>
                <w:w w:val="100"/>
                <w:kern w:val="0"/>
                <w:position w:val="0"/>
                <w:szCs w:val="21"/>
                <w:highlight w:val="none"/>
                <w:lang w:val="en-US" w:eastAsia="zh-CN"/>
              </w:rPr>
              <w:t>01</w:t>
            </w:r>
          </w:p>
        </w:tc>
        <w:tc>
          <w:tcPr>
            <w:tcW w:w="2625" w:type="dxa"/>
            <w:vAlign w:val="center"/>
          </w:tcPr>
          <w:p w14:paraId="09AE0CFE">
            <w:pPr>
              <w:jc w:val="center"/>
              <w:rPr>
                <w:rFonts w:hint="eastAsia" w:ascii="宋体" w:hAnsi="宋体" w:eastAsia="宋体" w:cs="宋体"/>
                <w:color w:val="auto"/>
                <w:spacing w:val="0"/>
                <w:highlight w:val="none"/>
                <w:lang w:eastAsia="zh-CN"/>
              </w:rPr>
            </w:pPr>
            <w:r>
              <w:rPr>
                <w:rFonts w:hint="eastAsia" w:ascii="宋体" w:hAnsi="宋体" w:eastAsia="宋体" w:cs="宋体"/>
                <w:color w:val="auto"/>
                <w:highlight w:val="none"/>
                <w:lang w:eastAsia="zh-CN"/>
              </w:rPr>
              <w:t>海淀区残疾人职业康复中心设备采购项目（</w:t>
            </w:r>
            <w:r>
              <w:rPr>
                <w:rFonts w:hint="eastAsia" w:ascii="宋体" w:hAnsi="宋体" w:eastAsia="宋体" w:cs="宋体"/>
                <w:color w:val="auto"/>
                <w:highlight w:val="none"/>
                <w:lang w:val="en-US" w:eastAsia="zh-CN"/>
              </w:rPr>
              <w:t>第一包</w:t>
            </w:r>
            <w:r>
              <w:rPr>
                <w:rFonts w:hint="eastAsia" w:ascii="宋体" w:hAnsi="宋体" w:eastAsia="宋体" w:cs="宋体"/>
                <w:color w:val="auto"/>
                <w:highlight w:val="none"/>
                <w:lang w:eastAsia="zh-CN"/>
              </w:rPr>
              <w:t>）</w:t>
            </w:r>
          </w:p>
        </w:tc>
        <w:tc>
          <w:tcPr>
            <w:tcW w:w="1382" w:type="dxa"/>
            <w:vAlign w:val="center"/>
          </w:tcPr>
          <w:p w14:paraId="57208135">
            <w:pPr>
              <w:jc w:val="center"/>
              <w:rPr>
                <w:rFonts w:hint="eastAsia" w:ascii="宋体" w:hAnsi="宋体" w:eastAsia="宋体" w:cs="宋体"/>
                <w:color w:val="auto"/>
                <w:spacing w:val="0"/>
                <w:highlight w:val="none"/>
                <w:lang w:val="en-US" w:eastAsia="zh-CN"/>
              </w:rPr>
            </w:pPr>
            <w:r>
              <w:rPr>
                <w:rFonts w:hint="eastAsia" w:ascii="宋体" w:hAnsi="宋体" w:eastAsia="宋体" w:cs="宋体"/>
                <w:color w:val="auto"/>
                <w:kern w:val="0"/>
                <w:sz w:val="22"/>
                <w:szCs w:val="22"/>
                <w:highlight w:val="none"/>
                <w:lang w:eastAsia="zh-CN" w:bidi="ar"/>
              </w:rPr>
              <w:t>549.1438</w:t>
            </w:r>
            <w:r>
              <w:rPr>
                <w:rFonts w:hint="eastAsia" w:ascii="宋体" w:hAnsi="宋体" w:cs="宋体"/>
                <w:color w:val="auto"/>
                <w:spacing w:val="0"/>
                <w:w w:val="100"/>
                <w:position w:val="0"/>
                <w:highlight w:val="none"/>
                <w:lang w:val="en-US" w:eastAsia="zh-CN"/>
              </w:rPr>
              <w:t>万</w:t>
            </w:r>
            <w:r>
              <w:rPr>
                <w:rFonts w:hint="eastAsia" w:ascii="宋体" w:hAnsi="宋体" w:eastAsia="宋体" w:cs="宋体"/>
                <w:color w:val="auto"/>
                <w:spacing w:val="0"/>
                <w:highlight w:val="none"/>
                <w:lang w:val="en-US" w:eastAsia="zh-CN"/>
              </w:rPr>
              <w:t>元</w:t>
            </w:r>
          </w:p>
        </w:tc>
        <w:tc>
          <w:tcPr>
            <w:tcW w:w="1286" w:type="dxa"/>
            <w:vAlign w:val="center"/>
          </w:tcPr>
          <w:p w14:paraId="14A61421">
            <w:pPr>
              <w:jc w:val="center"/>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lang w:val="en-US" w:eastAsia="zh-CN"/>
              </w:rPr>
              <w:t>一批</w:t>
            </w:r>
          </w:p>
        </w:tc>
        <w:tc>
          <w:tcPr>
            <w:tcW w:w="4110" w:type="dxa"/>
            <w:vAlign w:val="center"/>
          </w:tcPr>
          <w:p w14:paraId="2E5D4C18">
            <w:pPr>
              <w:autoSpaceDE w:val="0"/>
              <w:autoSpaceDN w:val="0"/>
              <w:jc w:val="left"/>
              <w:textAlignment w:val="top"/>
              <w:rPr>
                <w:rFonts w:hint="eastAsia" w:ascii="宋体" w:hAnsi="宋体" w:eastAsia="宋体" w:cs="宋体"/>
                <w:color w:val="auto"/>
                <w:spacing w:val="0"/>
                <w:kern w:val="0"/>
                <w:szCs w:val="21"/>
                <w:highlight w:val="none"/>
                <w:lang w:eastAsia="zh-CN"/>
              </w:rPr>
            </w:pPr>
            <w:r>
              <w:rPr>
                <w:rFonts w:hint="eastAsia" w:ascii="宋体" w:hAnsi="宋体" w:eastAsia="宋体" w:cs="宋体"/>
                <w:color w:val="auto"/>
                <w:kern w:val="0"/>
                <w:sz w:val="22"/>
                <w:szCs w:val="22"/>
                <w:highlight w:val="none"/>
                <w:lang w:eastAsia="zh-CN" w:bidi="ar"/>
              </w:rPr>
              <w:t>海淀区残疾人职业康复中心康复劳动辅助器具</w:t>
            </w:r>
            <w:r>
              <w:rPr>
                <w:rFonts w:hint="eastAsia" w:ascii="宋体" w:hAnsi="宋体" w:cs="宋体"/>
                <w:color w:val="auto"/>
                <w:kern w:val="0"/>
                <w:sz w:val="22"/>
                <w:szCs w:val="22"/>
                <w:highlight w:val="none"/>
                <w:lang w:val="en-US" w:eastAsia="zh-CN" w:bidi="ar"/>
              </w:rPr>
              <w:t>等设备</w:t>
            </w:r>
            <w:r>
              <w:rPr>
                <w:rFonts w:hint="eastAsia" w:ascii="宋体" w:hAnsi="宋体" w:eastAsia="宋体" w:cs="宋体"/>
                <w:color w:val="auto"/>
                <w:kern w:val="0"/>
                <w:sz w:val="22"/>
                <w:szCs w:val="22"/>
                <w:highlight w:val="none"/>
                <w:lang w:eastAsia="zh-CN" w:bidi="ar"/>
              </w:rPr>
              <w:t>采购。具体内容详见招标文件</w:t>
            </w:r>
            <w:r>
              <w:rPr>
                <w:rFonts w:hint="eastAsia" w:ascii="宋体" w:hAnsi="宋体" w:cs="宋体"/>
                <w:color w:val="auto"/>
                <w:kern w:val="0"/>
                <w:sz w:val="22"/>
                <w:szCs w:val="22"/>
                <w:highlight w:val="none"/>
                <w:lang w:val="en-US" w:eastAsia="zh-CN" w:bidi="ar"/>
              </w:rPr>
              <w:t>第五章采购需求</w:t>
            </w:r>
            <w:r>
              <w:rPr>
                <w:rFonts w:hint="eastAsia" w:ascii="宋体" w:hAnsi="宋体" w:eastAsia="宋体" w:cs="宋体"/>
                <w:color w:val="auto"/>
                <w:kern w:val="0"/>
                <w:sz w:val="22"/>
                <w:szCs w:val="22"/>
                <w:highlight w:val="none"/>
                <w:lang w:eastAsia="zh-CN" w:bidi="ar"/>
              </w:rPr>
              <w:t>。</w:t>
            </w:r>
          </w:p>
        </w:tc>
      </w:tr>
      <w:tr w14:paraId="3847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0" w:type="auto"/>
            <w:vAlign w:val="center"/>
          </w:tcPr>
          <w:p w14:paraId="4BE3A89C">
            <w:pPr>
              <w:jc w:val="center"/>
              <w:rPr>
                <w:rFonts w:hint="eastAsia" w:ascii="宋体" w:hAnsi="宋体" w:eastAsia="宋体" w:cs="宋体"/>
                <w:b/>
                <w:bCs w:val="0"/>
                <w:color w:val="auto"/>
                <w:spacing w:val="0"/>
                <w:w w:val="100"/>
                <w:kern w:val="0"/>
                <w:position w:val="0"/>
                <w:szCs w:val="21"/>
                <w:highlight w:val="none"/>
                <w:lang w:val="en-US" w:eastAsia="zh-CN"/>
              </w:rPr>
            </w:pPr>
            <w:r>
              <w:rPr>
                <w:rFonts w:hint="eastAsia" w:ascii="宋体" w:hAnsi="宋体" w:eastAsia="宋体" w:cs="宋体"/>
                <w:b/>
                <w:bCs w:val="0"/>
                <w:color w:val="auto"/>
                <w:spacing w:val="0"/>
                <w:w w:val="100"/>
                <w:kern w:val="0"/>
                <w:position w:val="0"/>
                <w:szCs w:val="21"/>
                <w:highlight w:val="none"/>
                <w:lang w:val="en-US" w:eastAsia="zh-CN"/>
              </w:rPr>
              <w:t>02</w:t>
            </w:r>
          </w:p>
        </w:tc>
        <w:tc>
          <w:tcPr>
            <w:tcW w:w="2625" w:type="dxa"/>
            <w:vAlign w:val="center"/>
          </w:tcPr>
          <w:p w14:paraId="4FB6FB4D">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海淀区残疾人职业康复中心设备采购项目（</w:t>
            </w:r>
            <w:r>
              <w:rPr>
                <w:rFonts w:hint="eastAsia" w:ascii="宋体" w:hAnsi="宋体" w:eastAsia="宋体" w:cs="宋体"/>
                <w:color w:val="auto"/>
                <w:highlight w:val="none"/>
                <w:lang w:val="en-US" w:eastAsia="zh-CN"/>
              </w:rPr>
              <w:t>第二包</w:t>
            </w:r>
            <w:r>
              <w:rPr>
                <w:rFonts w:hint="eastAsia" w:ascii="宋体" w:hAnsi="宋体" w:eastAsia="宋体" w:cs="宋体"/>
                <w:color w:val="auto"/>
                <w:highlight w:val="none"/>
                <w:lang w:eastAsia="zh-CN"/>
              </w:rPr>
              <w:t>）</w:t>
            </w:r>
          </w:p>
        </w:tc>
        <w:tc>
          <w:tcPr>
            <w:tcW w:w="1382" w:type="dxa"/>
            <w:vAlign w:val="center"/>
          </w:tcPr>
          <w:p w14:paraId="06CF86DB">
            <w:pPr>
              <w:jc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eastAsia="zh-CN" w:bidi="ar"/>
              </w:rPr>
              <w:t>515.7582</w:t>
            </w:r>
            <w:r>
              <w:rPr>
                <w:rFonts w:hint="eastAsia" w:ascii="宋体" w:hAnsi="宋体" w:cs="宋体"/>
                <w:color w:val="auto"/>
                <w:spacing w:val="0"/>
                <w:w w:val="100"/>
                <w:position w:val="0"/>
                <w:highlight w:val="none"/>
                <w:lang w:val="en-US" w:eastAsia="zh-CN"/>
              </w:rPr>
              <w:t>万</w:t>
            </w:r>
            <w:r>
              <w:rPr>
                <w:rFonts w:hint="eastAsia" w:ascii="宋体" w:hAnsi="宋体" w:eastAsia="宋体" w:cs="宋体"/>
                <w:color w:val="auto"/>
                <w:spacing w:val="0"/>
                <w:highlight w:val="none"/>
                <w:lang w:val="en-US" w:eastAsia="zh-CN"/>
              </w:rPr>
              <w:t>元</w:t>
            </w:r>
          </w:p>
        </w:tc>
        <w:tc>
          <w:tcPr>
            <w:tcW w:w="1286" w:type="dxa"/>
            <w:vAlign w:val="center"/>
          </w:tcPr>
          <w:p w14:paraId="25F3BBF6">
            <w:pPr>
              <w:jc w:val="center"/>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lang w:val="en-US" w:eastAsia="zh-CN"/>
              </w:rPr>
              <w:t>一批</w:t>
            </w:r>
          </w:p>
        </w:tc>
        <w:tc>
          <w:tcPr>
            <w:tcW w:w="4110" w:type="dxa"/>
            <w:vAlign w:val="center"/>
          </w:tcPr>
          <w:p w14:paraId="69742256">
            <w:pPr>
              <w:autoSpaceDE w:val="0"/>
              <w:autoSpaceDN w:val="0"/>
              <w:jc w:val="left"/>
              <w:textAlignment w:val="top"/>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1"/>
                <w:szCs w:val="21"/>
                <w:highlight w:val="none"/>
                <w:lang w:eastAsia="zh-CN" w:bidi="ar"/>
              </w:rPr>
              <w:t>海淀区残疾人职业康复中心</w:t>
            </w:r>
            <w:r>
              <w:rPr>
                <w:rFonts w:hint="eastAsia" w:ascii="宋体" w:hAnsi="宋体" w:eastAsia="宋体" w:cs="宋体"/>
                <w:color w:val="000000" w:themeColor="text1"/>
                <w:sz w:val="21"/>
                <w:szCs w:val="21"/>
                <w14:textFill>
                  <w14:solidFill>
                    <w14:schemeClr w14:val="tx1"/>
                  </w14:solidFill>
                </w14:textFill>
              </w:rPr>
              <w:t>会议室信息化</w:t>
            </w:r>
            <w:r>
              <w:rPr>
                <w:rFonts w:hint="eastAsia" w:ascii="宋体" w:hAnsi="宋体" w:cs="宋体"/>
                <w:color w:val="000000" w:themeColor="text1"/>
                <w:sz w:val="21"/>
                <w:szCs w:val="21"/>
                <w:lang w:val="en-US" w:eastAsia="zh-CN"/>
                <w14:textFill>
                  <w14:solidFill>
                    <w14:schemeClr w14:val="tx1"/>
                  </w14:solidFill>
                </w14:textFill>
              </w:rPr>
              <w:t>设备</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辅助医疗设备</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厨房设备</w:t>
            </w:r>
            <w:r>
              <w:rPr>
                <w:rFonts w:hint="eastAsia" w:ascii="宋体" w:hAnsi="宋体" w:cs="宋体"/>
                <w:color w:val="000000" w:themeColor="text1"/>
                <w:sz w:val="21"/>
                <w:szCs w:val="21"/>
                <w:lang w:val="en-US" w:eastAsia="zh-CN"/>
                <w14:textFill>
                  <w14:solidFill>
                    <w14:schemeClr w14:val="tx1"/>
                  </w14:solidFill>
                </w14:textFill>
              </w:rPr>
              <w:t>等</w:t>
            </w:r>
            <w:r>
              <w:rPr>
                <w:rFonts w:hint="eastAsia" w:ascii="宋体" w:hAnsi="宋体" w:eastAsia="宋体" w:cs="宋体"/>
                <w:color w:val="auto"/>
                <w:kern w:val="0"/>
                <w:sz w:val="21"/>
                <w:szCs w:val="21"/>
                <w:highlight w:val="none"/>
                <w:lang w:eastAsia="zh-CN" w:bidi="ar"/>
              </w:rPr>
              <w:t>采购。具体内容详见招标文件</w:t>
            </w:r>
            <w:r>
              <w:rPr>
                <w:rFonts w:hint="eastAsia" w:ascii="宋体" w:hAnsi="宋体" w:cs="宋体"/>
                <w:color w:val="auto"/>
                <w:kern w:val="0"/>
                <w:sz w:val="21"/>
                <w:szCs w:val="21"/>
                <w:highlight w:val="none"/>
                <w:lang w:val="en-US" w:eastAsia="zh-CN" w:bidi="ar"/>
              </w:rPr>
              <w:t>第五章采购需求</w:t>
            </w:r>
            <w:r>
              <w:rPr>
                <w:rFonts w:hint="eastAsia" w:ascii="宋体" w:hAnsi="宋体" w:eastAsia="宋体" w:cs="宋体"/>
                <w:color w:val="auto"/>
                <w:kern w:val="0"/>
                <w:sz w:val="22"/>
                <w:szCs w:val="22"/>
                <w:highlight w:val="none"/>
                <w:lang w:eastAsia="zh-CN" w:bidi="ar"/>
              </w:rPr>
              <w:t>。</w:t>
            </w:r>
          </w:p>
        </w:tc>
      </w:tr>
    </w:tbl>
    <w:p w14:paraId="2DEBA51A">
      <w:pPr>
        <w:pStyle w:val="4"/>
        <w:numPr>
          <w:ilvl w:val="2"/>
          <w:numId w:val="0"/>
        </w:numPr>
        <w:bidi w:val="0"/>
        <w:rPr>
          <w:rFonts w:hint="eastAsia" w:ascii="宋体" w:hAnsi="宋体" w:eastAsia="宋体" w:cs="宋体"/>
          <w:color w:val="auto"/>
          <w:highlight w:val="none"/>
          <w:lang w:val="en-US" w:eastAsia="zh-CN"/>
        </w:rPr>
      </w:pPr>
    </w:p>
    <w:p w14:paraId="729EEA48">
      <w:pPr>
        <w:pStyle w:val="4"/>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合同履行期限：</w:t>
      </w:r>
      <w:r>
        <w:rPr>
          <w:rFonts w:hint="eastAsia" w:ascii="宋体" w:hAnsi="宋体" w:eastAsia="宋体" w:cs="宋体"/>
          <w:color w:val="auto"/>
          <w:highlight w:val="none"/>
          <w:lang w:val="en-US" w:eastAsia="zh-CN"/>
        </w:rPr>
        <w:br w:type="textWrapping"/>
      </w:r>
      <w:r>
        <w:rPr>
          <w:rFonts w:hint="eastAsia" w:cs="宋体"/>
          <w:color w:val="auto"/>
          <w:highlight w:val="none"/>
          <w:lang w:val="en-US" w:eastAsia="zh-CN"/>
        </w:rPr>
        <w:t>（第一包）合同签订后 30 个工作日内完成供货、安装及调试等全部工作要求。</w:t>
      </w:r>
      <w:r>
        <w:rPr>
          <w:rFonts w:hint="eastAsia" w:ascii="宋体" w:hAnsi="宋体" w:eastAsia="宋体" w:cs="宋体"/>
          <w:color w:val="auto"/>
          <w:highlight w:val="none"/>
          <w:lang w:val="en-US" w:eastAsia="zh-CN"/>
        </w:rPr>
        <w:br w:type="textWrapping"/>
      </w:r>
      <w:r>
        <w:rPr>
          <w:rFonts w:hint="eastAsia" w:cs="宋体"/>
          <w:color w:val="auto"/>
          <w:highlight w:val="none"/>
          <w:lang w:val="en-US" w:eastAsia="zh-CN"/>
        </w:rPr>
        <w:t>（第二包）</w:t>
      </w:r>
      <w:r>
        <w:rPr>
          <w:rFonts w:hint="eastAsia" w:ascii="宋体" w:hAnsi="宋体" w:eastAsia="宋体" w:cs="宋体"/>
          <w:b w:val="0"/>
          <w:bCs w:val="0"/>
          <w:sz w:val="24"/>
          <w:szCs w:val="24"/>
          <w:highlight w:val="none"/>
          <w:lang w:val="en-US" w:eastAsia="zh-CN"/>
        </w:rPr>
        <w:t>合同签订完成后一个月之内</w:t>
      </w:r>
      <w:r>
        <w:rPr>
          <w:rFonts w:hint="eastAsia" w:ascii="宋体" w:hAnsi="宋体" w:eastAsia="宋体" w:cs="宋体"/>
          <w:sz w:val="24"/>
          <w:szCs w:val="24"/>
          <w:highlight w:val="none"/>
        </w:rPr>
        <w:t>前完成全部产品的交货、安装调试并交付</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使用；分批交货的，双方另行约定每批次交货时间，以</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书面通知为准。</w:t>
      </w:r>
    </w:p>
    <w:p w14:paraId="1D54E465">
      <w:pPr>
        <w:pStyle w:val="4"/>
        <w:bidi w:val="0"/>
        <w:rPr>
          <w:rFonts w:hint="eastAsia" w:ascii="宋体" w:hAnsi="宋体" w:eastAsia="宋体" w:cs="宋体"/>
          <w:color w:val="auto"/>
          <w:sz w:val="24"/>
          <w:highlight w:val="none"/>
        </w:rPr>
      </w:pPr>
      <w:r>
        <w:rPr>
          <w:rFonts w:hint="eastAsia" w:ascii="宋体" w:hAnsi="宋体" w:eastAsia="宋体" w:cs="宋体"/>
          <w:color w:val="auto"/>
          <w:highlight w:val="none"/>
          <w:lang w:val="en-US" w:eastAsia="zh-CN"/>
        </w:rPr>
        <w:t>本项目是否接受联合体投标：□是  ■否。</w:t>
      </w:r>
    </w:p>
    <w:p w14:paraId="22023CDC">
      <w:pPr>
        <w:pStyle w:val="3"/>
        <w:bidi w:val="0"/>
        <w:rPr>
          <w:rFonts w:hint="eastAsia" w:ascii="宋体" w:hAnsi="宋体" w:eastAsia="宋体" w:cs="宋体"/>
          <w:color w:val="auto"/>
          <w:highlight w:val="none"/>
        </w:rPr>
      </w:pPr>
      <w:r>
        <w:rPr>
          <w:rFonts w:hint="eastAsia" w:ascii="宋体" w:hAnsi="宋体" w:eastAsia="宋体" w:cs="宋体"/>
          <w:color w:val="auto"/>
          <w:highlight w:val="none"/>
        </w:rPr>
        <w:t>申请人的资格要求（须同时满足）</w:t>
      </w:r>
    </w:p>
    <w:p w14:paraId="422BE7D7">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满足《中华人民共和国政府采购法》第二十二条规定；</w:t>
      </w:r>
    </w:p>
    <w:p w14:paraId="1E868620">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落实政府采购政策需满足的资格要求：</w:t>
      </w:r>
    </w:p>
    <w:p w14:paraId="57D6EFC6">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中小企业政策</w:t>
      </w:r>
    </w:p>
    <w:p w14:paraId="1283BE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本项目不专门面向中小企业预留采购份额。</w:t>
      </w:r>
    </w:p>
    <w:p w14:paraId="68CA7F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本项目专门面向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中小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小微企业  采购。即：提供的货物全部由符合政策要求的中小/小微企业制造、服务全部由符合政策要求的中小/小微企业承接。</w:t>
      </w:r>
    </w:p>
    <w:p w14:paraId="38C37EAE">
      <w:pPr>
        <w:pStyle w:val="6"/>
        <w:keepNext w:val="0"/>
        <w:keepLines w:val="0"/>
        <w:pageBreakBefore w:val="0"/>
        <w:widowControl w:val="0"/>
        <w:kinsoku/>
        <w:wordWrap/>
        <w:overflowPunct/>
        <w:topLinePunct w:val="0"/>
        <w:autoSpaceDE/>
        <w:autoSpaceDN/>
        <w:bidi w:val="0"/>
        <w:adjustRightInd w:val="0"/>
        <w:snapToGrid/>
        <w:ind w:left="1134" w:firstLine="0"/>
        <w:textAlignment w:val="baseline"/>
        <w:rPr>
          <w:rFonts w:hint="eastAsia" w:ascii="宋体" w:hAnsi="宋体" w:eastAsia="宋体" w:cs="宋体"/>
          <w:color w:val="auto"/>
          <w:sz w:val="24"/>
          <w:highlight w:val="none"/>
        </w:rPr>
      </w:pPr>
      <w:r>
        <w:rPr>
          <w:rFonts w:hint="eastAsia" w:ascii="宋体" w:hAnsi="宋体" w:eastAsia="宋体" w:cs="宋体"/>
          <w:color w:val="auto"/>
          <w:spacing w:val="0"/>
          <w:kern w:val="0"/>
          <w:sz w:val="24"/>
          <w:szCs w:val="24"/>
          <w:highlight w:val="none"/>
          <w:lang w:val="en-US" w:eastAsia="zh-CN" w:bidi="ar-SA"/>
        </w:rPr>
        <w:t>■</w:t>
      </w:r>
      <w:r>
        <w:rPr>
          <w:rFonts w:hint="eastAsia" w:ascii="宋体" w:hAnsi="宋体" w:eastAsia="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lang w:val="en-US" w:eastAsia="zh-CN"/>
        </w:rPr>
        <w:t>本项目两包均</w:t>
      </w:r>
      <w:r>
        <w:rPr>
          <w:rFonts w:hint="eastAsia" w:ascii="宋体" w:hAnsi="宋体" w:eastAsia="宋体" w:cs="宋体"/>
          <w:color w:val="auto"/>
          <w:sz w:val="24"/>
          <w:highlight w:val="none"/>
        </w:rPr>
        <w:t>通过合同分包执行中小企业扶持政策，预留中小企业份额应占总金额不低于51.57%，其中预留小微企业份额占预留中小企业份额不低于</w:t>
      </w:r>
      <w:r>
        <w:rPr>
          <w:rFonts w:hint="eastAsia" w:cs="宋体"/>
          <w:color w:val="auto"/>
          <w:sz w:val="24"/>
          <w:highlight w:val="none"/>
          <w:lang w:val="en-US" w:eastAsia="zh-CN"/>
        </w:rPr>
        <w:t>100</w:t>
      </w:r>
      <w:r>
        <w:rPr>
          <w:rFonts w:hint="eastAsia" w:ascii="宋体" w:hAnsi="宋体" w:eastAsia="宋体" w:cs="宋体"/>
          <w:color w:val="auto"/>
          <w:sz w:val="24"/>
          <w:highlight w:val="none"/>
        </w:rPr>
        <w:t>%。以上预留份额为最低要求。预留份额通过要求合同分包措施进行，即供应商分包给一家或者多家小微企业的方式，接受分包的小微企业与分包企业之间不得存在直接控股、管理关系。</w:t>
      </w:r>
    </w:p>
    <w:p w14:paraId="633455D0">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其它落实政府采购政策的资格要求（如有）：</w:t>
      </w:r>
      <w:r>
        <w:rPr>
          <w:rFonts w:hint="eastAsia" w:ascii="宋体" w:hAnsi="宋体" w:eastAsia="宋体" w:cs="宋体"/>
          <w:color w:val="auto"/>
          <w:highlight w:val="none"/>
          <w:lang w:val="en-US" w:eastAsia="zh-CN"/>
        </w:rPr>
        <w:t xml:space="preserve"> / </w:t>
      </w:r>
      <w:r>
        <w:rPr>
          <w:rFonts w:hint="eastAsia" w:ascii="宋体" w:hAnsi="宋体" w:eastAsia="宋体" w:cs="宋体"/>
          <w:color w:val="auto"/>
          <w:highlight w:val="none"/>
        </w:rPr>
        <w:t>。</w:t>
      </w:r>
    </w:p>
    <w:p w14:paraId="3A3EAEFD">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本项目的特定资格要求：</w:t>
      </w:r>
      <w:r>
        <w:rPr>
          <w:rFonts w:hint="eastAsia" w:ascii="宋体" w:hAnsi="宋体" w:eastAsia="宋体" w:cs="宋体"/>
          <w:color w:val="auto"/>
          <w:highlight w:val="none"/>
        </w:rPr>
        <w:br w:type="textWrapping"/>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医疗设备】特定资格要求:投标产品属于医疗器械的，供应商如为代理商，应具有合法的医疗器械经营资格；供应商如为国内制造商，使用自身生产的产品投标时，应具有合法的医疗器械生产资格（法规有规定的除外）</w:t>
      </w:r>
      <w:r>
        <w:rPr>
          <w:rFonts w:hint="eastAsia" w:ascii="宋体" w:hAnsi="宋体" w:eastAsia="宋体" w:cs="宋体"/>
          <w:color w:val="auto"/>
          <w:highlight w:val="none"/>
          <w:lang w:eastAsia="zh-CN"/>
        </w:rPr>
        <w:t>。</w:t>
      </w:r>
    </w:p>
    <w:p w14:paraId="03B6110F">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本项目是否属于政府购买服务：</w:t>
      </w:r>
    </w:p>
    <w:p w14:paraId="24C8C775">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4"/>
          <w:highlight w:val="none"/>
        </w:rPr>
      </w:pPr>
      <w:r>
        <w:rPr>
          <w:rFonts w:hint="eastAsia" w:ascii="宋体" w:hAnsi="宋体" w:eastAsia="宋体" w:cs="宋体"/>
          <w:color w:val="auto"/>
          <w:spacing w:val="0"/>
          <w:kern w:val="0"/>
          <w:sz w:val="24"/>
          <w:szCs w:val="24"/>
          <w:highlight w:val="none"/>
          <w:lang w:val="en-US" w:eastAsia="zh-CN" w:bidi="ar-SA"/>
        </w:rPr>
        <w:t>■</w:t>
      </w:r>
      <w:r>
        <w:rPr>
          <w:rFonts w:hint="eastAsia" w:ascii="宋体" w:hAnsi="宋体" w:eastAsia="宋体" w:cs="宋体"/>
          <w:color w:val="auto"/>
          <w:sz w:val="24"/>
          <w:highlight w:val="none"/>
        </w:rPr>
        <w:t>否</w:t>
      </w:r>
    </w:p>
    <w:p w14:paraId="5D5587E7">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是，公益一类事业单位、使用事业编制且由财政拨款保障的群团组织，不得作为承接主体；</w:t>
      </w:r>
    </w:p>
    <w:p w14:paraId="68A1DDD5">
      <w:pPr>
        <w:pStyle w:val="5"/>
        <w:rPr>
          <w:rFonts w:hint="eastAsia" w:ascii="宋体" w:hAnsi="宋体" w:eastAsia="宋体" w:cs="宋体"/>
          <w:color w:val="auto"/>
          <w:highlight w:val="none"/>
        </w:rPr>
      </w:pPr>
      <w:r>
        <w:rPr>
          <w:rFonts w:hint="eastAsia" w:ascii="宋体" w:hAnsi="宋体" w:eastAsia="宋体" w:cs="宋体"/>
          <w:color w:val="auto"/>
          <w:highlight w:val="none"/>
        </w:rPr>
        <w:t>参加本次政府采购活动前三年内，在经营活动中没有重大违法记录；未被“信用中国”“中国政府采购网”网站列入失信被执行人、重大税收违法失信主体、政府采购严重违法失信行为记录名单；</w:t>
      </w:r>
    </w:p>
    <w:p w14:paraId="68294180">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其他特定资格要求：</w:t>
      </w:r>
    </w:p>
    <w:p w14:paraId="720138E0">
      <w:pPr>
        <w:pStyle w:val="6"/>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单位负责人为同一人或者存在直接控股、管理关系的不同供应商，不得参加同一合同项下的政府采购活动。</w:t>
      </w:r>
    </w:p>
    <w:p w14:paraId="11A7E96C">
      <w:pPr>
        <w:pStyle w:val="6"/>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除单一来源采购项目外，为采购项目提供整体设计、规范编制或者项目管理、监理、检测等服务的供应商，不得再参加该采购项目的其他采购活动。</w:t>
      </w:r>
    </w:p>
    <w:p w14:paraId="71DBF320">
      <w:pPr>
        <w:spacing w:line="360" w:lineRule="auto"/>
        <w:ind w:firstLine="480" w:firstLineChars="200"/>
        <w:rPr>
          <w:rFonts w:hint="eastAsia" w:ascii="宋体" w:hAnsi="宋体" w:eastAsia="宋体" w:cs="宋体"/>
          <w:i/>
          <w:iCs/>
          <w:color w:val="auto"/>
          <w:sz w:val="24"/>
          <w:highlight w:val="none"/>
          <w:u w:val="single"/>
        </w:rPr>
      </w:pPr>
    </w:p>
    <w:p w14:paraId="4A2A4D42">
      <w:pPr>
        <w:pStyle w:val="3"/>
        <w:bidi w:val="0"/>
        <w:rPr>
          <w:rFonts w:hint="eastAsia" w:ascii="宋体" w:hAnsi="宋体" w:eastAsia="宋体" w:cs="宋体"/>
          <w:color w:val="auto"/>
          <w:highlight w:val="none"/>
        </w:rPr>
      </w:pPr>
      <w:r>
        <w:rPr>
          <w:rFonts w:hint="eastAsia" w:ascii="宋体" w:hAnsi="宋体" w:eastAsia="宋体" w:cs="宋体"/>
          <w:color w:val="auto"/>
          <w:highlight w:val="none"/>
        </w:rPr>
        <w:t>获取招标文件</w:t>
      </w:r>
    </w:p>
    <w:p w14:paraId="31B4D289">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时间：</w:t>
      </w:r>
      <w:r>
        <w:rPr>
          <w:rFonts w:hint="eastAsia" w:cs="宋体"/>
          <w:color w:val="auto"/>
          <w:highlight w:val="none"/>
          <w:lang w:val="en-US" w:eastAsia="zh-CN"/>
        </w:rPr>
        <w:t>2026年3月20日至2026年3月26日</w:t>
      </w:r>
      <w:r>
        <w:rPr>
          <w:rFonts w:hint="eastAsia" w:ascii="宋体" w:hAnsi="宋体" w:eastAsia="宋体" w:cs="宋体"/>
          <w:color w:val="auto"/>
          <w:highlight w:val="none"/>
          <w:lang w:val="en-US" w:eastAsia="zh-CN"/>
        </w:rPr>
        <w:t>，每天上午08:00至12:00，下午12:00至16:00</w:t>
      </w:r>
      <w:r>
        <w:rPr>
          <w:rFonts w:hint="eastAsia" w:ascii="宋体" w:hAnsi="宋体" w:eastAsia="宋体" w:cs="宋体"/>
          <w:color w:val="auto"/>
          <w:highlight w:val="none"/>
        </w:rPr>
        <w:t>（北京时间，法定节假日除外）。</w:t>
      </w:r>
    </w:p>
    <w:p w14:paraId="61A57879">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地点：北京市政府采购电子交易平台</w:t>
      </w:r>
    </w:p>
    <w:p w14:paraId="1CA52EB8">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方式：供应商使用CA数字证书或电子营业执照登录北京市政府采购电子交易平台（http://zbcg-bjzc.zhongcy.com/bjczj-portal-site/index.html#/home）获取电子版招标文件。</w:t>
      </w:r>
    </w:p>
    <w:p w14:paraId="50BF0ED1">
      <w:pPr>
        <w:pStyle w:val="4"/>
        <w:bidi w:val="0"/>
        <w:rPr>
          <w:rFonts w:hint="eastAsia" w:ascii="宋体" w:hAnsi="宋体" w:eastAsia="宋体" w:cs="宋体"/>
          <w:color w:val="auto"/>
          <w:sz w:val="24"/>
          <w:highlight w:val="none"/>
        </w:rPr>
      </w:pPr>
      <w:r>
        <w:rPr>
          <w:rFonts w:hint="eastAsia" w:ascii="宋体" w:hAnsi="宋体" w:eastAsia="宋体" w:cs="宋体"/>
          <w:color w:val="auto"/>
          <w:highlight w:val="none"/>
        </w:rPr>
        <w:t>售价：0元。</w:t>
      </w:r>
    </w:p>
    <w:p w14:paraId="56621961">
      <w:pPr>
        <w:pStyle w:val="3"/>
        <w:bidi w:val="0"/>
        <w:rPr>
          <w:rFonts w:hint="eastAsia" w:ascii="宋体" w:hAnsi="宋体" w:eastAsia="宋体" w:cs="宋体"/>
          <w:color w:val="auto"/>
          <w:highlight w:val="none"/>
        </w:rPr>
      </w:pPr>
      <w:r>
        <w:rPr>
          <w:rFonts w:hint="eastAsia" w:ascii="宋体" w:hAnsi="宋体" w:eastAsia="宋体" w:cs="宋体"/>
          <w:color w:val="auto"/>
          <w:highlight w:val="none"/>
        </w:rPr>
        <w:t>提交投标文件截止时间、开标时间和地点</w:t>
      </w:r>
    </w:p>
    <w:p w14:paraId="5269C913">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投标截止时间、开标时间：</w:t>
      </w:r>
      <w:bookmarkStart w:id="60" w:name="_GoBack"/>
      <w:bookmarkEnd w:id="60"/>
      <w:r>
        <w:rPr>
          <w:rFonts w:hint="eastAsia" w:ascii="宋体" w:hAnsi="宋体" w:cs="宋体"/>
          <w:color w:val="auto"/>
          <w:spacing w:val="0"/>
          <w:w w:val="100"/>
          <w:kern w:val="0"/>
          <w:position w:val="0"/>
          <w:sz w:val="24"/>
          <w:highlight w:val="none"/>
          <w:u w:val="single"/>
          <w:lang w:eastAsia="zh-CN" w:bidi="ar"/>
        </w:rPr>
        <w:t>2026年4月16日</w:t>
      </w:r>
      <w:r>
        <w:rPr>
          <w:rFonts w:hint="eastAsia" w:ascii="宋体" w:hAnsi="宋体" w:eastAsia="宋体" w:cs="宋体"/>
          <w:color w:val="auto"/>
          <w:spacing w:val="0"/>
          <w:w w:val="100"/>
          <w:kern w:val="0"/>
          <w:position w:val="0"/>
          <w:sz w:val="24"/>
          <w:highlight w:val="none"/>
          <w:u w:val="single"/>
          <w:lang w:eastAsia="zh-CN" w:bidi="ar"/>
        </w:rPr>
        <w:t>09点30分</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14:paraId="16F1C67E">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地点：北京市政府采购电子交易平台</w:t>
      </w:r>
      <w:r>
        <w:rPr>
          <w:rFonts w:hint="eastAsia" w:ascii="宋体" w:hAnsi="宋体" w:eastAsia="宋体" w:cs="宋体"/>
          <w:color w:val="auto"/>
          <w:sz w:val="24"/>
          <w:highlight w:val="none"/>
          <w:lang w:val="zh-TW" w:bidi="ar"/>
        </w:rPr>
        <w:t>。</w:t>
      </w:r>
      <w:r>
        <w:rPr>
          <w:rFonts w:hint="eastAsia" w:ascii="宋体" w:hAnsi="宋体" w:eastAsia="宋体" w:cs="宋体"/>
          <w:color w:val="auto"/>
          <w:spacing w:val="0"/>
          <w:w w:val="100"/>
          <w:kern w:val="0"/>
          <w:position w:val="0"/>
          <w:sz w:val="24"/>
          <w:highlight w:val="none"/>
          <w:lang w:bidi="ar"/>
        </w:rPr>
        <w:t>采用远程电子开标方式，供应商使用CA数字证书或电子营业执照登录北京市政府采购电子交易平台参与电子开标。投标人自行对电子投标文件进行解密，不接受纸质文件，无须投标人到达现场</w:t>
      </w:r>
      <w:r>
        <w:rPr>
          <w:rFonts w:hint="eastAsia" w:ascii="宋体" w:hAnsi="宋体" w:eastAsia="宋体" w:cs="宋体"/>
          <w:color w:val="auto"/>
          <w:spacing w:val="0"/>
          <w:w w:val="100"/>
          <w:kern w:val="0"/>
          <w:position w:val="0"/>
          <w:sz w:val="24"/>
          <w:highlight w:val="none"/>
          <w:lang w:val="zh-TW" w:bidi="ar"/>
        </w:rPr>
        <w:t>。</w:t>
      </w:r>
    </w:p>
    <w:p w14:paraId="23C979BD">
      <w:pPr>
        <w:pStyle w:val="3"/>
        <w:bidi w:val="0"/>
        <w:rPr>
          <w:rFonts w:hint="eastAsia" w:ascii="宋体" w:hAnsi="宋体" w:eastAsia="宋体" w:cs="宋体"/>
          <w:color w:val="auto"/>
          <w:highlight w:val="none"/>
        </w:rPr>
      </w:pPr>
      <w:r>
        <w:rPr>
          <w:rFonts w:hint="eastAsia" w:ascii="宋体" w:hAnsi="宋体" w:eastAsia="宋体" w:cs="宋体"/>
          <w:color w:val="auto"/>
          <w:highlight w:val="none"/>
        </w:rPr>
        <w:t>公告期限</w:t>
      </w:r>
    </w:p>
    <w:p w14:paraId="75F0BD3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14:paraId="1B5175E8">
      <w:pPr>
        <w:pStyle w:val="3"/>
        <w:bidi w:val="0"/>
        <w:rPr>
          <w:rFonts w:hint="eastAsia" w:ascii="宋体" w:hAnsi="宋体" w:eastAsia="宋体" w:cs="宋体"/>
          <w:color w:val="auto"/>
          <w:highlight w:val="none"/>
        </w:rPr>
      </w:pPr>
      <w:r>
        <w:rPr>
          <w:rFonts w:hint="eastAsia" w:ascii="宋体" w:hAnsi="宋体" w:eastAsia="宋体" w:cs="宋体"/>
          <w:color w:val="auto"/>
          <w:highlight w:val="none"/>
        </w:rPr>
        <w:t>其他补充事宜</w:t>
      </w:r>
    </w:p>
    <w:p w14:paraId="3CD18F11">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本项目需要落实的政府采购政策：</w:t>
      </w:r>
    </w:p>
    <w:p w14:paraId="410C7D6A">
      <w:pPr>
        <w:pStyle w:val="4"/>
        <w:numPr>
          <w:ilvl w:val="2"/>
          <w:numId w:val="0"/>
        </w:numPr>
        <w:bidi w:val="0"/>
        <w:ind w:left="567" w:leftChars="0"/>
        <w:rPr>
          <w:rFonts w:hint="eastAsia" w:ascii="宋体" w:hAnsi="宋体" w:eastAsia="宋体" w:cs="宋体"/>
          <w:color w:val="auto"/>
          <w:highlight w:val="none"/>
          <w:lang w:val="en-US" w:eastAsia="zh-CN"/>
        </w:rPr>
      </w:pPr>
      <w:r>
        <w:rPr>
          <w:rFonts w:hint="eastAsia" w:cs="宋体"/>
          <w:color w:val="auto"/>
          <w:highlight w:val="none"/>
          <w:lang w:val="en-US" w:eastAsia="zh-CN"/>
        </w:rPr>
        <w:t>1.1</w:t>
      </w:r>
      <w:r>
        <w:rPr>
          <w:rFonts w:hint="eastAsia" w:ascii="宋体" w:hAnsi="宋体" w:eastAsia="宋体" w:cs="宋体"/>
          <w:color w:val="auto"/>
          <w:highlight w:val="none"/>
          <w:lang w:val="en-US" w:eastAsia="zh-CN"/>
        </w:rPr>
        <w:t>《政府采购促进中小企业发展管理办法》（财库〔2020〕46 号）；</w:t>
      </w:r>
    </w:p>
    <w:p w14:paraId="652DE5FB">
      <w:pPr>
        <w:pStyle w:val="4"/>
        <w:numPr>
          <w:ilvl w:val="2"/>
          <w:numId w:val="0"/>
        </w:numPr>
        <w:bidi w:val="0"/>
        <w:ind w:left="567" w:leftChars="0"/>
        <w:rPr>
          <w:rFonts w:hint="eastAsia" w:ascii="宋体" w:hAnsi="宋体" w:eastAsia="宋体" w:cs="宋体"/>
          <w:color w:val="auto"/>
          <w:highlight w:val="none"/>
          <w:lang w:val="en-US" w:eastAsia="zh-CN"/>
        </w:rPr>
      </w:pPr>
      <w:r>
        <w:rPr>
          <w:rFonts w:hint="eastAsia" w:cs="宋体"/>
          <w:color w:val="auto"/>
          <w:highlight w:val="none"/>
          <w:lang w:val="en-US" w:eastAsia="zh-CN"/>
        </w:rPr>
        <w:t>1.2</w:t>
      </w:r>
      <w:r>
        <w:rPr>
          <w:rFonts w:hint="eastAsia" w:ascii="宋体" w:hAnsi="宋体" w:eastAsia="宋体" w:cs="宋体"/>
          <w:color w:val="auto"/>
          <w:highlight w:val="none"/>
          <w:lang w:val="en-US" w:eastAsia="zh-CN"/>
        </w:rPr>
        <w:t>《关于进一步加大政府采购支持中小企业力度的通知》（财库〔2022〕19 号）；</w:t>
      </w:r>
    </w:p>
    <w:p w14:paraId="0327385F">
      <w:pPr>
        <w:pStyle w:val="4"/>
        <w:numPr>
          <w:ilvl w:val="2"/>
          <w:numId w:val="0"/>
        </w:numPr>
        <w:bidi w:val="0"/>
        <w:ind w:left="567" w:leftChars="0"/>
        <w:rPr>
          <w:rFonts w:hint="eastAsia" w:ascii="宋体" w:hAnsi="宋体" w:eastAsia="宋体" w:cs="宋体"/>
          <w:color w:val="auto"/>
          <w:highlight w:val="none"/>
          <w:lang w:val="en-US" w:eastAsia="zh-CN"/>
        </w:rPr>
      </w:pPr>
      <w:r>
        <w:rPr>
          <w:rFonts w:hint="eastAsia" w:cs="宋体"/>
          <w:color w:val="auto"/>
          <w:highlight w:val="none"/>
          <w:lang w:val="en-US" w:eastAsia="zh-CN"/>
        </w:rPr>
        <w:t>1.3</w:t>
      </w:r>
      <w:r>
        <w:rPr>
          <w:rFonts w:hint="eastAsia" w:ascii="宋体" w:hAnsi="宋体" w:eastAsia="宋体" w:cs="宋体"/>
          <w:color w:val="auto"/>
          <w:highlight w:val="none"/>
          <w:lang w:val="en-US" w:eastAsia="zh-CN"/>
        </w:rPr>
        <w:t>《财政部 司法部关于政府采购支持监狱企业发展有关问题的通知》（财库〔2014〕68 号）；</w:t>
      </w:r>
    </w:p>
    <w:p w14:paraId="0B9073E8">
      <w:pPr>
        <w:pStyle w:val="4"/>
        <w:numPr>
          <w:ilvl w:val="2"/>
          <w:numId w:val="0"/>
        </w:numPr>
        <w:bidi w:val="0"/>
        <w:ind w:left="567" w:leftChars="0"/>
        <w:rPr>
          <w:rFonts w:hint="eastAsia" w:ascii="宋体" w:hAnsi="宋体" w:eastAsia="宋体" w:cs="宋体"/>
          <w:color w:val="auto"/>
          <w:highlight w:val="none"/>
          <w:lang w:val="en-US" w:eastAsia="zh-CN"/>
        </w:rPr>
      </w:pPr>
      <w:r>
        <w:rPr>
          <w:rFonts w:hint="eastAsia" w:cs="宋体"/>
          <w:color w:val="auto"/>
          <w:highlight w:val="none"/>
          <w:lang w:val="en-US" w:eastAsia="zh-CN"/>
        </w:rPr>
        <w:t>1.4</w:t>
      </w:r>
      <w:r>
        <w:rPr>
          <w:rFonts w:hint="eastAsia" w:ascii="宋体" w:hAnsi="宋体" w:eastAsia="宋体" w:cs="宋体"/>
          <w:color w:val="auto"/>
          <w:highlight w:val="none"/>
          <w:lang w:val="en-US" w:eastAsia="zh-CN"/>
        </w:rPr>
        <w:t>《关于促进残疾人就业政府采购政策的通知》（财库〔2017〕141 号）；</w:t>
      </w:r>
    </w:p>
    <w:p w14:paraId="49197AC4">
      <w:pPr>
        <w:pStyle w:val="4"/>
        <w:numPr>
          <w:ilvl w:val="2"/>
          <w:numId w:val="0"/>
        </w:numPr>
        <w:bidi w:val="0"/>
        <w:ind w:left="567" w:leftChars="0"/>
        <w:rPr>
          <w:rFonts w:hint="eastAsia" w:ascii="宋体" w:hAnsi="宋体" w:eastAsia="宋体" w:cs="宋体"/>
          <w:color w:val="auto"/>
          <w:highlight w:val="none"/>
          <w:lang w:val="en-US" w:eastAsia="zh-CN"/>
        </w:rPr>
      </w:pPr>
      <w:r>
        <w:rPr>
          <w:rFonts w:hint="eastAsia" w:cs="宋体"/>
          <w:color w:val="auto"/>
          <w:highlight w:val="none"/>
          <w:lang w:val="en-US" w:eastAsia="zh-CN"/>
        </w:rPr>
        <w:t xml:space="preserve">1.5 </w:t>
      </w:r>
      <w:r>
        <w:rPr>
          <w:rFonts w:hint="eastAsia" w:ascii="宋体" w:hAnsi="宋体" w:eastAsia="宋体" w:cs="宋体"/>
          <w:color w:val="auto"/>
          <w:highlight w:val="none"/>
          <w:lang w:val="en-US" w:eastAsia="zh-CN"/>
        </w:rPr>
        <w:t>《国务院办公厅关于建立政府强制采购节能产品制度的通知》（国办发〔2007〕51 号）；</w:t>
      </w:r>
    </w:p>
    <w:p w14:paraId="7E4F603F">
      <w:pPr>
        <w:pStyle w:val="4"/>
        <w:numPr>
          <w:ilvl w:val="2"/>
          <w:numId w:val="0"/>
        </w:numPr>
        <w:bidi w:val="0"/>
        <w:ind w:left="567" w:leftChars="0"/>
        <w:rPr>
          <w:rFonts w:hint="eastAsia" w:ascii="宋体" w:hAnsi="宋体" w:eastAsia="宋体" w:cs="宋体"/>
          <w:color w:val="auto"/>
          <w:highlight w:val="none"/>
          <w:lang w:val="en-US" w:eastAsia="zh-CN"/>
        </w:rPr>
      </w:pPr>
      <w:r>
        <w:rPr>
          <w:rFonts w:hint="eastAsia" w:cs="宋体"/>
          <w:color w:val="auto"/>
          <w:highlight w:val="none"/>
          <w:lang w:val="en-US" w:eastAsia="zh-CN"/>
        </w:rPr>
        <w:t>1.6</w:t>
      </w:r>
      <w:r>
        <w:rPr>
          <w:rFonts w:hint="eastAsia" w:ascii="宋体" w:hAnsi="宋体" w:eastAsia="宋体" w:cs="宋体"/>
          <w:color w:val="auto"/>
          <w:highlight w:val="none"/>
          <w:lang w:val="en-US" w:eastAsia="zh-CN"/>
        </w:rPr>
        <w:t>《关于调整优化节能产品、环境标志产品政府采购执行机制的通知》（财库〔2019〕9 号）；</w:t>
      </w:r>
    </w:p>
    <w:p w14:paraId="61F876B3">
      <w:pPr>
        <w:pStyle w:val="4"/>
        <w:numPr>
          <w:ilvl w:val="2"/>
          <w:numId w:val="0"/>
        </w:numPr>
        <w:bidi w:val="0"/>
        <w:ind w:left="567" w:leftChars="0"/>
        <w:rPr>
          <w:rFonts w:hint="eastAsia" w:ascii="宋体" w:hAnsi="宋体" w:eastAsia="宋体" w:cs="宋体"/>
          <w:color w:val="auto"/>
          <w:highlight w:val="none"/>
          <w:lang w:val="en-US" w:eastAsia="zh-CN"/>
        </w:rPr>
      </w:pPr>
      <w:r>
        <w:rPr>
          <w:rFonts w:hint="eastAsia" w:cs="宋体"/>
          <w:color w:val="auto"/>
          <w:highlight w:val="none"/>
          <w:lang w:val="en-US" w:eastAsia="zh-CN"/>
        </w:rPr>
        <w:t>1.7</w:t>
      </w:r>
      <w:r>
        <w:rPr>
          <w:rFonts w:hint="eastAsia" w:ascii="宋体" w:hAnsi="宋体" w:eastAsia="宋体" w:cs="宋体"/>
          <w:color w:val="auto"/>
          <w:highlight w:val="none"/>
          <w:lang w:val="en-US" w:eastAsia="zh-CN"/>
        </w:rPr>
        <w:t>《关于印发环境标志产品政府采购品目清单的通知》（财库〔2019〕18 号）；</w:t>
      </w:r>
    </w:p>
    <w:p w14:paraId="18440DAC">
      <w:pPr>
        <w:pStyle w:val="4"/>
        <w:numPr>
          <w:ilvl w:val="2"/>
          <w:numId w:val="0"/>
        </w:numPr>
        <w:bidi w:val="0"/>
        <w:ind w:left="567" w:leftChars="0"/>
        <w:rPr>
          <w:rFonts w:hint="eastAsia" w:ascii="宋体" w:hAnsi="宋体" w:eastAsia="宋体" w:cs="宋体"/>
          <w:color w:val="auto"/>
          <w:highlight w:val="none"/>
          <w:lang w:val="en-US" w:eastAsia="zh-CN"/>
        </w:rPr>
      </w:pPr>
      <w:r>
        <w:rPr>
          <w:rFonts w:hint="eastAsia" w:cs="宋体"/>
          <w:color w:val="auto"/>
          <w:highlight w:val="none"/>
          <w:lang w:val="en-US" w:eastAsia="zh-CN"/>
        </w:rPr>
        <w:t>1.8</w:t>
      </w:r>
      <w:r>
        <w:rPr>
          <w:rFonts w:hint="eastAsia" w:ascii="宋体" w:hAnsi="宋体" w:eastAsia="宋体" w:cs="宋体"/>
          <w:color w:val="auto"/>
          <w:highlight w:val="none"/>
          <w:lang w:val="en-US" w:eastAsia="zh-CN"/>
        </w:rPr>
        <w:t>《关于印发节能产品政府采购品目清单的通知》（财库〔2019〕19 号）；</w:t>
      </w:r>
    </w:p>
    <w:p w14:paraId="0A1C837D">
      <w:pPr>
        <w:pStyle w:val="4"/>
        <w:numPr>
          <w:ilvl w:val="2"/>
          <w:numId w:val="0"/>
        </w:numPr>
        <w:bidi w:val="0"/>
        <w:ind w:left="567" w:leftChars="0"/>
        <w:rPr>
          <w:rFonts w:hint="eastAsia" w:ascii="宋体" w:hAnsi="宋体" w:eastAsia="宋体" w:cs="宋体"/>
          <w:color w:val="auto"/>
          <w:highlight w:val="none"/>
          <w:lang w:val="en-US" w:eastAsia="zh-CN"/>
        </w:rPr>
      </w:pPr>
      <w:r>
        <w:rPr>
          <w:rFonts w:hint="eastAsia" w:cs="宋体"/>
          <w:color w:val="auto"/>
          <w:highlight w:val="none"/>
          <w:lang w:val="en-US" w:eastAsia="zh-CN"/>
        </w:rPr>
        <w:t>1.9</w:t>
      </w:r>
      <w:r>
        <w:rPr>
          <w:rFonts w:hint="eastAsia" w:ascii="宋体" w:hAnsi="宋体" w:eastAsia="宋体" w:cs="宋体"/>
          <w:color w:val="auto"/>
          <w:highlight w:val="none"/>
          <w:lang w:val="en-US" w:eastAsia="zh-CN"/>
        </w:rPr>
        <w:t>《关于印发中小企业划型标准规定的通知》（工信部联企业〔2011〕300 号）；</w:t>
      </w:r>
    </w:p>
    <w:p w14:paraId="1B1AB7DA">
      <w:pPr>
        <w:pStyle w:val="4"/>
        <w:numPr>
          <w:ilvl w:val="2"/>
          <w:numId w:val="0"/>
        </w:numPr>
        <w:bidi w:val="0"/>
        <w:ind w:left="567" w:leftChars="0"/>
        <w:rPr>
          <w:rFonts w:hint="eastAsia" w:ascii="宋体" w:hAnsi="宋体" w:eastAsia="宋体" w:cs="宋体"/>
          <w:color w:val="auto"/>
          <w:highlight w:val="none"/>
          <w:lang w:val="en-US" w:eastAsia="zh-CN"/>
        </w:rPr>
      </w:pPr>
      <w:r>
        <w:rPr>
          <w:rFonts w:hint="eastAsia" w:cs="宋体"/>
          <w:color w:val="auto"/>
          <w:highlight w:val="none"/>
          <w:lang w:val="en-US" w:eastAsia="zh-CN"/>
        </w:rPr>
        <w:t>1.10</w:t>
      </w:r>
      <w:r>
        <w:rPr>
          <w:rFonts w:hint="eastAsia" w:ascii="宋体" w:hAnsi="宋体" w:eastAsia="宋体" w:cs="宋体"/>
          <w:color w:val="auto"/>
          <w:highlight w:val="none"/>
          <w:lang w:val="en-US" w:eastAsia="zh-CN"/>
        </w:rPr>
        <w:t>《北京市财政局关于进一步优化政府采购营商环境的通知》（京财采购〔2021〕741 号）；</w:t>
      </w:r>
    </w:p>
    <w:p w14:paraId="12CCEDA1">
      <w:pPr>
        <w:pStyle w:val="4"/>
        <w:numPr>
          <w:ilvl w:val="2"/>
          <w:numId w:val="0"/>
        </w:numPr>
        <w:bidi w:val="0"/>
        <w:ind w:left="567" w:leftChars="0"/>
        <w:rPr>
          <w:rFonts w:hint="eastAsia" w:ascii="宋体" w:hAnsi="宋体" w:eastAsia="宋体" w:cs="宋体"/>
          <w:color w:val="auto"/>
          <w:highlight w:val="none"/>
          <w:lang w:val="en-US" w:eastAsia="zh-CN"/>
        </w:rPr>
      </w:pPr>
      <w:r>
        <w:rPr>
          <w:rFonts w:hint="eastAsia" w:cs="宋体"/>
          <w:color w:val="auto"/>
          <w:highlight w:val="none"/>
          <w:lang w:val="en-US" w:eastAsia="zh-CN"/>
        </w:rPr>
        <w:t>1.11</w:t>
      </w:r>
      <w:r>
        <w:rPr>
          <w:rFonts w:hint="eastAsia" w:ascii="宋体" w:hAnsi="宋体" w:eastAsia="宋体" w:cs="宋体"/>
          <w:color w:val="auto"/>
          <w:highlight w:val="none"/>
          <w:lang w:val="en-US" w:eastAsia="zh-CN"/>
        </w:rPr>
        <w:t>《关于推动解决政府采购异常低价问题的通知》（财库〔2026〕2 号）；</w:t>
      </w:r>
    </w:p>
    <w:p w14:paraId="71B55D4B">
      <w:pPr>
        <w:pStyle w:val="4"/>
        <w:numPr>
          <w:ilvl w:val="2"/>
          <w:numId w:val="0"/>
        </w:numPr>
        <w:bidi w:val="0"/>
        <w:ind w:left="567" w:leftChars="0"/>
        <w:rPr>
          <w:rFonts w:hint="eastAsia" w:ascii="宋体" w:hAnsi="宋体" w:eastAsia="宋体" w:cs="宋体"/>
          <w:color w:val="auto"/>
          <w:highlight w:val="none"/>
          <w:lang w:val="en-US" w:eastAsia="zh-CN"/>
        </w:rPr>
      </w:pPr>
      <w:r>
        <w:rPr>
          <w:rFonts w:hint="eastAsia" w:cs="宋体"/>
          <w:color w:val="auto"/>
          <w:highlight w:val="none"/>
          <w:lang w:val="en-US" w:eastAsia="zh-CN"/>
        </w:rPr>
        <w:t>1.12</w:t>
      </w:r>
      <w:r>
        <w:rPr>
          <w:rFonts w:hint="eastAsia" w:ascii="宋体" w:hAnsi="宋体" w:eastAsia="宋体" w:cs="宋体"/>
          <w:color w:val="auto"/>
          <w:highlight w:val="none"/>
          <w:lang w:val="en-US" w:eastAsia="zh-CN"/>
        </w:rPr>
        <w:t>《北京市财政局关于落实好政府采购支持中小企业发展的通知》（京财采购〔2022〕1143 号）；</w:t>
      </w:r>
    </w:p>
    <w:p w14:paraId="42FDE6DF">
      <w:pPr>
        <w:pStyle w:val="4"/>
        <w:numPr>
          <w:ilvl w:val="2"/>
          <w:numId w:val="0"/>
        </w:numPr>
        <w:bidi w:val="0"/>
        <w:ind w:left="567" w:leftChars="0"/>
        <w:rPr>
          <w:rFonts w:hint="eastAsia" w:ascii="宋体" w:hAnsi="宋体" w:eastAsia="宋体" w:cs="宋体"/>
          <w:color w:val="auto"/>
          <w:highlight w:val="none"/>
          <w:lang w:val="en-US" w:eastAsia="zh-CN"/>
        </w:rPr>
      </w:pPr>
      <w:r>
        <w:rPr>
          <w:rFonts w:hint="eastAsia" w:cs="宋体"/>
          <w:color w:val="auto"/>
          <w:highlight w:val="none"/>
          <w:lang w:val="en-US" w:eastAsia="zh-CN"/>
        </w:rPr>
        <w:t xml:space="preserve">1.13 </w:t>
      </w:r>
      <w:r>
        <w:rPr>
          <w:rFonts w:hint="eastAsia" w:ascii="宋体" w:hAnsi="宋体" w:eastAsia="宋体" w:cs="宋体"/>
          <w:color w:val="auto"/>
          <w:highlight w:val="none"/>
          <w:lang w:val="en-US" w:eastAsia="zh-CN"/>
        </w:rPr>
        <w:t>国务院办公厅关于在政府采购中实施本国产品标准及相关政策的通知》（国办发〔2025〕34号）和《关于贯彻落实&lt;国务院办公厅关于在政府采购中实施本国产品标准及相关政策的通知&gt;的意见》（财库〔2025〕30号）；</w:t>
      </w:r>
      <w:r>
        <w:rPr>
          <w:rFonts w:hint="eastAsia" w:ascii="宋体" w:hAnsi="宋体" w:eastAsia="宋体" w:cs="宋体"/>
          <w:color w:val="auto"/>
          <w:highlight w:val="none"/>
          <w:lang w:val="en-US" w:eastAsia="zh-CN"/>
        </w:rPr>
        <w:br w:type="textWrapping"/>
      </w:r>
      <w:r>
        <w:rPr>
          <w:rFonts w:hint="eastAsia" w:cs="宋体"/>
          <w:color w:val="auto"/>
          <w:highlight w:val="none"/>
          <w:lang w:val="en-US" w:eastAsia="zh-CN"/>
        </w:rPr>
        <w:t>1.14</w:t>
      </w:r>
      <w:r>
        <w:rPr>
          <w:rFonts w:hint="eastAsia" w:ascii="宋体" w:hAnsi="宋体" w:eastAsia="宋体" w:cs="宋体"/>
          <w:color w:val="auto"/>
          <w:highlight w:val="none"/>
          <w:lang w:val="en-US" w:eastAsia="zh-CN"/>
        </w:rPr>
        <w:t>《财政部 农业农村部 国家乡村振兴局关于运用政府采购政策支持乡村产业振兴的通知》（财库〔2021〕19 号）；</w:t>
      </w:r>
    </w:p>
    <w:p w14:paraId="4952715C">
      <w:pPr>
        <w:pStyle w:val="4"/>
        <w:bidi w:val="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70A3222C">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CA数字证书服务热线 010-58511086</w:t>
      </w:r>
    </w:p>
    <w:p w14:paraId="784B46F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电子营业执照服务热线 400-699-7000</w:t>
      </w:r>
    </w:p>
    <w:p w14:paraId="008F77F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技术支持服务热线    010-86483801</w:t>
      </w:r>
    </w:p>
    <w:p w14:paraId="2D01AC1D">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办理CA数字证书或电子营业执照</w:t>
      </w:r>
    </w:p>
    <w:p w14:paraId="74EEB148">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供应商登录北京市政府采购电子交易平台查阅 “用户指南”—“操作指南”—“市场主体CA办理操作流程指引”/“电子营业执照使用指南”，按照程序要求办理。</w:t>
      </w:r>
    </w:p>
    <w:p w14:paraId="37086C17">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注册</w:t>
      </w:r>
    </w:p>
    <w:p w14:paraId="69DF831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供应商登录北京市政府采购电子交易平台“用户指南”—“操作指南”—“市场主体注册入库操作流程指引”进行自助注册绑定。</w:t>
      </w:r>
    </w:p>
    <w:p w14:paraId="5722622E">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驱动、客户端下载</w:t>
      </w:r>
    </w:p>
    <w:p w14:paraId="5E1F9F37">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供应商登录北京市政府采购电子交易平台“用户指南”—“工具下载”—“招标采购系统文件驱动安装包”下载相关驱动。</w:t>
      </w:r>
    </w:p>
    <w:p w14:paraId="730B4B3B">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供应商登录北京市政府采购电子交易平台“用户指南”—“工具下载”—“投标文件编制工具”下载相关客户端。</w:t>
      </w:r>
    </w:p>
    <w:p w14:paraId="25FF03CB">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获取电子招标文件</w:t>
      </w:r>
    </w:p>
    <w:p w14:paraId="5071108D">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供应商使用CA数字证书或电子营业执照登录北京市政府采购电子交易平台获取电子招标文件。</w:t>
      </w:r>
    </w:p>
    <w:p w14:paraId="76E139C5">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EA6B1F9">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编制电子投标文件</w:t>
      </w:r>
    </w:p>
    <w:p w14:paraId="66FD0791">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供应商应使用电子投标客户端编制电子投标文件并进行线上投标，供应商电子投标文件需要加密并加盖电子签章</w:t>
      </w:r>
      <w:r>
        <w:rPr>
          <w:rFonts w:hint="eastAsia" w:ascii="宋体" w:hAnsi="宋体" w:eastAsia="宋体" w:cs="宋体"/>
          <w:bCs/>
          <w:color w:val="auto"/>
          <w:sz w:val="24"/>
          <w:highlight w:val="none"/>
          <w:lang w:bidi="ar"/>
        </w:rPr>
        <w:t>，如无法按照要求在电子投标文件中加盖电子签章和加密，请及时通过技术支持服务热线联系技术人员</w:t>
      </w:r>
      <w:r>
        <w:rPr>
          <w:rFonts w:hint="eastAsia" w:ascii="宋体" w:hAnsi="宋体" w:eastAsia="宋体" w:cs="宋体"/>
          <w:color w:val="auto"/>
          <w:sz w:val="24"/>
          <w:highlight w:val="none"/>
          <w:lang w:bidi="ar"/>
        </w:rPr>
        <w:t>。</w:t>
      </w:r>
    </w:p>
    <w:p w14:paraId="6B326D3B">
      <w:pPr>
        <w:pStyle w:val="5"/>
        <w:bidi w:val="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提交电子投标文件</w:t>
      </w:r>
    </w:p>
    <w:p w14:paraId="3CE10DBD">
      <w:pPr>
        <w:widowControl/>
        <w:spacing w:line="360" w:lineRule="auto"/>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供应商应于投标截止时间前在北京市政府采购电子交易平台提交电子投标文件，上传电子投标文件过程中请保持与互联网的连接畅通。</w:t>
      </w:r>
    </w:p>
    <w:p w14:paraId="2D45B238">
      <w:pPr>
        <w:pStyle w:val="5"/>
        <w:bidi w:val="0"/>
        <w:rPr>
          <w:rFonts w:hint="eastAsia" w:ascii="宋体" w:hAnsi="宋体" w:eastAsia="宋体" w:cs="宋体"/>
          <w:color w:val="auto"/>
          <w:highlight w:val="none"/>
          <w:lang w:eastAsia="zh-TW"/>
        </w:rPr>
      </w:pPr>
      <w:r>
        <w:rPr>
          <w:rFonts w:hint="eastAsia" w:ascii="宋体" w:hAnsi="宋体" w:eastAsia="宋体" w:cs="宋体"/>
          <w:color w:val="auto"/>
          <w:highlight w:val="none"/>
          <w:lang w:val="zh-TW"/>
        </w:rPr>
        <w:t>电子开标</w:t>
      </w:r>
    </w:p>
    <w:p w14:paraId="2D0A7D89">
      <w:pPr>
        <w:spacing w:line="360" w:lineRule="auto"/>
        <w:ind w:firstLine="480" w:firstLineChars="200"/>
        <w:rPr>
          <w:rFonts w:hint="eastAsia" w:ascii="宋体" w:hAnsi="宋体" w:eastAsia="宋体" w:cs="宋体"/>
          <w:color w:val="auto"/>
          <w:sz w:val="24"/>
          <w:highlight w:val="none"/>
          <w:lang w:eastAsia="zh-TW"/>
        </w:rPr>
      </w:pPr>
      <w:r>
        <w:rPr>
          <w:rFonts w:hint="eastAsia" w:ascii="宋体" w:hAnsi="宋体" w:eastAsia="宋体" w:cs="宋体"/>
          <w:color w:val="auto"/>
          <w:sz w:val="24"/>
          <w:highlight w:val="none"/>
          <w:lang w:val="zh-TW" w:bidi="ar"/>
        </w:rPr>
        <w:t>供应商在开标地点使用</w:t>
      </w:r>
      <w:r>
        <w:rPr>
          <w:rFonts w:hint="eastAsia" w:ascii="宋体" w:hAnsi="宋体" w:eastAsia="宋体" w:cs="宋体"/>
          <w:color w:val="auto"/>
          <w:sz w:val="24"/>
          <w:highlight w:val="none"/>
          <w:lang w:bidi="ar"/>
        </w:rPr>
        <w:t>CA数字证书或电子营业执照</w:t>
      </w:r>
      <w:r>
        <w:rPr>
          <w:rFonts w:hint="eastAsia" w:ascii="宋体" w:hAnsi="宋体" w:eastAsia="宋体" w:cs="宋体"/>
          <w:color w:val="auto"/>
          <w:sz w:val="24"/>
          <w:highlight w:val="none"/>
          <w:lang w:val="zh-TW" w:bidi="ar"/>
        </w:rPr>
        <w:t>登录</w:t>
      </w:r>
      <w:r>
        <w:rPr>
          <w:rFonts w:hint="eastAsia" w:ascii="宋体" w:hAnsi="宋体" w:eastAsia="宋体" w:cs="宋体"/>
          <w:color w:val="auto"/>
          <w:sz w:val="24"/>
          <w:highlight w:val="none"/>
          <w:lang w:bidi="ar"/>
        </w:rPr>
        <w:t>北京市政府采购电子交易平台进行电子开标</w:t>
      </w:r>
      <w:r>
        <w:rPr>
          <w:rFonts w:hint="eastAsia" w:ascii="宋体" w:hAnsi="宋体" w:eastAsia="宋体" w:cs="宋体"/>
          <w:color w:val="auto"/>
          <w:sz w:val="24"/>
          <w:highlight w:val="none"/>
          <w:lang w:val="zh-TW" w:bidi="ar"/>
        </w:rPr>
        <w:t>。</w:t>
      </w:r>
    </w:p>
    <w:p w14:paraId="6C5ECE97">
      <w:pPr>
        <w:widowControl w:val="0"/>
        <w:autoSpaceDE w:val="0"/>
        <w:autoSpaceDN w:val="0"/>
        <w:adjustRightInd w:val="0"/>
        <w:ind w:firstLine="420"/>
        <w:jc w:val="left"/>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kern w:val="2"/>
          <w:sz w:val="24"/>
          <w:szCs w:val="24"/>
          <w:highlight w:val="none"/>
          <w:lang w:val="zh-TW" w:eastAsia="zh-CN" w:bidi="ar-SA"/>
        </w:rPr>
        <w:t>注：外来人员需要在一楼处登记后才能到要访问的楼层，请预留登记时间，避免影响报名或开标</w:t>
      </w:r>
    </w:p>
    <w:p w14:paraId="6442EBE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监督管理部门</w:t>
      </w:r>
      <w:r>
        <w:rPr>
          <w:rFonts w:hint="eastAsia" w:ascii="宋体" w:hAnsi="宋体" w:eastAsia="宋体" w:cs="宋体"/>
          <w:color w:val="auto"/>
          <w:sz w:val="24"/>
          <w:highlight w:val="none"/>
          <w:lang w:val="en-US" w:eastAsia="zh-CN"/>
        </w:rPr>
        <w:t>联系人及</w:t>
      </w:r>
      <w:r>
        <w:rPr>
          <w:rFonts w:hint="eastAsia" w:ascii="宋体" w:hAnsi="宋体" w:eastAsia="宋体" w:cs="宋体"/>
          <w:color w:val="auto"/>
          <w:sz w:val="24"/>
          <w:highlight w:val="none"/>
        </w:rPr>
        <w:t>联系方式：刘福强88466313</w:t>
      </w:r>
    </w:p>
    <w:p w14:paraId="3122B099">
      <w:pPr>
        <w:spacing w:line="360" w:lineRule="auto"/>
        <w:ind w:firstLine="480" w:firstLineChars="200"/>
        <w:rPr>
          <w:rFonts w:hint="eastAsia" w:ascii="宋体" w:hAnsi="宋体" w:eastAsia="宋体" w:cs="宋体"/>
          <w:color w:val="auto"/>
          <w:sz w:val="24"/>
          <w:highlight w:val="none"/>
        </w:rPr>
      </w:pPr>
    </w:p>
    <w:p w14:paraId="35BAEBEE">
      <w:pPr>
        <w:pStyle w:val="3"/>
        <w:bidi w:val="0"/>
        <w:rPr>
          <w:rFonts w:hint="eastAsia" w:ascii="宋体" w:hAnsi="宋体" w:eastAsia="宋体" w:cs="宋体"/>
          <w:color w:val="auto"/>
          <w:highlight w:val="none"/>
        </w:rPr>
      </w:pPr>
      <w:r>
        <w:rPr>
          <w:rFonts w:hint="eastAsia" w:ascii="宋体" w:hAnsi="宋体" w:eastAsia="宋体" w:cs="宋体"/>
          <w:color w:val="auto"/>
          <w:highlight w:val="none"/>
        </w:rPr>
        <w:t>对本次招标提出询问，请按以下方式联系。</w:t>
      </w:r>
    </w:p>
    <w:p w14:paraId="278158AB">
      <w:pPr>
        <w:pStyle w:val="4"/>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采购人信息</w:t>
      </w:r>
    </w:p>
    <w:p w14:paraId="63AF4177">
      <w:pPr>
        <w:spacing w:line="360" w:lineRule="auto"/>
        <w:ind w:firstLine="720" w:firstLineChars="300"/>
        <w:jc w:val="left"/>
        <w:rPr>
          <w:rFonts w:hint="eastAsia" w:ascii="宋体" w:hAnsi="宋体" w:eastAsia="宋体" w:cs="宋体"/>
          <w:color w:val="auto"/>
          <w:spacing w:val="0"/>
          <w:w w:val="100"/>
          <w:kern w:val="0"/>
          <w:position w:val="0"/>
          <w:sz w:val="24"/>
          <w:highlight w:val="none"/>
          <w:lang w:eastAsia="zh-CN"/>
        </w:rPr>
      </w:pPr>
      <w:r>
        <w:rPr>
          <w:rFonts w:hint="eastAsia" w:ascii="宋体" w:hAnsi="宋体" w:eastAsia="宋体" w:cs="宋体"/>
          <w:color w:val="auto"/>
          <w:spacing w:val="0"/>
          <w:w w:val="100"/>
          <w:kern w:val="0"/>
          <w:position w:val="0"/>
          <w:sz w:val="24"/>
          <w:highlight w:val="none"/>
        </w:rPr>
        <w:t>名    称：</w:t>
      </w:r>
      <w:r>
        <w:rPr>
          <w:rFonts w:hint="eastAsia" w:ascii="宋体" w:hAnsi="宋体" w:eastAsia="宋体" w:cs="宋体"/>
          <w:color w:val="auto"/>
          <w:spacing w:val="0"/>
          <w:w w:val="100"/>
          <w:kern w:val="0"/>
          <w:position w:val="0"/>
          <w:sz w:val="24"/>
          <w:highlight w:val="none"/>
          <w:lang w:eastAsia="zh-CN"/>
        </w:rPr>
        <w:t>北京市海淀区残疾人联合会</w:t>
      </w:r>
    </w:p>
    <w:p w14:paraId="3ADA6574">
      <w:pPr>
        <w:spacing w:line="360" w:lineRule="auto"/>
        <w:ind w:firstLine="720" w:firstLineChars="300"/>
        <w:jc w:val="left"/>
        <w:rPr>
          <w:rFonts w:hint="eastAsia" w:ascii="宋体" w:hAnsi="宋体" w:eastAsia="宋体" w:cs="宋体"/>
          <w:color w:val="auto"/>
          <w:spacing w:val="0"/>
          <w:w w:val="100"/>
          <w:kern w:val="0"/>
          <w:position w:val="0"/>
          <w:sz w:val="24"/>
          <w:highlight w:val="none"/>
          <w:lang w:eastAsia="zh-CN"/>
        </w:rPr>
      </w:pPr>
      <w:r>
        <w:rPr>
          <w:rFonts w:hint="eastAsia" w:ascii="宋体" w:hAnsi="宋体" w:eastAsia="宋体" w:cs="宋体"/>
          <w:color w:val="auto"/>
          <w:spacing w:val="0"/>
          <w:w w:val="100"/>
          <w:kern w:val="0"/>
          <w:position w:val="0"/>
          <w:sz w:val="24"/>
          <w:highlight w:val="none"/>
        </w:rPr>
        <w:t>地    址</w:t>
      </w:r>
      <w:r>
        <w:rPr>
          <w:rFonts w:hint="eastAsia" w:ascii="宋体" w:hAnsi="宋体" w:eastAsia="宋体" w:cs="宋体"/>
          <w:color w:val="auto"/>
          <w:spacing w:val="0"/>
          <w:w w:val="100"/>
          <w:kern w:val="0"/>
          <w:position w:val="0"/>
          <w:sz w:val="24"/>
          <w:highlight w:val="none"/>
          <w:lang w:val="en-US" w:eastAsia="zh-CN"/>
        </w:rPr>
        <w:t>：北京市海淀区杏石口路28号</w:t>
      </w:r>
    </w:p>
    <w:p w14:paraId="73B783EF">
      <w:pPr>
        <w:spacing w:line="360" w:lineRule="auto"/>
        <w:ind w:firstLine="720" w:firstLineChars="300"/>
        <w:jc w:val="left"/>
        <w:rPr>
          <w:rFonts w:hint="eastAsia" w:ascii="宋体" w:hAnsi="宋体" w:eastAsia="宋体" w:cs="宋体"/>
          <w:color w:val="auto"/>
          <w:spacing w:val="0"/>
          <w:w w:val="100"/>
          <w:kern w:val="0"/>
          <w:position w:val="0"/>
          <w:sz w:val="24"/>
          <w:highlight w:val="none"/>
          <w:lang w:eastAsia="zh-CN"/>
        </w:rPr>
      </w:pPr>
      <w:r>
        <w:rPr>
          <w:rFonts w:hint="eastAsia" w:ascii="宋体" w:hAnsi="宋体" w:eastAsia="宋体" w:cs="宋体"/>
          <w:color w:val="auto"/>
          <w:spacing w:val="0"/>
          <w:w w:val="100"/>
          <w:kern w:val="0"/>
          <w:position w:val="0"/>
          <w:sz w:val="24"/>
          <w:highlight w:val="none"/>
        </w:rPr>
        <w:t>联系方式</w:t>
      </w:r>
      <w:r>
        <w:rPr>
          <w:rFonts w:hint="eastAsia" w:ascii="宋体" w:hAnsi="宋体" w:eastAsia="宋体" w:cs="宋体"/>
          <w:color w:val="auto"/>
          <w:spacing w:val="0"/>
          <w:w w:val="100"/>
          <w:kern w:val="0"/>
          <w:position w:val="0"/>
          <w:sz w:val="24"/>
          <w:highlight w:val="none"/>
          <w:lang w:val="en-US" w:eastAsia="zh-CN"/>
        </w:rPr>
        <w:t>：贾思青010-88468647</w:t>
      </w:r>
    </w:p>
    <w:p w14:paraId="436CFFAF">
      <w:pPr>
        <w:pStyle w:val="4"/>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采购代理机构信息</w:t>
      </w:r>
    </w:p>
    <w:p w14:paraId="1DECD71C">
      <w:pPr>
        <w:spacing w:line="360" w:lineRule="auto"/>
        <w:ind w:firstLine="720" w:firstLineChars="300"/>
        <w:jc w:val="left"/>
        <w:rPr>
          <w:rFonts w:hint="eastAsia" w:ascii="宋体" w:hAnsi="宋体" w:eastAsia="宋体" w:cs="宋体"/>
          <w:color w:val="auto"/>
          <w:spacing w:val="0"/>
          <w:w w:val="100"/>
          <w:kern w:val="0"/>
          <w:position w:val="0"/>
          <w:sz w:val="24"/>
          <w:highlight w:val="none"/>
        </w:rPr>
      </w:pPr>
      <w:r>
        <w:rPr>
          <w:rFonts w:hint="eastAsia" w:ascii="宋体" w:hAnsi="宋体" w:eastAsia="宋体" w:cs="宋体"/>
          <w:color w:val="auto"/>
          <w:spacing w:val="0"/>
          <w:w w:val="100"/>
          <w:kern w:val="0"/>
          <w:position w:val="0"/>
          <w:sz w:val="24"/>
          <w:highlight w:val="none"/>
        </w:rPr>
        <w:t>名    称：北京旌开咨询有限公司</w:t>
      </w:r>
    </w:p>
    <w:p w14:paraId="6C10F424">
      <w:pPr>
        <w:spacing w:line="360" w:lineRule="auto"/>
        <w:ind w:firstLine="720" w:firstLineChars="300"/>
        <w:jc w:val="left"/>
        <w:rPr>
          <w:rFonts w:hint="eastAsia" w:ascii="宋体" w:hAnsi="宋体" w:eastAsia="宋体" w:cs="宋体"/>
          <w:color w:val="auto"/>
          <w:spacing w:val="0"/>
          <w:w w:val="100"/>
          <w:kern w:val="0"/>
          <w:position w:val="0"/>
          <w:sz w:val="24"/>
          <w:highlight w:val="none"/>
          <w:lang w:eastAsia="zh-CN"/>
        </w:rPr>
      </w:pPr>
      <w:r>
        <w:rPr>
          <w:rFonts w:hint="eastAsia" w:ascii="宋体" w:hAnsi="宋体" w:eastAsia="宋体" w:cs="宋体"/>
          <w:color w:val="auto"/>
          <w:spacing w:val="0"/>
          <w:w w:val="100"/>
          <w:kern w:val="0"/>
          <w:position w:val="0"/>
          <w:sz w:val="24"/>
          <w:highlight w:val="none"/>
        </w:rPr>
        <w:t>地    址：</w:t>
      </w:r>
      <w:r>
        <w:rPr>
          <w:rFonts w:hint="eastAsia" w:ascii="宋体" w:hAnsi="宋体" w:eastAsia="宋体" w:cs="宋体"/>
          <w:color w:val="auto"/>
          <w:spacing w:val="0"/>
          <w:w w:val="100"/>
          <w:kern w:val="0"/>
          <w:position w:val="0"/>
          <w:sz w:val="24"/>
          <w:highlight w:val="none"/>
          <w:lang w:eastAsia="zh-CN"/>
        </w:rPr>
        <w:t>北京市海淀区中国卫星通信大厦B座26层</w:t>
      </w:r>
    </w:p>
    <w:p w14:paraId="5D77030B">
      <w:pPr>
        <w:spacing w:line="360" w:lineRule="auto"/>
        <w:ind w:firstLine="720" w:firstLineChars="300"/>
        <w:jc w:val="left"/>
        <w:rPr>
          <w:rFonts w:hint="eastAsia" w:ascii="宋体" w:hAnsi="宋体" w:eastAsia="宋体" w:cs="宋体"/>
          <w:color w:val="auto"/>
          <w:spacing w:val="0"/>
          <w:w w:val="100"/>
          <w:kern w:val="0"/>
          <w:position w:val="0"/>
          <w:sz w:val="24"/>
          <w:highlight w:val="none"/>
          <w:u w:val="single"/>
          <w:lang w:eastAsia="zh-CN"/>
        </w:rPr>
      </w:pPr>
      <w:r>
        <w:rPr>
          <w:rFonts w:hint="eastAsia" w:ascii="宋体" w:hAnsi="宋体" w:eastAsia="宋体" w:cs="宋体"/>
          <w:color w:val="auto"/>
          <w:spacing w:val="0"/>
          <w:w w:val="100"/>
          <w:kern w:val="0"/>
          <w:position w:val="0"/>
          <w:sz w:val="24"/>
          <w:highlight w:val="none"/>
        </w:rPr>
        <w:t>联系方式：王博男，</w:t>
      </w:r>
      <w:r>
        <w:rPr>
          <w:rFonts w:hint="eastAsia" w:ascii="宋体" w:hAnsi="宋体" w:eastAsia="宋体" w:cs="宋体"/>
          <w:color w:val="auto"/>
          <w:spacing w:val="0"/>
          <w:w w:val="100"/>
          <w:kern w:val="0"/>
          <w:position w:val="0"/>
          <w:sz w:val="24"/>
          <w:highlight w:val="none"/>
          <w:lang w:eastAsia="zh-CN"/>
        </w:rPr>
        <w:t>010-88501340-823</w:t>
      </w:r>
    </w:p>
    <w:p w14:paraId="2658D282">
      <w:pPr>
        <w:pStyle w:val="4"/>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项目联系方式</w:t>
      </w:r>
    </w:p>
    <w:p w14:paraId="784A6417">
      <w:pPr>
        <w:widowControl w:val="0"/>
        <w:spacing w:line="360" w:lineRule="auto"/>
        <w:ind w:firstLine="720" w:firstLineChars="300"/>
        <w:jc w:val="both"/>
        <w:rPr>
          <w:rFonts w:hint="eastAsia" w:ascii="宋体" w:hAnsi="宋体" w:eastAsia="宋体" w:cs="宋体"/>
          <w:color w:val="auto"/>
          <w:spacing w:val="0"/>
          <w:w w:val="100"/>
          <w:kern w:val="0"/>
          <w:position w:val="0"/>
          <w:sz w:val="24"/>
          <w:szCs w:val="24"/>
          <w:highlight w:val="none"/>
          <w:lang w:val="en-US" w:eastAsia="zh-CN" w:bidi="ar-SA"/>
        </w:rPr>
      </w:pPr>
      <w:r>
        <w:rPr>
          <w:rFonts w:hint="eastAsia" w:ascii="宋体" w:hAnsi="宋体" w:eastAsia="宋体" w:cs="宋体"/>
          <w:color w:val="auto"/>
          <w:spacing w:val="0"/>
          <w:w w:val="100"/>
          <w:kern w:val="0"/>
          <w:position w:val="0"/>
          <w:sz w:val="24"/>
          <w:szCs w:val="24"/>
          <w:highlight w:val="none"/>
          <w:lang w:val="en-US" w:eastAsia="zh-CN" w:bidi="ar-SA"/>
        </w:rPr>
        <w:t>项目联系人：</w:t>
      </w:r>
      <w:r>
        <w:rPr>
          <w:rFonts w:hint="eastAsia" w:ascii="宋体" w:hAnsi="宋体" w:eastAsia="宋体" w:cs="宋体"/>
          <w:color w:val="auto"/>
          <w:spacing w:val="0"/>
          <w:w w:val="100"/>
          <w:kern w:val="0"/>
          <w:position w:val="0"/>
          <w:sz w:val="24"/>
          <w:szCs w:val="20"/>
          <w:highlight w:val="none"/>
          <w:lang w:val="en-US" w:eastAsia="zh-CN" w:bidi="ar-SA"/>
        </w:rPr>
        <w:t>王博男</w:t>
      </w:r>
    </w:p>
    <w:p w14:paraId="75E52F3C">
      <w:pPr>
        <w:widowControl w:val="0"/>
        <w:spacing w:line="360" w:lineRule="auto"/>
        <w:ind w:firstLine="720" w:firstLineChars="300"/>
        <w:jc w:val="both"/>
        <w:rPr>
          <w:rFonts w:hint="eastAsia" w:ascii="宋体" w:hAnsi="宋体" w:eastAsia="宋体" w:cs="宋体"/>
          <w:color w:val="auto"/>
          <w:spacing w:val="0"/>
          <w:w w:val="100"/>
          <w:kern w:val="0"/>
          <w:position w:val="0"/>
          <w:sz w:val="24"/>
          <w:szCs w:val="24"/>
          <w:highlight w:val="none"/>
          <w:lang w:val="en-US" w:eastAsia="zh-CN" w:bidi="ar-SA"/>
        </w:rPr>
      </w:pPr>
      <w:r>
        <w:rPr>
          <w:rFonts w:hint="eastAsia" w:ascii="宋体" w:hAnsi="宋体" w:eastAsia="宋体" w:cs="宋体"/>
          <w:color w:val="auto"/>
          <w:spacing w:val="0"/>
          <w:w w:val="100"/>
          <w:kern w:val="0"/>
          <w:position w:val="0"/>
          <w:sz w:val="24"/>
          <w:szCs w:val="20"/>
          <w:highlight w:val="none"/>
          <w:lang w:val="en-US" w:eastAsia="zh-CN" w:bidi="ar-SA"/>
        </w:rPr>
        <w:t>电    话：010-88501340-823</w:t>
      </w:r>
    </w:p>
    <w:p w14:paraId="645F6DBC">
      <w:pPr>
        <w:pStyle w:val="2"/>
        <w:bidi w:val="0"/>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 w:name="_Toc99301420"/>
      <w:r>
        <w:rPr>
          <w:rFonts w:hint="eastAsia" w:ascii="宋体" w:hAnsi="宋体" w:eastAsia="宋体" w:cs="宋体"/>
          <w:color w:val="auto"/>
          <w:highlight w:val="none"/>
          <w:lang w:val="en-US" w:eastAsia="zh-CN"/>
        </w:rPr>
        <w:t xml:space="preserve">  </w:t>
      </w:r>
      <w:bookmarkStart w:id="5" w:name="_Toc8295"/>
      <w:r>
        <w:rPr>
          <w:rFonts w:hint="eastAsia" w:ascii="宋体" w:hAnsi="宋体" w:eastAsia="宋体" w:cs="宋体"/>
          <w:color w:val="auto"/>
          <w:highlight w:val="none"/>
        </w:rPr>
        <w:t>投标人须知</w:t>
      </w:r>
      <w:bookmarkEnd w:id="4"/>
      <w:bookmarkEnd w:id="5"/>
    </w:p>
    <w:p w14:paraId="70836D33">
      <w:pPr>
        <w:bidi w:val="0"/>
        <w:jc w:val="center"/>
        <w:outlineLvl w:val="9"/>
        <w:rPr>
          <w:rFonts w:hint="eastAsia" w:ascii="宋体" w:hAnsi="宋体" w:eastAsia="宋体" w:cs="宋体"/>
          <w:b/>
          <w:bCs/>
          <w:sz w:val="32"/>
          <w:szCs w:val="32"/>
        </w:rPr>
      </w:pPr>
      <w:r>
        <w:rPr>
          <w:rFonts w:hint="eastAsia" w:ascii="宋体" w:hAnsi="宋体" w:eastAsia="宋体" w:cs="宋体"/>
          <w:b/>
          <w:bCs/>
          <w:sz w:val="32"/>
          <w:szCs w:val="32"/>
        </w:rPr>
        <w:t>投标人须知资料表</w:t>
      </w:r>
    </w:p>
    <w:p w14:paraId="05E1DF5D">
      <w:pPr>
        <w:jc w:val="center"/>
        <w:rPr>
          <w:rFonts w:hint="eastAsia" w:ascii="宋体" w:hAnsi="宋体" w:eastAsia="宋体" w:cs="宋体"/>
          <w:b/>
          <w:color w:val="auto"/>
          <w:sz w:val="28"/>
          <w:szCs w:val="28"/>
          <w:highlight w:val="none"/>
        </w:rPr>
      </w:pPr>
    </w:p>
    <w:p w14:paraId="0253530E">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本表是对投标人须知的具体补充和修改，如有矛盾，均以本资料表为准。</w:t>
      </w:r>
    </w:p>
    <w:tbl>
      <w:tblPr>
        <w:tblStyle w:val="4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4C5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8929321">
            <w:pPr>
              <w:jc w:val="cente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条款号</w:t>
            </w:r>
          </w:p>
        </w:tc>
        <w:tc>
          <w:tcPr>
            <w:tcW w:w="1701" w:type="dxa"/>
            <w:vAlign w:val="center"/>
          </w:tcPr>
          <w:p w14:paraId="24418908">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条目</w:t>
            </w:r>
          </w:p>
        </w:tc>
        <w:tc>
          <w:tcPr>
            <w:tcW w:w="7540" w:type="dxa"/>
            <w:vAlign w:val="center"/>
          </w:tcPr>
          <w:p w14:paraId="655D60D9">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内容</w:t>
            </w:r>
          </w:p>
        </w:tc>
      </w:tr>
      <w:tr w14:paraId="3C3B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4C55C6">
            <w:pPr>
              <w:pStyle w:val="24"/>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701" w:type="dxa"/>
            <w:vAlign w:val="center"/>
          </w:tcPr>
          <w:p w14:paraId="0488946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w:t>
            </w:r>
          </w:p>
        </w:tc>
        <w:tc>
          <w:tcPr>
            <w:tcW w:w="7540" w:type="dxa"/>
            <w:vAlign w:val="center"/>
          </w:tcPr>
          <w:p w14:paraId="7D41B668">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w:t>
            </w:r>
          </w:p>
          <w:p w14:paraId="71E4ABE3">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服务</w:t>
            </w:r>
          </w:p>
          <w:p w14:paraId="0244A984">
            <w:pPr>
              <w:jc w:val="left"/>
              <w:rPr>
                <w:rFonts w:hint="eastAsia" w:ascii="宋体" w:hAnsi="宋体" w:eastAsia="宋体" w:cs="宋体"/>
                <w:color w:val="auto"/>
                <w:sz w:val="24"/>
                <w:highlight w:val="none"/>
              </w:rPr>
            </w:pPr>
            <w:r>
              <w:rPr>
                <w:rFonts w:hint="eastAsia" w:ascii="宋体" w:hAnsi="宋体" w:eastAsia="宋体" w:cs="宋体"/>
                <w:b/>
                <w:color w:val="auto"/>
                <w:spacing w:val="0"/>
                <w:w w:val="100"/>
                <w:kern w:val="0"/>
                <w:position w:val="0"/>
                <w:sz w:val="24"/>
                <w:highlight w:val="none"/>
              </w:rPr>
              <w:t>■</w:t>
            </w:r>
            <w:r>
              <w:rPr>
                <w:rFonts w:hint="eastAsia" w:ascii="宋体" w:hAnsi="宋体" w:eastAsia="宋体" w:cs="宋体"/>
                <w:color w:val="auto"/>
                <w:sz w:val="24"/>
                <w:highlight w:val="none"/>
              </w:rPr>
              <w:t>货物</w:t>
            </w:r>
          </w:p>
        </w:tc>
      </w:tr>
      <w:tr w14:paraId="0C95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D63517">
            <w:pPr>
              <w:pStyle w:val="24"/>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701" w:type="dxa"/>
            <w:vAlign w:val="center"/>
          </w:tcPr>
          <w:p w14:paraId="0447623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科研仪器设备</w:t>
            </w:r>
          </w:p>
        </w:tc>
        <w:tc>
          <w:tcPr>
            <w:tcW w:w="7540" w:type="dxa"/>
            <w:vAlign w:val="center"/>
          </w:tcPr>
          <w:p w14:paraId="4F322977">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是否属于科研仪器设备采购项目：</w:t>
            </w:r>
          </w:p>
          <w:p w14:paraId="7DA6D939">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是</w:t>
            </w:r>
          </w:p>
          <w:p w14:paraId="53D9A994">
            <w:pPr>
              <w:jc w:val="left"/>
              <w:rPr>
                <w:rFonts w:hint="eastAsia" w:ascii="宋体" w:hAnsi="宋体" w:eastAsia="宋体" w:cs="宋体"/>
                <w:color w:val="auto"/>
                <w:sz w:val="24"/>
                <w:highlight w:val="none"/>
              </w:rPr>
            </w:pPr>
            <w:r>
              <w:rPr>
                <w:rFonts w:hint="eastAsia" w:ascii="宋体" w:hAnsi="宋体" w:eastAsia="宋体" w:cs="宋体"/>
                <w:b/>
                <w:color w:val="auto"/>
                <w:spacing w:val="0"/>
                <w:w w:val="100"/>
                <w:kern w:val="0"/>
                <w:position w:val="0"/>
                <w:sz w:val="24"/>
                <w:highlight w:val="none"/>
              </w:rPr>
              <w:t>■</w:t>
            </w:r>
            <w:r>
              <w:rPr>
                <w:rFonts w:hint="eastAsia" w:ascii="宋体" w:hAnsi="宋体" w:eastAsia="宋体" w:cs="宋体"/>
                <w:color w:val="auto"/>
                <w:sz w:val="24"/>
                <w:highlight w:val="none"/>
              </w:rPr>
              <w:t>否</w:t>
            </w:r>
          </w:p>
        </w:tc>
      </w:tr>
      <w:tr w14:paraId="6DE5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E34F7B7">
            <w:pPr>
              <w:pStyle w:val="24"/>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701" w:type="dxa"/>
            <w:vAlign w:val="center"/>
          </w:tcPr>
          <w:p w14:paraId="6483AA9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核心产品</w:t>
            </w:r>
          </w:p>
        </w:tc>
        <w:tc>
          <w:tcPr>
            <w:tcW w:w="7540" w:type="dxa"/>
            <w:vAlign w:val="center"/>
          </w:tcPr>
          <w:p w14:paraId="6EBBCAF0">
            <w:pPr>
              <w:pStyle w:val="24"/>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关于核心产品本项目不适用。</w:t>
            </w:r>
          </w:p>
          <w:p w14:paraId="30D15669">
            <w:pPr>
              <w:pStyle w:val="24"/>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本项目__包为单一产品采购项目。</w:t>
            </w:r>
          </w:p>
          <w:p w14:paraId="330FF666">
            <w:pPr>
              <w:jc w:val="left"/>
              <w:rPr>
                <w:rFonts w:hint="eastAsia" w:ascii="宋体" w:hAnsi="宋体" w:eastAsia="宋体" w:cs="宋体"/>
                <w:color w:val="auto"/>
                <w:sz w:val="24"/>
                <w:highlight w:val="none"/>
              </w:rPr>
            </w:pPr>
            <w:r>
              <w:rPr>
                <w:rFonts w:hint="eastAsia" w:ascii="宋体" w:hAnsi="宋体" w:eastAsia="宋体" w:cs="宋体"/>
                <w:b/>
                <w:color w:val="auto"/>
                <w:spacing w:val="0"/>
                <w:w w:val="100"/>
                <w:kern w:val="0"/>
                <w:position w:val="0"/>
                <w:sz w:val="24"/>
                <w:highlight w:val="none"/>
              </w:rPr>
              <w:t>■</w:t>
            </w: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第一包】</w:t>
            </w:r>
            <w:r>
              <w:rPr>
                <w:rFonts w:hint="eastAsia" w:ascii="宋体" w:hAnsi="宋体" w:eastAsia="宋体" w:cs="宋体"/>
                <w:color w:val="auto"/>
                <w:sz w:val="24"/>
                <w:highlight w:val="none"/>
              </w:rPr>
              <w:t>包为非单一产品采购项目，核心产品为：</w:t>
            </w:r>
            <w:r>
              <w:rPr>
                <w:rFonts w:hint="eastAsia" w:ascii="宋体" w:hAnsi="宋体" w:eastAsia="宋体" w:cs="宋体"/>
                <w:color w:val="auto"/>
                <w:sz w:val="24"/>
                <w:highlight w:val="none"/>
                <w:u w:val="single"/>
              </w:rPr>
              <w:t>互动康复训练系统（多感官训练系统）</w:t>
            </w:r>
            <w:r>
              <w:rPr>
                <w:rFonts w:hint="eastAsia" w:ascii="宋体" w:hAnsi="宋体" w:eastAsia="宋体" w:cs="宋体"/>
                <w:color w:val="auto"/>
                <w:sz w:val="24"/>
                <w:highlight w:val="none"/>
              </w:rPr>
              <w:t>。</w:t>
            </w:r>
            <w:r>
              <w:rPr>
                <w:rFonts w:hint="eastAsia" w:ascii="宋体" w:hAnsi="宋体" w:eastAsia="宋体" w:cs="宋体"/>
                <w:highlight w:val="none"/>
              </w:rPr>
              <w:br w:type="textWrapping"/>
            </w: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第</w:t>
            </w:r>
            <w:r>
              <w:rPr>
                <w:rFonts w:hint="eastAsia" w:ascii="宋体" w:hAnsi="宋体" w:cs="宋体"/>
                <w:color w:val="auto"/>
                <w:sz w:val="24"/>
                <w:highlight w:val="none"/>
                <w:u w:val="single"/>
                <w:lang w:val="en-US" w:eastAsia="zh-CN"/>
              </w:rPr>
              <w:t>二</w:t>
            </w:r>
            <w:r>
              <w:rPr>
                <w:rFonts w:hint="eastAsia" w:ascii="宋体" w:hAnsi="宋体" w:eastAsia="宋体" w:cs="宋体"/>
                <w:color w:val="auto"/>
                <w:sz w:val="24"/>
                <w:highlight w:val="none"/>
                <w:u w:val="single"/>
                <w:lang w:val="en-US" w:eastAsia="zh-CN"/>
              </w:rPr>
              <w:t>包】</w:t>
            </w:r>
            <w:r>
              <w:rPr>
                <w:rFonts w:hint="eastAsia" w:ascii="宋体" w:hAnsi="宋体" w:eastAsia="宋体" w:cs="宋体"/>
                <w:color w:val="auto"/>
                <w:sz w:val="24"/>
                <w:highlight w:val="none"/>
              </w:rPr>
              <w:t>包为非单一产品采购项目，核心产品为：</w:t>
            </w:r>
            <w:r>
              <w:rPr>
                <w:rFonts w:hint="eastAsia" w:ascii="宋体" w:hAnsi="宋体" w:eastAsia="宋体" w:cs="宋体"/>
                <w:color w:val="auto"/>
                <w:sz w:val="24"/>
                <w:highlight w:val="none"/>
                <w:u w:val="single"/>
              </w:rPr>
              <w:t>情景互动康复系统</w:t>
            </w:r>
            <w:r>
              <w:rPr>
                <w:rFonts w:hint="eastAsia" w:ascii="宋体" w:hAnsi="宋体" w:eastAsia="宋体" w:cs="宋体"/>
                <w:color w:val="auto"/>
                <w:sz w:val="24"/>
                <w:highlight w:val="none"/>
              </w:rPr>
              <w:t>。</w:t>
            </w:r>
          </w:p>
        </w:tc>
      </w:tr>
      <w:tr w14:paraId="3110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BEE679E">
            <w:pPr>
              <w:pStyle w:val="24"/>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701" w:type="dxa"/>
            <w:vAlign w:val="center"/>
          </w:tcPr>
          <w:p w14:paraId="77610C3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w:t>
            </w:r>
          </w:p>
        </w:tc>
        <w:tc>
          <w:tcPr>
            <w:tcW w:w="7540" w:type="dxa"/>
            <w:vAlign w:val="center"/>
          </w:tcPr>
          <w:p w14:paraId="6846183D">
            <w:pPr>
              <w:jc w:val="left"/>
              <w:rPr>
                <w:rFonts w:hint="eastAsia" w:ascii="宋体" w:hAnsi="宋体" w:eastAsia="宋体" w:cs="宋体"/>
                <w:color w:val="auto"/>
                <w:sz w:val="24"/>
                <w:highlight w:val="none"/>
              </w:rPr>
            </w:pPr>
            <w:r>
              <w:rPr>
                <w:rFonts w:hint="eastAsia" w:ascii="宋体" w:hAnsi="宋体" w:eastAsia="宋体" w:cs="宋体"/>
                <w:b/>
                <w:color w:val="auto"/>
                <w:spacing w:val="0"/>
                <w:w w:val="100"/>
                <w:kern w:val="0"/>
                <w:position w:val="0"/>
                <w:sz w:val="24"/>
                <w:highlight w:val="none"/>
              </w:rPr>
              <w:t>■</w:t>
            </w:r>
            <w:r>
              <w:rPr>
                <w:rFonts w:hint="eastAsia" w:ascii="宋体" w:hAnsi="宋体" w:eastAsia="宋体" w:cs="宋体"/>
                <w:color w:val="auto"/>
                <w:sz w:val="24"/>
                <w:highlight w:val="none"/>
              </w:rPr>
              <w:t>不组织</w:t>
            </w:r>
          </w:p>
          <w:p w14:paraId="4B045DCB">
            <w:pPr>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组织，考察时间：__年_月_日_</w:t>
            </w:r>
            <w:r>
              <w:rPr>
                <w:rFonts w:hint="eastAsia" w:ascii="宋体" w:hAnsi="宋体" w:eastAsia="宋体" w:cs="宋体"/>
                <w:bCs/>
                <w:color w:val="auto"/>
                <w:sz w:val="24"/>
                <w:highlight w:val="none"/>
              </w:rPr>
              <w:t>点</w:t>
            </w:r>
            <w:r>
              <w:rPr>
                <w:rFonts w:hint="eastAsia" w:ascii="宋体" w:hAnsi="宋体" w:eastAsia="宋体" w:cs="宋体"/>
                <w:color w:val="auto"/>
                <w:sz w:val="24"/>
                <w:highlight w:val="none"/>
              </w:rPr>
              <w:t>_</w:t>
            </w:r>
            <w:r>
              <w:rPr>
                <w:rFonts w:hint="eastAsia" w:ascii="宋体" w:hAnsi="宋体" w:eastAsia="宋体" w:cs="宋体"/>
                <w:bCs/>
                <w:color w:val="auto"/>
                <w:sz w:val="24"/>
                <w:highlight w:val="none"/>
              </w:rPr>
              <w:t>分</w:t>
            </w:r>
          </w:p>
          <w:p w14:paraId="0C17C28A">
            <w:pPr>
              <w:pStyle w:val="24"/>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考察地点：____________。</w:t>
            </w:r>
          </w:p>
        </w:tc>
      </w:tr>
      <w:tr w14:paraId="3BB4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5F36342">
            <w:pPr>
              <w:pStyle w:val="24"/>
              <w:adjustRightInd w:val="0"/>
              <w:snapToGrid w:val="0"/>
              <w:jc w:val="center"/>
              <w:rPr>
                <w:rFonts w:hint="eastAsia" w:ascii="宋体" w:hAnsi="宋体" w:eastAsia="宋体" w:cs="宋体"/>
                <w:color w:val="auto"/>
                <w:sz w:val="24"/>
                <w:szCs w:val="24"/>
                <w:highlight w:val="none"/>
              </w:rPr>
            </w:pPr>
          </w:p>
        </w:tc>
        <w:tc>
          <w:tcPr>
            <w:tcW w:w="1701" w:type="dxa"/>
            <w:vAlign w:val="center"/>
          </w:tcPr>
          <w:p w14:paraId="0FF63FE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开标前答疑会</w:t>
            </w:r>
          </w:p>
        </w:tc>
        <w:tc>
          <w:tcPr>
            <w:tcW w:w="7540" w:type="dxa"/>
            <w:vAlign w:val="center"/>
          </w:tcPr>
          <w:p w14:paraId="0671728A">
            <w:pPr>
              <w:jc w:val="left"/>
              <w:rPr>
                <w:rFonts w:hint="eastAsia" w:ascii="宋体" w:hAnsi="宋体" w:eastAsia="宋体" w:cs="宋体"/>
                <w:color w:val="auto"/>
                <w:sz w:val="24"/>
                <w:highlight w:val="none"/>
              </w:rPr>
            </w:pPr>
            <w:r>
              <w:rPr>
                <w:rFonts w:hint="eastAsia" w:ascii="宋体" w:hAnsi="宋体" w:eastAsia="宋体" w:cs="宋体"/>
                <w:b/>
                <w:color w:val="auto"/>
                <w:spacing w:val="0"/>
                <w:w w:val="100"/>
                <w:kern w:val="0"/>
                <w:position w:val="0"/>
                <w:sz w:val="24"/>
                <w:highlight w:val="none"/>
              </w:rPr>
              <w:t>■</w:t>
            </w:r>
            <w:r>
              <w:rPr>
                <w:rFonts w:hint="eastAsia" w:ascii="宋体" w:hAnsi="宋体" w:eastAsia="宋体" w:cs="宋体"/>
                <w:color w:val="auto"/>
                <w:sz w:val="24"/>
                <w:highlight w:val="none"/>
              </w:rPr>
              <w:t>不召开</w:t>
            </w:r>
          </w:p>
          <w:p w14:paraId="305AC012">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召开，召开时间：__年_月_日_</w:t>
            </w:r>
            <w:r>
              <w:rPr>
                <w:rFonts w:hint="eastAsia" w:ascii="宋体" w:hAnsi="宋体" w:eastAsia="宋体" w:cs="宋体"/>
                <w:bCs/>
                <w:color w:val="auto"/>
                <w:sz w:val="24"/>
                <w:highlight w:val="none"/>
              </w:rPr>
              <w:t>点</w:t>
            </w:r>
            <w:r>
              <w:rPr>
                <w:rFonts w:hint="eastAsia" w:ascii="宋体" w:hAnsi="宋体" w:eastAsia="宋体" w:cs="宋体"/>
                <w:color w:val="auto"/>
                <w:sz w:val="24"/>
                <w:highlight w:val="none"/>
              </w:rPr>
              <w:t>_</w:t>
            </w:r>
            <w:r>
              <w:rPr>
                <w:rFonts w:hint="eastAsia" w:ascii="宋体" w:hAnsi="宋体" w:eastAsia="宋体" w:cs="宋体"/>
                <w:bCs/>
                <w:color w:val="auto"/>
                <w:sz w:val="24"/>
                <w:highlight w:val="none"/>
              </w:rPr>
              <w:t>分</w:t>
            </w:r>
          </w:p>
          <w:p w14:paraId="18825CF8">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召开地点：____________。</w:t>
            </w:r>
          </w:p>
        </w:tc>
      </w:tr>
      <w:tr w14:paraId="7D72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CB727B">
            <w:pPr>
              <w:pStyle w:val="24"/>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p>
        </w:tc>
        <w:tc>
          <w:tcPr>
            <w:tcW w:w="1701" w:type="dxa"/>
            <w:vAlign w:val="center"/>
          </w:tcPr>
          <w:p w14:paraId="6FD76AA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样品</w:t>
            </w:r>
          </w:p>
        </w:tc>
        <w:tc>
          <w:tcPr>
            <w:tcW w:w="7540" w:type="dxa"/>
            <w:vAlign w:val="center"/>
          </w:tcPr>
          <w:p w14:paraId="7F100ED4">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投标样品递交：</w:t>
            </w:r>
          </w:p>
          <w:p w14:paraId="0249E629">
            <w:pPr>
              <w:jc w:val="left"/>
              <w:rPr>
                <w:rFonts w:hint="eastAsia" w:ascii="宋体" w:hAnsi="宋体" w:eastAsia="宋体" w:cs="宋体"/>
                <w:color w:val="auto"/>
                <w:sz w:val="24"/>
                <w:highlight w:val="none"/>
              </w:rPr>
            </w:pPr>
            <w:r>
              <w:rPr>
                <w:rFonts w:hint="eastAsia" w:ascii="宋体" w:hAnsi="宋体" w:eastAsia="宋体" w:cs="宋体"/>
                <w:b/>
                <w:color w:val="auto"/>
                <w:spacing w:val="0"/>
                <w:w w:val="100"/>
                <w:kern w:val="0"/>
                <w:position w:val="0"/>
                <w:sz w:val="24"/>
                <w:highlight w:val="none"/>
              </w:rPr>
              <w:t>■</w:t>
            </w:r>
            <w:r>
              <w:rPr>
                <w:rFonts w:hint="eastAsia" w:ascii="宋体" w:hAnsi="宋体" w:eastAsia="宋体" w:cs="宋体"/>
                <w:color w:val="auto"/>
                <w:sz w:val="24"/>
                <w:highlight w:val="none"/>
              </w:rPr>
              <w:t>不需要</w:t>
            </w:r>
          </w:p>
          <w:p w14:paraId="1007B53F">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需要，具体要求如下：</w:t>
            </w:r>
          </w:p>
          <w:p w14:paraId="04B5DD71">
            <w:pPr>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（1）样品制作的标准和要求：_________；</w:t>
            </w:r>
          </w:p>
          <w:p w14:paraId="6E14DE0D">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（2）是否需要随样品提交相关检测报告：</w:t>
            </w:r>
          </w:p>
          <w:p w14:paraId="57057B3F">
            <w:pPr>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不需要</w:t>
            </w:r>
          </w:p>
          <w:p w14:paraId="41EB9098">
            <w:pPr>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需要</w:t>
            </w:r>
          </w:p>
          <w:p w14:paraId="468454F6">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（3）样品递交要求：_________；</w:t>
            </w:r>
          </w:p>
          <w:p w14:paraId="15E60A11">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（4）未中标人样品退还：_________；</w:t>
            </w:r>
          </w:p>
          <w:p w14:paraId="38B757D2">
            <w:pPr>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（5）中标人样品保管、封存及退还：_________；</w:t>
            </w:r>
          </w:p>
          <w:p w14:paraId="10467F75">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（6）其他要求（如有）：_________。</w:t>
            </w:r>
          </w:p>
        </w:tc>
      </w:tr>
      <w:tr w14:paraId="4EBA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750F2C2">
            <w:pPr>
              <w:pStyle w:val="24"/>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5.3.5</w:t>
            </w:r>
          </w:p>
        </w:tc>
        <w:tc>
          <w:tcPr>
            <w:tcW w:w="1701" w:type="dxa"/>
            <w:vAlign w:val="center"/>
          </w:tcPr>
          <w:p w14:paraId="0C46B9F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标的所属行业</w:t>
            </w:r>
          </w:p>
        </w:tc>
        <w:tc>
          <w:tcPr>
            <w:tcW w:w="7540" w:type="dxa"/>
            <w:vAlign w:val="center"/>
          </w:tcPr>
          <w:p w14:paraId="331FCD21">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本项目采购标的对应的中小企业划分标准所属行业：</w:t>
            </w:r>
          </w:p>
          <w:tbl>
            <w:tblPr>
              <w:tblStyle w:val="46"/>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6A80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218F457">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63806AAD">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00A58A4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中小企业划分标准所属行业</w:t>
                  </w:r>
                </w:p>
              </w:tc>
            </w:tr>
            <w:tr w14:paraId="661D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91E050A">
                  <w:pPr>
                    <w:jc w:val="cente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w:t>
                  </w:r>
                </w:p>
              </w:tc>
              <w:tc>
                <w:tcPr>
                  <w:tcW w:w="2058" w:type="pct"/>
                  <w:tcBorders>
                    <w:top w:val="single" w:color="auto" w:sz="4" w:space="0"/>
                    <w:left w:val="single" w:color="auto" w:sz="4" w:space="0"/>
                    <w:bottom w:val="single" w:color="auto" w:sz="4" w:space="0"/>
                    <w:right w:val="single" w:color="auto" w:sz="4" w:space="0"/>
                  </w:tcBorders>
                  <w:vAlign w:val="center"/>
                </w:tcPr>
                <w:p w14:paraId="50A1A9AE">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具体各产品标的名称详见“第 五章 </w:t>
                  </w:r>
                  <w:r>
                    <w:rPr>
                      <w:rFonts w:hint="eastAsia" w:ascii="宋体" w:hAnsi="宋体" w:eastAsia="宋体" w:cs="宋体"/>
                      <w:bCs/>
                      <w:color w:val="auto"/>
                      <w:sz w:val="24"/>
                      <w:highlight w:val="none"/>
                      <w:lang w:val="en-US" w:eastAsia="zh-CN"/>
                    </w:rPr>
                    <w:t>技术规格</w:t>
                  </w:r>
                  <w:r>
                    <w:rPr>
                      <w:rFonts w:hint="eastAsia" w:ascii="宋体" w:hAnsi="宋体" w:eastAsia="宋体" w:cs="宋体"/>
                      <w:bCs/>
                      <w:color w:val="auto"/>
                      <w:sz w:val="24"/>
                      <w:highlight w:val="none"/>
                    </w:rPr>
                    <w:t>”</w:t>
                  </w:r>
                </w:p>
              </w:tc>
              <w:tc>
                <w:tcPr>
                  <w:tcW w:w="2382" w:type="pct"/>
                  <w:tcBorders>
                    <w:top w:val="single" w:color="auto" w:sz="4" w:space="0"/>
                    <w:left w:val="single" w:color="auto" w:sz="4" w:space="0"/>
                    <w:bottom w:val="single" w:color="auto" w:sz="4" w:space="0"/>
                    <w:right w:val="single" w:color="auto" w:sz="4" w:space="0"/>
                  </w:tcBorders>
                  <w:vAlign w:val="center"/>
                </w:tcPr>
                <w:p w14:paraId="7750876D">
                  <w:pPr>
                    <w:jc w:val="center"/>
                    <w:rPr>
                      <w:rFonts w:hint="eastAsia" w:ascii="宋体" w:hAnsi="宋体" w:eastAsia="宋体" w:cs="宋体"/>
                      <w:color w:val="auto"/>
                      <w:kern w:val="0"/>
                      <w:sz w:val="24"/>
                      <w:highlight w:val="none"/>
                    </w:rPr>
                  </w:pPr>
                  <w:r>
                    <w:rPr>
                      <w:rFonts w:hint="eastAsia" w:ascii="宋体" w:hAnsi="宋体" w:eastAsia="宋体" w:cs="宋体"/>
                      <w:color w:val="auto"/>
                      <w:spacing w:val="0"/>
                      <w:w w:val="100"/>
                      <w:kern w:val="0"/>
                      <w:position w:val="0"/>
                      <w:sz w:val="24"/>
                      <w:highlight w:val="none"/>
                      <w:lang w:val="en-US" w:eastAsia="zh-CN"/>
                    </w:rPr>
                    <w:t>工业</w:t>
                  </w:r>
                </w:p>
              </w:tc>
            </w:tr>
          </w:tbl>
          <w:p w14:paraId="494AD3F8">
            <w:pPr>
              <w:jc w:val="left"/>
              <w:rPr>
                <w:rFonts w:hint="eastAsia" w:ascii="宋体" w:hAnsi="宋体" w:eastAsia="宋体" w:cs="宋体"/>
                <w:color w:val="auto"/>
                <w:sz w:val="24"/>
                <w:highlight w:val="none"/>
              </w:rPr>
            </w:pPr>
          </w:p>
        </w:tc>
      </w:tr>
      <w:tr w14:paraId="5810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8AB4A92">
            <w:pPr>
              <w:pStyle w:val="24"/>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11.2</w:t>
            </w:r>
          </w:p>
        </w:tc>
        <w:tc>
          <w:tcPr>
            <w:tcW w:w="1701" w:type="dxa"/>
            <w:vAlign w:val="center"/>
          </w:tcPr>
          <w:p w14:paraId="2013969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tc>
        <w:tc>
          <w:tcPr>
            <w:tcW w:w="7540" w:type="dxa"/>
            <w:vAlign w:val="center"/>
          </w:tcPr>
          <w:p w14:paraId="40E45403">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投标报价的特殊规定：</w:t>
            </w:r>
          </w:p>
          <w:p w14:paraId="531D3B73">
            <w:pPr>
              <w:jc w:val="left"/>
              <w:rPr>
                <w:rFonts w:hint="eastAsia" w:ascii="宋体" w:hAnsi="宋体" w:eastAsia="宋体" w:cs="宋体"/>
                <w:color w:val="auto"/>
                <w:sz w:val="24"/>
                <w:highlight w:val="none"/>
              </w:rPr>
            </w:pPr>
            <w:r>
              <w:rPr>
                <w:rFonts w:hint="eastAsia" w:ascii="宋体" w:hAnsi="宋体" w:eastAsia="宋体" w:cs="宋体"/>
                <w:color w:val="auto"/>
                <w:spacing w:val="0"/>
                <w:w w:val="100"/>
                <w:position w:val="0"/>
                <w:sz w:val="24"/>
                <w:highlight w:val="none"/>
              </w:rPr>
              <w:t>■</w:t>
            </w:r>
            <w:r>
              <w:rPr>
                <w:rFonts w:hint="eastAsia" w:ascii="宋体" w:hAnsi="宋体" w:eastAsia="宋体" w:cs="宋体"/>
                <w:color w:val="auto"/>
                <w:sz w:val="24"/>
                <w:highlight w:val="none"/>
              </w:rPr>
              <w:t>无</w:t>
            </w:r>
          </w:p>
          <w:p w14:paraId="36229829">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有，具体情形：_____。</w:t>
            </w:r>
          </w:p>
        </w:tc>
      </w:tr>
      <w:tr w14:paraId="3263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42B05FD">
            <w:pPr>
              <w:pStyle w:val="24"/>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701" w:type="dxa"/>
            <w:vMerge w:val="restart"/>
            <w:vAlign w:val="center"/>
          </w:tcPr>
          <w:p w14:paraId="5663EE0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w:t>
            </w:r>
          </w:p>
        </w:tc>
        <w:tc>
          <w:tcPr>
            <w:tcW w:w="7540" w:type="dxa"/>
            <w:vAlign w:val="center"/>
          </w:tcPr>
          <w:p w14:paraId="2467C5F9">
            <w:pPr>
              <w:widowControl w:val="0"/>
              <w:adjustRightInd w:val="0"/>
              <w:snapToGrid w:val="0"/>
              <w:jc w:val="both"/>
              <w:rPr>
                <w:rFonts w:hint="eastAsia" w:ascii="宋体" w:hAnsi="宋体" w:eastAsia="宋体" w:cs="宋体"/>
                <w:b w:val="0"/>
                <w:bCs w:val="0"/>
                <w:color w:val="auto"/>
                <w:spacing w:val="0"/>
                <w:w w:val="100"/>
                <w:kern w:val="0"/>
                <w:position w:val="0"/>
                <w:sz w:val="24"/>
                <w:szCs w:val="24"/>
                <w:highlight w:val="none"/>
                <w:lang w:val="en-US" w:eastAsia="zh-CN" w:bidi="ar-SA"/>
              </w:rPr>
            </w:pPr>
            <w:r>
              <w:rPr>
                <w:rFonts w:hint="eastAsia" w:ascii="宋体" w:hAnsi="宋体" w:eastAsia="宋体" w:cs="宋体"/>
                <w:b w:val="0"/>
                <w:bCs w:val="0"/>
                <w:color w:val="auto"/>
                <w:spacing w:val="0"/>
                <w:w w:val="100"/>
                <w:kern w:val="0"/>
                <w:position w:val="0"/>
                <w:sz w:val="24"/>
                <w:szCs w:val="24"/>
                <w:highlight w:val="none"/>
                <w:lang w:val="en-US" w:eastAsia="zh-CN" w:bidi="ar-SA"/>
              </w:rPr>
              <w:t>第一包投标保证金金额均为：90251.00元</w:t>
            </w:r>
            <w:r>
              <w:rPr>
                <w:rFonts w:hint="eastAsia" w:ascii="宋体" w:hAnsi="宋体" w:eastAsia="宋体" w:cs="宋体"/>
                <w:b w:val="0"/>
                <w:bCs w:val="0"/>
                <w:color w:val="auto"/>
                <w:spacing w:val="0"/>
                <w:w w:val="100"/>
                <w:kern w:val="0"/>
                <w:position w:val="0"/>
                <w:sz w:val="24"/>
                <w:szCs w:val="24"/>
                <w:highlight w:val="none"/>
                <w:lang w:val="en-US" w:eastAsia="zh-CN" w:bidi="ar-SA"/>
              </w:rPr>
              <w:br w:type="textWrapping"/>
            </w:r>
            <w:r>
              <w:rPr>
                <w:rFonts w:hint="eastAsia" w:ascii="宋体" w:hAnsi="宋体" w:eastAsia="宋体" w:cs="宋体"/>
                <w:b w:val="0"/>
                <w:bCs w:val="0"/>
                <w:color w:val="auto"/>
                <w:spacing w:val="0"/>
                <w:w w:val="100"/>
                <w:kern w:val="0"/>
                <w:position w:val="0"/>
                <w:sz w:val="24"/>
                <w:szCs w:val="24"/>
                <w:highlight w:val="none"/>
                <w:lang w:val="en-US" w:eastAsia="zh-CN" w:bidi="ar-SA"/>
              </w:rPr>
              <w:t>第二包投标保证金金额均为：9025</w:t>
            </w:r>
            <w:r>
              <w:rPr>
                <w:rFonts w:hint="eastAsia" w:ascii="宋体" w:hAnsi="宋体" w:cs="宋体"/>
                <w:b w:val="0"/>
                <w:bCs w:val="0"/>
                <w:color w:val="auto"/>
                <w:spacing w:val="0"/>
                <w:w w:val="100"/>
                <w:kern w:val="0"/>
                <w:position w:val="0"/>
                <w:sz w:val="24"/>
                <w:szCs w:val="24"/>
                <w:highlight w:val="none"/>
                <w:lang w:val="en-US" w:eastAsia="zh-CN" w:bidi="ar-SA"/>
              </w:rPr>
              <w:t>2</w:t>
            </w:r>
            <w:r>
              <w:rPr>
                <w:rFonts w:hint="eastAsia" w:ascii="宋体" w:hAnsi="宋体" w:eastAsia="宋体" w:cs="宋体"/>
                <w:b w:val="0"/>
                <w:bCs w:val="0"/>
                <w:color w:val="auto"/>
                <w:spacing w:val="0"/>
                <w:w w:val="100"/>
                <w:kern w:val="0"/>
                <w:position w:val="0"/>
                <w:sz w:val="24"/>
                <w:szCs w:val="24"/>
                <w:highlight w:val="none"/>
                <w:lang w:val="en-US" w:eastAsia="zh-CN" w:bidi="ar-SA"/>
              </w:rPr>
              <w:t>.00元</w:t>
            </w:r>
          </w:p>
          <w:p w14:paraId="566EC167">
            <w:pPr>
              <w:jc w:val="left"/>
              <w:rPr>
                <w:rFonts w:hint="eastAsia" w:ascii="宋体" w:hAnsi="宋体" w:eastAsia="宋体" w:cs="宋体"/>
                <w:b w:val="0"/>
                <w:bCs w:val="0"/>
                <w:color w:val="auto"/>
                <w:spacing w:val="0"/>
                <w:w w:val="100"/>
                <w:kern w:val="0"/>
                <w:position w:val="0"/>
                <w:sz w:val="24"/>
                <w:highlight w:val="none"/>
              </w:rPr>
            </w:pPr>
            <w:r>
              <w:rPr>
                <w:rFonts w:hint="eastAsia" w:ascii="宋体" w:hAnsi="宋体" w:eastAsia="宋体" w:cs="宋体"/>
                <w:b w:val="0"/>
                <w:bCs w:val="0"/>
                <w:color w:val="auto"/>
                <w:spacing w:val="0"/>
                <w:w w:val="100"/>
                <w:kern w:val="0"/>
                <w:position w:val="0"/>
                <w:sz w:val="24"/>
                <w:highlight w:val="none"/>
              </w:rPr>
              <w:t>投标保证金收受人信息：</w:t>
            </w:r>
          </w:p>
          <w:p w14:paraId="6C060306">
            <w:pPr>
              <w:jc w:val="left"/>
              <w:rPr>
                <w:rFonts w:hint="eastAsia" w:ascii="宋体" w:hAnsi="宋体" w:eastAsia="宋体" w:cs="宋体"/>
                <w:b w:val="0"/>
                <w:bCs w:val="0"/>
                <w:color w:val="auto"/>
                <w:spacing w:val="0"/>
                <w:w w:val="100"/>
                <w:kern w:val="0"/>
                <w:position w:val="0"/>
                <w:sz w:val="24"/>
                <w:highlight w:val="none"/>
              </w:rPr>
            </w:pPr>
            <w:r>
              <w:rPr>
                <w:rFonts w:hint="eastAsia" w:ascii="宋体" w:hAnsi="宋体" w:eastAsia="宋体" w:cs="宋体"/>
                <w:b w:val="0"/>
                <w:bCs w:val="0"/>
                <w:color w:val="auto"/>
                <w:spacing w:val="0"/>
                <w:w w:val="100"/>
                <w:kern w:val="0"/>
                <w:position w:val="0"/>
                <w:sz w:val="24"/>
                <w:highlight w:val="none"/>
              </w:rPr>
              <w:t>开户行名称：北京旌开咨询有限公司</w:t>
            </w:r>
          </w:p>
          <w:p w14:paraId="27C486A9">
            <w:pPr>
              <w:jc w:val="left"/>
              <w:rPr>
                <w:rFonts w:hint="eastAsia" w:ascii="宋体" w:hAnsi="宋体" w:eastAsia="宋体" w:cs="宋体"/>
                <w:color w:val="auto"/>
                <w:spacing w:val="0"/>
                <w:w w:val="100"/>
                <w:kern w:val="0"/>
                <w:position w:val="0"/>
                <w:sz w:val="24"/>
                <w:highlight w:val="none"/>
              </w:rPr>
            </w:pPr>
            <w:r>
              <w:rPr>
                <w:rFonts w:hint="eastAsia" w:ascii="宋体" w:hAnsi="宋体" w:eastAsia="宋体" w:cs="宋体"/>
                <w:b w:val="0"/>
                <w:bCs w:val="0"/>
                <w:color w:val="auto"/>
                <w:spacing w:val="0"/>
                <w:w w:val="100"/>
                <w:kern w:val="0"/>
                <w:position w:val="0"/>
                <w:sz w:val="24"/>
                <w:highlight w:val="none"/>
              </w:rPr>
              <w:t>开户银行：浦发银行紫</w:t>
            </w:r>
            <w:r>
              <w:rPr>
                <w:rFonts w:hint="eastAsia" w:ascii="宋体" w:hAnsi="宋体" w:eastAsia="宋体" w:cs="宋体"/>
                <w:color w:val="auto"/>
                <w:spacing w:val="0"/>
                <w:w w:val="100"/>
                <w:kern w:val="0"/>
                <w:position w:val="0"/>
                <w:sz w:val="24"/>
                <w:highlight w:val="none"/>
              </w:rPr>
              <w:t>竹院支行</w:t>
            </w:r>
          </w:p>
          <w:p w14:paraId="6121C971">
            <w:pPr>
              <w:jc w:val="left"/>
              <w:rPr>
                <w:rFonts w:hint="eastAsia" w:ascii="宋体" w:hAnsi="宋体" w:eastAsia="宋体" w:cs="宋体"/>
                <w:color w:val="auto"/>
                <w:spacing w:val="0"/>
                <w:w w:val="100"/>
                <w:kern w:val="0"/>
                <w:position w:val="0"/>
                <w:sz w:val="24"/>
                <w:highlight w:val="none"/>
              </w:rPr>
            </w:pPr>
            <w:r>
              <w:rPr>
                <w:rFonts w:hint="eastAsia" w:ascii="宋体" w:hAnsi="宋体" w:eastAsia="宋体" w:cs="宋体"/>
                <w:color w:val="auto"/>
                <w:spacing w:val="0"/>
                <w:w w:val="100"/>
                <w:kern w:val="0"/>
                <w:position w:val="0"/>
                <w:sz w:val="24"/>
                <w:highlight w:val="none"/>
              </w:rPr>
              <w:t>账号：9126 0078 8011 0000 0268</w:t>
            </w:r>
          </w:p>
          <w:p w14:paraId="6924BC83">
            <w:pPr>
              <w:jc w:val="left"/>
              <w:rPr>
                <w:rFonts w:hint="eastAsia" w:ascii="宋体" w:hAnsi="宋体" w:eastAsia="宋体" w:cs="宋体"/>
                <w:color w:val="auto"/>
                <w:sz w:val="24"/>
                <w:highlight w:val="none"/>
              </w:rPr>
            </w:pPr>
            <w:r>
              <w:rPr>
                <w:rFonts w:hint="eastAsia" w:ascii="宋体" w:hAnsi="宋体" w:eastAsia="宋体" w:cs="宋体"/>
                <w:color w:val="auto"/>
                <w:spacing w:val="0"/>
                <w:w w:val="100"/>
                <w:kern w:val="0"/>
                <w:position w:val="0"/>
                <w:sz w:val="24"/>
                <w:highlight w:val="none"/>
              </w:rPr>
              <w:t>注：投标保证金</w:t>
            </w:r>
            <w:r>
              <w:rPr>
                <w:rFonts w:hint="eastAsia" w:ascii="宋体" w:hAnsi="宋体" w:eastAsia="宋体" w:cs="宋体"/>
                <w:color w:val="auto"/>
                <w:spacing w:val="0"/>
                <w:w w:val="100"/>
                <w:kern w:val="0"/>
                <w:position w:val="0"/>
                <w:sz w:val="24"/>
                <w:highlight w:val="none"/>
                <w:lang w:eastAsia="zh-CN"/>
              </w:rPr>
              <w:t>缴纳</w:t>
            </w:r>
            <w:r>
              <w:rPr>
                <w:rFonts w:hint="eastAsia" w:ascii="宋体" w:hAnsi="宋体" w:eastAsia="宋体" w:cs="宋体"/>
                <w:color w:val="auto"/>
                <w:spacing w:val="0"/>
                <w:w w:val="100"/>
                <w:kern w:val="0"/>
                <w:position w:val="0"/>
                <w:sz w:val="24"/>
                <w:highlight w:val="none"/>
              </w:rPr>
              <w:t>人必须与投标人名称保持一致；供应商如计划参与多个采购包的投标</w:t>
            </w:r>
            <w:r>
              <w:rPr>
                <w:rFonts w:hint="eastAsia" w:ascii="宋体" w:hAnsi="宋体" w:eastAsia="宋体" w:cs="宋体"/>
                <w:color w:val="auto"/>
                <w:spacing w:val="0"/>
                <w:w w:val="100"/>
                <w:kern w:val="0"/>
                <w:position w:val="0"/>
                <w:sz w:val="24"/>
                <w:highlight w:val="none"/>
                <w:lang w:eastAsia="zh-CN"/>
              </w:rPr>
              <w:t>，</w:t>
            </w:r>
            <w:r>
              <w:rPr>
                <w:rFonts w:hint="eastAsia" w:ascii="宋体" w:hAnsi="宋体" w:eastAsia="宋体" w:cs="宋体"/>
                <w:color w:val="auto"/>
                <w:spacing w:val="0"/>
                <w:w w:val="100"/>
                <w:kern w:val="0"/>
                <w:position w:val="0"/>
                <w:sz w:val="24"/>
                <w:highlight w:val="none"/>
                <w:lang w:val="en-US" w:eastAsia="zh-CN"/>
              </w:rPr>
              <w:t>需按采购包分别缴纳保证金。</w:t>
            </w:r>
            <w:r>
              <w:rPr>
                <w:rFonts w:hint="eastAsia" w:ascii="宋体" w:hAnsi="宋体" w:eastAsia="宋体" w:cs="宋体"/>
                <w:color w:val="auto"/>
                <w:spacing w:val="0"/>
                <w:w w:val="100"/>
                <w:kern w:val="0"/>
                <w:position w:val="0"/>
                <w:sz w:val="24"/>
                <w:highlight w:val="none"/>
              </w:rPr>
              <w:t>汇款备注</w:t>
            </w:r>
            <w:r>
              <w:rPr>
                <w:rFonts w:hint="eastAsia" w:ascii="宋体" w:hAnsi="宋体" w:eastAsia="宋体" w:cs="宋体"/>
                <w:color w:val="auto"/>
                <w:spacing w:val="0"/>
                <w:w w:val="100"/>
                <w:kern w:val="0"/>
                <w:position w:val="0"/>
                <w:sz w:val="24"/>
                <w:highlight w:val="none"/>
                <w:lang w:val="en-US" w:eastAsia="zh-CN"/>
              </w:rPr>
              <w:t>可</w:t>
            </w:r>
            <w:r>
              <w:rPr>
                <w:rFonts w:hint="eastAsia" w:ascii="宋体" w:hAnsi="宋体" w:eastAsia="宋体" w:cs="宋体"/>
                <w:color w:val="auto"/>
                <w:spacing w:val="0"/>
                <w:w w:val="100"/>
                <w:kern w:val="0"/>
                <w:position w:val="0"/>
                <w:sz w:val="24"/>
                <w:highlight w:val="none"/>
              </w:rPr>
              <w:t>填写项目编</w:t>
            </w:r>
            <w:r>
              <w:rPr>
                <w:rFonts w:hint="eastAsia" w:ascii="宋体" w:hAnsi="宋体" w:eastAsia="宋体" w:cs="宋体"/>
                <w:color w:val="auto"/>
                <w:spacing w:val="0"/>
                <w:w w:val="100"/>
                <w:kern w:val="0"/>
                <w:position w:val="0"/>
                <w:sz w:val="24"/>
                <w:highlight w:val="none"/>
                <w:lang w:val="en-US" w:eastAsia="zh-CN"/>
              </w:rPr>
              <w:t>/包</w:t>
            </w:r>
            <w:r>
              <w:rPr>
                <w:rFonts w:hint="eastAsia" w:ascii="宋体" w:hAnsi="宋体" w:eastAsia="宋体" w:cs="宋体"/>
                <w:color w:val="auto"/>
                <w:spacing w:val="0"/>
                <w:w w:val="100"/>
                <w:kern w:val="0"/>
                <w:position w:val="0"/>
                <w:sz w:val="24"/>
                <w:highlight w:val="none"/>
              </w:rPr>
              <w:t>号。</w:t>
            </w:r>
          </w:p>
        </w:tc>
      </w:tr>
      <w:tr w14:paraId="454B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3B09C1">
            <w:pPr>
              <w:pStyle w:val="24"/>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12.8.2</w:t>
            </w:r>
          </w:p>
        </w:tc>
        <w:tc>
          <w:tcPr>
            <w:tcW w:w="1701" w:type="dxa"/>
            <w:vMerge w:val="continue"/>
            <w:vAlign w:val="center"/>
          </w:tcPr>
          <w:p w14:paraId="37373D42">
            <w:pPr>
              <w:jc w:val="center"/>
              <w:rPr>
                <w:rFonts w:hint="eastAsia" w:ascii="宋体" w:hAnsi="宋体" w:eastAsia="宋体" w:cs="宋体"/>
                <w:color w:val="auto"/>
                <w:sz w:val="24"/>
                <w:highlight w:val="none"/>
              </w:rPr>
            </w:pPr>
          </w:p>
        </w:tc>
        <w:tc>
          <w:tcPr>
            <w:tcW w:w="7540" w:type="dxa"/>
            <w:vAlign w:val="center"/>
          </w:tcPr>
          <w:p w14:paraId="35D4E437">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投标保证金可以不予退还的其他情形：</w:t>
            </w:r>
          </w:p>
          <w:p w14:paraId="56EB14FD">
            <w:pPr>
              <w:jc w:val="left"/>
              <w:rPr>
                <w:rFonts w:hint="eastAsia" w:ascii="宋体" w:hAnsi="宋体" w:eastAsia="宋体" w:cs="宋体"/>
                <w:color w:val="auto"/>
                <w:sz w:val="24"/>
                <w:highlight w:val="none"/>
              </w:rPr>
            </w:pPr>
            <w:r>
              <w:rPr>
                <w:rFonts w:hint="eastAsia" w:ascii="宋体" w:hAnsi="宋体" w:eastAsia="宋体" w:cs="宋体"/>
                <w:color w:val="auto"/>
                <w:spacing w:val="0"/>
                <w:w w:val="100"/>
                <w:position w:val="0"/>
                <w:sz w:val="24"/>
                <w:highlight w:val="none"/>
              </w:rPr>
              <w:t>■</w:t>
            </w:r>
            <w:r>
              <w:rPr>
                <w:rFonts w:hint="eastAsia" w:ascii="宋体" w:hAnsi="宋体" w:eastAsia="宋体" w:cs="宋体"/>
                <w:color w:val="auto"/>
                <w:sz w:val="24"/>
                <w:highlight w:val="none"/>
              </w:rPr>
              <w:t>无</w:t>
            </w:r>
          </w:p>
          <w:p w14:paraId="50B3A1CF">
            <w:pPr>
              <w:pStyle w:val="24"/>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有，具体情形：_____。</w:t>
            </w:r>
          </w:p>
        </w:tc>
      </w:tr>
      <w:tr w14:paraId="23CB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481FFB">
            <w:pPr>
              <w:pStyle w:val="24"/>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1701" w:type="dxa"/>
            <w:vAlign w:val="center"/>
          </w:tcPr>
          <w:p w14:paraId="59E9492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7540" w:type="dxa"/>
            <w:vAlign w:val="center"/>
          </w:tcPr>
          <w:p w14:paraId="28A8076E">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自提交投标文件的截止之日起算</w:t>
            </w:r>
            <w:r>
              <w:rPr>
                <w:rFonts w:hint="eastAsia" w:ascii="宋体" w:hAnsi="宋体" w:eastAsia="宋体" w:cs="宋体"/>
                <w:color w:val="auto"/>
                <w:sz w:val="24"/>
                <w:highlight w:val="none"/>
                <w:u w:val="single"/>
                <w:lang w:val="en-US" w:eastAsia="zh-CN"/>
              </w:rPr>
              <w:t xml:space="preserve"> 90 </w:t>
            </w:r>
            <w:r>
              <w:rPr>
                <w:rFonts w:hint="eastAsia" w:ascii="宋体" w:hAnsi="宋体" w:eastAsia="宋体" w:cs="宋体"/>
                <w:color w:val="auto"/>
                <w:sz w:val="24"/>
                <w:highlight w:val="none"/>
              </w:rPr>
              <w:t>日历天。</w:t>
            </w:r>
          </w:p>
        </w:tc>
      </w:tr>
      <w:tr w14:paraId="203A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9295EA">
            <w:pPr>
              <w:pStyle w:val="24"/>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p>
        </w:tc>
        <w:tc>
          <w:tcPr>
            <w:tcW w:w="1701" w:type="dxa"/>
            <w:vAlign w:val="center"/>
          </w:tcPr>
          <w:p w14:paraId="0938D23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解密时间</w:t>
            </w:r>
          </w:p>
        </w:tc>
        <w:tc>
          <w:tcPr>
            <w:tcW w:w="7540" w:type="dxa"/>
            <w:vAlign w:val="center"/>
          </w:tcPr>
          <w:p w14:paraId="6A92D306">
            <w:pPr>
              <w:jc w:val="left"/>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lang w:eastAsia="zh-CN"/>
              </w:rPr>
              <w:t>解密时间：30 分钟</w:t>
            </w:r>
          </w:p>
        </w:tc>
      </w:tr>
      <w:tr w14:paraId="7163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E09557">
            <w:pPr>
              <w:pStyle w:val="24"/>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701" w:type="dxa"/>
            <w:vAlign w:val="center"/>
          </w:tcPr>
          <w:p w14:paraId="6CFCC10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确定中标人</w:t>
            </w:r>
          </w:p>
        </w:tc>
        <w:tc>
          <w:tcPr>
            <w:tcW w:w="7540" w:type="dxa"/>
            <w:vAlign w:val="center"/>
          </w:tcPr>
          <w:p w14:paraId="3897B4B8">
            <w:pPr>
              <w:pStyle w:val="24"/>
              <w:adjustRightInd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中标候选人并列的，采购人是否委托评标委员会确定中标人：</w:t>
            </w:r>
          </w:p>
          <w:p w14:paraId="26A2AFB4">
            <w:pPr>
              <w:pStyle w:val="24"/>
              <w:adjustRightInd w:val="0"/>
              <w:snapToGrid w:val="0"/>
              <w:rPr>
                <w:rFonts w:hint="eastAsia" w:ascii="宋体" w:hAnsi="宋体" w:eastAsia="宋体" w:cs="宋体"/>
                <w:color w:val="auto"/>
                <w:sz w:val="24"/>
                <w:highlight w:val="none"/>
              </w:rPr>
            </w:pPr>
            <w:r>
              <w:rPr>
                <w:rFonts w:hint="eastAsia" w:ascii="宋体" w:hAnsi="宋体" w:eastAsia="宋体" w:cs="宋体"/>
                <w:color w:val="auto"/>
                <w:spacing w:val="0"/>
                <w:w w:val="100"/>
                <w:kern w:val="2"/>
                <w:position w:val="0"/>
                <w:sz w:val="24"/>
                <w:szCs w:val="20"/>
                <w:highlight w:val="none"/>
                <w:lang w:val="en-US" w:eastAsia="zh-CN" w:bidi="ar-SA"/>
              </w:rPr>
              <w:t>■</w:t>
            </w:r>
            <w:r>
              <w:rPr>
                <w:rFonts w:hint="eastAsia" w:ascii="宋体" w:hAnsi="宋体" w:eastAsia="宋体" w:cs="宋体"/>
                <w:color w:val="auto"/>
                <w:sz w:val="24"/>
                <w:highlight w:val="none"/>
              </w:rPr>
              <w:t>否</w:t>
            </w:r>
          </w:p>
          <w:p w14:paraId="17FA64A5">
            <w:pPr>
              <w:pStyle w:val="24"/>
              <w:adjustRightInd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是</w:t>
            </w:r>
          </w:p>
          <w:p w14:paraId="5747CF25">
            <w:pPr>
              <w:pStyle w:val="24"/>
              <w:adjustRightInd w:val="0"/>
              <w:snapToGrid w:val="0"/>
              <w:rPr>
                <w:rFonts w:hint="eastAsia" w:ascii="宋体" w:hAnsi="宋体" w:eastAsia="宋体" w:cs="宋体"/>
                <w:color w:val="auto"/>
                <w:highlight w:val="none"/>
              </w:rPr>
            </w:pPr>
            <w:r>
              <w:rPr>
                <w:rFonts w:hint="eastAsia" w:ascii="宋体" w:hAnsi="宋体" w:eastAsia="宋体" w:cs="宋体"/>
                <w:color w:val="auto"/>
                <w:sz w:val="24"/>
                <w:highlight w:val="none"/>
              </w:rPr>
              <w:t>中标候选人并列的，按照以下方式确定中标人：</w:t>
            </w:r>
            <w:r>
              <w:rPr>
                <w:rFonts w:hint="eastAsia" w:ascii="宋体" w:hAnsi="宋体" w:eastAsia="宋体" w:cs="宋体"/>
                <w:color w:val="auto"/>
                <w:highlight w:val="none"/>
              </w:rPr>
              <w:t xml:space="preserve"> </w:t>
            </w:r>
          </w:p>
          <w:p w14:paraId="64E7AEA3">
            <w:pPr>
              <w:pStyle w:val="24"/>
              <w:adjustRightInd w:val="0"/>
              <w:snapToGrid w:val="0"/>
              <w:rPr>
                <w:rFonts w:hint="eastAsia" w:ascii="宋体" w:hAnsi="宋体" w:eastAsia="宋体" w:cs="宋体"/>
                <w:color w:val="auto"/>
                <w:sz w:val="24"/>
                <w:highlight w:val="none"/>
              </w:rPr>
            </w:pPr>
            <w:r>
              <w:rPr>
                <w:rFonts w:hint="eastAsia" w:ascii="宋体" w:hAnsi="宋体" w:eastAsia="宋体" w:cs="宋体"/>
                <w:color w:val="auto"/>
                <w:spacing w:val="0"/>
                <w:w w:val="100"/>
                <w:kern w:val="2"/>
                <w:position w:val="0"/>
                <w:sz w:val="24"/>
                <w:szCs w:val="20"/>
                <w:highlight w:val="none"/>
                <w:lang w:val="en-US" w:eastAsia="zh-CN" w:bidi="ar-SA"/>
              </w:rPr>
              <w:t>■</w:t>
            </w:r>
            <w:r>
              <w:rPr>
                <w:rFonts w:hint="eastAsia" w:ascii="宋体" w:hAnsi="宋体" w:eastAsia="宋体" w:cs="宋体"/>
                <w:color w:val="auto"/>
                <w:sz w:val="24"/>
                <w:highlight w:val="none"/>
              </w:rPr>
              <w:t>得分且投标报价均相同的，以技术部分得分高者为中标人</w:t>
            </w:r>
          </w:p>
          <w:p w14:paraId="732D9EFA">
            <w:pPr>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随机抽取</w:t>
            </w:r>
          </w:p>
        </w:tc>
      </w:tr>
      <w:tr w14:paraId="2D1A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6EB14F">
            <w:pPr>
              <w:pStyle w:val="24"/>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25.5</w:t>
            </w:r>
          </w:p>
        </w:tc>
        <w:tc>
          <w:tcPr>
            <w:tcW w:w="1701" w:type="dxa"/>
            <w:vAlign w:val="center"/>
          </w:tcPr>
          <w:p w14:paraId="22B59A7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分包</w:t>
            </w:r>
          </w:p>
        </w:tc>
        <w:tc>
          <w:tcPr>
            <w:tcW w:w="7540" w:type="dxa"/>
            <w:vAlign w:val="center"/>
          </w:tcPr>
          <w:p w14:paraId="6F417DDE">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本项目的非主体、非关键性工作是否允许分包： </w:t>
            </w:r>
          </w:p>
          <w:p w14:paraId="6FE8FBE2">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不允许</w:t>
            </w:r>
          </w:p>
          <w:p w14:paraId="65E1375D">
            <w:pPr>
              <w:jc w:val="left"/>
              <w:rPr>
                <w:rFonts w:hint="eastAsia" w:ascii="宋体" w:hAnsi="宋体" w:eastAsia="宋体" w:cs="宋体"/>
                <w:color w:val="auto"/>
                <w:sz w:val="24"/>
                <w:highlight w:val="none"/>
              </w:rPr>
            </w:pPr>
            <w:r>
              <w:rPr>
                <w:rFonts w:hint="eastAsia" w:ascii="宋体" w:hAnsi="宋体" w:eastAsia="宋体" w:cs="宋体"/>
                <w:color w:val="auto"/>
                <w:spacing w:val="0"/>
                <w:w w:val="100"/>
                <w:kern w:val="2"/>
                <w:position w:val="0"/>
                <w:sz w:val="24"/>
                <w:szCs w:val="20"/>
                <w:highlight w:val="none"/>
                <w:lang w:val="en-US" w:eastAsia="zh-CN" w:bidi="ar-SA"/>
              </w:rPr>
              <w:t>■</w:t>
            </w:r>
            <w:r>
              <w:rPr>
                <w:rFonts w:hint="eastAsia" w:ascii="宋体" w:hAnsi="宋体" w:eastAsia="宋体" w:cs="宋体"/>
                <w:color w:val="auto"/>
                <w:sz w:val="24"/>
                <w:highlight w:val="none"/>
              </w:rPr>
              <w:t>允许，具体要求：</w:t>
            </w:r>
          </w:p>
          <w:p w14:paraId="18448EE7">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（1）可以分包履行的具体内容：</w:t>
            </w:r>
            <w:r>
              <w:rPr>
                <w:rFonts w:hint="eastAsia" w:ascii="宋体" w:hAnsi="宋体" w:cs="宋体"/>
                <w:color w:val="auto"/>
                <w:sz w:val="24"/>
                <w:highlight w:val="none"/>
                <w:u w:val="single"/>
                <w:lang w:val="en-US" w:eastAsia="zh-CN"/>
              </w:rPr>
              <w:t>无要求</w:t>
            </w:r>
            <w:r>
              <w:rPr>
                <w:rFonts w:hint="eastAsia" w:ascii="宋体" w:hAnsi="宋体" w:eastAsia="宋体" w:cs="宋体"/>
                <w:color w:val="auto"/>
                <w:sz w:val="24"/>
                <w:highlight w:val="none"/>
              </w:rPr>
              <w:t>；</w:t>
            </w:r>
          </w:p>
          <w:p w14:paraId="3906A7E2">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（2）允许分包的金额或者比例：</w:t>
            </w:r>
            <w:r>
              <w:rPr>
                <w:rFonts w:hint="eastAsia" w:ascii="宋体" w:hAnsi="宋体" w:eastAsia="宋体" w:cs="宋体"/>
                <w:sz w:val="24"/>
                <w:szCs w:val="24"/>
                <w:highlight w:val="none"/>
                <w:lang w:val="en-US" w:eastAsia="zh-CN"/>
              </w:rPr>
              <w:t>本项目两包均</w:t>
            </w:r>
            <w:r>
              <w:rPr>
                <w:rFonts w:hint="eastAsia" w:ascii="宋体" w:hAnsi="宋体" w:eastAsia="宋体" w:cs="宋体"/>
                <w:sz w:val="24"/>
                <w:szCs w:val="24"/>
                <w:highlight w:val="none"/>
              </w:rPr>
              <w:t>通过合同分包执行中小企业扶持政策，预留中小企业份额应占总金额不低于51.57%，其中预留小微企业份额占预留中小企业份额不低于</w:t>
            </w:r>
            <w:r>
              <w:rPr>
                <w:rFonts w:hint="eastAsia" w:ascii="宋体" w:hAnsi="宋体" w:cs="宋体"/>
                <w:sz w:val="24"/>
                <w:szCs w:val="24"/>
                <w:highlight w:val="none"/>
                <w:lang w:val="en-US" w:eastAsia="zh-CN"/>
              </w:rPr>
              <w:t>100</w:t>
            </w:r>
            <w:r>
              <w:rPr>
                <w:rFonts w:hint="eastAsia" w:ascii="宋体" w:hAnsi="宋体" w:eastAsia="宋体" w:cs="宋体"/>
                <w:sz w:val="24"/>
                <w:szCs w:val="24"/>
                <w:highlight w:val="none"/>
              </w:rPr>
              <w:t>%。以上预留份额为最低要求。预留份额通过要求合同分包措施进行，即供应商分包给一家或者多家</w:t>
            </w:r>
            <w:r>
              <w:rPr>
                <w:rFonts w:hint="eastAsia" w:ascii="宋体" w:hAnsi="宋体" w:cs="宋体"/>
                <w:sz w:val="24"/>
                <w:szCs w:val="24"/>
                <w:highlight w:val="none"/>
                <w:lang w:val="en-US" w:eastAsia="zh-CN"/>
              </w:rPr>
              <w:t>中</w:t>
            </w:r>
            <w:r>
              <w:rPr>
                <w:rFonts w:hint="eastAsia" w:ascii="宋体" w:hAnsi="宋体" w:eastAsia="宋体" w:cs="宋体"/>
                <w:sz w:val="24"/>
                <w:szCs w:val="24"/>
                <w:highlight w:val="none"/>
              </w:rPr>
              <w:t>小微企业的方式，接受分包的</w:t>
            </w:r>
            <w:r>
              <w:rPr>
                <w:rFonts w:hint="eastAsia" w:ascii="宋体" w:hAnsi="宋体" w:cs="宋体"/>
                <w:sz w:val="24"/>
                <w:szCs w:val="24"/>
                <w:highlight w:val="none"/>
                <w:lang w:val="en-US" w:eastAsia="zh-CN"/>
              </w:rPr>
              <w:t>中</w:t>
            </w:r>
            <w:r>
              <w:rPr>
                <w:rFonts w:hint="eastAsia" w:ascii="宋体" w:hAnsi="宋体" w:eastAsia="宋体" w:cs="宋体"/>
                <w:sz w:val="24"/>
                <w:szCs w:val="24"/>
                <w:highlight w:val="none"/>
              </w:rPr>
              <w:t>小微企业与分包企业之间不得存在直接控股、管理关系。</w:t>
            </w:r>
          </w:p>
          <w:p w14:paraId="205DDCF4">
            <w:pPr>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（3）其他要求：__</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___。</w:t>
            </w:r>
          </w:p>
        </w:tc>
      </w:tr>
      <w:tr w14:paraId="1E6B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E53762">
            <w:pPr>
              <w:pStyle w:val="24"/>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25.6</w:t>
            </w:r>
          </w:p>
        </w:tc>
        <w:tc>
          <w:tcPr>
            <w:tcW w:w="1701" w:type="dxa"/>
            <w:vAlign w:val="center"/>
          </w:tcPr>
          <w:p w14:paraId="7980837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政采贷</w:t>
            </w:r>
          </w:p>
        </w:tc>
        <w:tc>
          <w:tcPr>
            <w:tcW w:w="7540" w:type="dxa"/>
            <w:vAlign w:val="center"/>
          </w:tcPr>
          <w:p w14:paraId="5F66A432">
            <w:pPr>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D29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C1948F">
            <w:pPr>
              <w:pStyle w:val="24"/>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26.1.1</w:t>
            </w:r>
          </w:p>
        </w:tc>
        <w:tc>
          <w:tcPr>
            <w:tcW w:w="1701" w:type="dxa"/>
            <w:vAlign w:val="center"/>
          </w:tcPr>
          <w:p w14:paraId="404DCC7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询问</w:t>
            </w:r>
          </w:p>
        </w:tc>
        <w:tc>
          <w:tcPr>
            <w:tcW w:w="7540" w:type="dxa"/>
            <w:vAlign w:val="center"/>
          </w:tcPr>
          <w:p w14:paraId="3C23DEC7">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询问提出形式：</w:t>
            </w:r>
            <w:r>
              <w:rPr>
                <w:rFonts w:hint="eastAsia" w:ascii="宋体" w:hAnsi="宋体" w:eastAsia="宋体" w:cs="宋体"/>
                <w:color w:val="auto"/>
                <w:sz w:val="24"/>
                <w:highlight w:val="none"/>
                <w:u w:val="single"/>
              </w:rPr>
              <w:t>书面形式</w:t>
            </w:r>
          </w:p>
        </w:tc>
      </w:tr>
      <w:tr w14:paraId="009C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600BD0E">
            <w:pPr>
              <w:pStyle w:val="24"/>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w:t>
            </w:r>
          </w:p>
        </w:tc>
        <w:tc>
          <w:tcPr>
            <w:tcW w:w="1701" w:type="dxa"/>
            <w:vAlign w:val="center"/>
          </w:tcPr>
          <w:p w14:paraId="7C5B98D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7540" w:type="dxa"/>
            <w:vAlign w:val="center"/>
          </w:tcPr>
          <w:p w14:paraId="7440587A">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接收询问和质疑的联系方式</w:t>
            </w:r>
          </w:p>
          <w:p w14:paraId="3D178998">
            <w:pPr>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联系部门：北京旌开咨询有限公司；</w:t>
            </w:r>
          </w:p>
          <w:p w14:paraId="4B0663E2">
            <w:pPr>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r>
              <w:rPr>
                <w:rFonts w:hint="eastAsia" w:ascii="宋体" w:hAnsi="宋体" w:eastAsia="宋体" w:cs="宋体"/>
                <w:color w:val="auto"/>
                <w:kern w:val="0"/>
                <w:sz w:val="24"/>
                <w:highlight w:val="none"/>
                <w:lang w:eastAsia="zh-CN"/>
              </w:rPr>
              <w:t>010-88501340-823</w:t>
            </w:r>
            <w:r>
              <w:rPr>
                <w:rFonts w:hint="eastAsia" w:ascii="宋体" w:hAnsi="宋体" w:eastAsia="宋体" w:cs="宋体"/>
                <w:color w:val="auto"/>
                <w:kern w:val="0"/>
                <w:sz w:val="24"/>
                <w:highlight w:val="none"/>
              </w:rPr>
              <w:t>；</w:t>
            </w:r>
          </w:p>
          <w:p w14:paraId="37BD3EE1">
            <w:pPr>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通讯地址：北京市海淀区中国卫星通信大厦B座26层。</w:t>
            </w:r>
          </w:p>
        </w:tc>
      </w:tr>
      <w:tr w14:paraId="0C1F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7B36ECD">
            <w:pPr>
              <w:pStyle w:val="24"/>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717297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171978EF">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收费对象：</w:t>
            </w:r>
          </w:p>
          <w:p w14:paraId="507E47C1">
            <w:pPr>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□采购人</w:t>
            </w:r>
          </w:p>
          <w:p w14:paraId="50D2A7C5">
            <w:pPr>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中标人</w:t>
            </w:r>
          </w:p>
          <w:p w14:paraId="601C62A0">
            <w:pPr>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收费标准：</w:t>
            </w:r>
            <w:r>
              <w:rPr>
                <w:rFonts w:hint="eastAsia" w:ascii="宋体" w:hAnsi="宋体" w:eastAsia="宋体" w:cs="宋体"/>
                <w:color w:val="auto"/>
                <w:sz w:val="24"/>
                <w:highlight w:val="none"/>
              </w:rPr>
              <w:t>采购代理机构参考发改价格〔2011〕534号文件相关指示向中标方收取本项目的招标代理服务费；</w:t>
            </w:r>
          </w:p>
          <w:p w14:paraId="1F911CFD">
            <w:pPr>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缴纳时间：领取中标通知书时一次性支付。</w:t>
            </w:r>
          </w:p>
        </w:tc>
      </w:tr>
    </w:tbl>
    <w:p w14:paraId="62329231">
      <w:pPr>
        <w:rPr>
          <w:rFonts w:hint="eastAsia" w:ascii="宋体" w:hAnsi="宋体" w:eastAsia="宋体" w:cs="宋体"/>
          <w:b/>
          <w:color w:val="auto"/>
          <w:sz w:val="28"/>
          <w:szCs w:val="28"/>
          <w:highlight w:val="none"/>
        </w:rPr>
      </w:pPr>
      <w:bookmarkStart w:id="6" w:name="_Toc150480755"/>
      <w:bookmarkStart w:id="7" w:name="_Toc305158859"/>
      <w:bookmarkStart w:id="8" w:name="_Toc305158785"/>
      <w:bookmarkStart w:id="9" w:name="_Toc226337213"/>
      <w:bookmarkStart w:id="10" w:name="_Toc142311019"/>
      <w:bookmarkStart w:id="11" w:name="_Toc150774722"/>
      <w:bookmarkStart w:id="12" w:name="_Toc353873662"/>
      <w:bookmarkStart w:id="13" w:name="_Toc265228355"/>
      <w:bookmarkStart w:id="14" w:name="_Toc353825542"/>
      <w:bookmarkStart w:id="15" w:name="_Toc264969207"/>
      <w:bookmarkStart w:id="16" w:name="_Toc226965790"/>
      <w:bookmarkStart w:id="17" w:name="_Toc127151517"/>
      <w:bookmarkStart w:id="18" w:name="_Toc195842882"/>
      <w:bookmarkStart w:id="19" w:name="_Toc353873932"/>
      <w:r>
        <w:rPr>
          <w:rFonts w:hint="eastAsia" w:ascii="宋体" w:hAnsi="宋体" w:eastAsia="宋体" w:cs="宋体"/>
          <w:b/>
          <w:color w:val="auto"/>
          <w:sz w:val="28"/>
          <w:szCs w:val="28"/>
          <w:highlight w:val="none"/>
        </w:rPr>
        <w:br w:type="page"/>
      </w:r>
    </w:p>
    <w:p w14:paraId="7E01CBA9">
      <w:pPr>
        <w:spacing w:before="240" w:beforeLines="100" w:after="240" w:afterLines="100"/>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投标人须知</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632BB28F">
      <w:pPr>
        <w:keepLines/>
        <w:widowControl w:val="0"/>
        <w:numPr>
          <w:ilvl w:val="0"/>
          <w:numId w:val="9"/>
        </w:numPr>
        <w:tabs>
          <w:tab w:val="left" w:pos="0"/>
          <w:tab w:val="left" w:pos="420"/>
        </w:tabs>
        <w:autoSpaceDE w:val="0"/>
        <w:autoSpaceDN w:val="0"/>
        <w:adjustRightInd w:val="0"/>
        <w:spacing w:before="120" w:after="120" w:line="300" w:lineRule="auto"/>
        <w:ind w:left="0" w:firstLine="420"/>
        <w:jc w:val="center"/>
        <w:outlineLvl w:val="1"/>
        <w:rPr>
          <w:rFonts w:hint="eastAsia" w:ascii="宋体" w:hAnsi="宋体" w:eastAsia="宋体" w:cs="宋体"/>
          <w:b/>
          <w:bCs/>
          <w:color w:val="auto"/>
          <w:spacing w:val="0"/>
          <w:w w:val="100"/>
          <w:kern w:val="0"/>
          <w:position w:val="0"/>
          <w:sz w:val="28"/>
          <w:szCs w:val="28"/>
          <w:highlight w:val="none"/>
          <w:lang w:val="en-US" w:eastAsia="zh-CN" w:bidi="ar-SA"/>
        </w:rPr>
      </w:pPr>
      <w:r>
        <w:rPr>
          <w:rFonts w:hint="eastAsia" w:ascii="宋体" w:hAnsi="宋体" w:eastAsia="宋体" w:cs="宋体"/>
          <w:b/>
          <w:bCs/>
          <w:color w:val="auto"/>
          <w:spacing w:val="0"/>
          <w:w w:val="100"/>
          <w:kern w:val="0"/>
          <w:position w:val="0"/>
          <w:sz w:val="28"/>
          <w:szCs w:val="28"/>
          <w:highlight w:val="none"/>
          <w:lang w:val="en-US" w:eastAsia="zh-CN" w:bidi="ar-SA"/>
        </w:rPr>
        <w:tab/>
      </w:r>
      <w:r>
        <w:rPr>
          <w:rFonts w:hint="eastAsia" w:ascii="宋体" w:hAnsi="宋体" w:eastAsia="宋体" w:cs="宋体"/>
          <w:b/>
          <w:bCs/>
          <w:color w:val="auto"/>
          <w:spacing w:val="0"/>
          <w:w w:val="100"/>
          <w:kern w:val="0"/>
          <w:position w:val="0"/>
          <w:sz w:val="28"/>
          <w:szCs w:val="28"/>
          <w:highlight w:val="none"/>
          <w:lang w:val="en-US" w:eastAsia="zh-CN" w:bidi="ar-SA"/>
        </w:rPr>
        <w:t>说  明</w:t>
      </w:r>
      <w:r>
        <w:rPr>
          <w:rFonts w:hint="eastAsia" w:ascii="宋体" w:hAnsi="宋体" w:eastAsia="宋体" w:cs="宋体"/>
          <w:b/>
          <w:bCs/>
          <w:color w:val="auto"/>
          <w:spacing w:val="0"/>
          <w:w w:val="100"/>
          <w:kern w:val="0"/>
          <w:position w:val="0"/>
          <w:sz w:val="28"/>
          <w:szCs w:val="28"/>
          <w:highlight w:val="none"/>
          <w:lang w:val="en-US" w:eastAsia="zh-CN" w:bidi="ar-SA"/>
        </w:rPr>
        <w:tab/>
      </w:r>
    </w:p>
    <w:p w14:paraId="5F113B2C">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采购人、采购代理机构、投标人、联合体</w:t>
      </w:r>
    </w:p>
    <w:p w14:paraId="73C82768">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采购人、采购代理机构：指依法进行政府采购的国家机关、事业单位、团体组织，及其委托的采购代理机构。本项目采购人、采购代理机构见第一章《投标邀请》。</w:t>
      </w:r>
    </w:p>
    <w:p w14:paraId="4FC13792">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投标人（也称“供应商”、“申请人”）：指向采购人提供货物、工程或者服务的法人、其他组织或者自然人。</w:t>
      </w:r>
    </w:p>
    <w:p w14:paraId="46392AE8">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联合体：指两个以上的自然人、法人或者其他组织组成一个联合体，以一个供应商的身份共同参加政府采购。</w:t>
      </w:r>
    </w:p>
    <w:p w14:paraId="248794C3">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资金来源、项目属性、科研仪器设备采购、核心产品</w:t>
      </w:r>
    </w:p>
    <w:p w14:paraId="77C58F16">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资金来源为财政性资金和/或本项目采购中无法与财政性资金分割的非财政性资金。</w:t>
      </w:r>
    </w:p>
    <w:p w14:paraId="5E36DC13">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项目属性见《投标人须知资料表》。</w:t>
      </w:r>
    </w:p>
    <w:p w14:paraId="32159647">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是否属于科研仪器设备采购见《投标人须知资料表》。</w:t>
      </w:r>
    </w:p>
    <w:p w14:paraId="3197A6F3">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核心产品见《投标人须知资料表》。</w:t>
      </w:r>
    </w:p>
    <w:p w14:paraId="3B66427A">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现场考察、开标前答疑会</w:t>
      </w:r>
    </w:p>
    <w:p w14:paraId="6E361BF0">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若《投标人须知资料表》中规定了组织现场考察、召开开标前答疑会，则投标人应按要求在规定的时间和地点参加。</w:t>
      </w:r>
    </w:p>
    <w:p w14:paraId="36767005">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由于未参加现场考察或开标前答疑会而导致对项目实际情况不了解，影响投标文件编制、投标报价准确性、综合因素响应不全面等问题的，由投标人自行承担不利评审后果。</w:t>
      </w:r>
    </w:p>
    <w:p w14:paraId="46A48091">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样品</w:t>
      </w:r>
    </w:p>
    <w:p w14:paraId="169CB511">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本项目是否要求投标人提供样品，以及样品制作的标准和要求、是否需要随样品提交相关检测报告、样品的递交与退还等要求见《投标人须知资料表》。</w:t>
      </w:r>
    </w:p>
    <w:p w14:paraId="5F67F568">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样品的评审方法以及评审标准等内容见第四章《评标程序、评标方法和评标标准》。</w:t>
      </w:r>
    </w:p>
    <w:p w14:paraId="52A106A9">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政府采购政策（包括但不限于下列具体政策要求）</w:t>
      </w:r>
    </w:p>
    <w:p w14:paraId="2AF11A07">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采购本国货物、工程和服务</w:t>
      </w:r>
    </w:p>
    <w:p w14:paraId="481152CF">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政府采购应当采购本国货物、工程和服务。但有《中华人民共和国政府采购法》第十条规定情形的除外。</w:t>
      </w:r>
    </w:p>
    <w:p w14:paraId="7B96A82A">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本项目如接受非本国货物、工程、服务参与投标，则具体要求见第五章《采购需求》。</w:t>
      </w:r>
    </w:p>
    <w:p w14:paraId="0ECE35AB">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32B16E3">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本国产品</w:t>
      </w:r>
    </w:p>
    <w:p w14:paraId="0CB41F03">
      <w:pPr>
        <w:tabs>
          <w:tab w:val="left" w:pos="900"/>
          <w:tab w:val="left" w:pos="1080"/>
          <w:tab w:val="left" w:pos="1589"/>
        </w:tabs>
        <w:snapToGrid w:val="0"/>
        <w:spacing w:line="360" w:lineRule="auto"/>
        <w:ind w:left="1080"/>
        <w:rPr>
          <w:rFonts w:hint="eastAsia" w:ascii="宋体" w:hAnsi="宋体" w:eastAsia="宋体" w:cs="宋体"/>
          <w:color w:val="auto"/>
          <w:sz w:val="24"/>
          <w:highlight w:val="none"/>
        </w:rPr>
      </w:pPr>
      <w:bookmarkStart w:id="20" w:name="_Hlk217316762"/>
      <w:r>
        <w:rPr>
          <w:rFonts w:hint="eastAsia" w:ascii="宋体" w:hAnsi="宋体" w:eastAsia="宋体" w:cs="宋体"/>
          <w:color w:val="auto"/>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20"/>
      <w:r>
        <w:rPr>
          <w:rFonts w:hint="eastAsia" w:ascii="宋体" w:hAnsi="宋体" w:eastAsia="宋体" w:cs="宋体"/>
          <w:color w:val="auto"/>
          <w:sz w:val="24"/>
          <w:highlight w:val="none"/>
        </w:rPr>
        <w:t>，落实本国产品</w:t>
      </w:r>
      <w:r>
        <w:rPr>
          <w:rFonts w:hint="eastAsia" w:ascii="宋体" w:hAnsi="宋体" w:eastAsia="宋体" w:cs="宋体"/>
          <w:color w:val="auto"/>
          <w:sz w:val="24"/>
          <w:highlight w:val="none"/>
          <w:lang w:eastAsia="zh-CN"/>
        </w:rPr>
        <w:t>标准</w:t>
      </w:r>
      <w:r>
        <w:rPr>
          <w:rFonts w:hint="eastAsia" w:ascii="宋体" w:hAnsi="宋体" w:eastAsia="宋体" w:cs="宋体"/>
          <w:color w:val="auto"/>
          <w:sz w:val="24"/>
          <w:highlight w:val="none"/>
        </w:rPr>
        <w:t>。</w:t>
      </w:r>
    </w:p>
    <w:p w14:paraId="75329C95">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中小企业、监狱企业及残疾人福利性单位</w:t>
      </w:r>
    </w:p>
    <w:p w14:paraId="48D57226">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中小企业定义：</w:t>
      </w:r>
    </w:p>
    <w:p w14:paraId="516D3663">
      <w:pPr>
        <w:pStyle w:val="7"/>
        <w:bidi w:val="0"/>
        <w:rPr>
          <w:rFonts w:hint="eastAsia" w:ascii="宋体" w:hAnsi="宋体" w:eastAsia="宋体" w:cs="宋体"/>
          <w:color w:val="auto"/>
          <w:highlight w:val="none"/>
        </w:rPr>
      </w:pPr>
      <w:r>
        <w:rPr>
          <w:rFonts w:hint="eastAsia" w:ascii="宋体" w:hAnsi="宋体" w:eastAsia="宋体" w:cs="宋体"/>
          <w:color w:val="auto"/>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406A9079">
      <w:pPr>
        <w:pStyle w:val="7"/>
        <w:bidi w:val="0"/>
        <w:rPr>
          <w:rFonts w:hint="eastAsia" w:ascii="宋体" w:hAnsi="宋体" w:eastAsia="宋体" w:cs="宋体"/>
          <w:color w:val="auto"/>
          <w:highlight w:val="none"/>
        </w:rPr>
      </w:pPr>
      <w:r>
        <w:rPr>
          <w:rFonts w:hint="eastAsia" w:ascii="宋体" w:hAnsi="宋体" w:eastAsia="宋体" w:cs="宋体"/>
          <w:color w:val="auto"/>
          <w:highlight w:val="none"/>
        </w:rPr>
        <w:t>供应商提供的货物、工程或者服务符合下列情形的，享受中小企业扶持政策：</w:t>
      </w:r>
    </w:p>
    <w:p w14:paraId="1495C6C1">
      <w:pPr>
        <w:tabs>
          <w:tab w:val="left" w:pos="1980"/>
        </w:tabs>
        <w:snapToGrid w:val="0"/>
        <w:spacing w:line="360" w:lineRule="auto"/>
        <w:ind w:left="2835" w:leftChars="1350"/>
        <w:rPr>
          <w:rFonts w:hint="eastAsia" w:ascii="宋体" w:hAnsi="宋体" w:eastAsia="宋体" w:cs="宋体"/>
          <w:color w:val="auto"/>
          <w:sz w:val="24"/>
          <w:highlight w:val="none"/>
        </w:rPr>
      </w:pPr>
      <w:r>
        <w:rPr>
          <w:rFonts w:hint="eastAsia" w:ascii="宋体" w:hAnsi="宋体" w:eastAsia="宋体" w:cs="宋体"/>
          <w:color w:val="auto"/>
          <w:sz w:val="24"/>
          <w:highlight w:val="none"/>
        </w:rPr>
        <w:t>（1）在货物采购项目中，货物由中小企业制造，即货物由中小企业生产且使用该中小企业商号或者注册商标；</w:t>
      </w:r>
    </w:p>
    <w:p w14:paraId="3557830B">
      <w:pPr>
        <w:tabs>
          <w:tab w:val="left" w:pos="1980"/>
        </w:tabs>
        <w:snapToGrid w:val="0"/>
        <w:spacing w:line="360" w:lineRule="auto"/>
        <w:ind w:left="2835" w:leftChars="1350"/>
        <w:rPr>
          <w:rFonts w:hint="eastAsia" w:ascii="宋体" w:hAnsi="宋体" w:eastAsia="宋体" w:cs="宋体"/>
          <w:color w:val="auto"/>
          <w:sz w:val="24"/>
          <w:highlight w:val="none"/>
        </w:rPr>
      </w:pPr>
      <w:r>
        <w:rPr>
          <w:rFonts w:hint="eastAsia" w:ascii="宋体" w:hAnsi="宋体" w:eastAsia="宋体" w:cs="宋体"/>
          <w:color w:val="auto"/>
          <w:sz w:val="24"/>
          <w:highlight w:val="none"/>
        </w:rPr>
        <w:t>（2）在工程采购项目中，工程由中小企业承建，即工程施工单位为中小企业；</w:t>
      </w:r>
    </w:p>
    <w:p w14:paraId="56A5C3F8">
      <w:pPr>
        <w:tabs>
          <w:tab w:val="left" w:pos="1980"/>
        </w:tabs>
        <w:snapToGrid w:val="0"/>
        <w:spacing w:line="360" w:lineRule="auto"/>
        <w:ind w:left="2835" w:leftChars="1350"/>
        <w:rPr>
          <w:rFonts w:hint="eastAsia" w:ascii="宋体" w:hAnsi="宋体" w:eastAsia="宋体" w:cs="宋体"/>
          <w:color w:val="auto"/>
          <w:sz w:val="24"/>
          <w:highlight w:val="none"/>
        </w:rPr>
      </w:pPr>
      <w:r>
        <w:rPr>
          <w:rFonts w:hint="eastAsia" w:ascii="宋体" w:hAnsi="宋体" w:eastAsia="宋体" w:cs="宋体"/>
          <w:color w:val="auto"/>
          <w:sz w:val="24"/>
          <w:highlight w:val="none"/>
        </w:rPr>
        <w:t>（3）在服务采购项目中，服务由中小企业承接，即提供服务的人员为中小企业依照《中华人民共和国劳动合同法》订立劳动合同的从业人员。</w:t>
      </w:r>
    </w:p>
    <w:p w14:paraId="03B43382">
      <w:pPr>
        <w:pStyle w:val="7"/>
        <w:bidi w:val="0"/>
        <w:rPr>
          <w:rFonts w:hint="eastAsia" w:ascii="宋体" w:hAnsi="宋体" w:eastAsia="宋体" w:cs="宋体"/>
          <w:color w:val="auto"/>
          <w:highlight w:val="none"/>
        </w:rPr>
      </w:pPr>
      <w:r>
        <w:rPr>
          <w:rFonts w:hint="eastAsia" w:ascii="宋体" w:hAnsi="宋体" w:eastAsia="宋体" w:cs="宋体"/>
          <w:color w:val="auto"/>
          <w:highlight w:val="none"/>
        </w:rPr>
        <w:t>在货物采购项目中，供应商提供的货物既有中小企业制造货物，也有大型企业制造货物的，不享受中小企业扶持政策。</w:t>
      </w:r>
    </w:p>
    <w:p w14:paraId="5B6A3E79">
      <w:pPr>
        <w:pStyle w:val="7"/>
        <w:bidi w:val="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7FB9E824">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C8075BA">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5953525">
      <w:pPr>
        <w:pStyle w:val="7"/>
        <w:bidi w:val="0"/>
        <w:rPr>
          <w:rFonts w:hint="eastAsia" w:ascii="宋体" w:hAnsi="宋体" w:eastAsia="宋体" w:cs="宋体"/>
          <w:color w:val="auto"/>
          <w:highlight w:val="none"/>
        </w:rPr>
      </w:pPr>
      <w:r>
        <w:rPr>
          <w:rFonts w:hint="eastAsia" w:ascii="宋体" w:hAnsi="宋体" w:eastAsia="宋体" w:cs="宋体"/>
          <w:color w:val="auto"/>
          <w:highlight w:val="none"/>
        </w:rPr>
        <w:t>安置的残疾人占本单位在职职工人数的比例不低于25%（含25%），并且安置的残疾人人数不少于10 人（含10 人）；</w:t>
      </w:r>
    </w:p>
    <w:p w14:paraId="24681BE8">
      <w:pPr>
        <w:pStyle w:val="7"/>
        <w:bidi w:val="0"/>
        <w:rPr>
          <w:rFonts w:hint="eastAsia" w:ascii="宋体" w:hAnsi="宋体" w:eastAsia="宋体" w:cs="宋体"/>
          <w:color w:val="auto"/>
          <w:highlight w:val="none"/>
        </w:rPr>
      </w:pPr>
      <w:r>
        <w:rPr>
          <w:rFonts w:hint="eastAsia" w:ascii="宋体" w:hAnsi="宋体" w:eastAsia="宋体" w:cs="宋体"/>
          <w:color w:val="auto"/>
          <w:highlight w:val="none"/>
        </w:rPr>
        <w:t>依法与安置的每位残疾人签订了一年以上（含一年）的劳动合同或服务协议；</w:t>
      </w:r>
    </w:p>
    <w:p w14:paraId="334EBE97">
      <w:pPr>
        <w:pStyle w:val="7"/>
        <w:bidi w:val="0"/>
        <w:rPr>
          <w:rFonts w:hint="eastAsia" w:ascii="宋体" w:hAnsi="宋体" w:eastAsia="宋体" w:cs="宋体"/>
          <w:color w:val="auto"/>
          <w:highlight w:val="none"/>
        </w:rPr>
      </w:pPr>
      <w:r>
        <w:rPr>
          <w:rFonts w:hint="eastAsia" w:ascii="宋体" w:hAnsi="宋体" w:eastAsia="宋体" w:cs="宋体"/>
          <w:color w:val="auto"/>
          <w:highlight w:val="none"/>
        </w:rPr>
        <w:t>为安置的每位残疾人按月足额缴纳了基本养老保险、基本医疗保险、失业保险、工伤保险和生育保险等社会保险费；</w:t>
      </w:r>
    </w:p>
    <w:p w14:paraId="46E49C9B">
      <w:pPr>
        <w:pStyle w:val="7"/>
        <w:bidi w:val="0"/>
        <w:rPr>
          <w:rFonts w:hint="eastAsia" w:ascii="宋体" w:hAnsi="宋体" w:eastAsia="宋体" w:cs="宋体"/>
          <w:color w:val="auto"/>
          <w:highlight w:val="none"/>
        </w:rPr>
      </w:pPr>
      <w:r>
        <w:rPr>
          <w:rFonts w:hint="eastAsia" w:ascii="宋体" w:hAnsi="宋体" w:eastAsia="宋体" w:cs="宋体"/>
          <w:color w:val="auto"/>
          <w:highlight w:val="none"/>
        </w:rPr>
        <w:t>通过银行等金融机构向安置的每位残疾人，按月支付了不低于单位所在区县适用的经省级人民政府批准的月最低工资标准的工资；</w:t>
      </w:r>
    </w:p>
    <w:p w14:paraId="4D6C0C8F">
      <w:pPr>
        <w:pStyle w:val="7"/>
        <w:bidi w:val="0"/>
        <w:rPr>
          <w:rFonts w:hint="eastAsia" w:ascii="宋体" w:hAnsi="宋体" w:eastAsia="宋体" w:cs="宋体"/>
          <w:color w:val="auto"/>
          <w:highlight w:val="none"/>
        </w:rPr>
      </w:pPr>
      <w:r>
        <w:rPr>
          <w:rFonts w:hint="eastAsia" w:ascii="宋体" w:hAnsi="宋体" w:eastAsia="宋体" w:cs="宋体"/>
          <w:color w:val="auto"/>
          <w:highlight w:val="none"/>
        </w:rPr>
        <w:t>提供本单位制造的货物、承担的工程或者服务（以下简称产品），或者提供其他残疾人福利性单位制造的货物（不包括使用非残疾人福利性单位注册商标的货物）；</w:t>
      </w:r>
    </w:p>
    <w:p w14:paraId="192A8DF5">
      <w:pPr>
        <w:pStyle w:val="7"/>
        <w:bidi w:val="0"/>
        <w:rPr>
          <w:rFonts w:hint="eastAsia" w:ascii="宋体" w:hAnsi="宋体" w:eastAsia="宋体" w:cs="宋体"/>
          <w:color w:val="auto"/>
          <w:highlight w:val="none"/>
        </w:rPr>
      </w:pPr>
      <w:r>
        <w:rPr>
          <w:rFonts w:hint="eastAsia" w:ascii="宋体" w:hAnsi="宋体" w:eastAsia="宋体" w:cs="宋体"/>
          <w:color w:val="auto"/>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A341E30">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本项目是否专门面向中小企业预留采购份额见第一章《投标邀请》。</w:t>
      </w:r>
    </w:p>
    <w:p w14:paraId="6E45A085">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采购标的对应的中小企业划分标准所属行业见《投标人须知资料表》。</w:t>
      </w:r>
    </w:p>
    <w:p w14:paraId="7EEB7495">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小微企业价格评审优惠的政策调整：见第四章《评标程序、评标方法和评标标准》。</w:t>
      </w:r>
    </w:p>
    <w:p w14:paraId="6D299553">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政府采购节能产品、环境标志产品</w:t>
      </w:r>
    </w:p>
    <w:p w14:paraId="68B192C7">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C90727E">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237ED11">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color w:val="auto"/>
          <w:highlight w:val="none"/>
          <w:lang w:eastAsia="zh-CN"/>
        </w:rPr>
        <w:t>投标无效</w:t>
      </w:r>
      <w:r>
        <w:rPr>
          <w:rFonts w:hint="eastAsia" w:ascii="宋体" w:hAnsi="宋体" w:eastAsia="宋体" w:cs="宋体"/>
          <w:color w:val="auto"/>
          <w:highlight w:val="none"/>
        </w:rPr>
        <w:t>；</w:t>
      </w:r>
    </w:p>
    <w:p w14:paraId="17C51870">
      <w:pPr>
        <w:pStyle w:val="6"/>
        <w:bidi w:val="0"/>
        <w:rPr>
          <w:rStyle w:val="60"/>
          <w:rFonts w:hint="eastAsia" w:ascii="宋体" w:hAnsi="宋体" w:eastAsia="宋体" w:cs="宋体"/>
          <w:color w:val="auto"/>
          <w:highlight w:val="none"/>
        </w:rPr>
      </w:pPr>
      <w:r>
        <w:rPr>
          <w:rFonts w:hint="eastAsia" w:ascii="宋体" w:hAnsi="宋体" w:eastAsia="宋体" w:cs="宋体"/>
          <w:color w:val="auto"/>
          <w:highlight w:val="none"/>
        </w:rPr>
        <w:t>非政府强制采购的节能产品或环境标志产品，依据品目清单和认证证书实施政府优先采购。优先采购的具体规定见第四章《评标程序、评</w:t>
      </w:r>
      <w:r>
        <w:rPr>
          <w:rStyle w:val="60"/>
          <w:rFonts w:hint="eastAsia" w:ascii="宋体" w:hAnsi="宋体" w:eastAsia="宋体" w:cs="宋体"/>
          <w:color w:val="auto"/>
          <w:highlight w:val="none"/>
        </w:rPr>
        <w:t>标方法和评标标准》（如涉及）。</w:t>
      </w:r>
    </w:p>
    <w:p w14:paraId="4BBBC8C3">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正版软件</w:t>
      </w:r>
    </w:p>
    <w:p w14:paraId="25563F2C">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1FE1519">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网络安全专用产品</w:t>
      </w:r>
    </w:p>
    <w:p w14:paraId="05F47D51">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58393E5">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推广使用低挥发性有机化合物（VOCs）</w:t>
      </w:r>
    </w:p>
    <w:p w14:paraId="1DCF0F63">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含量限制标准（具体标准见第五章《采购需求》），否则</w:t>
      </w:r>
      <w:r>
        <w:rPr>
          <w:rFonts w:hint="eastAsia" w:ascii="宋体" w:hAnsi="宋体" w:eastAsia="宋体" w:cs="宋体"/>
          <w:b/>
          <w:bCs/>
          <w:color w:val="auto"/>
          <w:highlight w:val="none"/>
          <w:lang w:eastAsia="zh-CN"/>
        </w:rPr>
        <w:t>投标无效</w:t>
      </w:r>
      <w:r>
        <w:rPr>
          <w:rFonts w:hint="eastAsia" w:ascii="宋体" w:hAnsi="宋体" w:eastAsia="宋体" w:cs="宋体"/>
          <w:color w:val="auto"/>
          <w:highlight w:val="none"/>
        </w:rPr>
        <w:t>；属于推荐性标准的，优先采购，具体见第四章《评标程序、评标方法和评标标准》。</w:t>
      </w:r>
    </w:p>
    <w:p w14:paraId="2EECC6C9">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采购需求标准</w:t>
      </w:r>
    </w:p>
    <w:p w14:paraId="363D39B4">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商品包装、快递包装政府采购需求标准（试行）</w:t>
      </w:r>
    </w:p>
    <w:p w14:paraId="6E8D6BB2">
      <w:pPr>
        <w:tabs>
          <w:tab w:val="left" w:pos="900"/>
          <w:tab w:val="left" w:pos="1980"/>
        </w:tabs>
        <w:snapToGrid w:val="0"/>
        <w:spacing w:line="360" w:lineRule="auto"/>
        <w:ind w:left="1985"/>
        <w:rPr>
          <w:rFonts w:hint="eastAsia" w:ascii="宋体" w:hAnsi="宋体" w:eastAsia="宋体" w:cs="宋体"/>
          <w:color w:val="auto"/>
          <w:sz w:val="24"/>
          <w:highlight w:val="none"/>
        </w:rPr>
      </w:pPr>
      <w:r>
        <w:rPr>
          <w:rFonts w:hint="eastAsia" w:ascii="宋体" w:hAnsi="宋体" w:eastAsia="宋体" w:cs="宋体"/>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5AB964F">
      <w:pPr>
        <w:pStyle w:val="6"/>
        <w:bidi w:val="0"/>
        <w:rPr>
          <w:rFonts w:hint="eastAsia" w:ascii="宋体" w:hAnsi="宋体" w:eastAsia="宋体" w:cs="宋体"/>
          <w:color w:val="auto"/>
          <w:highlight w:val="none"/>
        </w:rPr>
      </w:pPr>
      <w:bookmarkStart w:id="21" w:name="_Hlk164953935"/>
      <w:r>
        <w:rPr>
          <w:rFonts w:hint="eastAsia" w:ascii="宋体" w:hAnsi="宋体" w:eastAsia="宋体" w:cs="宋体"/>
          <w:color w:val="auto"/>
          <w:highlight w:val="none"/>
        </w:rPr>
        <w:t xml:space="preserve">其他政府采购需求标准 </w:t>
      </w:r>
    </w:p>
    <w:bookmarkEnd w:id="21"/>
    <w:p w14:paraId="596D5C1C">
      <w:pPr>
        <w:tabs>
          <w:tab w:val="left" w:pos="900"/>
          <w:tab w:val="left" w:pos="1980"/>
        </w:tabs>
        <w:snapToGrid w:val="0"/>
        <w:spacing w:line="360" w:lineRule="auto"/>
        <w:ind w:left="1980"/>
        <w:rPr>
          <w:rFonts w:hint="eastAsia" w:ascii="宋体" w:hAnsi="宋体" w:eastAsia="宋体" w:cs="宋体"/>
          <w:color w:val="auto"/>
          <w:sz w:val="24"/>
          <w:highlight w:val="none"/>
        </w:rPr>
      </w:pPr>
      <w:bookmarkStart w:id="22" w:name="_Hlk164955325"/>
      <w:r>
        <w:rPr>
          <w:rFonts w:hint="eastAsia" w:ascii="宋体" w:hAnsi="宋体" w:eastAsia="宋体" w:cs="宋体"/>
          <w:color w:val="auto"/>
          <w:sz w:val="24"/>
          <w:highlight w:val="none"/>
        </w:rPr>
        <w:t>为贯彻落实《深化政府采购制度改革方案》有关要求，推动政府采购需求标准建设</w:t>
      </w:r>
      <w:bookmarkEnd w:id="22"/>
      <w:r>
        <w:rPr>
          <w:rFonts w:hint="eastAsia" w:ascii="宋体" w:hAnsi="宋体" w:eastAsia="宋体" w:cs="宋体"/>
          <w:color w:val="auto"/>
          <w:sz w:val="24"/>
          <w:highlight w:val="none"/>
        </w:rPr>
        <w:t>，财政部门会同有关部门制定发布的其他政府采购需求标准，本项目如涉及，则具体要求见第五章《采购需求》。</w:t>
      </w:r>
    </w:p>
    <w:p w14:paraId="194BEC40">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投标费用</w:t>
      </w:r>
    </w:p>
    <w:p w14:paraId="4B158420">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投标人应自行承担所有与准备和参加投标有关的费用，无论投标的结果如何，采购人或采购代理机构在任何情况下均无承担这些费用的义务和责任。</w:t>
      </w:r>
    </w:p>
    <w:p w14:paraId="38F67B1C">
      <w:pPr>
        <w:tabs>
          <w:tab w:val="left" w:pos="1080"/>
        </w:tabs>
        <w:snapToGrid w:val="0"/>
        <w:spacing w:line="360" w:lineRule="auto"/>
        <w:ind w:left="1080"/>
        <w:rPr>
          <w:rFonts w:hint="eastAsia" w:ascii="宋体" w:hAnsi="宋体" w:eastAsia="宋体" w:cs="宋体"/>
          <w:color w:val="auto"/>
          <w:sz w:val="28"/>
          <w:highlight w:val="none"/>
        </w:rPr>
      </w:pPr>
    </w:p>
    <w:p w14:paraId="20CC108C">
      <w:pPr>
        <w:keepLines/>
        <w:widowControl w:val="0"/>
        <w:numPr>
          <w:ilvl w:val="0"/>
          <w:numId w:val="9"/>
        </w:numPr>
        <w:tabs>
          <w:tab w:val="left" w:pos="0"/>
          <w:tab w:val="left" w:pos="420"/>
        </w:tabs>
        <w:autoSpaceDE w:val="0"/>
        <w:autoSpaceDN w:val="0"/>
        <w:adjustRightInd w:val="0"/>
        <w:spacing w:before="120" w:after="120" w:line="300" w:lineRule="auto"/>
        <w:ind w:left="0" w:firstLine="420"/>
        <w:jc w:val="center"/>
        <w:outlineLvl w:val="1"/>
        <w:rPr>
          <w:rFonts w:hint="eastAsia" w:ascii="宋体" w:hAnsi="宋体" w:eastAsia="宋体" w:cs="宋体"/>
          <w:b/>
          <w:bCs/>
          <w:color w:val="auto"/>
          <w:spacing w:val="0"/>
          <w:w w:val="100"/>
          <w:kern w:val="0"/>
          <w:position w:val="0"/>
          <w:sz w:val="28"/>
          <w:szCs w:val="28"/>
          <w:highlight w:val="none"/>
          <w:lang w:val="en-US" w:eastAsia="zh-CN" w:bidi="ar-SA"/>
        </w:rPr>
      </w:pPr>
      <w:r>
        <w:rPr>
          <w:rFonts w:hint="eastAsia" w:ascii="宋体" w:hAnsi="宋体" w:eastAsia="宋体" w:cs="宋体"/>
          <w:b/>
          <w:bCs/>
          <w:color w:val="auto"/>
          <w:spacing w:val="0"/>
          <w:w w:val="100"/>
          <w:kern w:val="0"/>
          <w:position w:val="0"/>
          <w:sz w:val="28"/>
          <w:szCs w:val="28"/>
          <w:highlight w:val="none"/>
          <w:lang w:val="en-US" w:eastAsia="zh-CN" w:bidi="ar-SA"/>
        </w:rPr>
        <w:t>招标文件</w:t>
      </w:r>
    </w:p>
    <w:p w14:paraId="5F87FF2E">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招标文件构成</w:t>
      </w:r>
    </w:p>
    <w:p w14:paraId="456B9F96">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招标文件包括以下部分：</w:t>
      </w:r>
    </w:p>
    <w:p w14:paraId="74A81F4E">
      <w:pPr>
        <w:numPr>
          <w:ilvl w:val="0"/>
          <w:numId w:val="10"/>
        </w:numPr>
        <w:tabs>
          <w:tab w:val="left" w:pos="1980"/>
          <w:tab w:val="left" w:pos="2520"/>
        </w:tabs>
        <w:snapToGrid w:val="0"/>
        <w:spacing w:line="360" w:lineRule="auto"/>
        <w:ind w:left="1440" w:firstLine="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投标邀请</w:t>
      </w:r>
    </w:p>
    <w:p w14:paraId="179E7739">
      <w:pPr>
        <w:numPr>
          <w:ilvl w:val="0"/>
          <w:numId w:val="10"/>
        </w:numPr>
        <w:tabs>
          <w:tab w:val="left" w:pos="1980"/>
          <w:tab w:val="left" w:pos="2520"/>
        </w:tabs>
        <w:snapToGrid w:val="0"/>
        <w:spacing w:line="360" w:lineRule="auto"/>
        <w:ind w:left="1440" w:firstLine="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投标人须知</w:t>
      </w:r>
    </w:p>
    <w:p w14:paraId="078E788C">
      <w:pPr>
        <w:numPr>
          <w:ilvl w:val="0"/>
          <w:numId w:val="10"/>
        </w:numPr>
        <w:tabs>
          <w:tab w:val="left" w:pos="1980"/>
          <w:tab w:val="left" w:pos="2520"/>
        </w:tabs>
        <w:snapToGrid w:val="0"/>
        <w:spacing w:line="360" w:lineRule="auto"/>
        <w:ind w:left="1440" w:firstLine="5"/>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w:t>
      </w:r>
    </w:p>
    <w:p w14:paraId="678610F8">
      <w:pPr>
        <w:numPr>
          <w:ilvl w:val="0"/>
          <w:numId w:val="10"/>
        </w:numPr>
        <w:tabs>
          <w:tab w:val="left" w:pos="1980"/>
          <w:tab w:val="left" w:pos="2520"/>
        </w:tabs>
        <w:snapToGrid w:val="0"/>
        <w:spacing w:line="360" w:lineRule="auto"/>
        <w:ind w:left="1440" w:firstLine="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评标程序、评标方法和评标标准</w:t>
      </w:r>
    </w:p>
    <w:p w14:paraId="36DF6363">
      <w:pPr>
        <w:numPr>
          <w:ilvl w:val="0"/>
          <w:numId w:val="10"/>
        </w:numPr>
        <w:tabs>
          <w:tab w:val="left" w:pos="1980"/>
          <w:tab w:val="left" w:pos="2520"/>
        </w:tabs>
        <w:snapToGrid w:val="0"/>
        <w:spacing w:line="360" w:lineRule="auto"/>
        <w:ind w:left="1440" w:firstLine="5"/>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p>
    <w:p w14:paraId="3E40B815">
      <w:pPr>
        <w:numPr>
          <w:ilvl w:val="0"/>
          <w:numId w:val="10"/>
        </w:numPr>
        <w:tabs>
          <w:tab w:val="left" w:pos="1980"/>
          <w:tab w:val="left" w:pos="2520"/>
        </w:tabs>
        <w:snapToGrid w:val="0"/>
        <w:spacing w:line="360" w:lineRule="auto"/>
        <w:ind w:left="1440" w:firstLine="5"/>
        <w:rPr>
          <w:rFonts w:hint="eastAsia" w:ascii="宋体" w:hAnsi="宋体" w:eastAsia="宋体" w:cs="宋体"/>
          <w:color w:val="auto"/>
          <w:sz w:val="24"/>
          <w:highlight w:val="none"/>
        </w:rPr>
      </w:pPr>
      <w:r>
        <w:rPr>
          <w:rFonts w:hint="eastAsia" w:ascii="宋体" w:hAnsi="宋体" w:eastAsia="宋体" w:cs="宋体"/>
          <w:color w:val="auto"/>
          <w:sz w:val="24"/>
          <w:highlight w:val="none"/>
        </w:rPr>
        <w:t>拟签订的合同文本</w:t>
      </w:r>
    </w:p>
    <w:p w14:paraId="137433D5">
      <w:pPr>
        <w:numPr>
          <w:ilvl w:val="0"/>
          <w:numId w:val="10"/>
        </w:numPr>
        <w:tabs>
          <w:tab w:val="left" w:pos="1980"/>
          <w:tab w:val="left" w:pos="2520"/>
        </w:tabs>
        <w:snapToGrid w:val="0"/>
        <w:spacing w:line="360" w:lineRule="auto"/>
        <w:ind w:left="1440" w:firstLine="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投标文件格式</w:t>
      </w:r>
    </w:p>
    <w:p w14:paraId="6E12C81D">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bCs/>
          <w:color w:val="auto"/>
          <w:highlight w:val="none"/>
          <w:lang w:eastAsia="zh-CN"/>
        </w:rPr>
        <w:t>投标无效</w:t>
      </w:r>
      <w:r>
        <w:rPr>
          <w:rFonts w:hint="eastAsia" w:ascii="宋体" w:hAnsi="宋体" w:eastAsia="宋体" w:cs="宋体"/>
          <w:color w:val="auto"/>
          <w:highlight w:val="none"/>
        </w:rPr>
        <w:t>。</w:t>
      </w:r>
    </w:p>
    <w:p w14:paraId="5DEFD14A">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对招标文件的澄清或修改</w:t>
      </w:r>
    </w:p>
    <w:p w14:paraId="503775E0">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采购人或采购代理机构对已发出的招标文件进行必要澄清或者修改的，将在原公告发布媒体上发布更正公告，并以书面形式通知所有获取招标文件的潜在投标人。</w:t>
      </w:r>
    </w:p>
    <w:p w14:paraId="144AF2BA">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上述书面通知，按照获取招标文件的潜在投标人提供的联系方式发出，因提供的信息有误导致通知延迟或无法通知的，采购人或采购代理机构不承担责任。</w:t>
      </w:r>
    </w:p>
    <w:p w14:paraId="72CE539C">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EC9BDF6">
      <w:pPr>
        <w:tabs>
          <w:tab w:val="left" w:pos="1080"/>
          <w:tab w:val="left" w:pos="1561"/>
        </w:tabs>
        <w:snapToGrid w:val="0"/>
        <w:spacing w:line="360" w:lineRule="auto"/>
        <w:ind w:left="1080"/>
        <w:rPr>
          <w:rFonts w:hint="eastAsia" w:ascii="宋体" w:hAnsi="宋体" w:eastAsia="宋体" w:cs="宋体"/>
          <w:color w:val="auto"/>
          <w:sz w:val="28"/>
          <w:highlight w:val="none"/>
        </w:rPr>
      </w:pPr>
    </w:p>
    <w:p w14:paraId="12DC849D">
      <w:pPr>
        <w:keepLines/>
        <w:widowControl w:val="0"/>
        <w:numPr>
          <w:ilvl w:val="0"/>
          <w:numId w:val="9"/>
        </w:numPr>
        <w:tabs>
          <w:tab w:val="left" w:pos="0"/>
          <w:tab w:val="left" w:pos="420"/>
        </w:tabs>
        <w:autoSpaceDE w:val="0"/>
        <w:autoSpaceDN w:val="0"/>
        <w:adjustRightInd w:val="0"/>
        <w:spacing w:before="120" w:after="120" w:line="300" w:lineRule="auto"/>
        <w:ind w:left="0" w:firstLine="420"/>
        <w:jc w:val="center"/>
        <w:outlineLvl w:val="1"/>
        <w:rPr>
          <w:rFonts w:hint="eastAsia" w:ascii="宋体" w:hAnsi="宋体" w:eastAsia="宋体" w:cs="宋体"/>
          <w:b/>
          <w:bCs/>
          <w:color w:val="auto"/>
          <w:spacing w:val="0"/>
          <w:w w:val="100"/>
          <w:kern w:val="0"/>
          <w:position w:val="0"/>
          <w:sz w:val="28"/>
          <w:szCs w:val="28"/>
          <w:highlight w:val="none"/>
          <w:lang w:val="en-US" w:eastAsia="zh-CN" w:bidi="ar-SA"/>
        </w:rPr>
      </w:pPr>
      <w:r>
        <w:rPr>
          <w:rFonts w:hint="eastAsia" w:ascii="宋体" w:hAnsi="宋体" w:eastAsia="宋体" w:cs="宋体"/>
          <w:b/>
          <w:bCs/>
          <w:color w:val="auto"/>
          <w:spacing w:val="0"/>
          <w:w w:val="100"/>
          <w:kern w:val="0"/>
          <w:position w:val="0"/>
          <w:sz w:val="28"/>
          <w:szCs w:val="28"/>
          <w:highlight w:val="none"/>
          <w:lang w:val="en-US" w:eastAsia="zh-CN" w:bidi="ar-SA"/>
        </w:rPr>
        <w:t>投标文件的编制</w:t>
      </w:r>
    </w:p>
    <w:p w14:paraId="7EF7A8F8">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投标范围、投标文件中计量单位的使用及投标语言</w:t>
      </w:r>
    </w:p>
    <w:p w14:paraId="2D0A00C1">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无效投标。</w:t>
      </w:r>
    </w:p>
    <w:p w14:paraId="4901BB0A">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除招标文件有特殊要求外，本项目投标所使用的计量单位，应采用中华人民共和国法定计量单位。</w:t>
      </w:r>
    </w:p>
    <w:p w14:paraId="13233C29">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8EB59AF">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投标文件构成</w:t>
      </w:r>
    </w:p>
    <w:p w14:paraId="3DCE81E5">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投标人应当按照招标文件的要求编制投标文件。投标文件应由《资格证明文件》、《商务技术文件》两部分构成。投标文件的部分格式要求，见第七章《投标文件格式》。</w:t>
      </w:r>
    </w:p>
    <w:p w14:paraId="3604A41E">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eastAsia="宋体" w:cs="宋体"/>
          <w:b/>
          <w:bCs/>
          <w:color w:val="auto"/>
          <w:highlight w:val="none"/>
          <w:lang w:eastAsia="zh-CN"/>
        </w:rPr>
        <w:t>投标无效</w:t>
      </w:r>
      <w:r>
        <w:rPr>
          <w:rFonts w:hint="eastAsia" w:ascii="宋体" w:hAnsi="宋体" w:eastAsia="宋体" w:cs="宋体"/>
          <w:color w:val="auto"/>
          <w:highlight w:val="none"/>
        </w:rPr>
        <w:t>。未标记“实质性格式”的文件和招标文件未提供格式的内容，可由投标人自行编写。</w:t>
      </w:r>
    </w:p>
    <w:p w14:paraId="31EBD569">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第四章《评标程序、评标方法和评标标准》中涉及的证明文件。</w:t>
      </w:r>
    </w:p>
    <w:p w14:paraId="5A501215">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84D2A31">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投标人认为应附的其他材料。</w:t>
      </w:r>
    </w:p>
    <w:p w14:paraId="25B25057">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投标报价</w:t>
      </w:r>
    </w:p>
    <w:p w14:paraId="4A01FD70">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所有投标均以人民币为计价货币。</w:t>
      </w:r>
    </w:p>
    <w:p w14:paraId="520550E7">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4E8F74D3">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0E20C16">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按照招标文件要求完成本项目的全部相关费用。 </w:t>
      </w:r>
    </w:p>
    <w:p w14:paraId="4F0A54FF">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采购人不得向供应商索要或者接受其给予的赠品、回扣或者与采购无关的其他商品、服务。</w:t>
      </w:r>
    </w:p>
    <w:p w14:paraId="2A4B33CF">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投标人不能提供任何有选择性或可调整的报价（招标文件另有规定的除外），否则其</w:t>
      </w:r>
      <w:r>
        <w:rPr>
          <w:rFonts w:hint="eastAsia" w:ascii="宋体" w:hAnsi="宋体" w:eastAsia="宋体" w:cs="宋体"/>
          <w:b/>
          <w:bCs/>
          <w:color w:val="auto"/>
          <w:highlight w:val="none"/>
          <w:lang w:eastAsia="zh-CN"/>
        </w:rPr>
        <w:t>投标无效</w:t>
      </w:r>
      <w:r>
        <w:rPr>
          <w:rFonts w:hint="eastAsia" w:ascii="宋体" w:hAnsi="宋体" w:eastAsia="宋体" w:cs="宋体"/>
          <w:color w:val="auto"/>
          <w:highlight w:val="none"/>
        </w:rPr>
        <w:t>。</w:t>
      </w:r>
    </w:p>
    <w:p w14:paraId="4EEDAFB6">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投标保证金</w:t>
      </w:r>
    </w:p>
    <w:p w14:paraId="0255FA83">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投标人应按《投标人须知资料表》中规定的金额及要求交纳投标保证金。投标人自愿超额缴纳投标保证金的，投标文件不做无效处理。</w:t>
      </w:r>
    </w:p>
    <w:p w14:paraId="733EA8ED">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交纳投标保证金可采用的形式：政府采购法律法规接受的支票、汇票、本票、网上银行支付或者金融机构、担保机构出具的保函等非现金形式。</w:t>
      </w:r>
    </w:p>
    <w:p w14:paraId="6257EE44">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23" w:name="_Hlk164959831"/>
      <w:r>
        <w:rPr>
          <w:rFonts w:hint="eastAsia" w:ascii="宋体" w:hAnsi="宋体" w:eastAsia="宋体" w:cs="宋体"/>
          <w:color w:val="auto"/>
          <w:highlight w:val="none"/>
        </w:rPr>
        <w:t>以电子保函形式提交投标保证金的，应在投标截止时间前通过北京市政府采购电子交易平台完成电子保函在线办理。</w:t>
      </w:r>
      <w:bookmarkEnd w:id="23"/>
      <w:r>
        <w:rPr>
          <w:rFonts w:hint="eastAsia" w:ascii="宋体" w:hAnsi="宋体" w:eastAsia="宋体" w:cs="宋体"/>
          <w:color w:val="auto"/>
          <w:highlight w:val="none"/>
        </w:rPr>
        <w:t>未按上述要求缴纳投标保证金的，其</w:t>
      </w:r>
      <w:r>
        <w:rPr>
          <w:rFonts w:hint="eastAsia" w:ascii="宋体" w:hAnsi="宋体" w:eastAsia="宋体" w:cs="宋体"/>
          <w:b/>
          <w:bCs/>
          <w:color w:val="auto"/>
          <w:highlight w:val="none"/>
          <w:lang w:eastAsia="zh-CN"/>
        </w:rPr>
        <w:t>投标无效</w:t>
      </w:r>
      <w:r>
        <w:rPr>
          <w:rFonts w:hint="eastAsia" w:ascii="宋体" w:hAnsi="宋体" w:eastAsia="宋体" w:cs="宋体"/>
          <w:color w:val="auto"/>
          <w:highlight w:val="none"/>
        </w:rPr>
        <w:t>。</w:t>
      </w:r>
    </w:p>
    <w:p w14:paraId="10EE9314">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投标人除需在投标文件中提供“投标保证金凭证/交款单据电子件”，还需在投标截止时间前，通过电子交易平台上传“投标保证金凭证/交款单据电子件”。</w:t>
      </w:r>
    </w:p>
    <w:p w14:paraId="7E73240B">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投标保证金有效期同投标有效期。</w:t>
      </w:r>
    </w:p>
    <w:p w14:paraId="05EAA8DD">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投标人为联合体的，可以由联合体中的一方或者多方共同交纳投标保证金，其交纳的投标保证金对联合体各方均具有约束力。</w:t>
      </w:r>
    </w:p>
    <w:p w14:paraId="3BC88C3E">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6FC3632">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投标人在投标截止时间前撤回已提交的投标文件的，自收到投标人书面撤回通知之日起5个工作日内退还已收取的投标保证金；</w:t>
      </w:r>
    </w:p>
    <w:p w14:paraId="747A5C96">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中标人的投标保证金，自采购合同签订之日起5个工作日内退还中标人；</w:t>
      </w:r>
    </w:p>
    <w:p w14:paraId="5BCE59C9">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未中标投标人的投标保证金，自中标通知书发出之日起5个工作日内退还未中标人；</w:t>
      </w:r>
    </w:p>
    <w:p w14:paraId="52F47DC1">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终止招标项目已经收取投标保证金的，自终止采购活动后5个工作日内退还已收取的投标保证金及其在银行产生的孳息。</w:t>
      </w:r>
    </w:p>
    <w:p w14:paraId="4FA86F72">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有下列情形之一的，采购人或采购代理机构可以不予退还投标保证金：</w:t>
      </w:r>
    </w:p>
    <w:p w14:paraId="75536561">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投标有效期内投标人撤销投标文件的；</w:t>
      </w:r>
    </w:p>
    <w:p w14:paraId="70938D79">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《投标人须知资料表》中规定的其他情形。</w:t>
      </w:r>
    </w:p>
    <w:p w14:paraId="7617AF95">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投标有效期</w:t>
      </w:r>
    </w:p>
    <w:p w14:paraId="3E239CA1">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投标文件应在本招标文件《投标人须知资料表》中规定的投标有效期内保持有效，投标有效期少于招标文件规定期限的，其</w:t>
      </w:r>
      <w:r>
        <w:rPr>
          <w:rFonts w:hint="eastAsia" w:ascii="宋体" w:hAnsi="宋体" w:eastAsia="宋体" w:cs="宋体"/>
          <w:b/>
          <w:bCs/>
          <w:color w:val="auto"/>
          <w:highlight w:val="none"/>
          <w:lang w:eastAsia="zh-CN"/>
        </w:rPr>
        <w:t>投标无效</w:t>
      </w:r>
      <w:r>
        <w:rPr>
          <w:rFonts w:hint="eastAsia" w:ascii="宋体" w:hAnsi="宋体" w:eastAsia="宋体" w:cs="宋体"/>
          <w:color w:val="auto"/>
          <w:highlight w:val="none"/>
        </w:rPr>
        <w:t>。</w:t>
      </w:r>
    </w:p>
    <w:p w14:paraId="77804087">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投标文件的签署、盖章</w:t>
      </w:r>
    </w:p>
    <w:p w14:paraId="1D7168BB">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79FFA0D7">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招标文件要求盖章的内容，一般通过投标文件编制工具加盖电子签章。</w:t>
      </w:r>
    </w:p>
    <w:p w14:paraId="56A6362B">
      <w:pPr>
        <w:tabs>
          <w:tab w:val="left" w:pos="900"/>
          <w:tab w:val="left" w:pos="1080"/>
        </w:tabs>
        <w:snapToGrid w:val="0"/>
        <w:spacing w:line="360" w:lineRule="auto"/>
        <w:ind w:left="357"/>
        <w:rPr>
          <w:rFonts w:hint="eastAsia" w:ascii="宋体" w:hAnsi="宋体" w:eastAsia="宋体" w:cs="宋体"/>
          <w:color w:val="auto"/>
          <w:highlight w:val="none"/>
        </w:rPr>
      </w:pPr>
    </w:p>
    <w:p w14:paraId="4E701701">
      <w:pPr>
        <w:keepLines/>
        <w:widowControl w:val="0"/>
        <w:numPr>
          <w:ilvl w:val="0"/>
          <w:numId w:val="9"/>
        </w:numPr>
        <w:tabs>
          <w:tab w:val="left" w:pos="0"/>
          <w:tab w:val="left" w:pos="420"/>
        </w:tabs>
        <w:autoSpaceDE w:val="0"/>
        <w:autoSpaceDN w:val="0"/>
        <w:adjustRightInd w:val="0"/>
        <w:spacing w:before="120" w:after="120" w:line="300" w:lineRule="auto"/>
        <w:ind w:left="0" w:firstLine="420"/>
        <w:jc w:val="center"/>
        <w:outlineLvl w:val="1"/>
        <w:rPr>
          <w:rFonts w:hint="eastAsia" w:ascii="宋体" w:hAnsi="宋体" w:eastAsia="宋体" w:cs="宋体"/>
          <w:b/>
          <w:bCs/>
          <w:color w:val="auto"/>
          <w:spacing w:val="0"/>
          <w:w w:val="100"/>
          <w:kern w:val="0"/>
          <w:position w:val="0"/>
          <w:sz w:val="28"/>
          <w:szCs w:val="28"/>
          <w:highlight w:val="none"/>
          <w:lang w:val="en-US" w:eastAsia="zh-CN" w:bidi="ar-SA"/>
        </w:rPr>
      </w:pPr>
      <w:r>
        <w:rPr>
          <w:rFonts w:hint="eastAsia" w:ascii="宋体" w:hAnsi="宋体" w:eastAsia="宋体" w:cs="宋体"/>
          <w:b/>
          <w:bCs/>
          <w:color w:val="auto"/>
          <w:spacing w:val="0"/>
          <w:w w:val="100"/>
          <w:kern w:val="0"/>
          <w:position w:val="0"/>
          <w:sz w:val="28"/>
          <w:szCs w:val="28"/>
          <w:highlight w:val="none"/>
          <w:lang w:val="en-US" w:eastAsia="zh-CN" w:bidi="ar-SA"/>
        </w:rPr>
        <w:t>投标文件的提交</w:t>
      </w:r>
    </w:p>
    <w:p w14:paraId="309E2628">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投标文件的提交</w:t>
      </w:r>
    </w:p>
    <w:p w14:paraId="3EB447B4">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本项目使用北京市政府采购电子交易平台。投标人根据招标文件及电子交易平台供应商操作手册要求编制、生成并提交电子投标文件。</w:t>
      </w:r>
    </w:p>
    <w:p w14:paraId="1ACC63C2">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采购人及采购代理机构拒绝接受通过电子交易平台以外任何形式提交的投标文件，投标保证金除外。</w:t>
      </w:r>
    </w:p>
    <w:p w14:paraId="785CB961">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投标截止时间</w:t>
      </w:r>
    </w:p>
    <w:p w14:paraId="6907747F">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投标人应在招标文件要求提交投标文件截止时间前，将电子投标文件提交至电子交易平台。</w:t>
      </w:r>
    </w:p>
    <w:p w14:paraId="7B3194A4">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投标文件的修改与撤回</w:t>
      </w:r>
    </w:p>
    <w:p w14:paraId="05881B17">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EEC7CE0">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投标人对投标文件的补充、修改的内容应当按照招标文件要求签署、盖章，作为投标文件的组成部分。</w:t>
      </w:r>
    </w:p>
    <w:p w14:paraId="07280F98">
      <w:pPr>
        <w:spacing w:line="360" w:lineRule="auto"/>
        <w:rPr>
          <w:rFonts w:hint="eastAsia" w:ascii="宋体" w:hAnsi="宋体" w:eastAsia="宋体" w:cs="宋体"/>
          <w:color w:val="auto"/>
          <w:sz w:val="24"/>
          <w:highlight w:val="none"/>
        </w:rPr>
      </w:pPr>
    </w:p>
    <w:p w14:paraId="798B2873">
      <w:pPr>
        <w:keepLines/>
        <w:widowControl w:val="0"/>
        <w:numPr>
          <w:ilvl w:val="0"/>
          <w:numId w:val="9"/>
        </w:numPr>
        <w:tabs>
          <w:tab w:val="left" w:pos="0"/>
          <w:tab w:val="left" w:pos="420"/>
        </w:tabs>
        <w:autoSpaceDE w:val="0"/>
        <w:autoSpaceDN w:val="0"/>
        <w:adjustRightInd w:val="0"/>
        <w:spacing w:before="120" w:after="120" w:line="300" w:lineRule="auto"/>
        <w:ind w:left="0" w:firstLine="420"/>
        <w:jc w:val="center"/>
        <w:outlineLvl w:val="1"/>
        <w:rPr>
          <w:rFonts w:hint="eastAsia" w:ascii="宋体" w:hAnsi="宋体" w:eastAsia="宋体" w:cs="宋体"/>
          <w:b/>
          <w:bCs/>
          <w:color w:val="auto"/>
          <w:spacing w:val="0"/>
          <w:w w:val="100"/>
          <w:kern w:val="0"/>
          <w:position w:val="0"/>
          <w:sz w:val="28"/>
          <w:szCs w:val="28"/>
          <w:highlight w:val="none"/>
          <w:lang w:val="en-US" w:eastAsia="zh-CN" w:bidi="ar-SA"/>
        </w:rPr>
      </w:pPr>
      <w:r>
        <w:rPr>
          <w:rFonts w:hint="eastAsia" w:ascii="宋体" w:hAnsi="宋体" w:eastAsia="宋体" w:cs="宋体"/>
          <w:b/>
          <w:bCs/>
          <w:color w:val="auto"/>
          <w:spacing w:val="0"/>
          <w:w w:val="100"/>
          <w:kern w:val="0"/>
          <w:position w:val="0"/>
          <w:sz w:val="28"/>
          <w:szCs w:val="28"/>
          <w:highlight w:val="none"/>
          <w:lang w:val="en-US" w:eastAsia="zh-CN" w:bidi="ar-SA"/>
        </w:rPr>
        <w:t>开标、资格审查及评标</w:t>
      </w:r>
    </w:p>
    <w:p w14:paraId="5A2B8B16">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开标</w:t>
      </w:r>
    </w:p>
    <w:p w14:paraId="706B1849">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采购人或采购代理机构将按招标文件的规定，在投标截止时间的同一时间和招标文件预先确定的地点组织开标。</w:t>
      </w:r>
    </w:p>
    <w:p w14:paraId="24A666CE">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本项目开标使用北京市政府采购电子交易平台。投标人应在</w:t>
      </w:r>
      <w:bookmarkStart w:id="24" w:name="_Hlk167284562"/>
      <w:r>
        <w:rPr>
          <w:rFonts w:hint="eastAsia" w:ascii="宋体" w:hAnsi="宋体" w:eastAsia="宋体" w:cs="宋体"/>
          <w:color w:val="auto"/>
          <w:highlight w:val="none"/>
        </w:rPr>
        <w:t>《投标人须知资料表》</w:t>
      </w:r>
      <w:bookmarkEnd w:id="24"/>
      <w:r>
        <w:rPr>
          <w:rFonts w:hint="eastAsia" w:ascii="宋体" w:hAnsi="宋体" w:eastAsia="宋体" w:cs="宋体"/>
          <w:color w:val="auto"/>
          <w:highlight w:val="none"/>
        </w:rPr>
        <w:t>规定的时间内对投标文件进行解密，因非系统原因导致的解密失败，视为</w:t>
      </w:r>
      <w:r>
        <w:rPr>
          <w:rFonts w:hint="eastAsia" w:ascii="宋体" w:hAnsi="宋体" w:eastAsia="宋体" w:cs="宋体"/>
          <w:b/>
          <w:bCs/>
          <w:color w:val="auto"/>
          <w:highlight w:val="none"/>
          <w:lang w:eastAsia="zh-CN"/>
        </w:rPr>
        <w:t>投标无效</w:t>
      </w:r>
      <w:r>
        <w:rPr>
          <w:rFonts w:hint="eastAsia" w:ascii="宋体" w:hAnsi="宋体" w:eastAsia="宋体" w:cs="宋体"/>
          <w:color w:val="auto"/>
          <w:highlight w:val="none"/>
        </w:rPr>
        <w:t>。</w:t>
      </w:r>
    </w:p>
    <w:p w14:paraId="780F59E8">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开标过程将使用电子交易平台宣布投标人名称、投标价格和招标文件规定的需要宣布的其他内容并进行记录，并由参加开标的各投标人确认。</w:t>
      </w:r>
      <w:bookmarkStart w:id="25" w:name="_Hlk143533942"/>
      <w:r>
        <w:rPr>
          <w:rFonts w:hint="eastAsia" w:ascii="宋体" w:hAnsi="宋体" w:eastAsia="宋体" w:cs="宋体"/>
          <w:color w:val="auto"/>
          <w:highlight w:val="none"/>
        </w:rPr>
        <w:t>投标人未在规定时间内提出疑义或确认一览表的，视同认可开标结果。</w:t>
      </w:r>
      <w:bookmarkEnd w:id="25"/>
    </w:p>
    <w:p w14:paraId="7865C699">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4C255B3">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投标人不足3家的，不予开标。</w:t>
      </w:r>
    </w:p>
    <w:p w14:paraId="570FECA4">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资格审查</w:t>
      </w:r>
    </w:p>
    <w:p w14:paraId="74436321">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见第三章《资格审查》。</w:t>
      </w:r>
    </w:p>
    <w:p w14:paraId="13035D57">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评标委员会</w:t>
      </w:r>
    </w:p>
    <w:p w14:paraId="5948E2D0">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评标委员会根据政府采购有关规定和本次采购项目的特点进行组建，并负责具体评标事务，独立履行职责。</w:t>
      </w:r>
    </w:p>
    <w:p w14:paraId="7997076A">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629AC818">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评标程序、评标方法和评标标准</w:t>
      </w:r>
    </w:p>
    <w:p w14:paraId="309E8E24">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见第四章《评标程序、评标方法和评标标准》。</w:t>
      </w:r>
    </w:p>
    <w:p w14:paraId="003A66B5">
      <w:pPr>
        <w:tabs>
          <w:tab w:val="left" w:pos="360"/>
          <w:tab w:val="left" w:pos="1080"/>
        </w:tabs>
        <w:snapToGrid w:val="0"/>
        <w:spacing w:line="360" w:lineRule="auto"/>
        <w:ind w:left="1080"/>
        <w:rPr>
          <w:rFonts w:hint="eastAsia" w:ascii="宋体" w:hAnsi="宋体" w:eastAsia="宋体" w:cs="宋体"/>
          <w:color w:val="auto"/>
          <w:sz w:val="24"/>
          <w:highlight w:val="none"/>
        </w:rPr>
      </w:pPr>
    </w:p>
    <w:p w14:paraId="25B59713">
      <w:pPr>
        <w:keepLines/>
        <w:widowControl w:val="0"/>
        <w:numPr>
          <w:ilvl w:val="0"/>
          <w:numId w:val="9"/>
        </w:numPr>
        <w:tabs>
          <w:tab w:val="left" w:pos="0"/>
          <w:tab w:val="left" w:pos="420"/>
        </w:tabs>
        <w:autoSpaceDE w:val="0"/>
        <w:autoSpaceDN w:val="0"/>
        <w:adjustRightInd w:val="0"/>
        <w:spacing w:before="120" w:after="120" w:line="300" w:lineRule="auto"/>
        <w:ind w:left="0" w:firstLine="420"/>
        <w:jc w:val="center"/>
        <w:outlineLvl w:val="1"/>
        <w:rPr>
          <w:rFonts w:hint="eastAsia" w:ascii="宋体" w:hAnsi="宋体" w:eastAsia="宋体" w:cs="宋体"/>
          <w:b/>
          <w:bCs/>
          <w:color w:val="auto"/>
          <w:spacing w:val="0"/>
          <w:w w:val="100"/>
          <w:kern w:val="0"/>
          <w:position w:val="0"/>
          <w:sz w:val="28"/>
          <w:szCs w:val="28"/>
          <w:highlight w:val="none"/>
          <w:lang w:val="en-US" w:eastAsia="zh-CN" w:bidi="ar-SA"/>
        </w:rPr>
      </w:pPr>
      <w:r>
        <w:rPr>
          <w:rFonts w:hint="eastAsia" w:ascii="宋体" w:hAnsi="宋体" w:eastAsia="宋体" w:cs="宋体"/>
          <w:b/>
          <w:bCs/>
          <w:color w:val="auto"/>
          <w:spacing w:val="0"/>
          <w:w w:val="100"/>
          <w:kern w:val="0"/>
          <w:position w:val="0"/>
          <w:sz w:val="28"/>
          <w:szCs w:val="28"/>
          <w:highlight w:val="none"/>
          <w:lang w:val="en-US" w:eastAsia="zh-CN" w:bidi="ar-SA"/>
        </w:rPr>
        <w:t>确定中标</w:t>
      </w:r>
    </w:p>
    <w:p w14:paraId="1A173E45">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确定中标人</w:t>
      </w:r>
    </w:p>
    <w:p w14:paraId="71F08692">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354D8FF7">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中标公告与中标通知书</w:t>
      </w:r>
    </w:p>
    <w:p w14:paraId="42131904">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采购人或采购代理机构自中标人确定之日起2个工作日内，在北京市政府采购网公告中标结果，同时向中标人发出中标通知书，中标公告期限为1个工作日。</w:t>
      </w:r>
    </w:p>
    <w:p w14:paraId="210BF1B1">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中标通知书对采购人和中标供应商均具有法律效力。中标通知书发出后，采购人改变中标结果的，或者中标供应商放弃中标项目的，应当依法承担法律责任。</w:t>
      </w:r>
    </w:p>
    <w:p w14:paraId="4FE4FFB5">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废标</w:t>
      </w:r>
    </w:p>
    <w:p w14:paraId="1197ADB8">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在招标采购中，出现下列情形之一的，应予废标：</w:t>
      </w:r>
    </w:p>
    <w:p w14:paraId="7DE81EA5">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符合专业条件的供应商或者对招标文件作实质响应的供应商不足三家的；</w:t>
      </w:r>
    </w:p>
    <w:p w14:paraId="3FBB36CF">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出现影响采购公正的违法、违规行为的；</w:t>
      </w:r>
    </w:p>
    <w:p w14:paraId="5632886E">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投标人的报价均超过了采购预算，采购人不能支付的；</w:t>
      </w:r>
    </w:p>
    <w:p w14:paraId="3DA4AC19">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因重大变故，采购任务取消的。</w:t>
      </w:r>
    </w:p>
    <w:p w14:paraId="51D09511">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废标后，采购人将废标理由书面通知所有投标人。</w:t>
      </w:r>
    </w:p>
    <w:p w14:paraId="5A4CD6F6">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签订合同</w:t>
      </w:r>
    </w:p>
    <w:p w14:paraId="29BBDF85">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中标人、采购人应当自中标通知书发出之日起30日内，按照招标文件和中标人投标文件的规定签订书面合同。所签订的合同不得对招标文件确定的事项和中标人投标文件作实质性修改。</w:t>
      </w:r>
    </w:p>
    <w:p w14:paraId="1AAEAAA5">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中标人拒绝与采购人签订合同的，采购人可以按照评标报告推荐的中标候选人名单排序，确定下一候选人为中标人，也可以重新开展政府采购活动。</w:t>
      </w:r>
    </w:p>
    <w:p w14:paraId="255A6EB4">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联合体中标的，联合体各方应当共同与采购人签订合同，就采购合同约定的事项向采购人承担连带责任。</w:t>
      </w:r>
    </w:p>
    <w:p w14:paraId="1A89D26C">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政府采购合同不能转包。</w:t>
      </w:r>
    </w:p>
    <w:p w14:paraId="7BFDDD1E">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hint="eastAsia" w:ascii="宋体" w:hAnsi="宋体" w:eastAsia="宋体" w:cs="宋体"/>
          <w:b/>
          <w:bCs/>
          <w:color w:val="auto"/>
          <w:highlight w:val="none"/>
          <w:lang w:eastAsia="zh-CN"/>
        </w:rPr>
        <w:t>投标无效</w:t>
      </w:r>
      <w:r>
        <w:rPr>
          <w:rFonts w:hint="eastAsia" w:ascii="宋体" w:hAnsi="宋体" w:eastAsia="宋体" w:cs="宋体"/>
          <w:color w:val="auto"/>
          <w:highlight w:val="none"/>
        </w:rPr>
        <w:t>。中标人就采购项目和分包项目向采购人负责，分包供应商就分包项目承担责任。</w:t>
      </w:r>
    </w:p>
    <w:p w14:paraId="3EF43726">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“政采贷”融资指引：详见《投标人须知资料表》。</w:t>
      </w:r>
    </w:p>
    <w:p w14:paraId="207244FE">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询问与质疑</w:t>
      </w:r>
    </w:p>
    <w:p w14:paraId="672599B2">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询问</w:t>
      </w:r>
    </w:p>
    <w:p w14:paraId="4AA4202A">
      <w:pPr>
        <w:pStyle w:val="6"/>
        <w:bidi w:val="0"/>
        <w:rPr>
          <w:rFonts w:hint="eastAsia" w:ascii="宋体" w:hAnsi="宋体" w:eastAsia="宋体" w:cs="宋体"/>
          <w:color w:val="auto"/>
          <w:highlight w:val="none"/>
        </w:rPr>
      </w:pPr>
      <w:bookmarkStart w:id="26" w:name="_Hlk179293370"/>
      <w:r>
        <w:rPr>
          <w:rFonts w:hint="eastAsia" w:ascii="宋体" w:hAnsi="宋体" w:eastAsia="宋体" w:cs="宋体"/>
          <w:color w:val="auto"/>
          <w:highlight w:val="none"/>
        </w:rPr>
        <w:t>投标人对政府采购活动事项有疑问的，可依法向采购人或采购代理机构提出询问，提出形式见《投标人须知资料表》。</w:t>
      </w:r>
      <w:bookmarkEnd w:id="26"/>
    </w:p>
    <w:p w14:paraId="3F25CFE0">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采购人或采购代理机构对供应商依法提出的询问，在3个工作日内作出答复，但答复的内容不得涉及商业秘密。</w:t>
      </w:r>
    </w:p>
    <w:p w14:paraId="3F17757E">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质疑</w:t>
      </w:r>
    </w:p>
    <w:p w14:paraId="705C4515">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0676304">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33146E67">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62E678A">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投标人应在法定质疑期内一次性提出针对同一采购程序环节的质疑，法定质疑期内针对同一采购程序环节再次提出的质疑，采购人、采购代理机构有权不予答复。</w:t>
      </w:r>
    </w:p>
    <w:p w14:paraId="55F444C6">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接收询问和质疑的联系部门、联系电话和通讯地址见《投标人须知资料表》。</w:t>
      </w:r>
    </w:p>
    <w:p w14:paraId="158872D6">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代理费</w:t>
      </w:r>
    </w:p>
    <w:p w14:paraId="14F939CE">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收费对象、收费标准及缴纳时间见《投标人须知资料表》。由中标人支付的，中标人须一次性向采购代理机构缴纳代理费，投标报价应包含代理费用。</w:t>
      </w:r>
    </w:p>
    <w:p w14:paraId="6A045E87">
      <w:pPr>
        <w:pStyle w:val="4"/>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其他</w:t>
      </w:r>
    </w:p>
    <w:p w14:paraId="0EC8D0F8">
      <w:pPr>
        <w:pStyle w:val="5"/>
        <w:bidi w:val="0"/>
        <w:rPr>
          <w:rFonts w:hint="eastAsia" w:ascii="宋体" w:hAnsi="宋体" w:eastAsia="宋体" w:cs="宋体"/>
          <w:color w:val="auto"/>
          <w:highlight w:val="none"/>
          <w:lang w:val="en-US" w:eastAsia="zh-CN"/>
        </w:rPr>
      </w:pPr>
      <w:bookmarkStart w:id="27" w:name="_Toc489859366"/>
      <w:bookmarkStart w:id="28" w:name="_Toc489861588"/>
      <w:bookmarkStart w:id="29" w:name="_Toc489866399"/>
      <w:r>
        <w:rPr>
          <w:rFonts w:hint="eastAsia" w:ascii="宋体" w:hAnsi="宋体" w:eastAsia="宋体" w:cs="宋体"/>
          <w:color w:val="auto"/>
          <w:highlight w:val="none"/>
          <w:lang w:val="en-US" w:eastAsia="zh-CN"/>
        </w:rPr>
        <w:t>需要补充的其他内容</w:t>
      </w:r>
      <w:bookmarkEnd w:id="27"/>
      <w:bookmarkEnd w:id="28"/>
      <w:bookmarkEnd w:id="29"/>
      <w:r>
        <w:rPr>
          <w:rFonts w:hint="eastAsia" w:ascii="宋体" w:hAnsi="宋体" w:eastAsia="宋体" w:cs="宋体"/>
          <w:color w:val="auto"/>
          <w:highlight w:val="none"/>
          <w:lang w:val="en-US" w:eastAsia="zh-CN"/>
        </w:rPr>
        <w:t>见《投标人须知资料表》。</w:t>
      </w:r>
    </w:p>
    <w:p w14:paraId="28932C9B">
      <w:pPr>
        <w:tabs>
          <w:tab w:val="left" w:pos="360"/>
          <w:tab w:val="left" w:pos="1080"/>
        </w:tabs>
        <w:snapToGrid w:val="0"/>
        <w:spacing w:line="360" w:lineRule="auto"/>
        <w:ind w:left="360"/>
        <w:rPr>
          <w:rFonts w:hint="eastAsia" w:ascii="宋体" w:hAnsi="宋体" w:eastAsia="宋体" w:cs="宋体"/>
          <w:color w:val="auto"/>
          <w:sz w:val="24"/>
          <w:highlight w:val="none"/>
        </w:rPr>
      </w:pPr>
    </w:p>
    <w:p w14:paraId="01E6DD36">
      <w:pPr>
        <w:pStyle w:val="2"/>
        <w:bidi w:val="0"/>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30" w:name="_Toc99301421"/>
      <w:r>
        <w:rPr>
          <w:rFonts w:hint="eastAsia" w:ascii="宋体" w:hAnsi="宋体" w:eastAsia="宋体" w:cs="宋体"/>
          <w:color w:val="auto"/>
          <w:highlight w:val="none"/>
          <w:lang w:val="en-US" w:eastAsia="zh-CN"/>
        </w:rPr>
        <w:t xml:space="preserve">  </w:t>
      </w:r>
      <w:bookmarkStart w:id="31" w:name="_Toc12293"/>
      <w:r>
        <w:rPr>
          <w:rFonts w:hint="eastAsia" w:ascii="宋体" w:hAnsi="宋体" w:eastAsia="宋体" w:cs="宋体"/>
          <w:color w:val="auto"/>
          <w:highlight w:val="none"/>
        </w:rPr>
        <w:t>资格审查</w:t>
      </w:r>
      <w:bookmarkEnd w:id="30"/>
      <w:bookmarkEnd w:id="31"/>
    </w:p>
    <w:p w14:paraId="724B5E14">
      <w:pPr>
        <w:pStyle w:val="3"/>
        <w:bidi w:val="0"/>
        <w:rPr>
          <w:rFonts w:hint="eastAsia" w:ascii="宋体" w:hAnsi="宋体" w:eastAsia="宋体" w:cs="宋体"/>
          <w:color w:val="auto"/>
          <w:highlight w:val="none"/>
        </w:rPr>
      </w:pPr>
      <w:r>
        <w:rPr>
          <w:rFonts w:hint="eastAsia" w:ascii="宋体" w:hAnsi="宋体" w:eastAsia="宋体" w:cs="宋体"/>
          <w:color w:val="auto"/>
          <w:highlight w:val="none"/>
        </w:rPr>
        <w:t>资格审查程序</w:t>
      </w:r>
    </w:p>
    <w:p w14:paraId="3EDBCCB1">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开标结束后，采购人或采购代理机构将根据《资格审查要求》中的规定，对投标人进行资格审查，并形成资格审查结果。</w:t>
      </w:r>
    </w:p>
    <w:p w14:paraId="1503D504">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《资格审查要求》中对格式有要求的，除招标文件另有规定外，均为“实质性格式”文件。</w:t>
      </w:r>
    </w:p>
    <w:p w14:paraId="0BE2D930">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投标人《资格证明文件》有任何一项不符合《资格审查要求》的，资格审查不合格，其</w:t>
      </w:r>
      <w:r>
        <w:rPr>
          <w:rFonts w:hint="eastAsia" w:ascii="宋体" w:hAnsi="宋体" w:eastAsia="宋体" w:cs="宋体"/>
          <w:b/>
          <w:bCs/>
          <w:color w:val="auto"/>
          <w:highlight w:val="none"/>
          <w:lang w:eastAsia="zh-CN"/>
        </w:rPr>
        <w:t>投标无效</w:t>
      </w:r>
      <w:r>
        <w:rPr>
          <w:rFonts w:hint="eastAsia" w:ascii="宋体" w:hAnsi="宋体" w:eastAsia="宋体" w:cs="宋体"/>
          <w:color w:val="auto"/>
          <w:highlight w:val="none"/>
        </w:rPr>
        <w:t>。</w:t>
      </w:r>
    </w:p>
    <w:p w14:paraId="65154626">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资格审查合格的投标人不足3家的，不进行评标。</w:t>
      </w:r>
    </w:p>
    <w:p w14:paraId="48879C84">
      <w:pPr>
        <w:widowControl/>
        <w:jc w:val="left"/>
        <w:rPr>
          <w:rFonts w:hint="eastAsia" w:ascii="宋体" w:hAnsi="宋体" w:eastAsia="宋体" w:cs="宋体"/>
          <w:color w:val="auto"/>
          <w:sz w:val="24"/>
          <w:highlight w:val="none"/>
        </w:rPr>
      </w:pPr>
    </w:p>
    <w:p w14:paraId="6E98D84E">
      <w:pPr>
        <w:pStyle w:val="3"/>
        <w:bidi w:val="0"/>
        <w:rPr>
          <w:rFonts w:hint="eastAsia" w:ascii="宋体" w:hAnsi="宋体" w:eastAsia="宋体" w:cs="宋体"/>
          <w:color w:val="auto"/>
          <w:highlight w:val="none"/>
        </w:rPr>
      </w:pPr>
      <w:bookmarkStart w:id="32" w:name="_Hlk143693557"/>
      <w:r>
        <w:rPr>
          <w:rFonts w:hint="eastAsia" w:ascii="宋体" w:hAnsi="宋体" w:eastAsia="宋体" w:cs="宋体"/>
          <w:color w:val="auto"/>
          <w:highlight w:val="none"/>
        </w:rPr>
        <w:t>资格审查要求</w:t>
      </w:r>
      <w:bookmarkEnd w:id="32"/>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
        <w:gridCol w:w="2125"/>
        <w:gridCol w:w="5169"/>
        <w:gridCol w:w="1757"/>
      </w:tblGrid>
      <w:tr w14:paraId="10719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869D06A">
            <w:pPr>
              <w:tabs>
                <w:tab w:val="left" w:pos="1080"/>
              </w:tabs>
              <w:snapToGrid w:val="0"/>
              <w:jc w:val="center"/>
              <w:rPr>
                <w:rFonts w:hint="eastAsia" w:ascii="宋体" w:hAnsi="宋体" w:eastAsia="宋体" w:cs="宋体"/>
                <w:b/>
                <w:color w:val="auto"/>
                <w:sz w:val="24"/>
                <w:highlight w:val="none"/>
              </w:rPr>
            </w:pPr>
            <w:bookmarkStart w:id="33" w:name="_Hlk143693460"/>
            <w:r>
              <w:rPr>
                <w:rFonts w:hint="eastAsia" w:ascii="宋体" w:hAnsi="宋体" w:eastAsia="宋体" w:cs="宋体"/>
                <w:b/>
                <w:color w:val="auto"/>
                <w:sz w:val="24"/>
                <w:highlight w:val="none"/>
              </w:rPr>
              <w:t>序号</w:t>
            </w:r>
          </w:p>
        </w:tc>
        <w:tc>
          <w:tcPr>
            <w:tcW w:w="1067" w:type="pct"/>
            <w:vAlign w:val="center"/>
          </w:tcPr>
          <w:p w14:paraId="125E765B">
            <w:pPr>
              <w:tabs>
                <w:tab w:val="left" w:pos="1080"/>
              </w:tabs>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审查因素</w:t>
            </w:r>
          </w:p>
        </w:tc>
        <w:tc>
          <w:tcPr>
            <w:tcW w:w="2596" w:type="pct"/>
            <w:vAlign w:val="center"/>
          </w:tcPr>
          <w:p w14:paraId="0EA45181">
            <w:pPr>
              <w:tabs>
                <w:tab w:val="left" w:pos="1080"/>
              </w:tabs>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c>
          <w:tcPr>
            <w:tcW w:w="882" w:type="pct"/>
            <w:vAlign w:val="center"/>
          </w:tcPr>
          <w:p w14:paraId="0F867201">
            <w:pPr>
              <w:tabs>
                <w:tab w:val="left" w:pos="1080"/>
              </w:tabs>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格式要求</w:t>
            </w:r>
          </w:p>
        </w:tc>
      </w:tr>
      <w:tr w14:paraId="6EF1E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40DCE81">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067" w:type="pct"/>
            <w:vAlign w:val="center"/>
          </w:tcPr>
          <w:p w14:paraId="005BAE16">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满足《中华人民共和国政府采购法》第二十二条规定</w:t>
            </w:r>
          </w:p>
        </w:tc>
        <w:tc>
          <w:tcPr>
            <w:tcW w:w="2596" w:type="pct"/>
            <w:vAlign w:val="center"/>
          </w:tcPr>
          <w:p w14:paraId="2C5B38B8">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具体规定见第一章《投标邀请》</w:t>
            </w:r>
          </w:p>
        </w:tc>
        <w:tc>
          <w:tcPr>
            <w:tcW w:w="882" w:type="pct"/>
            <w:vAlign w:val="center"/>
          </w:tcPr>
          <w:p w14:paraId="42DAB513">
            <w:pPr>
              <w:tabs>
                <w:tab w:val="left" w:pos="1080"/>
              </w:tabs>
              <w:snapToGrid w:val="0"/>
              <w:rPr>
                <w:rFonts w:hint="eastAsia" w:ascii="宋体" w:hAnsi="宋体" w:eastAsia="宋体" w:cs="宋体"/>
                <w:color w:val="auto"/>
                <w:sz w:val="24"/>
                <w:highlight w:val="none"/>
              </w:rPr>
            </w:pPr>
          </w:p>
        </w:tc>
      </w:tr>
      <w:tr w14:paraId="00E59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B56388">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067" w:type="pct"/>
            <w:vAlign w:val="center"/>
          </w:tcPr>
          <w:p w14:paraId="15D43EE9">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营业执照等证明文件</w:t>
            </w:r>
          </w:p>
        </w:tc>
        <w:tc>
          <w:tcPr>
            <w:tcW w:w="2596" w:type="pct"/>
            <w:vAlign w:val="center"/>
          </w:tcPr>
          <w:p w14:paraId="4320FBC3">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投标人为企业（包括合伙企业）的，应提供有效的“营业执照”；</w:t>
            </w:r>
          </w:p>
          <w:p w14:paraId="68B89623">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投标人为事业单位的，应提供有效的“事业单位法人证书”；</w:t>
            </w:r>
          </w:p>
          <w:p w14:paraId="3F232478">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投标人是非企业机构的，应提供有效的“执业许可证”、“登记证书”等证明文件；</w:t>
            </w:r>
          </w:p>
          <w:p w14:paraId="498E7001">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投标人是个体工商户的，应提供有效的“个体工商户营业执照”；</w:t>
            </w:r>
          </w:p>
          <w:p w14:paraId="6A480580">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投标人是自然人的，应提供有效的自然人身份证明。</w:t>
            </w:r>
          </w:p>
          <w:p w14:paraId="4A3BB425">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eastAsia="宋体" w:cs="宋体"/>
                <w:iCs/>
                <w:color w:val="auto"/>
                <w:sz w:val="24"/>
                <w:highlight w:val="none"/>
              </w:rPr>
              <w:t>银行、保险、石油石化、电力、电信等行业的分支机构，可以提供上述</w:t>
            </w:r>
            <w:r>
              <w:rPr>
                <w:rFonts w:hint="eastAsia" w:ascii="宋体" w:hAnsi="宋体" w:eastAsia="宋体" w:cs="宋体"/>
                <w:color w:val="auto"/>
                <w:sz w:val="24"/>
                <w:highlight w:val="none"/>
              </w:rPr>
              <w:t>授权，也可以提供其所属法人/其他组织的有关文件或制度等能够证明授权其独立开展业务的证明材料。</w:t>
            </w:r>
          </w:p>
        </w:tc>
        <w:tc>
          <w:tcPr>
            <w:tcW w:w="882" w:type="pct"/>
            <w:vAlign w:val="center"/>
          </w:tcPr>
          <w:p w14:paraId="4C897AA7">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提供证明文件的电子件或电子证照</w:t>
            </w:r>
          </w:p>
        </w:tc>
      </w:tr>
      <w:tr w14:paraId="0CE61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DB33487">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067" w:type="pct"/>
            <w:vAlign w:val="center"/>
          </w:tcPr>
          <w:p w14:paraId="0B33D2FF">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投标人资格声明书</w:t>
            </w:r>
          </w:p>
        </w:tc>
        <w:tc>
          <w:tcPr>
            <w:tcW w:w="2596" w:type="pct"/>
            <w:vAlign w:val="center"/>
          </w:tcPr>
          <w:p w14:paraId="3C65E556">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提供了符合招标文件要求的《投标人资格声明书》。</w:t>
            </w:r>
          </w:p>
        </w:tc>
        <w:tc>
          <w:tcPr>
            <w:tcW w:w="882" w:type="pct"/>
            <w:vAlign w:val="center"/>
          </w:tcPr>
          <w:p w14:paraId="5D7B6165">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格式见《投标文件格式》</w:t>
            </w:r>
          </w:p>
        </w:tc>
      </w:tr>
      <w:tr w14:paraId="027B3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024DD92">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1067" w:type="pct"/>
            <w:vAlign w:val="center"/>
          </w:tcPr>
          <w:p w14:paraId="6F04554F">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投标人信用记录</w:t>
            </w:r>
          </w:p>
        </w:tc>
        <w:tc>
          <w:tcPr>
            <w:tcW w:w="2596" w:type="pct"/>
            <w:vAlign w:val="center"/>
          </w:tcPr>
          <w:p w14:paraId="688C1786">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查询渠道：信用中国网站和中国政府采购网（</w:t>
            </w:r>
            <w:r>
              <w:rPr>
                <w:rFonts w:hint="eastAsia" w:ascii="宋体" w:hAnsi="宋体" w:eastAsia="宋体" w:cs="宋体"/>
                <w:color w:val="auto"/>
                <w:highlight w:val="none"/>
              </w:rPr>
              <w:t>www.creditchina.gov.cn</w:t>
            </w:r>
            <w:r>
              <w:rPr>
                <w:rFonts w:hint="eastAsia" w:ascii="宋体" w:hAnsi="宋体" w:eastAsia="宋体" w:cs="宋体"/>
                <w:color w:val="auto"/>
                <w:sz w:val="24"/>
                <w:highlight w:val="none"/>
              </w:rPr>
              <w:t>、</w:t>
            </w:r>
            <w:r>
              <w:rPr>
                <w:rFonts w:hint="eastAsia" w:ascii="宋体" w:hAnsi="宋体" w:eastAsia="宋体" w:cs="宋体"/>
                <w:color w:val="auto"/>
                <w:highlight w:val="none"/>
              </w:rPr>
              <w:t>www.ccgp.gov.cn</w:t>
            </w:r>
            <w:r>
              <w:rPr>
                <w:rFonts w:hint="eastAsia" w:ascii="宋体" w:hAnsi="宋体" w:eastAsia="宋体" w:cs="宋体"/>
                <w:color w:val="auto"/>
                <w:sz w:val="24"/>
                <w:highlight w:val="none"/>
              </w:rPr>
              <w:t>）；</w:t>
            </w:r>
          </w:p>
          <w:p w14:paraId="65678AD1">
            <w:pPr>
              <w:tabs>
                <w:tab w:val="left" w:pos="900"/>
                <w:tab w:val="left" w:pos="19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截止时点：投标截止时间以后、资格审查阶段采购人或采购代理机构的实际查询时间；</w:t>
            </w:r>
          </w:p>
          <w:p w14:paraId="7C984F7F">
            <w:pPr>
              <w:tabs>
                <w:tab w:val="left" w:pos="900"/>
                <w:tab w:val="left" w:pos="19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信用信息查询记录和证据留存具体方式：查询结果网页打印页作为查询记录和证据，与其他采购文件一并保存；</w:t>
            </w:r>
          </w:p>
          <w:p w14:paraId="1827BAC3">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信用信息的使用原则：经认定的被列入失信被执行人、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、政府采购严重违法失信行为记录名单的投标人，其</w:t>
            </w:r>
            <w:r>
              <w:rPr>
                <w:rFonts w:hint="eastAsia" w:ascii="宋体" w:hAnsi="宋体" w:eastAsia="宋体" w:cs="宋体"/>
                <w:b/>
                <w:bCs/>
                <w:color w:val="auto"/>
                <w:sz w:val="24"/>
                <w:highlight w:val="none"/>
                <w:lang w:eastAsia="zh-CN"/>
              </w:rPr>
              <w:t>投标无效</w:t>
            </w:r>
            <w:r>
              <w:rPr>
                <w:rFonts w:hint="eastAsia" w:ascii="宋体" w:hAnsi="宋体" w:eastAsia="宋体" w:cs="宋体"/>
                <w:color w:val="auto"/>
                <w:sz w:val="24"/>
                <w:highlight w:val="none"/>
              </w:rPr>
              <w:t>。联合体形式投标的，联合体成员存在不良信用记录，视同联合体存在不良信用记录。</w:t>
            </w:r>
          </w:p>
        </w:tc>
        <w:tc>
          <w:tcPr>
            <w:tcW w:w="882" w:type="pct"/>
            <w:vAlign w:val="center"/>
          </w:tcPr>
          <w:p w14:paraId="573E5427">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无须投标人提供，由采购人或采购代理机构查询。</w:t>
            </w:r>
          </w:p>
        </w:tc>
      </w:tr>
      <w:tr w14:paraId="60597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E45DB9D">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1067" w:type="pct"/>
            <w:vAlign w:val="center"/>
          </w:tcPr>
          <w:p w14:paraId="4F28AC14">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法律、行政法规规定的其他条件</w:t>
            </w:r>
          </w:p>
        </w:tc>
        <w:tc>
          <w:tcPr>
            <w:tcW w:w="2596" w:type="pct"/>
            <w:vAlign w:val="center"/>
          </w:tcPr>
          <w:p w14:paraId="4EF9E1FD">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法律、行政法规规定的其他条件</w:t>
            </w:r>
          </w:p>
        </w:tc>
        <w:tc>
          <w:tcPr>
            <w:tcW w:w="882" w:type="pct"/>
            <w:vAlign w:val="center"/>
          </w:tcPr>
          <w:p w14:paraId="48225F47">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3F7D1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6CA3DE6">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067" w:type="pct"/>
            <w:vAlign w:val="center"/>
          </w:tcPr>
          <w:p w14:paraId="5A3BE471">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落实政府采购政策需满足的资格要求</w:t>
            </w:r>
          </w:p>
        </w:tc>
        <w:tc>
          <w:tcPr>
            <w:tcW w:w="2596" w:type="pct"/>
            <w:vAlign w:val="center"/>
          </w:tcPr>
          <w:p w14:paraId="7A0A434F">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具体要求见第一章《投标邀请》</w:t>
            </w:r>
          </w:p>
        </w:tc>
        <w:tc>
          <w:tcPr>
            <w:tcW w:w="882" w:type="pct"/>
            <w:vAlign w:val="center"/>
          </w:tcPr>
          <w:p w14:paraId="2B261AC8">
            <w:pPr>
              <w:tabs>
                <w:tab w:val="left" w:pos="1080"/>
              </w:tabs>
              <w:snapToGrid w:val="0"/>
              <w:rPr>
                <w:rFonts w:hint="eastAsia" w:ascii="宋体" w:hAnsi="宋体" w:eastAsia="宋体" w:cs="宋体"/>
                <w:color w:val="auto"/>
                <w:sz w:val="24"/>
                <w:highlight w:val="none"/>
              </w:rPr>
            </w:pPr>
          </w:p>
        </w:tc>
      </w:tr>
      <w:tr w14:paraId="6CB63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6AB03CC">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1067" w:type="pct"/>
            <w:vAlign w:val="center"/>
          </w:tcPr>
          <w:p w14:paraId="12B6F9EA">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中小企业政策证明文件</w:t>
            </w:r>
          </w:p>
        </w:tc>
        <w:tc>
          <w:tcPr>
            <w:tcW w:w="2596" w:type="pct"/>
            <w:vAlign w:val="center"/>
          </w:tcPr>
          <w:p w14:paraId="709FC8DD">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具体要求见第一章《投标邀请》</w:t>
            </w:r>
          </w:p>
        </w:tc>
        <w:tc>
          <w:tcPr>
            <w:tcW w:w="882" w:type="pct"/>
            <w:vAlign w:val="center"/>
          </w:tcPr>
          <w:p w14:paraId="1CC41781">
            <w:pPr>
              <w:tabs>
                <w:tab w:val="left" w:pos="1080"/>
              </w:tabs>
              <w:snapToGrid w:val="0"/>
              <w:rPr>
                <w:rFonts w:hint="eastAsia" w:ascii="宋体" w:hAnsi="宋体" w:eastAsia="宋体" w:cs="宋体"/>
                <w:color w:val="auto"/>
                <w:sz w:val="24"/>
                <w:highlight w:val="none"/>
              </w:rPr>
            </w:pPr>
          </w:p>
        </w:tc>
      </w:tr>
      <w:tr w14:paraId="69BB5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F6C4AA0">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2-1-1</w:t>
            </w:r>
          </w:p>
        </w:tc>
        <w:tc>
          <w:tcPr>
            <w:tcW w:w="1067" w:type="pct"/>
            <w:vAlign w:val="center"/>
          </w:tcPr>
          <w:p w14:paraId="161BE1B7">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中小企业证明文件</w:t>
            </w:r>
          </w:p>
        </w:tc>
        <w:tc>
          <w:tcPr>
            <w:tcW w:w="2596" w:type="pct"/>
            <w:vAlign w:val="center"/>
          </w:tcPr>
          <w:p w14:paraId="1544CAF3">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当本项目（包）涉及预留份额专门面向中小企业采购，此时建议在《资格证明文件》中提供。</w:t>
            </w:r>
          </w:p>
          <w:p w14:paraId="60012F0B">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1、投标人单独投标的，应提供《中小企业声明函》或《残疾人福利性单位声明函》或由省级以上监狱管理局、戒毒管理局（含新疆生产建设兵团）出具的属于监狱企业的证明文件。</w:t>
            </w:r>
          </w:p>
          <w:p w14:paraId="70AF2F73">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23C2015">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格式见《投标文件格式》</w:t>
            </w:r>
          </w:p>
        </w:tc>
      </w:tr>
      <w:tr w14:paraId="4EC5B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057695">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2-1-2</w:t>
            </w:r>
          </w:p>
        </w:tc>
        <w:tc>
          <w:tcPr>
            <w:tcW w:w="1067" w:type="pct"/>
            <w:vAlign w:val="center"/>
          </w:tcPr>
          <w:p w14:paraId="6251B7A8">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拟分包情况说明及分包意向协议</w:t>
            </w:r>
          </w:p>
        </w:tc>
        <w:tc>
          <w:tcPr>
            <w:tcW w:w="2596" w:type="pct"/>
            <w:vAlign w:val="center"/>
          </w:tcPr>
          <w:p w14:paraId="0E7BF564">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如本项目（包）要求通过分包措施预留部分采购份额面向中小企业采购、且投标人因落实政府采购政策拟进行分包的，必须提供；否则无须提供。</w:t>
            </w:r>
          </w:p>
          <w:p w14:paraId="1C7614A1">
            <w:pPr>
              <w:tabs>
                <w:tab w:val="left" w:pos="1080"/>
              </w:tabs>
              <w:snapToGrid w:val="0"/>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9B6FE00">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格式见《投标文件格式》</w:t>
            </w:r>
          </w:p>
        </w:tc>
      </w:tr>
      <w:tr w14:paraId="08A50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079E3AA">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1067" w:type="pct"/>
            <w:vAlign w:val="center"/>
          </w:tcPr>
          <w:p w14:paraId="29798B26">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其它落实政府采购政策的资格要求</w:t>
            </w:r>
          </w:p>
        </w:tc>
        <w:tc>
          <w:tcPr>
            <w:tcW w:w="2596" w:type="pct"/>
            <w:vAlign w:val="center"/>
          </w:tcPr>
          <w:p w14:paraId="7096CE61">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如有，见第一章《投标邀请》</w:t>
            </w:r>
          </w:p>
        </w:tc>
        <w:tc>
          <w:tcPr>
            <w:tcW w:w="882" w:type="pct"/>
            <w:vAlign w:val="center"/>
          </w:tcPr>
          <w:p w14:paraId="7CB377EF">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提供证明文件的电子件或电子证照</w:t>
            </w:r>
          </w:p>
        </w:tc>
      </w:tr>
      <w:tr w14:paraId="2D938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74D9985">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067" w:type="pct"/>
            <w:vAlign w:val="center"/>
          </w:tcPr>
          <w:p w14:paraId="4F99FFB8">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本项目的特定资格要求</w:t>
            </w:r>
          </w:p>
        </w:tc>
        <w:tc>
          <w:tcPr>
            <w:tcW w:w="2596" w:type="pct"/>
            <w:vAlign w:val="center"/>
          </w:tcPr>
          <w:p w14:paraId="42D866AE">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如有，见第一章《投标邀请》</w:t>
            </w:r>
          </w:p>
        </w:tc>
        <w:tc>
          <w:tcPr>
            <w:tcW w:w="882" w:type="pct"/>
            <w:vAlign w:val="center"/>
          </w:tcPr>
          <w:p w14:paraId="7B83A23C">
            <w:pPr>
              <w:tabs>
                <w:tab w:val="left" w:pos="1080"/>
              </w:tabs>
              <w:snapToGrid w:val="0"/>
              <w:rPr>
                <w:rFonts w:hint="eastAsia" w:ascii="宋体" w:hAnsi="宋体" w:eastAsia="宋体" w:cs="宋体"/>
                <w:color w:val="auto"/>
                <w:sz w:val="24"/>
                <w:highlight w:val="none"/>
              </w:rPr>
            </w:pPr>
          </w:p>
        </w:tc>
      </w:tr>
      <w:tr w14:paraId="32D23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2BBA5BB">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p>
        </w:tc>
        <w:tc>
          <w:tcPr>
            <w:tcW w:w="1067" w:type="pct"/>
            <w:vAlign w:val="center"/>
          </w:tcPr>
          <w:p w14:paraId="6FC6685D">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本项目对于联合体的要求</w:t>
            </w:r>
          </w:p>
        </w:tc>
        <w:tc>
          <w:tcPr>
            <w:tcW w:w="2596" w:type="pct"/>
            <w:vAlign w:val="center"/>
          </w:tcPr>
          <w:p w14:paraId="2BA69B6E">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612C918">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2、联合体各成员单位均须提供本表中序号1-1、1-2的证明文件。联合体各成员单位均应满足本表3-2项规定。</w:t>
            </w:r>
          </w:p>
          <w:p w14:paraId="1DEB0B8C">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3、本表序号3-3项规定的其他特定资格要求中的每一小项要求，联合体各方中至少应当有一方符合本表中其他资格要求并提供证明文件。</w:t>
            </w:r>
          </w:p>
          <w:p w14:paraId="6537DE16">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4、联合体中有同类资质的供应商按照联合体分工承担相同工作的，应当按照资质等级较低的供应商确定资质等级。</w:t>
            </w:r>
          </w:p>
          <w:p w14:paraId="0B351121">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5、以联合体形式参加政府采购活动的，联合体各方不得再单独参加或者与其他供应商另外组成联合体参加同一合同项下的政府采购活动。</w:t>
            </w:r>
          </w:p>
          <w:p w14:paraId="32054052">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6、若联合体中任一成员单位中途退出，则该联合体的</w:t>
            </w:r>
            <w:r>
              <w:rPr>
                <w:rFonts w:hint="eastAsia" w:ascii="宋体" w:hAnsi="宋体" w:eastAsia="宋体" w:cs="宋体"/>
                <w:b/>
                <w:bCs/>
                <w:color w:val="auto"/>
                <w:sz w:val="24"/>
                <w:highlight w:val="none"/>
                <w:lang w:eastAsia="zh-CN"/>
              </w:rPr>
              <w:t>投标无效</w:t>
            </w:r>
            <w:r>
              <w:rPr>
                <w:rFonts w:hint="eastAsia" w:ascii="宋体" w:hAnsi="宋体" w:eastAsia="宋体" w:cs="宋体"/>
                <w:color w:val="auto"/>
                <w:sz w:val="24"/>
                <w:highlight w:val="none"/>
              </w:rPr>
              <w:t>。</w:t>
            </w:r>
          </w:p>
          <w:p w14:paraId="0FE0D696">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7、本项目不接受联合体投标时，投标人不得为联合体。</w:t>
            </w:r>
          </w:p>
        </w:tc>
        <w:tc>
          <w:tcPr>
            <w:tcW w:w="882" w:type="pct"/>
            <w:vAlign w:val="center"/>
          </w:tcPr>
          <w:p w14:paraId="23DF111E">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提供《联合协议》原件的电子件</w:t>
            </w:r>
          </w:p>
          <w:p w14:paraId="113F2309">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格式见《投标文件格式》</w:t>
            </w:r>
          </w:p>
        </w:tc>
      </w:tr>
      <w:tr w14:paraId="2EF67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0A96428">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p>
        </w:tc>
        <w:tc>
          <w:tcPr>
            <w:tcW w:w="1067" w:type="pct"/>
            <w:vAlign w:val="center"/>
          </w:tcPr>
          <w:p w14:paraId="4651CD5D">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政府购买服务承接主体的要求</w:t>
            </w:r>
          </w:p>
        </w:tc>
        <w:tc>
          <w:tcPr>
            <w:tcW w:w="2596" w:type="pct"/>
            <w:vAlign w:val="center"/>
          </w:tcPr>
          <w:p w14:paraId="1B436288">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如本项目属于政府购买服务，投标人不属于公益一类事业单位、使用事业编制且由财政拨款保障的群团组织。</w:t>
            </w:r>
          </w:p>
        </w:tc>
        <w:tc>
          <w:tcPr>
            <w:tcW w:w="882" w:type="pct"/>
            <w:vAlign w:val="center"/>
          </w:tcPr>
          <w:p w14:paraId="2062EB96">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格式见《投标文件格式》“1-2 投标人资格声明书”</w:t>
            </w:r>
          </w:p>
        </w:tc>
      </w:tr>
      <w:tr w14:paraId="6AB3B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33B5E888">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3-3</w:t>
            </w:r>
          </w:p>
        </w:tc>
        <w:tc>
          <w:tcPr>
            <w:tcW w:w="1067" w:type="pct"/>
            <w:vAlign w:val="center"/>
          </w:tcPr>
          <w:p w14:paraId="10DA23B7">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其他特定资格要求</w:t>
            </w:r>
          </w:p>
        </w:tc>
        <w:tc>
          <w:tcPr>
            <w:tcW w:w="2596" w:type="pct"/>
            <w:vAlign w:val="center"/>
          </w:tcPr>
          <w:p w14:paraId="3D6B7101">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如有，见第一章《投标邀请》</w:t>
            </w:r>
          </w:p>
          <w:p w14:paraId="73F6F234">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注：如联合体中有同类资质的供应商按照联合体分工承担相同工作的，均应当提供资质证书电子件或电子证照。</w:t>
            </w:r>
          </w:p>
        </w:tc>
        <w:tc>
          <w:tcPr>
            <w:tcW w:w="882" w:type="pct"/>
            <w:vAlign w:val="center"/>
          </w:tcPr>
          <w:p w14:paraId="2FFB0ACE">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提供证明文件的电子件或电子证照</w:t>
            </w:r>
          </w:p>
        </w:tc>
      </w:tr>
      <w:tr w14:paraId="6F6F2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6A7345E">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067" w:type="pct"/>
            <w:vAlign w:val="center"/>
          </w:tcPr>
          <w:p w14:paraId="78F039A6">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w:t>
            </w:r>
          </w:p>
        </w:tc>
        <w:tc>
          <w:tcPr>
            <w:tcW w:w="2596" w:type="pct"/>
            <w:vAlign w:val="center"/>
          </w:tcPr>
          <w:p w14:paraId="42F340D8">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按照招标文件的规定提交投标保证金。</w:t>
            </w:r>
          </w:p>
        </w:tc>
        <w:tc>
          <w:tcPr>
            <w:tcW w:w="882" w:type="pct"/>
            <w:vAlign w:val="center"/>
          </w:tcPr>
          <w:p w14:paraId="5CEEB39D">
            <w:pPr>
              <w:tabs>
                <w:tab w:val="left" w:pos="1080"/>
              </w:tabs>
              <w:snapToGrid w:val="0"/>
              <w:rPr>
                <w:rFonts w:hint="eastAsia" w:ascii="宋体" w:hAnsi="宋体" w:eastAsia="宋体" w:cs="宋体"/>
                <w:color w:val="auto"/>
                <w:sz w:val="24"/>
                <w:highlight w:val="none"/>
              </w:rPr>
            </w:pPr>
          </w:p>
        </w:tc>
      </w:tr>
      <w:tr w14:paraId="5A8F2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446E0B0">
            <w:pPr>
              <w:tabs>
                <w:tab w:val="left" w:pos="1080"/>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067" w:type="pct"/>
            <w:vAlign w:val="center"/>
          </w:tcPr>
          <w:p w14:paraId="279F511E">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获取招标文件</w:t>
            </w:r>
          </w:p>
        </w:tc>
        <w:tc>
          <w:tcPr>
            <w:tcW w:w="2596" w:type="pct"/>
            <w:vAlign w:val="center"/>
          </w:tcPr>
          <w:p w14:paraId="1FF3EE13">
            <w:pPr>
              <w:tabs>
                <w:tab w:val="left" w:pos="1080"/>
              </w:tabs>
              <w:snapToGrid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在规定期限内通过北京市政府采购电子交易平台获取所参与包的招标文件。</w:t>
            </w:r>
          </w:p>
          <w:p w14:paraId="1A325737">
            <w:pPr>
              <w:tabs>
                <w:tab w:val="left" w:pos="1080"/>
              </w:tabs>
              <w:snapToGrid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注：如本项目接受联合体，且供应商为联合体时，联合体中任一成员获取文件即视为满足要求。</w:t>
            </w:r>
          </w:p>
        </w:tc>
        <w:tc>
          <w:tcPr>
            <w:tcW w:w="882" w:type="pct"/>
            <w:vAlign w:val="center"/>
          </w:tcPr>
          <w:p w14:paraId="5AA1DF39">
            <w:pPr>
              <w:tabs>
                <w:tab w:val="left" w:pos="1080"/>
              </w:tabs>
              <w:snapToGrid w:val="0"/>
              <w:rPr>
                <w:rFonts w:hint="eastAsia" w:ascii="宋体" w:hAnsi="宋体" w:eastAsia="宋体" w:cs="宋体"/>
                <w:color w:val="auto"/>
                <w:sz w:val="24"/>
                <w:highlight w:val="none"/>
              </w:rPr>
            </w:pPr>
          </w:p>
        </w:tc>
      </w:tr>
      <w:bookmarkEnd w:id="33"/>
    </w:tbl>
    <w:p w14:paraId="11AED415">
      <w:pPr>
        <w:widowControl/>
        <w:jc w:val="left"/>
        <w:rPr>
          <w:rFonts w:hint="eastAsia" w:ascii="宋体" w:hAnsi="宋体" w:eastAsia="宋体" w:cs="宋体"/>
          <w:color w:val="auto"/>
          <w:sz w:val="24"/>
          <w:highlight w:val="none"/>
        </w:rPr>
      </w:pPr>
      <w:bookmarkStart w:id="34" w:name="_Hlt487900425"/>
      <w:bookmarkEnd w:id="34"/>
      <w:bookmarkStart w:id="35" w:name="_Hlt522424701"/>
      <w:bookmarkEnd w:id="35"/>
      <w:bookmarkStart w:id="36" w:name="_Toc127161490"/>
      <w:bookmarkStart w:id="37" w:name="_Toc226965858"/>
      <w:bookmarkStart w:id="38" w:name="_Toc127151779"/>
      <w:bookmarkStart w:id="39" w:name="_Toc353825550"/>
      <w:bookmarkStart w:id="40" w:name="_Toc353873940"/>
      <w:r>
        <w:rPr>
          <w:rFonts w:hint="eastAsia" w:ascii="宋体" w:hAnsi="宋体" w:eastAsia="宋体" w:cs="宋体"/>
          <w:color w:val="auto"/>
          <w:sz w:val="24"/>
          <w:highlight w:val="none"/>
        </w:rPr>
        <w:br w:type="page"/>
      </w:r>
    </w:p>
    <w:bookmarkEnd w:id="36"/>
    <w:bookmarkEnd w:id="37"/>
    <w:bookmarkEnd w:id="38"/>
    <w:bookmarkEnd w:id="39"/>
    <w:bookmarkEnd w:id="40"/>
    <w:p w14:paraId="05FBCCCD">
      <w:pPr>
        <w:pStyle w:val="2"/>
        <w:bidi w:val="0"/>
        <w:rPr>
          <w:rFonts w:hint="eastAsia" w:ascii="宋体" w:hAnsi="宋体" w:eastAsia="宋体" w:cs="宋体"/>
          <w:color w:val="auto"/>
          <w:highlight w:val="none"/>
        </w:rPr>
      </w:pPr>
      <w:bookmarkStart w:id="41" w:name="_Toc99301423"/>
      <w:r>
        <w:rPr>
          <w:rFonts w:hint="eastAsia" w:ascii="宋体" w:hAnsi="宋体" w:eastAsia="宋体" w:cs="宋体"/>
          <w:color w:val="auto"/>
          <w:highlight w:val="none"/>
          <w:lang w:val="en-US" w:eastAsia="zh-CN"/>
        </w:rPr>
        <w:t xml:space="preserve">  </w:t>
      </w:r>
      <w:bookmarkStart w:id="42" w:name="_Toc18488"/>
      <w:r>
        <w:rPr>
          <w:rFonts w:hint="eastAsia" w:ascii="宋体" w:hAnsi="宋体" w:eastAsia="宋体" w:cs="宋体"/>
          <w:color w:val="auto"/>
          <w:highlight w:val="none"/>
        </w:rPr>
        <w:t>评标程序、评标方法和评标标准</w:t>
      </w:r>
      <w:bookmarkEnd w:id="41"/>
      <w:bookmarkEnd w:id="42"/>
    </w:p>
    <w:p w14:paraId="38978739">
      <w:pPr>
        <w:pStyle w:val="3"/>
        <w:bidi w:val="0"/>
        <w:rPr>
          <w:rFonts w:hint="eastAsia" w:ascii="宋体" w:hAnsi="宋体" w:eastAsia="宋体" w:cs="宋体"/>
          <w:color w:val="auto"/>
          <w:highlight w:val="none"/>
        </w:rPr>
      </w:pPr>
      <w:r>
        <w:rPr>
          <w:rFonts w:hint="eastAsia" w:ascii="宋体" w:hAnsi="宋体" w:eastAsia="宋体" w:cs="宋体"/>
          <w:color w:val="auto"/>
          <w:highlight w:val="none"/>
        </w:rPr>
        <w:t>评标程序、评标方法</w:t>
      </w:r>
    </w:p>
    <w:p w14:paraId="706FED17">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投标文件的符合性审查</w:t>
      </w:r>
    </w:p>
    <w:p w14:paraId="54C474E2">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评标委员会对资格审查合格的投标人的投标文件进行符合性审查，以确定其是否满足招标文件的实质性要求。</w:t>
      </w:r>
    </w:p>
    <w:p w14:paraId="6BECAA10">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hint="eastAsia" w:ascii="宋体" w:hAnsi="宋体" w:eastAsia="宋体" w:cs="宋体"/>
          <w:b/>
          <w:bCs/>
          <w:color w:val="auto"/>
          <w:highlight w:val="none"/>
          <w:lang w:eastAsia="zh-CN"/>
        </w:rPr>
        <w:t>投标无效</w:t>
      </w:r>
      <w:r>
        <w:rPr>
          <w:rFonts w:hint="eastAsia" w:ascii="宋体" w:hAnsi="宋体" w:eastAsia="宋体" w:cs="宋体"/>
          <w:color w:val="auto"/>
          <w:highlight w:val="none"/>
        </w:rPr>
        <w:t>。</w:t>
      </w:r>
    </w:p>
    <w:p w14:paraId="24281224">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符合性审查要求</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942"/>
        <w:gridCol w:w="7212"/>
      </w:tblGrid>
      <w:tr w14:paraId="4566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15FF671B">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序号</w:t>
            </w:r>
          </w:p>
        </w:tc>
        <w:tc>
          <w:tcPr>
            <w:tcW w:w="975" w:type="pct"/>
            <w:shd w:val="clear" w:color="auto" w:fill="auto"/>
            <w:vAlign w:val="center"/>
          </w:tcPr>
          <w:p w14:paraId="53468961">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审查因素</w:t>
            </w:r>
          </w:p>
        </w:tc>
        <w:tc>
          <w:tcPr>
            <w:tcW w:w="3620" w:type="pct"/>
            <w:shd w:val="clear" w:color="auto" w:fill="auto"/>
            <w:vAlign w:val="center"/>
          </w:tcPr>
          <w:p w14:paraId="1004BD11">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审查内容</w:t>
            </w:r>
          </w:p>
        </w:tc>
      </w:tr>
      <w:tr w14:paraId="7807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9284DC9">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975" w:type="pct"/>
            <w:shd w:val="clear" w:color="auto" w:fill="auto"/>
            <w:vAlign w:val="center"/>
          </w:tcPr>
          <w:p w14:paraId="391CDDB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授权委托书</w:t>
            </w:r>
          </w:p>
        </w:tc>
        <w:tc>
          <w:tcPr>
            <w:tcW w:w="3620" w:type="pct"/>
            <w:shd w:val="clear" w:color="auto" w:fill="auto"/>
            <w:vAlign w:val="center"/>
          </w:tcPr>
          <w:p w14:paraId="6D1F1D6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按招标文件要求提供授权委托书；</w:t>
            </w:r>
          </w:p>
        </w:tc>
      </w:tr>
      <w:tr w14:paraId="2F58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8AE08F2">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975" w:type="pct"/>
            <w:shd w:val="clear" w:color="auto" w:fill="auto"/>
            <w:vAlign w:val="center"/>
          </w:tcPr>
          <w:p w14:paraId="63EFD9D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投标完整性</w:t>
            </w:r>
          </w:p>
        </w:tc>
        <w:tc>
          <w:tcPr>
            <w:tcW w:w="3620" w:type="pct"/>
            <w:shd w:val="clear" w:color="auto" w:fill="auto"/>
            <w:vAlign w:val="center"/>
          </w:tcPr>
          <w:p w14:paraId="74C77A0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未将一个采购包中的内容拆分投标；</w:t>
            </w:r>
          </w:p>
        </w:tc>
      </w:tr>
      <w:tr w14:paraId="1782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2A6CB1B">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975" w:type="pct"/>
            <w:shd w:val="clear" w:color="auto" w:fill="auto"/>
            <w:vAlign w:val="center"/>
          </w:tcPr>
          <w:p w14:paraId="508E3E2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投标报价</w:t>
            </w:r>
          </w:p>
        </w:tc>
        <w:tc>
          <w:tcPr>
            <w:tcW w:w="3620" w:type="pct"/>
            <w:shd w:val="clear" w:color="auto" w:fill="auto"/>
            <w:vAlign w:val="center"/>
          </w:tcPr>
          <w:p w14:paraId="338595D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投标报价未</w:t>
            </w:r>
            <w:r>
              <w:rPr>
                <w:rFonts w:hint="eastAsia" w:ascii="宋体" w:hAnsi="宋体" w:eastAsia="宋体" w:cs="宋体"/>
                <w:color w:val="auto"/>
                <w:sz w:val="24"/>
                <w:highlight w:val="none"/>
              </w:rPr>
              <w:t>超过招标文件中规定的项目/采购包预算金额或者项目/采购包最高限价</w:t>
            </w:r>
            <w:r>
              <w:rPr>
                <w:rFonts w:hint="eastAsia" w:ascii="宋体" w:hAnsi="宋体" w:eastAsia="宋体" w:cs="宋体"/>
                <w:color w:val="auto"/>
                <w:kern w:val="0"/>
                <w:sz w:val="24"/>
                <w:highlight w:val="none"/>
              </w:rPr>
              <w:t>；</w:t>
            </w:r>
          </w:p>
        </w:tc>
      </w:tr>
      <w:tr w14:paraId="2C97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7E36569">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975" w:type="pct"/>
            <w:shd w:val="clear" w:color="auto" w:fill="auto"/>
            <w:vAlign w:val="center"/>
          </w:tcPr>
          <w:p w14:paraId="17EA4C6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报价唯一性</w:t>
            </w:r>
          </w:p>
        </w:tc>
        <w:tc>
          <w:tcPr>
            <w:tcW w:w="3620" w:type="pct"/>
            <w:shd w:val="clear" w:color="auto" w:fill="auto"/>
            <w:vAlign w:val="center"/>
          </w:tcPr>
          <w:p w14:paraId="46981FA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投标文件未</w:t>
            </w:r>
            <w:r>
              <w:rPr>
                <w:rFonts w:hint="eastAsia" w:ascii="宋体" w:hAnsi="宋体" w:eastAsia="宋体" w:cs="宋体"/>
                <w:color w:val="auto"/>
                <w:sz w:val="24"/>
                <w:highlight w:val="none"/>
              </w:rPr>
              <w:t>出现可选择性或可调整的报价（招标文件另有规定的除外）</w:t>
            </w:r>
            <w:r>
              <w:rPr>
                <w:rFonts w:hint="eastAsia" w:ascii="宋体" w:hAnsi="宋体" w:eastAsia="宋体" w:cs="宋体"/>
                <w:color w:val="auto"/>
                <w:kern w:val="0"/>
                <w:sz w:val="24"/>
                <w:highlight w:val="none"/>
              </w:rPr>
              <w:t>；</w:t>
            </w:r>
          </w:p>
        </w:tc>
      </w:tr>
      <w:tr w14:paraId="610A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BB4C68">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975" w:type="pct"/>
            <w:shd w:val="clear" w:color="auto" w:fill="auto"/>
            <w:vAlign w:val="center"/>
          </w:tcPr>
          <w:p w14:paraId="327D0C6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投标有效期</w:t>
            </w:r>
          </w:p>
        </w:tc>
        <w:tc>
          <w:tcPr>
            <w:tcW w:w="3620" w:type="pct"/>
            <w:shd w:val="clear" w:color="auto" w:fill="auto"/>
            <w:vAlign w:val="center"/>
          </w:tcPr>
          <w:p w14:paraId="282926E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投标文件中承诺的投标有效期满足招标文件中载明的投标有效期的；</w:t>
            </w:r>
          </w:p>
        </w:tc>
      </w:tr>
      <w:tr w14:paraId="697A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2EE204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w:t>
            </w:r>
          </w:p>
        </w:tc>
        <w:tc>
          <w:tcPr>
            <w:tcW w:w="975" w:type="pct"/>
            <w:shd w:val="clear" w:color="auto" w:fill="auto"/>
            <w:vAlign w:val="center"/>
          </w:tcPr>
          <w:p w14:paraId="450376D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实质性格式</w:t>
            </w:r>
          </w:p>
        </w:tc>
        <w:tc>
          <w:tcPr>
            <w:tcW w:w="3620" w:type="pct"/>
            <w:shd w:val="clear" w:color="auto" w:fill="auto"/>
            <w:vAlign w:val="center"/>
          </w:tcPr>
          <w:p w14:paraId="54CF403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标记为“实质性格式”的文件均按招标文件要求提供且签署、盖章的；</w:t>
            </w:r>
          </w:p>
        </w:tc>
      </w:tr>
      <w:tr w14:paraId="4C34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E724716">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w:t>
            </w:r>
          </w:p>
        </w:tc>
        <w:tc>
          <w:tcPr>
            <w:tcW w:w="975" w:type="pct"/>
            <w:shd w:val="clear" w:color="auto" w:fill="auto"/>
            <w:vAlign w:val="center"/>
          </w:tcPr>
          <w:p w14:paraId="32E3585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★号条款响应</w:t>
            </w:r>
          </w:p>
        </w:tc>
        <w:tc>
          <w:tcPr>
            <w:tcW w:w="3620" w:type="pct"/>
            <w:shd w:val="clear" w:color="auto" w:fill="auto"/>
            <w:vAlign w:val="center"/>
          </w:tcPr>
          <w:p w14:paraId="237D817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投标文件满足招标文件</w:t>
            </w:r>
            <w:r>
              <w:rPr>
                <w:rFonts w:hint="eastAsia" w:ascii="宋体" w:hAnsi="宋体" w:eastAsia="宋体" w:cs="宋体"/>
                <w:color w:val="auto"/>
                <w:sz w:val="24"/>
                <w:highlight w:val="none"/>
              </w:rPr>
              <w:t>第五章《采购需求》</w:t>
            </w:r>
            <w:r>
              <w:rPr>
                <w:rFonts w:hint="eastAsia" w:ascii="宋体" w:hAnsi="宋体" w:eastAsia="宋体" w:cs="宋体"/>
                <w:color w:val="auto"/>
                <w:kern w:val="0"/>
                <w:sz w:val="24"/>
                <w:highlight w:val="none"/>
              </w:rPr>
              <w:t>中★号条款要求的；</w:t>
            </w:r>
          </w:p>
        </w:tc>
      </w:tr>
      <w:tr w14:paraId="5021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52ECFE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w:t>
            </w:r>
          </w:p>
        </w:tc>
        <w:tc>
          <w:tcPr>
            <w:tcW w:w="975" w:type="pct"/>
            <w:shd w:val="clear" w:color="auto" w:fill="auto"/>
            <w:vAlign w:val="center"/>
          </w:tcPr>
          <w:p w14:paraId="22F0146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拟分包情况说明（如有）</w:t>
            </w:r>
          </w:p>
        </w:tc>
        <w:tc>
          <w:tcPr>
            <w:tcW w:w="3620" w:type="pct"/>
            <w:shd w:val="clear" w:color="auto" w:fill="auto"/>
            <w:vAlign w:val="center"/>
          </w:tcPr>
          <w:p w14:paraId="5DD8010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如本项目（包）非因“落实政府采购政策”亦允许分包，且供应商拟进行分包时，必须提供；否则无须提供；</w:t>
            </w:r>
          </w:p>
        </w:tc>
      </w:tr>
      <w:tr w14:paraId="10D9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D5FF5B">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w:t>
            </w:r>
          </w:p>
        </w:tc>
        <w:tc>
          <w:tcPr>
            <w:tcW w:w="975" w:type="pct"/>
            <w:shd w:val="clear" w:color="auto" w:fill="auto"/>
            <w:vAlign w:val="center"/>
          </w:tcPr>
          <w:p w14:paraId="4FB2150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分包其他要求（如有）</w:t>
            </w:r>
          </w:p>
        </w:tc>
        <w:tc>
          <w:tcPr>
            <w:tcW w:w="3620" w:type="pct"/>
            <w:shd w:val="clear" w:color="auto" w:fill="auto"/>
            <w:vAlign w:val="center"/>
          </w:tcPr>
          <w:p w14:paraId="12C6FC16">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分包履行的内容、金额或者比例未超出《投标人须知资料表》中的规定；</w:t>
            </w:r>
          </w:p>
          <w:p w14:paraId="1563937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分包承担主体具备《投标人须知资料表》载明的资质条件且提供了资质证书电子件（如有）；</w:t>
            </w:r>
          </w:p>
        </w:tc>
      </w:tr>
      <w:tr w14:paraId="3D5A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5FD0B7C">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w:t>
            </w:r>
          </w:p>
        </w:tc>
        <w:tc>
          <w:tcPr>
            <w:tcW w:w="975" w:type="pct"/>
            <w:shd w:val="clear" w:color="auto" w:fill="auto"/>
            <w:vAlign w:val="center"/>
          </w:tcPr>
          <w:p w14:paraId="40E2C3E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报价的修正（如有）</w:t>
            </w:r>
          </w:p>
        </w:tc>
        <w:tc>
          <w:tcPr>
            <w:tcW w:w="3620" w:type="pct"/>
            <w:shd w:val="clear" w:color="auto" w:fill="auto"/>
            <w:vAlign w:val="center"/>
          </w:tcPr>
          <w:p w14:paraId="220A82C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不涉及报价修正，或投标文件报价出现前后不一致时，投标人对修正后的报价予以确认；（如有）</w:t>
            </w:r>
          </w:p>
        </w:tc>
      </w:tr>
      <w:tr w14:paraId="6AC2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2B72F11">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w:t>
            </w:r>
          </w:p>
        </w:tc>
        <w:tc>
          <w:tcPr>
            <w:tcW w:w="975" w:type="pct"/>
            <w:shd w:val="clear" w:color="auto" w:fill="auto"/>
            <w:vAlign w:val="center"/>
          </w:tcPr>
          <w:p w14:paraId="5CF30CF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进口产品</w:t>
            </w:r>
          </w:p>
          <w:p w14:paraId="2BD9316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（如有）</w:t>
            </w:r>
          </w:p>
        </w:tc>
        <w:tc>
          <w:tcPr>
            <w:tcW w:w="3620" w:type="pct"/>
            <w:shd w:val="clear" w:color="auto" w:fill="auto"/>
            <w:vAlign w:val="center"/>
          </w:tcPr>
          <w:p w14:paraId="685994A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招标文件不接受进口产品投标的内容时，投标人所投产品不含进口产品；</w:t>
            </w:r>
          </w:p>
        </w:tc>
      </w:tr>
      <w:tr w14:paraId="0FF6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FF60B8">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w:t>
            </w:r>
          </w:p>
        </w:tc>
        <w:tc>
          <w:tcPr>
            <w:tcW w:w="975" w:type="pct"/>
            <w:shd w:val="clear" w:color="auto" w:fill="auto"/>
            <w:vAlign w:val="center"/>
          </w:tcPr>
          <w:p w14:paraId="5EB5655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国家有关部门对投标人的投标产品有强制性规定或要求的</w:t>
            </w:r>
          </w:p>
        </w:tc>
        <w:tc>
          <w:tcPr>
            <w:tcW w:w="3620" w:type="pct"/>
            <w:shd w:val="clear" w:color="auto" w:fill="auto"/>
            <w:vAlign w:val="center"/>
          </w:tcPr>
          <w:p w14:paraId="3CB138A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国家有关部门对投标人的投标产品有强制性规定或要求的（如相应技术、安全、节能和环保等），投标人的投标产品应符合相应规定或要求，并提供证明文件电子件：</w:t>
            </w:r>
          </w:p>
          <w:p w14:paraId="47CDE0D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7333B8CE">
            <w:pPr>
              <w:widowControl/>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宋体" w:hAnsi="宋体" w:eastAsia="宋体" w:cs="宋体"/>
                <w:color w:val="auto"/>
                <w:kern w:val="0"/>
                <w:sz w:val="24"/>
                <w:highlight w:val="none"/>
              </w:rPr>
              <w:t>公安部颁发的计算机信息系统安全专用产品销售许可证</w:t>
            </w:r>
            <w:r>
              <w:rPr>
                <w:rFonts w:hint="eastAsia" w:ascii="宋体" w:hAnsi="宋体" w:eastAsia="宋体" w:cs="宋体"/>
                <w:color w:val="auto"/>
                <w:sz w:val="24"/>
                <w:highlight w:val="none"/>
              </w:rPr>
              <w:t>，且在有效期内，亦视为符合要求）</w:t>
            </w:r>
          </w:p>
          <w:p w14:paraId="14AE50D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3）项目中涉及涂料、胶黏剂、油墨、清洗剂等挥发性有机物产品，且属于强制性标准的，供应商应执行符合本市和国家的VOCs 含量限制标准。</w:t>
            </w:r>
          </w:p>
        </w:tc>
      </w:tr>
      <w:tr w14:paraId="6C9E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19AF6D">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w:t>
            </w:r>
          </w:p>
        </w:tc>
        <w:tc>
          <w:tcPr>
            <w:tcW w:w="975" w:type="pct"/>
            <w:shd w:val="clear" w:color="auto" w:fill="auto"/>
            <w:vAlign w:val="center"/>
          </w:tcPr>
          <w:p w14:paraId="0A23474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公平竞争</w:t>
            </w:r>
          </w:p>
        </w:tc>
        <w:tc>
          <w:tcPr>
            <w:tcW w:w="3620" w:type="pct"/>
            <w:shd w:val="clear" w:color="auto" w:fill="auto"/>
            <w:vAlign w:val="center"/>
          </w:tcPr>
          <w:p w14:paraId="777EE06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投标人遵循公平竞争的原则，不存在恶意串通，妨碍其他投标人的竞争行为，不存在损害采购人或者其他投标人的合法权益情形的；</w:t>
            </w:r>
          </w:p>
        </w:tc>
      </w:tr>
      <w:tr w14:paraId="5B61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46BF671">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w:t>
            </w:r>
          </w:p>
        </w:tc>
        <w:tc>
          <w:tcPr>
            <w:tcW w:w="975" w:type="pct"/>
            <w:shd w:val="clear" w:color="auto" w:fill="auto"/>
            <w:vAlign w:val="center"/>
          </w:tcPr>
          <w:p w14:paraId="34A9878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串通投标</w:t>
            </w:r>
          </w:p>
        </w:tc>
        <w:tc>
          <w:tcPr>
            <w:tcW w:w="3620" w:type="pct"/>
            <w:shd w:val="clear" w:color="auto" w:fill="auto"/>
            <w:vAlign w:val="center"/>
          </w:tcPr>
          <w:p w14:paraId="1D7615C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1B7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F20D87">
            <w:pPr>
              <w:widowControl/>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5</w:t>
            </w:r>
          </w:p>
        </w:tc>
        <w:tc>
          <w:tcPr>
            <w:tcW w:w="975" w:type="pct"/>
            <w:shd w:val="clear" w:color="auto" w:fill="auto"/>
            <w:vAlign w:val="center"/>
          </w:tcPr>
          <w:p w14:paraId="79B85D3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附加条件</w:t>
            </w:r>
          </w:p>
        </w:tc>
        <w:tc>
          <w:tcPr>
            <w:tcW w:w="3620" w:type="pct"/>
            <w:shd w:val="clear" w:color="auto" w:fill="auto"/>
            <w:vAlign w:val="center"/>
          </w:tcPr>
          <w:p w14:paraId="07F6E37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投标文件未含有采购人不能接受的附加条件的；</w:t>
            </w:r>
          </w:p>
        </w:tc>
      </w:tr>
      <w:tr w14:paraId="654D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FF8942D">
            <w:pPr>
              <w:widowControl/>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p>
        </w:tc>
        <w:tc>
          <w:tcPr>
            <w:tcW w:w="975" w:type="pct"/>
            <w:shd w:val="clear" w:color="auto" w:fill="auto"/>
            <w:vAlign w:val="center"/>
          </w:tcPr>
          <w:p w14:paraId="4B376CF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其他无效情形</w:t>
            </w:r>
          </w:p>
        </w:tc>
        <w:tc>
          <w:tcPr>
            <w:tcW w:w="3620" w:type="pct"/>
            <w:shd w:val="clear" w:color="auto" w:fill="auto"/>
            <w:vAlign w:val="center"/>
          </w:tcPr>
          <w:p w14:paraId="5CA12ED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投标人、投标文件不存在不符合法律、法规和招标文件规定的其他无效情形。</w:t>
            </w:r>
          </w:p>
        </w:tc>
      </w:tr>
    </w:tbl>
    <w:p w14:paraId="24D78384">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99763EE">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投标文件有关事项的澄清或者说明</w:t>
      </w:r>
    </w:p>
    <w:p w14:paraId="159E11BA">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43" w:name="_Hlk144225607"/>
      <w:r>
        <w:rPr>
          <w:rFonts w:hint="eastAsia" w:ascii="宋体" w:hAnsi="宋体" w:eastAsia="宋体" w:cs="宋体"/>
          <w:color w:val="auto"/>
          <w:highlight w:val="none"/>
        </w:rPr>
        <w:t>若投标人为事业单位或其他组织或分支机构，可为单位负责人</w:t>
      </w:r>
      <w:bookmarkEnd w:id="43"/>
      <w:r>
        <w:rPr>
          <w:rFonts w:hint="eastAsia" w:ascii="宋体" w:hAnsi="宋体" w:eastAsia="宋体" w:cs="宋体"/>
          <w:color w:val="auto"/>
          <w:highlight w:val="none"/>
        </w:rPr>
        <w:t>）或其授权的代表签字。投标人的澄清、说明或者补正不得超出投标文件的范围或者改变投标文件的实质性内容。澄清文件将作为投标文件内容的一部分。</w:t>
      </w:r>
    </w:p>
    <w:p w14:paraId="1030D592">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异常低价处理</w:t>
      </w:r>
    </w:p>
    <w:p w14:paraId="601B0F04">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 政府采购评审中出现下列情形之一的，评审委员会应当启动异常低价投标（响应）审查程序：</w:t>
      </w:r>
    </w:p>
    <w:p w14:paraId="5FA94618">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（1）投标（响应）报价低于全部通过符合性审查供应商投标（响应）报价平均值</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%的，即投标（响应）报价&lt;全部通过符合性审查供应商投标（响应）报价平均值×</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w:t>
      </w:r>
    </w:p>
    <w:p w14:paraId="61EF4121">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（2）投标（响应）报价低于通过符合性审查的次低报价供应商投标（响应）报价</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%的，即投标（响应）报价&lt;通过符合性审查的次低报价供应商投标（响应）报价×</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w:t>
      </w:r>
    </w:p>
    <w:p w14:paraId="505E68F5">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（3）投标（响应）报价低于采购项目最高限价</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%的，即投标（响应）报价&lt;采购项目最高限价×</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%；未设定最高限价的采购项目，以采购项目预算金额作为最高限价；</w:t>
      </w:r>
    </w:p>
    <w:p w14:paraId="3266AAA3">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（4）评审委员会基于专业判断，认为供应商报价过低，有可能影响产品质量或者不能诚信履约的其他情形。</w:t>
      </w:r>
    </w:p>
    <w:p w14:paraId="719672EC">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8CC11F">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4C9E2F4">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 上述投标（响应）报价指按照本章2.4修正后的报价。</w:t>
      </w:r>
    </w:p>
    <w:p w14:paraId="7FFD2A8C">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highlight w:val="none"/>
          <w:lang w:eastAsia="zh-CN"/>
        </w:rPr>
        <w:t>投标无效</w:t>
      </w:r>
      <w:r>
        <w:rPr>
          <w:rFonts w:hint="eastAsia" w:ascii="宋体" w:hAnsi="宋体" w:eastAsia="宋体" w:cs="宋体"/>
          <w:color w:val="auto"/>
          <w:highlight w:val="none"/>
        </w:rPr>
        <w:t>。</w:t>
      </w:r>
    </w:p>
    <w:p w14:paraId="4FB8EC11">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投标文件报价出现前后不一致的，按照下列规定修正：</w:t>
      </w:r>
    </w:p>
    <w:p w14:paraId="33BF0DE3">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招标文件对于报价修正是否另有规定：</w:t>
      </w:r>
    </w:p>
    <w:p w14:paraId="70151C8F">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有，具体规定为：______________</w:t>
      </w:r>
    </w:p>
    <w:p w14:paraId="32ED2E8F">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pacing w:val="0"/>
          <w:w w:val="100"/>
          <w:position w:val="0"/>
          <w:sz w:val="24"/>
          <w:highlight w:val="none"/>
        </w:rPr>
        <w:t>■</w:t>
      </w:r>
      <w:r>
        <w:rPr>
          <w:rFonts w:hint="eastAsia" w:ascii="宋体" w:hAnsi="宋体" w:eastAsia="宋体" w:cs="宋体"/>
          <w:color w:val="auto"/>
          <w:sz w:val="24"/>
          <w:highlight w:val="none"/>
        </w:rPr>
        <w:t>无，按下述2.4.2-2.4.7项规定修正。</w:t>
      </w:r>
    </w:p>
    <w:p w14:paraId="64B2C284">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单独递交的开标一览表（报价表）与投标文件中开标一览表（报价表）内容不一致的，以单独递交的开标一览表（报价表）为准；</w:t>
      </w:r>
    </w:p>
    <w:p w14:paraId="22A8330D">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投标文件中开标一览表（报价表）内容与投标文件中相应内容不一致的，以开标一览表（报价表）为准；</w:t>
      </w:r>
    </w:p>
    <w:p w14:paraId="43465076">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大写金额和小写金额不一致的，以大写金额为准；</w:t>
      </w:r>
    </w:p>
    <w:p w14:paraId="6E48A81B">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单价金额小数点或者百分比有明显错位的，以开标一览表的总价为准，并修改单价；</w:t>
      </w:r>
    </w:p>
    <w:p w14:paraId="00B6B189">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总价金额与按单价汇总金额不一致的，以单价金额计算结果为准。</w:t>
      </w:r>
    </w:p>
    <w:p w14:paraId="29AFA2B3">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同时出现两种以上不一致的，按照前款规定的顺序修正。</w:t>
      </w:r>
    </w:p>
    <w:p w14:paraId="24BFD666">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修正后的报价经投标人书面确认后产生约束力，投标人不确认的，其</w:t>
      </w:r>
      <w:r>
        <w:rPr>
          <w:rFonts w:hint="eastAsia" w:ascii="宋体" w:hAnsi="宋体" w:eastAsia="宋体" w:cs="宋体"/>
          <w:b/>
          <w:bCs/>
          <w:color w:val="auto"/>
          <w:highlight w:val="none"/>
          <w:lang w:eastAsia="zh-CN"/>
        </w:rPr>
        <w:t>投标无效</w:t>
      </w:r>
      <w:r>
        <w:rPr>
          <w:rFonts w:hint="eastAsia" w:ascii="宋体" w:hAnsi="宋体" w:eastAsia="宋体" w:cs="宋体"/>
          <w:color w:val="auto"/>
          <w:highlight w:val="none"/>
        </w:rPr>
        <w:t>。</w:t>
      </w:r>
    </w:p>
    <w:p w14:paraId="626670BF">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支持中小企业政府采购政策的价格调整：只有符合第二章《投标人须知》5.3条规定情形的，可以享受中小企业扶持政策，用扣除后的价格参加评审；否则，评标时价格不予扣除。</w:t>
      </w:r>
    </w:p>
    <w:p w14:paraId="43EB5231">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对于未预留份额专门面向中小企业采购的采购项目，以及预留份额项目中的非预留部分采购包，对小微企业报价给予</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%的扣除，用扣除后的价格参加评审。</w:t>
      </w:r>
    </w:p>
    <w:p w14:paraId="491090D3">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%的扣除，用扣除后的价格参加评审。</w:t>
      </w:r>
    </w:p>
    <w:p w14:paraId="4B69F313">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组成联合体或者接受分包的小微企业与联合体内其他企业、分包企业之间存在直接控股、管理关系的，不享受价格扣除优惠政策。</w:t>
      </w:r>
    </w:p>
    <w:p w14:paraId="025D9546">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价格扣除比例对小型企业和微型企业同等对待，不作区分。</w:t>
      </w:r>
    </w:p>
    <w:p w14:paraId="12B78B6C">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中小企业参加政府采购活动，应当按照招标文件给定的格式出具《中小企业声明函》，否则不得享受相关中小企业扶持政策。</w:t>
      </w:r>
    </w:p>
    <w:p w14:paraId="5B94E16D">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监狱企业提供了由省级以上监狱管理局、戒毒管理局（含新疆生产建设兵团）出具的属于监狱企业的证明文件的，视同小微企业。</w:t>
      </w:r>
    </w:p>
    <w:p w14:paraId="03BDE8B6">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残疾人福利性单位按招标文件要求提供了《残疾人福利性单位声明函》的，视同小微企业。</w:t>
      </w:r>
    </w:p>
    <w:p w14:paraId="63BFA10C">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若投标人同时属于小型或微型企业、监狱企业、残疾人福利性单位中的两种及以上，将不重复享受小微企业价格扣减的优惠政策。</w:t>
      </w:r>
    </w:p>
    <w:p w14:paraId="5720AA02">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支持本国产品政府采购的价格调整：只有符合第二章《投标人须知》5.2条规定情形的，可以享受本国产品支持政策，用扣除后的价格参加评审；否则，评标时价格不予扣除。</w:t>
      </w:r>
    </w:p>
    <w:p w14:paraId="40983E58">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本项目既有本国产品又有非本国产品参与竞争的，依法对本国产品给予价格评审优惠，对本国产品的报价给予20%的价格扣除，用扣除后的价格参与评审。</w:t>
      </w:r>
    </w:p>
    <w:p w14:paraId="623610B1">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DB958CC">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供应商提供本国产品参加政府采购活动的，应当按照招标文件给定的格式出具《关于符合本国产品标准的声明函》或提供财政部会同有关部门规定的有关证明文件，否则视为非本国产品。</w:t>
      </w:r>
    </w:p>
    <w:p w14:paraId="34997BF5">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投标文件的比较和评价</w:t>
      </w:r>
    </w:p>
    <w:p w14:paraId="548FB465">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评标委员会将按照招标文件中规定的评标方法和标准，对符合性审查合格的投标文件进行商务和技术评估，综合比较与评价；未通过符合性审查的投标文件不得进入比较与评价。</w:t>
      </w:r>
    </w:p>
    <w:p w14:paraId="1B3437FF">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评标方法和评标标准</w:t>
      </w:r>
    </w:p>
    <w:p w14:paraId="484D652F">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本项目采用的评标方法为：</w:t>
      </w:r>
    </w:p>
    <w:p w14:paraId="715F39D3">
      <w:pPr>
        <w:tabs>
          <w:tab w:val="left" w:pos="900"/>
          <w:tab w:val="left" w:pos="1589"/>
          <w:tab w:val="left" w:pos="1701"/>
        </w:tabs>
        <w:snapToGrid w:val="0"/>
        <w:spacing w:line="360" w:lineRule="auto"/>
        <w:ind w:left="1985"/>
        <w:rPr>
          <w:rFonts w:hint="eastAsia" w:ascii="宋体" w:hAnsi="宋体" w:eastAsia="宋体" w:cs="宋体"/>
          <w:color w:val="auto"/>
          <w:sz w:val="24"/>
          <w:highlight w:val="none"/>
        </w:rPr>
      </w:pPr>
      <w:r>
        <w:rPr>
          <w:rFonts w:hint="eastAsia" w:ascii="宋体" w:hAnsi="宋体" w:eastAsia="宋体" w:cs="宋体"/>
          <w:color w:val="auto"/>
          <w:spacing w:val="0"/>
          <w:w w:val="100"/>
          <w:position w:val="0"/>
          <w:sz w:val="24"/>
          <w:highlight w:val="none"/>
        </w:rPr>
        <w:t>■</w:t>
      </w:r>
      <w:r>
        <w:rPr>
          <w:rFonts w:hint="eastAsia" w:ascii="宋体" w:hAnsi="宋体" w:eastAsia="宋体" w:cs="宋体"/>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5330D98">
      <w:pPr>
        <w:tabs>
          <w:tab w:val="left" w:pos="900"/>
          <w:tab w:val="left" w:pos="1589"/>
          <w:tab w:val="left" w:pos="1701"/>
        </w:tabs>
        <w:snapToGrid w:val="0"/>
        <w:spacing w:line="360" w:lineRule="auto"/>
        <w:ind w:left="198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最低评标价法，指投标文件满足招标文件全部实质性要求，且投标报价最低的投标人为中标候选人的评标方法。</w:t>
      </w:r>
    </w:p>
    <w:p w14:paraId="21172F5B">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bCs/>
          <w:color w:val="auto"/>
          <w:highlight w:val="none"/>
          <w:lang w:eastAsia="zh-CN"/>
        </w:rPr>
        <w:t>投标无效</w:t>
      </w:r>
      <w:r>
        <w:rPr>
          <w:rFonts w:hint="eastAsia" w:ascii="宋体" w:hAnsi="宋体" w:eastAsia="宋体" w:cs="宋体"/>
          <w:color w:val="auto"/>
          <w:highlight w:val="none"/>
        </w:rPr>
        <w:t>。</w:t>
      </w:r>
    </w:p>
    <w:p w14:paraId="3162FA1C">
      <w:p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随机抽取</w:t>
      </w:r>
    </w:p>
    <w:p w14:paraId="2831CDFB">
      <w:pPr>
        <w:tabs>
          <w:tab w:val="left" w:pos="1080"/>
          <w:tab w:val="left" w:pos="1589"/>
          <w:tab w:val="left" w:pos="2035"/>
        </w:tabs>
        <w:snapToGrid w:val="0"/>
        <w:spacing w:line="360" w:lineRule="auto"/>
        <w:ind w:left="20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其他方式，具体要求：_____</w:t>
      </w:r>
    </w:p>
    <w:p w14:paraId="19942E8F">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t>非政府强制采购的节能产品或环境标志产品，依据品目清单和认证证书实施政府优先采购。优先采购的具体规定（如涉及）</w:t>
      </w:r>
      <w:r>
        <w:rPr>
          <w:rFonts w:hint="eastAsia" w:ascii="宋体" w:hAnsi="宋体" w:eastAsia="宋体" w:cs="宋体"/>
          <w:color w:val="auto"/>
          <w:highlight w:val="none"/>
          <w:lang w:val="en-US" w:eastAsia="zh-CN"/>
        </w:rPr>
        <w:t xml:space="preserve"> / </w:t>
      </w:r>
      <w:r>
        <w:rPr>
          <w:rFonts w:hint="eastAsia" w:ascii="宋体" w:hAnsi="宋体" w:eastAsia="宋体" w:cs="宋体"/>
          <w:color w:val="auto"/>
          <w:highlight w:val="none"/>
        </w:rPr>
        <w:t>。</w:t>
      </w:r>
    </w:p>
    <w:p w14:paraId="1547B637">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确定中标候选人名单</w:t>
      </w:r>
    </w:p>
    <w:p w14:paraId="41D3F68F">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5C0B0EF">
      <w:pPr>
        <w:pStyle w:val="24"/>
        <w:tabs>
          <w:tab w:val="left" w:pos="900"/>
          <w:tab w:val="left" w:pos="2127"/>
        </w:tabs>
        <w:adjustRightInd w:val="0"/>
        <w:snapToGrid w:val="0"/>
        <w:spacing w:line="360" w:lineRule="auto"/>
        <w:ind w:left="993" w:firstLine="136" w:firstLineChars="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随机抽取</w:t>
      </w:r>
    </w:p>
    <w:p w14:paraId="3A449FFF">
      <w:pPr>
        <w:pStyle w:val="24"/>
        <w:tabs>
          <w:tab w:val="left" w:pos="900"/>
          <w:tab w:val="left" w:pos="2127"/>
        </w:tabs>
        <w:adjustRightInd w:val="0"/>
        <w:snapToGrid w:val="0"/>
        <w:spacing w:line="360" w:lineRule="auto"/>
        <w:ind w:left="993" w:firstLine="136" w:firstLineChars="57"/>
        <w:rPr>
          <w:rFonts w:hint="eastAsia" w:ascii="宋体" w:hAnsi="宋体" w:eastAsia="宋体" w:cs="宋体"/>
          <w:color w:val="auto"/>
          <w:sz w:val="24"/>
          <w:szCs w:val="24"/>
          <w:highlight w:val="none"/>
        </w:rPr>
      </w:pPr>
      <w:r>
        <w:rPr>
          <w:rFonts w:hint="eastAsia" w:ascii="宋体" w:hAnsi="宋体" w:eastAsia="宋体" w:cs="宋体"/>
          <w:color w:val="auto"/>
          <w:spacing w:val="0"/>
          <w:w w:val="100"/>
          <w:kern w:val="2"/>
          <w:position w:val="0"/>
          <w:sz w:val="24"/>
          <w:szCs w:val="20"/>
          <w:highlight w:val="none"/>
          <w:lang w:val="en-US" w:eastAsia="zh-CN" w:bidi="ar-SA"/>
        </w:rPr>
        <w:t>■</w:t>
      </w:r>
      <w:r>
        <w:rPr>
          <w:rFonts w:hint="eastAsia" w:ascii="宋体" w:hAnsi="宋体" w:eastAsia="宋体" w:cs="宋体"/>
          <w:color w:val="auto"/>
          <w:sz w:val="24"/>
          <w:szCs w:val="24"/>
          <w:highlight w:val="none"/>
        </w:rPr>
        <w:t>其他方式，具体要求：</w:t>
      </w:r>
      <w:r>
        <w:rPr>
          <w:rFonts w:hint="eastAsia" w:ascii="宋体" w:hAnsi="宋体" w:eastAsia="宋体" w:cs="宋体"/>
          <w:color w:val="auto"/>
          <w:sz w:val="24"/>
          <w:szCs w:val="24"/>
          <w:highlight w:val="none"/>
          <w:u w:val="single"/>
        </w:rPr>
        <w:t>按投标报价由低到高顺序排列。评审得分且投标报价均相同的，以技术部分得分高者为中标候选人；若投标报价、技术部分均相同的，由评标委员会随机抽取。</w:t>
      </w:r>
    </w:p>
    <w:p w14:paraId="1C1AA0C5">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8C39F61">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1DF7CFD9">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评标委员会要对评分汇总情况进行复核，特别是对排名第一的、报价最低的、投标或响应文件被认定为无效的情形进行重点复核。</w:t>
      </w:r>
    </w:p>
    <w:p w14:paraId="18DDE3B4">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评标委员会将根据各投标人的评标排序，依次推荐本项目（各采购包）的中标候选人，起草并签署评标报告。本项目（各采购包）评标委员会共（各）推荐</w:t>
      </w:r>
      <w:r>
        <w:rPr>
          <w:rFonts w:hint="eastAsia" w:ascii="宋体" w:hAnsi="宋体" w:eastAsia="宋体" w:cs="宋体"/>
          <w:color w:val="auto"/>
          <w:highlight w:val="none"/>
          <w:lang w:val="en-US" w:eastAsia="zh-CN"/>
        </w:rPr>
        <w:t xml:space="preserve"> 3 </w:t>
      </w:r>
      <w:r>
        <w:rPr>
          <w:rFonts w:hint="eastAsia" w:ascii="宋体" w:hAnsi="宋体" w:eastAsia="宋体" w:cs="宋体"/>
          <w:color w:val="auto"/>
          <w:highlight w:val="none"/>
        </w:rPr>
        <w:t>名中标候选人。</w:t>
      </w:r>
    </w:p>
    <w:p w14:paraId="3AA460E7">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报告违法行为</w:t>
      </w:r>
    </w:p>
    <w:p w14:paraId="25DE6A4E">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评标委员会在评标过程中发现投标人有行贿、提供虚假材料或者串通等违法行为时，应当及时向财政部门报告。</w:t>
      </w:r>
    </w:p>
    <w:p w14:paraId="0C7C8A85">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C980A84">
      <w:pPr>
        <w:pStyle w:val="3"/>
        <w:bidi w:val="0"/>
        <w:rPr>
          <w:rFonts w:hint="eastAsia" w:ascii="宋体" w:hAnsi="宋体" w:eastAsia="宋体" w:cs="宋体"/>
          <w:color w:val="auto"/>
          <w:highlight w:val="none"/>
        </w:rPr>
      </w:pPr>
      <w:r>
        <w:rPr>
          <w:rFonts w:hint="eastAsia" w:ascii="宋体" w:hAnsi="宋体" w:eastAsia="宋体" w:cs="宋体"/>
          <w:color w:val="auto"/>
          <w:highlight w:val="none"/>
        </w:rPr>
        <w:t>评标标准</w:t>
      </w:r>
    </w:p>
    <w:p w14:paraId="65B6855C">
      <w:pPr>
        <w:tabs>
          <w:tab w:val="left" w:pos="360"/>
          <w:tab w:val="left" w:pos="900"/>
          <w:tab w:val="left" w:pos="1080"/>
          <w:tab w:val="left" w:pos="2014"/>
        </w:tabs>
        <w:snapToGrid w:val="0"/>
        <w:spacing w:line="360" w:lineRule="auto"/>
        <w:rPr>
          <w:rFonts w:hint="eastAsia" w:ascii="宋体" w:hAnsi="宋体" w:eastAsia="宋体" w:cs="宋体"/>
          <w:color w:val="auto"/>
          <w:sz w:val="24"/>
          <w:highlight w:val="none"/>
        </w:rPr>
      </w:pPr>
    </w:p>
    <w:tbl>
      <w:tblPr>
        <w:tblStyle w:val="4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272"/>
        <w:gridCol w:w="1332"/>
        <w:gridCol w:w="5412"/>
        <w:gridCol w:w="827"/>
      </w:tblGrid>
      <w:tr w14:paraId="3DD2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5F3E2814">
            <w:pPr>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272" w:type="dxa"/>
            <w:vAlign w:val="center"/>
          </w:tcPr>
          <w:p w14:paraId="652FB9DE">
            <w:pPr>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评分因素</w:t>
            </w:r>
          </w:p>
        </w:tc>
        <w:tc>
          <w:tcPr>
            <w:tcW w:w="1332" w:type="dxa"/>
            <w:vAlign w:val="center"/>
          </w:tcPr>
          <w:p w14:paraId="25D54376">
            <w:pPr>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分值</w:t>
            </w:r>
          </w:p>
        </w:tc>
        <w:tc>
          <w:tcPr>
            <w:tcW w:w="5412" w:type="dxa"/>
            <w:vAlign w:val="center"/>
          </w:tcPr>
          <w:p w14:paraId="1DD5729D">
            <w:pPr>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评分标准</w:t>
            </w:r>
          </w:p>
        </w:tc>
        <w:tc>
          <w:tcPr>
            <w:tcW w:w="827" w:type="dxa"/>
            <w:vAlign w:val="center"/>
          </w:tcPr>
          <w:p w14:paraId="22A81886">
            <w:pPr>
              <w:pStyle w:val="254"/>
              <w:spacing w:before="0" w:after="0"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w:t>
            </w:r>
          </w:p>
        </w:tc>
      </w:tr>
      <w:tr w14:paraId="65A9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85" w:type="dxa"/>
            <w:vAlign w:val="center"/>
          </w:tcPr>
          <w:p w14:paraId="31243DFD">
            <w:pPr>
              <w:ind w:firstLine="28"/>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p>
        </w:tc>
        <w:tc>
          <w:tcPr>
            <w:tcW w:w="1272" w:type="dxa"/>
            <w:vAlign w:val="center"/>
          </w:tcPr>
          <w:p w14:paraId="42E3C00A">
            <w:pPr>
              <w:ind w:firstLine="2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w:t>
            </w:r>
          </w:p>
          <w:p w14:paraId="62C1EC10">
            <w:pPr>
              <w:ind w:firstLine="2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tc>
        <w:tc>
          <w:tcPr>
            <w:tcW w:w="1332" w:type="dxa"/>
            <w:vAlign w:val="center"/>
          </w:tcPr>
          <w:p w14:paraId="554D8D8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tc>
        <w:tc>
          <w:tcPr>
            <w:tcW w:w="5412" w:type="dxa"/>
            <w:vAlign w:val="center"/>
          </w:tcPr>
          <w:p w14:paraId="147748C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各投标人的价格得分:(评标基准价/评标价)×价格权重(30%)×100(注:实质性响应招标文件要求且最低评标价为评标基准价)</w:t>
            </w:r>
          </w:p>
          <w:p w14:paraId="43FA6EF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说明：</w:t>
            </w:r>
            <w:r>
              <w:rPr>
                <w:rFonts w:hint="eastAsia" w:ascii="宋体" w:hAnsi="宋体" w:eastAsia="宋体" w:cs="宋体"/>
                <w:color w:val="auto"/>
                <w:sz w:val="24"/>
                <w:szCs w:val="24"/>
                <w:highlight w:val="none"/>
              </w:rPr>
              <w:t>此处投标报价指经过报价修正，及因落实政府采购政策进行价格调整后的报价，详见第四章《评标程序、评标方法和评标标准》2.4、2.5及2.6。</w:t>
            </w:r>
          </w:p>
        </w:tc>
        <w:tc>
          <w:tcPr>
            <w:tcW w:w="827" w:type="dxa"/>
            <w:vAlign w:val="center"/>
          </w:tcPr>
          <w:p w14:paraId="67E21CC5">
            <w:pPr>
              <w:pStyle w:val="254"/>
              <w:spacing w:before="0" w:after="0" w:line="240" w:lineRule="auto"/>
              <w:rPr>
                <w:rFonts w:hint="eastAsia" w:ascii="宋体" w:hAnsi="宋体" w:eastAsia="宋体" w:cs="宋体"/>
                <w:color w:val="auto"/>
                <w:szCs w:val="24"/>
                <w:highlight w:val="none"/>
              </w:rPr>
            </w:pPr>
          </w:p>
        </w:tc>
      </w:tr>
      <w:tr w14:paraId="10CF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5" w:type="dxa"/>
            <w:vMerge w:val="restart"/>
            <w:vAlign w:val="center"/>
          </w:tcPr>
          <w:p w14:paraId="5267C9E3">
            <w:pPr>
              <w:ind w:firstLine="2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272" w:type="dxa"/>
            <w:vMerge w:val="restart"/>
            <w:vAlign w:val="center"/>
          </w:tcPr>
          <w:p w14:paraId="5E42CB3D">
            <w:pPr>
              <w:ind w:firstLine="2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技术部分</w:t>
            </w:r>
          </w:p>
        </w:tc>
        <w:tc>
          <w:tcPr>
            <w:tcW w:w="1332" w:type="dxa"/>
            <w:vAlign w:val="center"/>
          </w:tcPr>
          <w:p w14:paraId="74DC93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技术参数响应情况</w:t>
            </w:r>
          </w:p>
          <w:p w14:paraId="364D40ED">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5412" w:type="dxa"/>
            <w:vAlign w:val="center"/>
          </w:tcPr>
          <w:p w14:paraId="0D0DBD20">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章“采购需求”逐条做出应答：</w:t>
            </w:r>
          </w:p>
          <w:p w14:paraId="283000CF">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提供货物的技术指标完全满足</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文件技术要求且进行了明确响应的得</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5ACFE028">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1、#条款</w:t>
            </w:r>
            <w:r>
              <w:rPr>
                <w:rFonts w:hint="eastAsia" w:ascii="宋体" w:hAnsi="宋体" w:eastAsia="宋体" w:cs="宋体"/>
                <w:color w:val="auto"/>
                <w:sz w:val="24"/>
                <w:szCs w:val="24"/>
                <w:highlight w:val="none"/>
                <w:lang w:val="en-US" w:eastAsia="zh-CN"/>
              </w:rPr>
              <w:t>每有一项</w:t>
            </w:r>
            <w:r>
              <w:rPr>
                <w:rFonts w:hint="eastAsia" w:ascii="宋体" w:hAnsi="宋体" w:eastAsia="宋体" w:cs="宋体"/>
                <w:color w:val="auto"/>
                <w:sz w:val="24"/>
                <w:szCs w:val="24"/>
                <w:highlight w:val="none"/>
              </w:rPr>
              <w:t>不满足扣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分，扣完为止；</w:t>
            </w:r>
          </w:p>
          <w:p w14:paraId="2D81DA06">
            <w:pPr>
              <w:widowControl/>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2、一般技术条款每有一项不满足扣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分，扣完为止；</w:t>
            </w:r>
          </w:p>
        </w:tc>
        <w:tc>
          <w:tcPr>
            <w:tcW w:w="827" w:type="dxa"/>
            <w:vAlign w:val="center"/>
          </w:tcPr>
          <w:p w14:paraId="182E8D1A">
            <w:pPr>
              <w:pStyle w:val="254"/>
              <w:spacing w:before="0" w:after="0" w:line="240" w:lineRule="auto"/>
              <w:rPr>
                <w:rFonts w:hint="eastAsia" w:ascii="宋体" w:hAnsi="宋体" w:eastAsia="宋体" w:cs="宋体"/>
                <w:color w:val="auto"/>
                <w:szCs w:val="24"/>
                <w:highlight w:val="none"/>
              </w:rPr>
            </w:pPr>
          </w:p>
        </w:tc>
      </w:tr>
      <w:tr w14:paraId="333A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5" w:type="dxa"/>
            <w:vMerge w:val="continue"/>
            <w:vAlign w:val="center"/>
          </w:tcPr>
          <w:p w14:paraId="15BAFA2B">
            <w:pPr>
              <w:ind w:firstLine="28"/>
              <w:jc w:val="center"/>
              <w:rPr>
                <w:rFonts w:hint="eastAsia" w:ascii="宋体" w:hAnsi="宋体" w:eastAsia="宋体" w:cs="宋体"/>
                <w:color w:val="auto"/>
                <w:sz w:val="24"/>
                <w:szCs w:val="24"/>
                <w:highlight w:val="none"/>
              </w:rPr>
            </w:pPr>
          </w:p>
        </w:tc>
        <w:tc>
          <w:tcPr>
            <w:tcW w:w="1272" w:type="dxa"/>
            <w:vMerge w:val="continue"/>
            <w:vAlign w:val="center"/>
          </w:tcPr>
          <w:p w14:paraId="5A921271">
            <w:pPr>
              <w:ind w:firstLine="28"/>
              <w:jc w:val="center"/>
              <w:rPr>
                <w:rFonts w:hint="eastAsia" w:ascii="宋体" w:hAnsi="宋体" w:eastAsia="宋体" w:cs="宋体"/>
                <w:color w:val="auto"/>
                <w:sz w:val="24"/>
                <w:szCs w:val="24"/>
                <w:highlight w:val="none"/>
              </w:rPr>
            </w:pPr>
          </w:p>
        </w:tc>
        <w:tc>
          <w:tcPr>
            <w:tcW w:w="1332" w:type="dxa"/>
            <w:vAlign w:val="center"/>
          </w:tcPr>
          <w:p w14:paraId="518233B6">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供货、安装、调试</w:t>
            </w:r>
            <w:r>
              <w:rPr>
                <w:rFonts w:hint="eastAsia" w:ascii="宋体" w:hAnsi="宋体" w:eastAsia="宋体" w:cs="宋体"/>
                <w:color w:val="auto"/>
                <w:sz w:val="24"/>
                <w:szCs w:val="24"/>
                <w:highlight w:val="none"/>
              </w:rPr>
              <w:t>及项目实施方案（</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5412" w:type="dxa"/>
            <w:vAlign w:val="center"/>
          </w:tcPr>
          <w:p w14:paraId="1D67206F">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评标委员会审查投标文件内关于设备</w:t>
            </w: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安装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调试</w:t>
            </w:r>
            <w:r>
              <w:rPr>
                <w:rFonts w:hint="eastAsia" w:ascii="宋体" w:hAnsi="宋体" w:eastAsia="宋体" w:cs="宋体"/>
                <w:color w:val="auto"/>
                <w:sz w:val="24"/>
                <w:szCs w:val="24"/>
                <w:highlight w:val="none"/>
              </w:rPr>
              <w:t>及项目实施方案的响应程度：</w:t>
            </w:r>
          </w:p>
          <w:p w14:paraId="18A22EB1">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设备</w:t>
            </w: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安装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调试</w:t>
            </w:r>
            <w:r>
              <w:rPr>
                <w:rFonts w:hint="eastAsia" w:ascii="宋体" w:hAnsi="宋体" w:eastAsia="宋体" w:cs="宋体"/>
                <w:color w:val="auto"/>
                <w:sz w:val="24"/>
                <w:szCs w:val="24"/>
                <w:highlight w:val="none"/>
              </w:rPr>
              <w:t>及项目实施方案优于项目需要，得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1ADB49F2">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2、设备</w:t>
            </w: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安装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调试</w:t>
            </w:r>
            <w:r>
              <w:rPr>
                <w:rFonts w:hint="eastAsia" w:ascii="宋体" w:hAnsi="宋体" w:eastAsia="宋体" w:cs="宋体"/>
                <w:color w:val="auto"/>
                <w:sz w:val="24"/>
                <w:szCs w:val="24"/>
                <w:highlight w:val="none"/>
              </w:rPr>
              <w:t>及项目实施方案完全满足项目需要，得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3D8C066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3、设备</w:t>
            </w: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安装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调试</w:t>
            </w:r>
            <w:r>
              <w:rPr>
                <w:rFonts w:hint="eastAsia" w:ascii="宋体" w:hAnsi="宋体" w:eastAsia="宋体" w:cs="宋体"/>
                <w:color w:val="auto"/>
                <w:sz w:val="24"/>
                <w:szCs w:val="24"/>
                <w:highlight w:val="none"/>
              </w:rPr>
              <w:t>及项目实施方案基本满足项目需要，部分非关键性内容内容响应不完整或未明确响应，得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70FEF0F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4、设备</w:t>
            </w: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安装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调试</w:t>
            </w:r>
            <w:r>
              <w:rPr>
                <w:rFonts w:hint="eastAsia" w:ascii="宋体" w:hAnsi="宋体" w:eastAsia="宋体" w:cs="宋体"/>
                <w:color w:val="auto"/>
                <w:sz w:val="24"/>
                <w:szCs w:val="24"/>
                <w:highlight w:val="none"/>
              </w:rPr>
              <w:t>及项目实施方案内容简略，不够全面，部分关键性内容内容响应不完整或未明确响应，得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4BD44996">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5、设备</w:t>
            </w: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安装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调试</w:t>
            </w:r>
            <w:r>
              <w:rPr>
                <w:rFonts w:hint="eastAsia" w:ascii="宋体" w:hAnsi="宋体" w:eastAsia="宋体" w:cs="宋体"/>
                <w:color w:val="auto"/>
                <w:sz w:val="24"/>
                <w:szCs w:val="24"/>
                <w:highlight w:val="none"/>
              </w:rPr>
              <w:t>及项目实施方案无法满足项目需要，得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6B60C8FE">
            <w:pPr>
              <w:ind w:firstLine="28"/>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6、未提供此项说明，得0分。</w:t>
            </w:r>
          </w:p>
        </w:tc>
        <w:tc>
          <w:tcPr>
            <w:tcW w:w="827" w:type="dxa"/>
            <w:vAlign w:val="center"/>
          </w:tcPr>
          <w:p w14:paraId="062AC649">
            <w:pPr>
              <w:pStyle w:val="254"/>
              <w:spacing w:before="0" w:after="0" w:line="240" w:lineRule="auto"/>
              <w:rPr>
                <w:rFonts w:hint="eastAsia" w:ascii="宋体" w:hAnsi="宋体" w:eastAsia="宋体" w:cs="宋体"/>
                <w:color w:val="auto"/>
                <w:szCs w:val="24"/>
                <w:highlight w:val="none"/>
              </w:rPr>
            </w:pPr>
          </w:p>
        </w:tc>
      </w:tr>
      <w:tr w14:paraId="18CE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5" w:type="dxa"/>
            <w:vMerge w:val="continue"/>
            <w:vAlign w:val="center"/>
          </w:tcPr>
          <w:p w14:paraId="1E0C9365">
            <w:pPr>
              <w:ind w:firstLine="28"/>
              <w:jc w:val="center"/>
              <w:rPr>
                <w:rFonts w:hint="eastAsia" w:ascii="宋体" w:hAnsi="宋体" w:eastAsia="宋体" w:cs="宋体"/>
                <w:color w:val="auto"/>
                <w:sz w:val="24"/>
                <w:szCs w:val="24"/>
                <w:highlight w:val="none"/>
              </w:rPr>
            </w:pPr>
          </w:p>
        </w:tc>
        <w:tc>
          <w:tcPr>
            <w:tcW w:w="1272" w:type="dxa"/>
            <w:vMerge w:val="continue"/>
            <w:vAlign w:val="center"/>
          </w:tcPr>
          <w:p w14:paraId="13DD8289">
            <w:pPr>
              <w:ind w:firstLine="28"/>
              <w:jc w:val="center"/>
              <w:rPr>
                <w:rFonts w:hint="eastAsia" w:ascii="宋体" w:hAnsi="宋体" w:eastAsia="宋体" w:cs="宋体"/>
                <w:color w:val="auto"/>
                <w:sz w:val="24"/>
                <w:szCs w:val="24"/>
                <w:highlight w:val="none"/>
              </w:rPr>
            </w:pPr>
          </w:p>
        </w:tc>
        <w:tc>
          <w:tcPr>
            <w:tcW w:w="1332" w:type="dxa"/>
            <w:vAlign w:val="center"/>
          </w:tcPr>
          <w:p w14:paraId="3404A82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项目进度计划</w:t>
            </w:r>
          </w:p>
          <w:p w14:paraId="2DECEEF0">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5412" w:type="dxa"/>
            <w:vAlign w:val="center"/>
          </w:tcPr>
          <w:p w14:paraId="7FAA33B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项目进度计划(即从合同签订之日起至完成全部交付):</w:t>
            </w:r>
          </w:p>
          <w:p w14:paraId="4A56185A">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计划合理且量化可控，完全针对本项目需求，各阶段时间节点清晰；各阶段进度保障措施全面得当、各阶段人员分工安排科学，完全符合且能够保障本项目交货期:</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33276A43">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计划较为合理可控基本针对本项目需求，各阶段时间节点明确；各阶段均具备进度保障措施、各阶段人员分工安排较合理，基本符合并能够保障本项目交货期:</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3CCFE6B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计划基本合理，重要阶段时间节点基本明确；有基本的进度保障措施和各阶段人员分工安排，基本符合本项目交货期:</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6FABA56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计划较为简略，各阶段时间节点模糊；进度保障措施和各阶段人员分工安排没有针对性，不确定是否符合本项目交货期:</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049C128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计划粗略，各阶段时间节点模糊或缺乏明确时间节点，进度保障措施和各阶段人员分工有所欠缺或不符合实际情况，不确定是否符合本项目交货期:</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1355C43F">
            <w:pPr>
              <w:ind w:firstLine="28"/>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项目进度计划完全不合理或未提出具体计划的:0分。</w:t>
            </w:r>
          </w:p>
        </w:tc>
        <w:tc>
          <w:tcPr>
            <w:tcW w:w="827" w:type="dxa"/>
            <w:vAlign w:val="center"/>
          </w:tcPr>
          <w:p w14:paraId="688AE04F">
            <w:pPr>
              <w:pStyle w:val="254"/>
              <w:spacing w:before="0" w:after="0" w:line="240" w:lineRule="auto"/>
              <w:rPr>
                <w:rFonts w:hint="eastAsia" w:ascii="宋体" w:hAnsi="宋体" w:eastAsia="宋体" w:cs="宋体"/>
                <w:color w:val="auto"/>
                <w:szCs w:val="24"/>
                <w:highlight w:val="none"/>
              </w:rPr>
            </w:pPr>
          </w:p>
        </w:tc>
      </w:tr>
      <w:tr w14:paraId="249B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5" w:type="dxa"/>
            <w:vMerge w:val="continue"/>
            <w:vAlign w:val="center"/>
          </w:tcPr>
          <w:p w14:paraId="4F4F953F">
            <w:pPr>
              <w:ind w:firstLine="28"/>
              <w:jc w:val="center"/>
              <w:rPr>
                <w:rFonts w:hint="eastAsia" w:ascii="宋体" w:hAnsi="宋体" w:eastAsia="宋体" w:cs="宋体"/>
                <w:color w:val="auto"/>
                <w:sz w:val="24"/>
                <w:szCs w:val="24"/>
                <w:highlight w:val="none"/>
              </w:rPr>
            </w:pPr>
          </w:p>
        </w:tc>
        <w:tc>
          <w:tcPr>
            <w:tcW w:w="1272" w:type="dxa"/>
            <w:vMerge w:val="continue"/>
            <w:vAlign w:val="center"/>
          </w:tcPr>
          <w:p w14:paraId="2B12F7FF">
            <w:pPr>
              <w:ind w:firstLine="28"/>
              <w:jc w:val="center"/>
              <w:rPr>
                <w:rFonts w:hint="eastAsia" w:ascii="宋体" w:hAnsi="宋体" w:eastAsia="宋体" w:cs="宋体"/>
                <w:color w:val="auto"/>
                <w:sz w:val="24"/>
                <w:szCs w:val="24"/>
                <w:highlight w:val="none"/>
              </w:rPr>
            </w:pPr>
          </w:p>
        </w:tc>
        <w:tc>
          <w:tcPr>
            <w:tcW w:w="1332" w:type="dxa"/>
            <w:vAlign w:val="center"/>
          </w:tcPr>
          <w:p w14:paraId="39DF0E1B">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人员配备情况（</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 ）</w:t>
            </w:r>
          </w:p>
        </w:tc>
        <w:tc>
          <w:tcPr>
            <w:tcW w:w="5412" w:type="dxa"/>
            <w:vAlign w:val="center"/>
          </w:tcPr>
          <w:p w14:paraId="60B1382E">
            <w:pPr>
              <w:ind w:firstLine="2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评标委员会考察投标文件内针对本项目拟派的服务团队组织管理架构及人员安排：</w:t>
            </w:r>
          </w:p>
          <w:p w14:paraId="65E9E13D">
            <w:pPr>
              <w:ind w:firstLine="2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1.人员配备数量充足合理、现场保障能力强的、人员综合素质高（相关人员证明材料充足）、组织管理架构科学合理，满足服务需求，得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7AB9708B">
            <w:pPr>
              <w:ind w:firstLine="2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2.人员配备数量较为合理、现场保障能力较强、人员综合素质基本较高（提供部分人员证明材料），组织管理架构较为科学合理，基本满足服务需求但稍有不足，得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5EE3DE93">
            <w:pPr>
              <w:ind w:firstLine="2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3.人员配备数量基本合理、现场保障能力一般、人员综合素质基本良好（提供少部分人员证明材料），组织管理架构一般，未体现针对性内容，基本满足服务需求但存在关键性瑕疵，得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6C886805">
            <w:pPr>
              <w:ind w:firstLine="2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4.人员配备数量较差、现场保障能力较差、人员综合素质基本一般（未提供人员证明材料），组织管理架构较差，未体现针对性内容，无法满足服务需求，得2分；</w:t>
            </w:r>
          </w:p>
          <w:p w14:paraId="7DD1142C">
            <w:pPr>
              <w:ind w:firstLine="28"/>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5.未提供此项内容，得0分。</w:t>
            </w:r>
          </w:p>
        </w:tc>
        <w:tc>
          <w:tcPr>
            <w:tcW w:w="827" w:type="dxa"/>
            <w:vAlign w:val="center"/>
          </w:tcPr>
          <w:p w14:paraId="6C82D870">
            <w:pPr>
              <w:pStyle w:val="254"/>
              <w:spacing w:before="0" w:after="0" w:line="240" w:lineRule="auto"/>
              <w:rPr>
                <w:rFonts w:hint="eastAsia" w:ascii="宋体" w:hAnsi="宋体" w:eastAsia="宋体" w:cs="宋体"/>
                <w:color w:val="auto"/>
                <w:szCs w:val="24"/>
                <w:highlight w:val="none"/>
              </w:rPr>
            </w:pPr>
          </w:p>
        </w:tc>
      </w:tr>
      <w:tr w14:paraId="1114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5" w:type="dxa"/>
            <w:vMerge w:val="continue"/>
            <w:vAlign w:val="center"/>
          </w:tcPr>
          <w:p w14:paraId="7104D5FC">
            <w:pPr>
              <w:ind w:firstLine="28"/>
              <w:jc w:val="center"/>
              <w:rPr>
                <w:rFonts w:hint="eastAsia" w:ascii="宋体" w:hAnsi="宋体" w:eastAsia="宋体" w:cs="宋体"/>
                <w:color w:val="auto"/>
                <w:sz w:val="24"/>
                <w:highlight w:val="none"/>
              </w:rPr>
            </w:pPr>
          </w:p>
        </w:tc>
        <w:tc>
          <w:tcPr>
            <w:tcW w:w="1272" w:type="dxa"/>
            <w:vMerge w:val="continue"/>
            <w:vAlign w:val="center"/>
          </w:tcPr>
          <w:p w14:paraId="02B849DA">
            <w:pPr>
              <w:ind w:firstLine="28"/>
              <w:jc w:val="center"/>
              <w:rPr>
                <w:rFonts w:hint="eastAsia" w:ascii="宋体" w:hAnsi="宋体" w:eastAsia="宋体" w:cs="宋体"/>
                <w:color w:val="auto"/>
                <w:sz w:val="24"/>
                <w:highlight w:val="none"/>
              </w:rPr>
            </w:pPr>
          </w:p>
        </w:tc>
        <w:tc>
          <w:tcPr>
            <w:tcW w:w="1332" w:type="dxa"/>
            <w:vAlign w:val="center"/>
          </w:tcPr>
          <w:p w14:paraId="1FAB3D61">
            <w:pPr>
              <w:ind w:firstLine="2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rPr>
              <w:t>培训方案</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9分</w:t>
            </w:r>
            <w:r>
              <w:rPr>
                <w:rFonts w:hint="eastAsia" w:ascii="宋体" w:hAnsi="宋体" w:eastAsia="宋体" w:cs="宋体"/>
                <w:color w:val="auto"/>
                <w:sz w:val="24"/>
                <w:szCs w:val="24"/>
                <w:lang w:eastAsia="zh-CN"/>
              </w:rPr>
              <w:t>）</w:t>
            </w:r>
          </w:p>
        </w:tc>
        <w:tc>
          <w:tcPr>
            <w:tcW w:w="5412" w:type="dxa"/>
            <w:vAlign w:val="center"/>
          </w:tcPr>
          <w:p w14:paraId="600D163A">
            <w:pPr>
              <w:ind w:firstLine="28"/>
              <w:jc w:val="left"/>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rPr>
              <w:t>根据投标人提供的培训计划、培训课程、人才培养、学习交流等内容措施等方面进行综合评价: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1、方案内容详实全面，可行性高，能够有效保障培训工作顺利推进，得</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2、方案内容较为全面，可行性好，能够有效保障培训工作顺利推进，得7分;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3、方案内容基本全面，方案基本可行性，能够保障培训工作顺利推进，得3分;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4、方案内容粗略或欠缺，勉强能够保障培训工作顺利推进，得1分</w:t>
            </w:r>
          </w:p>
        </w:tc>
        <w:tc>
          <w:tcPr>
            <w:tcW w:w="827" w:type="dxa"/>
            <w:vAlign w:val="center"/>
          </w:tcPr>
          <w:p w14:paraId="38C245B6">
            <w:pPr>
              <w:pStyle w:val="254"/>
              <w:spacing w:before="0" w:after="0" w:line="240" w:lineRule="auto"/>
              <w:rPr>
                <w:rFonts w:hint="eastAsia" w:ascii="宋体" w:hAnsi="宋体" w:eastAsia="宋体" w:cs="宋体"/>
                <w:color w:val="auto"/>
                <w:szCs w:val="24"/>
                <w:highlight w:val="none"/>
              </w:rPr>
            </w:pPr>
          </w:p>
        </w:tc>
      </w:tr>
      <w:tr w14:paraId="43AB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5" w:type="dxa"/>
            <w:vMerge w:val="continue"/>
            <w:vAlign w:val="center"/>
          </w:tcPr>
          <w:p w14:paraId="0CB468CB">
            <w:pPr>
              <w:ind w:firstLine="28"/>
              <w:jc w:val="center"/>
              <w:rPr>
                <w:rFonts w:hint="eastAsia" w:ascii="宋体" w:hAnsi="宋体" w:eastAsia="宋体" w:cs="宋体"/>
                <w:color w:val="auto"/>
                <w:sz w:val="24"/>
                <w:highlight w:val="none"/>
              </w:rPr>
            </w:pPr>
          </w:p>
        </w:tc>
        <w:tc>
          <w:tcPr>
            <w:tcW w:w="1272" w:type="dxa"/>
            <w:vMerge w:val="continue"/>
            <w:vAlign w:val="center"/>
          </w:tcPr>
          <w:p w14:paraId="3266D56E">
            <w:pPr>
              <w:ind w:firstLine="28"/>
              <w:jc w:val="center"/>
              <w:rPr>
                <w:rFonts w:hint="eastAsia" w:ascii="宋体" w:hAnsi="宋体" w:eastAsia="宋体" w:cs="宋体"/>
                <w:color w:val="auto"/>
                <w:sz w:val="24"/>
                <w:highlight w:val="none"/>
              </w:rPr>
            </w:pPr>
          </w:p>
        </w:tc>
        <w:tc>
          <w:tcPr>
            <w:tcW w:w="1332" w:type="dxa"/>
            <w:vAlign w:val="center"/>
          </w:tcPr>
          <w:p w14:paraId="07C0DBA6">
            <w:pPr>
              <w:ind w:firstLine="28"/>
              <w:jc w:val="center"/>
              <w:rPr>
                <w:rFonts w:hint="eastAsia" w:ascii="宋体" w:hAnsi="宋体" w:eastAsia="宋体" w:cs="宋体"/>
                <w:color w:val="auto"/>
                <w:sz w:val="24"/>
                <w:szCs w:val="24"/>
              </w:rPr>
            </w:pPr>
            <w:r>
              <w:rPr>
                <w:rFonts w:hint="eastAsia" w:ascii="宋体" w:hAnsi="宋体" w:eastAsia="宋体" w:cs="宋体"/>
                <w:color w:val="auto"/>
                <w:sz w:val="24"/>
                <w:highlight w:val="none"/>
              </w:rPr>
              <w:t>质量保证措施（</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分）</w:t>
            </w:r>
          </w:p>
        </w:tc>
        <w:tc>
          <w:tcPr>
            <w:tcW w:w="5412" w:type="dxa"/>
            <w:vAlign w:val="center"/>
          </w:tcPr>
          <w:p w14:paraId="69A0D77E">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质量保障方案详细全面、可操作性强、科学合理的得</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分；</w:t>
            </w:r>
          </w:p>
          <w:p w14:paraId="7FD92B4D">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质量保障方案基本全面、可操作性较强、基本合理的得</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分；</w:t>
            </w:r>
          </w:p>
          <w:p w14:paraId="31FEC176">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质量保障方案较为全面、可操作性一般、较为合理的得6分；</w:t>
            </w:r>
          </w:p>
          <w:p w14:paraId="2A092C10">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质量保障方案不够全面、可操作性欠佳、基本满足项目需求的得4分；</w:t>
            </w:r>
          </w:p>
          <w:p w14:paraId="7C6C58A0">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质量保障方案较为简略、可操作性差、没有针对性的得2分；</w:t>
            </w:r>
          </w:p>
          <w:p w14:paraId="687B6759">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质量保障方案较为粗略、不符合实际情况的得1分；</w:t>
            </w:r>
          </w:p>
          <w:p w14:paraId="2F586AA1">
            <w:pPr>
              <w:widowControl/>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质量保障方案未提供得0分。</w:t>
            </w:r>
          </w:p>
        </w:tc>
        <w:tc>
          <w:tcPr>
            <w:tcW w:w="827" w:type="dxa"/>
            <w:vAlign w:val="center"/>
          </w:tcPr>
          <w:p w14:paraId="4B42C516">
            <w:pPr>
              <w:pStyle w:val="254"/>
              <w:spacing w:before="0" w:after="0" w:line="240" w:lineRule="auto"/>
              <w:rPr>
                <w:rFonts w:hint="eastAsia" w:ascii="宋体" w:hAnsi="宋体" w:eastAsia="宋体" w:cs="宋体"/>
                <w:color w:val="auto"/>
                <w:szCs w:val="24"/>
                <w:highlight w:val="none"/>
              </w:rPr>
            </w:pPr>
          </w:p>
        </w:tc>
      </w:tr>
      <w:tr w14:paraId="5FF8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5" w:type="dxa"/>
            <w:vMerge w:val="continue"/>
            <w:vAlign w:val="center"/>
          </w:tcPr>
          <w:p w14:paraId="66A02FA4">
            <w:pPr>
              <w:ind w:firstLine="28"/>
              <w:jc w:val="center"/>
              <w:rPr>
                <w:rFonts w:hint="eastAsia" w:ascii="宋体" w:hAnsi="宋体" w:eastAsia="宋体" w:cs="宋体"/>
                <w:color w:val="auto"/>
                <w:sz w:val="24"/>
                <w:highlight w:val="none"/>
              </w:rPr>
            </w:pPr>
          </w:p>
        </w:tc>
        <w:tc>
          <w:tcPr>
            <w:tcW w:w="1272" w:type="dxa"/>
            <w:vMerge w:val="continue"/>
            <w:vAlign w:val="center"/>
          </w:tcPr>
          <w:p w14:paraId="2E013C5A">
            <w:pPr>
              <w:ind w:firstLine="28"/>
              <w:jc w:val="center"/>
              <w:rPr>
                <w:rFonts w:hint="eastAsia" w:ascii="宋体" w:hAnsi="宋体" w:eastAsia="宋体" w:cs="宋体"/>
                <w:color w:val="auto"/>
                <w:sz w:val="24"/>
                <w:highlight w:val="none"/>
              </w:rPr>
            </w:pPr>
          </w:p>
        </w:tc>
        <w:tc>
          <w:tcPr>
            <w:tcW w:w="1332" w:type="dxa"/>
            <w:vAlign w:val="center"/>
          </w:tcPr>
          <w:p w14:paraId="629B25BA">
            <w:pPr>
              <w:ind w:firstLine="28"/>
              <w:jc w:val="center"/>
              <w:rPr>
                <w:rFonts w:hint="eastAsia" w:ascii="宋体" w:hAnsi="宋体" w:eastAsia="宋体" w:cs="宋体"/>
                <w:color w:val="auto"/>
                <w:sz w:val="24"/>
                <w:szCs w:val="24"/>
              </w:rPr>
            </w:pPr>
            <w:r>
              <w:rPr>
                <w:rFonts w:hint="eastAsia" w:ascii="宋体" w:hAnsi="宋体" w:eastAsia="宋体" w:cs="宋体"/>
                <w:color w:val="auto"/>
                <w:sz w:val="24"/>
                <w:szCs w:val="24"/>
              </w:rPr>
              <w:t>售后服务及承诺（</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w:t>
            </w:r>
          </w:p>
        </w:tc>
        <w:tc>
          <w:tcPr>
            <w:tcW w:w="5412" w:type="dxa"/>
            <w:vAlign w:val="center"/>
          </w:tcPr>
          <w:p w14:paraId="4DC2D2DA">
            <w:pPr>
              <w:widowControl/>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供应商提供详细的售后服务方案、服务承诺（包括但不限于售后服务响应时间、处理时效、定期回访等）。</w:t>
            </w:r>
          </w:p>
          <w:p w14:paraId="4A3936BD">
            <w:pPr>
              <w:widowControl/>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内容详细、针对性强、可行性高，得 </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分；</w:t>
            </w:r>
          </w:p>
          <w:p w14:paraId="62FF10D9">
            <w:pPr>
              <w:widowControl/>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内容较详细、针对性较强、可行性较高，得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 xml:space="preserve">分； 内容一般、针对性一般、可行性一般，得 </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 xml:space="preserve"> 分；</w:t>
            </w:r>
          </w:p>
          <w:p w14:paraId="16AF13FA">
            <w:pPr>
              <w:widowControl/>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内容较差、针对性较差、可行性较差，得 1分；</w:t>
            </w:r>
          </w:p>
          <w:p w14:paraId="416E0EDE">
            <w:pPr>
              <w:widowControl/>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未提供不得分。</w:t>
            </w:r>
          </w:p>
        </w:tc>
        <w:tc>
          <w:tcPr>
            <w:tcW w:w="827" w:type="dxa"/>
            <w:vAlign w:val="center"/>
          </w:tcPr>
          <w:p w14:paraId="69F299A4">
            <w:pPr>
              <w:pStyle w:val="254"/>
              <w:spacing w:before="0" w:after="0" w:line="240" w:lineRule="auto"/>
              <w:rPr>
                <w:rFonts w:hint="eastAsia" w:ascii="宋体" w:hAnsi="宋体" w:eastAsia="宋体" w:cs="宋体"/>
                <w:color w:val="auto"/>
                <w:szCs w:val="24"/>
                <w:highlight w:val="none"/>
              </w:rPr>
            </w:pPr>
          </w:p>
        </w:tc>
      </w:tr>
      <w:tr w14:paraId="0CFD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5" w:type="dxa"/>
            <w:vMerge w:val="continue"/>
            <w:vAlign w:val="center"/>
          </w:tcPr>
          <w:p w14:paraId="08BB7FEE">
            <w:pPr>
              <w:ind w:firstLine="28"/>
              <w:jc w:val="center"/>
              <w:rPr>
                <w:rFonts w:hint="eastAsia" w:ascii="宋体" w:hAnsi="宋体" w:eastAsia="宋体" w:cs="宋体"/>
                <w:color w:val="auto"/>
                <w:sz w:val="24"/>
                <w:highlight w:val="none"/>
              </w:rPr>
            </w:pPr>
          </w:p>
        </w:tc>
        <w:tc>
          <w:tcPr>
            <w:tcW w:w="1272" w:type="dxa"/>
            <w:vMerge w:val="continue"/>
            <w:vAlign w:val="center"/>
          </w:tcPr>
          <w:p w14:paraId="25B289E4">
            <w:pPr>
              <w:ind w:firstLine="28"/>
              <w:jc w:val="center"/>
              <w:rPr>
                <w:rFonts w:hint="eastAsia" w:ascii="宋体" w:hAnsi="宋体" w:eastAsia="宋体" w:cs="宋体"/>
                <w:color w:val="auto"/>
                <w:sz w:val="24"/>
                <w:highlight w:val="none"/>
              </w:rPr>
            </w:pPr>
          </w:p>
        </w:tc>
        <w:tc>
          <w:tcPr>
            <w:tcW w:w="1332" w:type="dxa"/>
            <w:vAlign w:val="center"/>
          </w:tcPr>
          <w:p w14:paraId="01FE1BCB">
            <w:pPr>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应急响应和保障方案（3分）</w:t>
            </w:r>
          </w:p>
        </w:tc>
        <w:tc>
          <w:tcPr>
            <w:tcW w:w="5412" w:type="dxa"/>
            <w:vAlign w:val="center"/>
          </w:tcPr>
          <w:p w14:paraId="5973A580">
            <w:pPr>
              <w:widowControl/>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应急响应和保障方案内容完整性和编制水平</w:t>
            </w:r>
          </w:p>
          <w:p w14:paraId="56A2C045">
            <w:pPr>
              <w:widowControl/>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根据投标人针对项目运维期，提供的应急响应和应急保障方案进行评分：</w:t>
            </w:r>
          </w:p>
          <w:p w14:paraId="70F995F4">
            <w:pPr>
              <w:widowControl/>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方案内容全面、针对性强，切实可行，客观合理的，得3分；</w:t>
            </w:r>
          </w:p>
          <w:p w14:paraId="7835EFF7">
            <w:pPr>
              <w:widowControl/>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方案内容比较全面、针对性较强，比较切实可行，基本上客观合理的，得2分；</w:t>
            </w:r>
          </w:p>
          <w:p w14:paraId="32418D99">
            <w:pPr>
              <w:widowControl/>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方案内容不够全面、针对性差，不够切实可行，客观合理性差的，得1分；</w:t>
            </w:r>
          </w:p>
          <w:p w14:paraId="45A5B4ED">
            <w:pPr>
              <w:widowControl/>
              <w:jc w:val="left"/>
              <w:rPr>
                <w:rFonts w:hint="eastAsia" w:ascii="宋体" w:hAnsi="宋体" w:eastAsia="宋体" w:cs="宋体"/>
                <w:b/>
                <w:color w:val="auto"/>
                <w:sz w:val="24"/>
                <w:highlight w:val="none"/>
              </w:rPr>
            </w:pPr>
            <w:r>
              <w:rPr>
                <w:rFonts w:hint="eastAsia" w:ascii="宋体" w:hAnsi="宋体" w:eastAsia="宋体" w:cs="宋体"/>
                <w:color w:val="auto"/>
                <w:sz w:val="24"/>
                <w:szCs w:val="24"/>
                <w:lang w:val="en-US" w:eastAsia="zh-CN"/>
              </w:rPr>
              <w:t>严重缺项或无此项内容的，得0分。</w:t>
            </w:r>
          </w:p>
        </w:tc>
        <w:tc>
          <w:tcPr>
            <w:tcW w:w="827" w:type="dxa"/>
            <w:vAlign w:val="center"/>
          </w:tcPr>
          <w:p w14:paraId="3CD9899A">
            <w:pPr>
              <w:pStyle w:val="254"/>
              <w:spacing w:before="0" w:after="0" w:line="240" w:lineRule="auto"/>
              <w:rPr>
                <w:rFonts w:hint="eastAsia" w:ascii="宋体" w:hAnsi="宋体" w:eastAsia="宋体" w:cs="宋体"/>
                <w:color w:val="auto"/>
                <w:szCs w:val="24"/>
                <w:highlight w:val="none"/>
              </w:rPr>
            </w:pPr>
          </w:p>
        </w:tc>
      </w:tr>
      <w:tr w14:paraId="5B84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5" w:type="dxa"/>
            <w:vAlign w:val="center"/>
          </w:tcPr>
          <w:p w14:paraId="2A7D241F">
            <w:pPr>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272" w:type="dxa"/>
            <w:vAlign w:val="center"/>
          </w:tcPr>
          <w:p w14:paraId="43B7D667">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商务部分（</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w:t>
            </w:r>
          </w:p>
        </w:tc>
        <w:tc>
          <w:tcPr>
            <w:tcW w:w="1332" w:type="dxa"/>
            <w:vAlign w:val="center"/>
          </w:tcPr>
          <w:p w14:paraId="77AAA115">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业绩(</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w:t>
            </w:r>
          </w:p>
        </w:tc>
        <w:tc>
          <w:tcPr>
            <w:tcW w:w="5412" w:type="dxa"/>
            <w:vAlign w:val="center"/>
          </w:tcPr>
          <w:p w14:paraId="3C138202">
            <w:pPr>
              <w:rPr>
                <w:rFonts w:hint="eastAsia" w:ascii="宋体" w:hAnsi="宋体" w:eastAsia="宋体" w:cs="宋体"/>
                <w:color w:val="auto"/>
                <w:sz w:val="24"/>
                <w:highlight w:val="none"/>
              </w:rPr>
            </w:pPr>
            <w:r>
              <w:rPr>
                <w:rFonts w:hint="eastAsia" w:ascii="宋体" w:hAnsi="宋体" w:eastAsia="宋体" w:cs="宋体"/>
                <w:color w:val="auto"/>
                <w:sz w:val="24"/>
                <w:highlight w:val="none"/>
              </w:rPr>
              <w:t>评委根据投标人近三年类似业绩，每提供一个有效业绩得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分，最多得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w:t>
            </w:r>
          </w:p>
          <w:p w14:paraId="3E3A40B0">
            <w:pPr>
              <w:rPr>
                <w:rFonts w:hint="eastAsia" w:ascii="宋体" w:hAnsi="宋体" w:eastAsia="宋体" w:cs="宋体"/>
                <w:b/>
                <w:color w:val="auto"/>
                <w:sz w:val="24"/>
                <w:highlight w:val="none"/>
              </w:rPr>
            </w:pPr>
            <w:r>
              <w:rPr>
                <w:rFonts w:hint="eastAsia" w:ascii="宋体" w:hAnsi="宋体" w:eastAsia="宋体" w:cs="宋体"/>
                <w:color w:val="auto"/>
                <w:sz w:val="24"/>
                <w:highlight w:val="none"/>
              </w:rPr>
              <w:t>须附有合同关键页复印件（关键页、主要内容页、双方签字盖章页）</w:t>
            </w:r>
          </w:p>
        </w:tc>
        <w:tc>
          <w:tcPr>
            <w:tcW w:w="827" w:type="dxa"/>
            <w:vAlign w:val="center"/>
          </w:tcPr>
          <w:p w14:paraId="3AA56547">
            <w:pPr>
              <w:pStyle w:val="254"/>
              <w:spacing w:before="0" w:after="0" w:line="240" w:lineRule="auto"/>
              <w:rPr>
                <w:rFonts w:hint="eastAsia" w:ascii="宋体" w:hAnsi="宋体" w:eastAsia="宋体" w:cs="宋体"/>
                <w:color w:val="auto"/>
                <w:szCs w:val="24"/>
                <w:highlight w:val="none"/>
              </w:rPr>
            </w:pPr>
          </w:p>
        </w:tc>
      </w:tr>
      <w:tr w14:paraId="0FAF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436BC920">
            <w:pPr>
              <w:ind w:firstLine="28"/>
              <w:jc w:val="center"/>
              <w:rPr>
                <w:rFonts w:hint="eastAsia" w:ascii="宋体" w:hAnsi="宋体" w:eastAsia="宋体" w:cs="宋体"/>
                <w:color w:val="auto"/>
                <w:sz w:val="24"/>
                <w:highlight w:val="yellow"/>
                <w:lang w:val="en-US" w:eastAsia="zh-CN"/>
              </w:rPr>
            </w:pPr>
            <w:r>
              <w:rPr>
                <w:rFonts w:hint="eastAsia" w:ascii="宋体" w:hAnsi="宋体" w:eastAsia="宋体" w:cs="宋体"/>
                <w:color w:val="auto"/>
                <w:sz w:val="24"/>
                <w:highlight w:val="none"/>
                <w:lang w:val="en-US" w:eastAsia="zh-CN"/>
              </w:rPr>
              <w:t>4</w:t>
            </w:r>
          </w:p>
        </w:tc>
        <w:tc>
          <w:tcPr>
            <w:tcW w:w="2604" w:type="dxa"/>
            <w:gridSpan w:val="2"/>
            <w:vAlign w:val="center"/>
          </w:tcPr>
          <w:p w14:paraId="57F7EBA3">
            <w:pPr>
              <w:ind w:firstLine="28"/>
              <w:jc w:val="center"/>
              <w:rPr>
                <w:rFonts w:hint="eastAsia" w:ascii="宋体" w:hAnsi="宋体" w:eastAsia="宋体" w:cs="宋体"/>
                <w:color w:val="auto"/>
                <w:sz w:val="24"/>
                <w:highlight w:val="none"/>
              </w:rPr>
            </w:pPr>
            <w:r>
              <w:rPr>
                <w:rFonts w:hint="eastAsia" w:ascii="宋体" w:hAnsi="宋体" w:eastAsia="宋体" w:cs="宋体"/>
                <w:color w:val="auto"/>
                <w:sz w:val="22"/>
                <w:szCs w:val="22"/>
              </w:rPr>
              <w:t>政策功能(2分)</w:t>
            </w:r>
          </w:p>
        </w:tc>
        <w:tc>
          <w:tcPr>
            <w:tcW w:w="5412" w:type="dxa"/>
            <w:vAlign w:val="center"/>
          </w:tcPr>
          <w:p w14:paraId="3DA6945C">
            <w:pPr>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1.投标产品中有属于品目清单范围内优先采购节能产品的（提供由国家确定的认证机构出具的、处于有效期之内的认证证书复印件），得 1 分，否则不得分。</w:t>
            </w:r>
          </w:p>
          <w:p w14:paraId="179F2876">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注：以上复印件需加盖投标人公章；属于政府强制采购节能产品的不加分。</w:t>
            </w:r>
          </w:p>
          <w:p w14:paraId="3C8DAEAF">
            <w:pPr>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2.投标产品中有属于品目清单范围内优先采购环境标志产品的（提供由国家确定的认证机构出具的、处于有效期之内的认证证书复印件），得 1 分，否则不得分。</w:t>
            </w:r>
          </w:p>
          <w:p w14:paraId="3EC01819">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注：以上复印件需加盖投标人公章。 </w:t>
            </w:r>
          </w:p>
        </w:tc>
        <w:tc>
          <w:tcPr>
            <w:tcW w:w="827" w:type="dxa"/>
            <w:vAlign w:val="center"/>
          </w:tcPr>
          <w:p w14:paraId="1F1FFD4A">
            <w:pPr>
              <w:ind w:left="-38"/>
              <w:rPr>
                <w:rFonts w:hint="eastAsia" w:ascii="宋体" w:hAnsi="宋体" w:eastAsia="宋体" w:cs="宋体"/>
                <w:color w:val="auto"/>
                <w:sz w:val="24"/>
                <w:highlight w:val="yellow"/>
              </w:rPr>
            </w:pPr>
          </w:p>
        </w:tc>
      </w:tr>
      <w:tr w14:paraId="59C1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gridSpan w:val="3"/>
            <w:vAlign w:val="center"/>
          </w:tcPr>
          <w:p w14:paraId="3E859605">
            <w:pPr>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合计100</w:t>
            </w:r>
          </w:p>
        </w:tc>
        <w:tc>
          <w:tcPr>
            <w:tcW w:w="6239" w:type="dxa"/>
            <w:gridSpan w:val="2"/>
            <w:vAlign w:val="center"/>
          </w:tcPr>
          <w:p w14:paraId="2C63C56C">
            <w:pPr>
              <w:rPr>
                <w:rFonts w:hint="eastAsia" w:ascii="宋体" w:hAnsi="宋体" w:eastAsia="宋体" w:cs="宋体"/>
                <w:color w:val="auto"/>
                <w:sz w:val="24"/>
                <w:highlight w:val="none"/>
              </w:rPr>
            </w:pPr>
          </w:p>
        </w:tc>
      </w:tr>
    </w:tbl>
    <w:p w14:paraId="7362C38D">
      <w:pPr>
        <w:tabs>
          <w:tab w:val="left" w:pos="360"/>
          <w:tab w:val="left" w:pos="1080"/>
        </w:tabs>
        <w:snapToGrid w:val="0"/>
        <w:spacing w:line="360" w:lineRule="auto"/>
        <w:ind w:left="1080"/>
        <w:rPr>
          <w:rFonts w:hint="eastAsia" w:ascii="宋体" w:hAnsi="宋体" w:eastAsia="宋体" w:cs="宋体"/>
          <w:color w:val="auto"/>
          <w:sz w:val="24"/>
          <w:highlight w:val="none"/>
        </w:rPr>
      </w:pPr>
    </w:p>
    <w:p w14:paraId="6AACB445">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0C245B73">
      <w:pPr>
        <w:pStyle w:val="20"/>
        <w:rPr>
          <w:rFonts w:hint="eastAsia" w:ascii="宋体" w:hAnsi="宋体" w:eastAsia="宋体" w:cs="宋体"/>
        </w:rPr>
      </w:pPr>
    </w:p>
    <w:p w14:paraId="515A3538">
      <w:pPr>
        <w:pStyle w:val="2"/>
        <w:bidi w:val="0"/>
        <w:rPr>
          <w:rFonts w:hint="eastAsia" w:ascii="宋体" w:hAnsi="宋体" w:eastAsia="宋体" w:cs="宋体"/>
          <w:color w:val="auto"/>
          <w:highlight w:val="none"/>
        </w:rPr>
      </w:pPr>
      <w:bookmarkStart w:id="44" w:name="_Toc99301424"/>
      <w:r>
        <w:rPr>
          <w:rFonts w:hint="eastAsia" w:ascii="宋体" w:hAnsi="宋体" w:eastAsia="宋体" w:cs="宋体"/>
          <w:color w:val="auto"/>
          <w:highlight w:val="none"/>
        </w:rPr>
        <w:t xml:space="preserve">  </w:t>
      </w:r>
      <w:bookmarkStart w:id="45" w:name="_Toc8429"/>
      <w:r>
        <w:rPr>
          <w:rFonts w:hint="eastAsia" w:ascii="宋体" w:hAnsi="宋体" w:eastAsia="宋体" w:cs="宋体"/>
          <w:color w:val="auto"/>
          <w:highlight w:val="none"/>
        </w:rPr>
        <w:t>采购需求</w:t>
      </w:r>
      <w:bookmarkEnd w:id="44"/>
      <w:bookmarkEnd w:id="45"/>
    </w:p>
    <w:p w14:paraId="06837A57">
      <w:pPr>
        <w:pStyle w:val="3"/>
        <w:numPr>
          <w:ilvl w:val="1"/>
          <w:numId w:val="0"/>
        </w:numPr>
        <w:tabs>
          <w:tab w:val="left" w:pos="420"/>
          <w:tab w:val="clear" w:pos="0"/>
        </w:tabs>
        <w:spacing w:line="360" w:lineRule="auto"/>
        <w:ind w:leftChars="0"/>
        <w:jc w:val="center"/>
        <w:rPr>
          <w:rFonts w:hint="eastAsia" w:ascii="宋体" w:hAnsi="宋体" w:eastAsia="宋体" w:cs="宋体"/>
          <w:sz w:val="28"/>
          <w:szCs w:val="28"/>
        </w:rPr>
      </w:pPr>
      <w:r>
        <w:rPr>
          <w:rFonts w:hint="eastAsia" w:ascii="宋体" w:hAnsi="宋体" w:eastAsia="宋体" w:cs="宋体"/>
          <w:color w:val="auto"/>
          <w:sz w:val="28"/>
          <w:szCs w:val="28"/>
          <w:highlight w:val="none"/>
        </w:rPr>
        <w:t>采购需求</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第一包</w:t>
      </w:r>
      <w:r>
        <w:rPr>
          <w:rFonts w:hint="eastAsia" w:ascii="宋体" w:hAnsi="宋体" w:eastAsia="宋体" w:cs="宋体"/>
          <w:color w:val="auto"/>
          <w:sz w:val="28"/>
          <w:szCs w:val="28"/>
          <w:highlight w:val="none"/>
          <w:lang w:eastAsia="zh-CN"/>
        </w:rPr>
        <w:t>）</w:t>
      </w:r>
    </w:p>
    <w:p w14:paraId="4308D201">
      <w:pPr>
        <w:pStyle w:val="3"/>
        <w:tabs>
          <w:tab w:val="left" w:pos="420"/>
          <w:tab w:val="clear" w:pos="0"/>
        </w:tabs>
        <w:spacing w:line="360" w:lineRule="auto"/>
        <w:rPr>
          <w:rFonts w:hint="eastAsia" w:ascii="宋体" w:hAnsi="宋体" w:eastAsia="宋体" w:cs="宋体"/>
        </w:rPr>
      </w:pPr>
      <w:r>
        <w:rPr>
          <w:rFonts w:hint="eastAsia" w:ascii="宋体" w:hAnsi="宋体" w:eastAsia="宋体" w:cs="宋体"/>
        </w:rPr>
        <w:t>项目总体概述</w:t>
      </w:r>
    </w:p>
    <w:p w14:paraId="4875292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1、本包最高限价：</w:t>
      </w:r>
      <w:bookmarkStart w:id="46" w:name="OLE_LINK1"/>
      <w:r>
        <w:rPr>
          <w:rFonts w:hint="eastAsia" w:ascii="宋体" w:hAnsi="宋体" w:eastAsia="宋体" w:cs="宋体"/>
          <w:color w:val="000000" w:themeColor="text1"/>
          <w:sz w:val="24"/>
          <w:szCs w:val="24"/>
          <w:highlight w:val="none"/>
          <w14:textFill>
            <w14:solidFill>
              <w14:schemeClr w14:val="tx1"/>
            </w14:solidFill>
          </w14:textFill>
        </w:rPr>
        <w:t>人民币</w:t>
      </w:r>
      <w:r>
        <w:rPr>
          <w:rFonts w:hint="eastAsia" w:ascii="宋体" w:hAnsi="宋体" w:eastAsia="宋体" w:cs="宋体"/>
          <w:color w:val="000000" w:themeColor="text1"/>
          <w:sz w:val="24"/>
          <w:szCs w:val="24"/>
          <w:highlight w:val="none"/>
          <w:lang w:eastAsia="zh-CN"/>
          <w14:textFill>
            <w14:solidFill>
              <w14:schemeClr w14:val="tx1"/>
            </w14:solidFill>
          </w14:textFill>
        </w:rPr>
        <w:t>549.1438</w:t>
      </w:r>
      <w:r>
        <w:rPr>
          <w:rFonts w:hint="eastAsia" w:ascii="宋体" w:hAnsi="宋体" w:cs="宋体"/>
          <w:color w:val="000000" w:themeColor="text1"/>
          <w:sz w:val="24"/>
          <w:szCs w:val="24"/>
          <w:highlight w:val="none"/>
          <w:lang w:val="en-US" w:eastAsia="zh-CN"/>
          <w14:textFill>
            <w14:solidFill>
              <w14:schemeClr w14:val="tx1"/>
            </w14:solidFill>
          </w14:textFill>
        </w:rPr>
        <w:t>万</w:t>
      </w:r>
      <w:r>
        <w:rPr>
          <w:rFonts w:hint="eastAsia" w:ascii="宋体" w:hAnsi="宋体" w:eastAsia="宋体" w:cs="宋体"/>
          <w:color w:val="000000" w:themeColor="text1"/>
          <w:sz w:val="24"/>
          <w:szCs w:val="24"/>
          <w:highlight w:val="none"/>
          <w:lang w:eastAsia="zh-CN"/>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bookmarkEnd w:id="46"/>
    </w:p>
    <w:p w14:paraId="3FFFF83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2、</w:t>
      </w:r>
      <w:bookmarkStart w:id="47" w:name="_Hlk213771081"/>
      <w:r>
        <w:rPr>
          <w:rFonts w:hint="eastAsia" w:ascii="宋体" w:hAnsi="宋体" w:eastAsia="宋体" w:cs="宋体"/>
          <w:sz w:val="24"/>
          <w:szCs w:val="24"/>
        </w:rPr>
        <w:t>交付时间</w:t>
      </w:r>
      <w:bookmarkEnd w:id="47"/>
      <w:r>
        <w:rPr>
          <w:rFonts w:hint="eastAsia" w:ascii="宋体" w:hAnsi="宋体" w:eastAsia="宋体" w:cs="宋体"/>
          <w:sz w:val="24"/>
          <w:szCs w:val="24"/>
        </w:rPr>
        <w:t>：</w:t>
      </w:r>
      <w:bookmarkStart w:id="48" w:name="_Hlk213771053"/>
      <w:r>
        <w:rPr>
          <w:rFonts w:hint="eastAsia" w:ascii="宋体" w:hAnsi="宋体" w:eastAsia="宋体" w:cs="宋体"/>
          <w:sz w:val="24"/>
          <w:szCs w:val="24"/>
          <w:lang w:val="en-US" w:eastAsia="zh-CN"/>
        </w:rPr>
        <w:t>合同签订后 30个工作日内完成供货、安装及调试等全部工作要求。</w:t>
      </w:r>
    </w:p>
    <w:bookmarkEnd w:id="48"/>
    <w:p w14:paraId="63E77BD0">
      <w:pPr>
        <w:spacing w:line="360" w:lineRule="auto"/>
        <w:ind w:left="719" w:leftChars="228" w:hanging="240" w:hanging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3、交付地点：采购人指定地点</w:t>
      </w:r>
    </w:p>
    <w:p w14:paraId="2FA3BBF9">
      <w:pPr>
        <w:spacing w:line="360" w:lineRule="auto"/>
        <w:ind w:left="719" w:leftChars="228" w:hanging="240" w:hanging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4、交货状态：</w:t>
      </w:r>
      <w:r>
        <w:rPr>
          <w:rFonts w:hint="eastAsia" w:ascii="宋体" w:hAnsi="宋体" w:eastAsia="宋体" w:cs="宋体"/>
          <w:color w:val="000000"/>
          <w:sz w:val="24"/>
          <w:szCs w:val="24"/>
        </w:rPr>
        <w:t>设备安装、调试、验收合格。</w:t>
      </w:r>
    </w:p>
    <w:p w14:paraId="6417D83F">
      <w:pPr>
        <w:spacing w:line="360" w:lineRule="auto"/>
        <w:ind w:left="719" w:leftChars="228" w:hanging="240" w:hangingChars="100"/>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5、付款方式：以签订合同为准</w:t>
      </w:r>
    </w:p>
    <w:p w14:paraId="6ACB23EA">
      <w:pPr>
        <w:pStyle w:val="3"/>
        <w:bidi w:val="0"/>
        <w:rPr>
          <w:rFonts w:hint="eastAsia" w:ascii="宋体" w:hAnsi="宋体" w:eastAsia="宋体" w:cs="宋体"/>
          <w:lang w:val="en-US" w:eastAsia="zh-CN"/>
        </w:rPr>
      </w:pPr>
      <w:r>
        <w:rPr>
          <w:rFonts w:hint="eastAsia" w:ascii="宋体" w:hAnsi="宋体" w:eastAsia="宋体" w:cs="宋体"/>
          <w:lang w:val="en-US" w:eastAsia="zh-CN"/>
        </w:rPr>
        <w:t>质量保证措施与验收要求</w:t>
      </w:r>
    </w:p>
    <w:p w14:paraId="0E172E12">
      <w:pPr>
        <w:spacing w:line="360" w:lineRule="auto"/>
        <w:ind w:left="719" w:leftChars="228" w:hanging="240" w:hanging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1、所有设备（带系统）提供质保年限不少于2年，质保期从设备安装调试完毕，双方签署验收材料后开始。</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2、供应商提供的产品和相关服务应符合国家与本项目有关的各项质量和安全标准、规范和验收要求以及相关政府管理部门和行业有关规定和规程，标准、规范等不一致的，以要求严的为准。</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3、供货的设备品牌、型号与投标文件中所投设备品牌、型号一致。供应商按配置清单要求，提供原装全新设备。确保其产品质量、性能及技术参数达到采购人要求，如不能满足采购人要求，则采购人有权向</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lang w:val="en-US" w:eastAsia="zh-CN"/>
        </w:rPr>
        <w:t>提出退换或索赔的要求。</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4、供应商应派遣专业的技术人员对设备进行安装和调试，确保安装质量达到产品出厂技术标准。</w:t>
      </w:r>
    </w:p>
    <w:p w14:paraId="09B56497">
      <w:pPr>
        <w:spacing w:line="360" w:lineRule="auto"/>
        <w:ind w:left="718" w:leftChars="342"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5、本项目验收将由采购人组织进行或委托第三方进行，质量标准和验收要求为按照上述规定一次验收合格。</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6、验收后应将相关文档资料（技术白皮书、使用手册、保养方法、注意事项等）交采购人备案。</w:t>
      </w:r>
    </w:p>
    <w:p w14:paraId="33106E39">
      <w:pPr>
        <w:pStyle w:val="3"/>
        <w:bidi w:val="0"/>
        <w:rPr>
          <w:rStyle w:val="58"/>
          <w:rFonts w:hint="eastAsia" w:ascii="宋体" w:hAnsi="宋体" w:eastAsia="宋体" w:cs="宋体"/>
          <w:b/>
          <w:bCs/>
        </w:rPr>
      </w:pPr>
      <w:r>
        <w:rPr>
          <w:rFonts w:hint="eastAsia" w:ascii="宋体" w:hAnsi="宋体" w:eastAsia="宋体" w:cs="宋体"/>
        </w:rPr>
        <w:t>售后服务</w:t>
      </w:r>
    </w:p>
    <w:p w14:paraId="0C134AA3">
      <w:pPr>
        <w:spacing w:line="360" w:lineRule="auto"/>
        <w:ind w:left="718" w:leftChars="342" w:firstLine="0" w:firstLineChars="0"/>
        <w:rPr>
          <w:rStyle w:val="283"/>
          <w:rFonts w:hint="eastAsia" w:ascii="宋体" w:hAnsi="宋体" w:eastAsia="宋体" w:cs="宋体"/>
          <w:highlight w:val="yellow"/>
        </w:rPr>
      </w:pPr>
      <w:r>
        <w:rPr>
          <w:rFonts w:hint="eastAsia" w:ascii="宋体" w:hAnsi="宋体" w:eastAsia="宋体" w:cs="宋体"/>
          <w:sz w:val="24"/>
          <w:szCs w:val="24"/>
          <w:lang w:val="en-US" w:eastAsia="zh-CN"/>
        </w:rPr>
        <w:t>1、由供应商提供针对本项目投标产品的售后服务承诺函。</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2、供应商接到报修后1小时内响应， 24小时内到达现场开展服务（极端天气等特殊情况除外），如不能保证设备正常运行，需提供备品备件供采购人使用。</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3、质保期间对设备（带系统）进行定期维护，负责维修、系统软件升级及升级后的专业培训。质保期后，负责设备的终身维修，只收取维修成本费。</w:t>
      </w:r>
    </w:p>
    <w:p w14:paraId="667DD344">
      <w:pPr>
        <w:pStyle w:val="3"/>
        <w:bidi w:val="0"/>
        <w:rPr>
          <w:rFonts w:hint="eastAsia" w:ascii="宋体" w:hAnsi="宋体" w:eastAsia="宋体" w:cs="宋体"/>
        </w:rPr>
      </w:pPr>
      <w:r>
        <w:rPr>
          <w:rFonts w:hint="eastAsia" w:ascii="宋体" w:hAnsi="宋体" w:eastAsia="宋体" w:cs="宋体"/>
          <w:lang w:val="en-US" w:eastAsia="zh-CN"/>
        </w:rPr>
        <w:t>技术规格</w:t>
      </w:r>
    </w:p>
    <w:tbl>
      <w:tblPr>
        <w:tblStyle w:val="46"/>
        <w:tblW w:w="0" w:type="auto"/>
        <w:jc w:val="center"/>
        <w:tblLayout w:type="fixed"/>
        <w:tblCellMar>
          <w:top w:w="0" w:type="dxa"/>
          <w:left w:w="108" w:type="dxa"/>
          <w:bottom w:w="0" w:type="dxa"/>
          <w:right w:w="108" w:type="dxa"/>
        </w:tblCellMar>
      </w:tblPr>
      <w:tblGrid>
        <w:gridCol w:w="585"/>
        <w:gridCol w:w="2036"/>
        <w:gridCol w:w="6278"/>
        <w:gridCol w:w="585"/>
        <w:gridCol w:w="474"/>
      </w:tblGrid>
      <w:tr w14:paraId="6EF4CD57">
        <w:tblPrEx>
          <w:tblCellMar>
            <w:top w:w="0" w:type="dxa"/>
            <w:left w:w="108" w:type="dxa"/>
            <w:bottom w:w="0" w:type="dxa"/>
            <w:right w:w="108" w:type="dxa"/>
          </w:tblCellMar>
        </w:tblPrEx>
        <w:trPr>
          <w:trHeight w:val="6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237B0">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02FB1">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产品名称</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BF41A">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规格参数</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02DAF">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数量</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51533">
            <w:pPr>
              <w:widowControl/>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单位</w:t>
            </w:r>
          </w:p>
        </w:tc>
      </w:tr>
      <w:tr w14:paraId="38D30ACF">
        <w:tblPrEx>
          <w:tblCellMar>
            <w:top w:w="0" w:type="dxa"/>
            <w:left w:w="108" w:type="dxa"/>
            <w:bottom w:w="0" w:type="dxa"/>
            <w:right w:w="108"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FE30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E81D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电子绘画板</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2A0A7">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可直接进行书写和绘画的显示屏。用压感笔在屏幕上直接创作，通过电磁感应技术捕捉压感笔的位置、移动和压力变化，将手绘动作转化为数字信号，呈现在屏幕上。</w:t>
            </w:r>
          </w:p>
          <w:p w14:paraId="23247418">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1）功能特点 </w:t>
            </w:r>
          </w:p>
          <w:p w14:paraId="4950818F">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1.1）电磁笔 ：无源无线被动式电磁笔；</w:t>
            </w:r>
          </w:p>
          <w:p w14:paraId="5B64DB2E">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1.2）笔感应技术：被动式电磁感应；</w:t>
            </w:r>
          </w:p>
          <w:p w14:paraId="0CE87C79">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1.3）手写分辨率：≥2048 LPI；</w:t>
            </w:r>
          </w:p>
          <w:p w14:paraId="43CBC741">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1.4）压感级别：≥16000压力感应；</w:t>
            </w:r>
          </w:p>
          <w:p w14:paraId="24B2FC7D">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1.5）倾角识别：≥±60°；</w:t>
            </w:r>
          </w:p>
          <w:p w14:paraId="48DB9B2B">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1.6）读取速率：＞260读取速率；</w:t>
            </w:r>
          </w:p>
          <w:p w14:paraId="1418ACB4">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1.7）感应高度：≥10mm；</w:t>
            </w:r>
          </w:p>
          <w:p w14:paraId="44167250">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1.8）精确度：≥±0.3mm±1mm 。</w:t>
            </w:r>
          </w:p>
          <w:p w14:paraId="67787607">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2）显示端显示外观参数 </w:t>
            </w:r>
          </w:p>
          <w:p w14:paraId="35A2C5C2">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2.1）显示器尺寸：≥27英寸；</w:t>
            </w:r>
          </w:p>
          <w:p w14:paraId="7EAEF716">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2.2）手触控：电容式十点触控；</w:t>
            </w:r>
          </w:p>
          <w:p w14:paraId="0DFE5E50">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2.3）可调节支架：集成支架≥20°；</w:t>
            </w:r>
          </w:p>
          <w:p w14:paraId="69C82A95">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2.4）主要功能：HDMI 2.0，DP 1.4，USB-C，DC，USB、3.5mm耳机接口</w:t>
            </w:r>
          </w:p>
          <w:p w14:paraId="2D068D88">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3）显示端显示屏幕参数 </w:t>
            </w:r>
          </w:p>
          <w:p w14:paraId="3D7CC31A">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3.1）分辨率：≥3840 x 2160(16:9)；</w:t>
            </w:r>
          </w:p>
          <w:p w14:paraId="69A8BBE2">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3.2）液晶模式：IPS；</w:t>
            </w:r>
          </w:p>
          <w:p w14:paraId="674BC02C">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3.3）防眩光玻璃：低闪点防眩光蚀刻玻璃；</w:t>
            </w:r>
          </w:p>
          <w:p w14:paraId="1F2192E0">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3.4）全贴合：全贴合；</w:t>
            </w:r>
          </w:p>
          <w:p w14:paraId="7B11F2A0">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3.5）对比度：≥1000:1；</w:t>
            </w:r>
          </w:p>
          <w:p w14:paraId="2557CFD2">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3.6）亮度：300nit ；</w:t>
            </w:r>
          </w:p>
          <w:p w14:paraId="05EB02A5">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3.7）响应时间：≥14ms(Typ)；</w:t>
            </w:r>
          </w:p>
          <w:p w14:paraId="10A0A531">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3.8）可视角度：89°/89°(H)/89°/89°(V)；</w:t>
            </w:r>
          </w:p>
          <w:p w14:paraId="7EB01BB7">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3.9）色域容积：145% sRGB；</w:t>
            </w:r>
          </w:p>
          <w:p w14:paraId="6256295B">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3.10）高散热铝合金背板及无风扇设计；</w:t>
            </w:r>
          </w:p>
          <w:p w14:paraId="2F4131F8">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4）系统支持如下：</w:t>
            </w:r>
          </w:p>
          <w:p w14:paraId="2D5DD708">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4.1）系统兼容：Windows系统 ，安卓系统，苹果系统，国产系统</w:t>
            </w:r>
          </w:p>
          <w:p w14:paraId="757E9B56">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5）显示端配件明细</w:t>
            </w:r>
          </w:p>
          <w:p w14:paraId="16294C18">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5.1）数位显示器；</w:t>
            </w:r>
          </w:p>
          <w:p w14:paraId="4D8362B4">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5.2）数位笔； </w:t>
            </w:r>
          </w:p>
          <w:p w14:paraId="26292D70">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5.3）单手键盘；</w:t>
            </w:r>
          </w:p>
          <w:p w14:paraId="318C940F">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5.4）HDMI线；</w:t>
            </w:r>
          </w:p>
          <w:p w14:paraId="4F47FF0E">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5.5）全功能USB-C to USB-C线 ；</w:t>
            </w:r>
          </w:p>
          <w:p w14:paraId="59DE87A5">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5.6）USB-A to USB-C数据线；</w:t>
            </w:r>
          </w:p>
          <w:p w14:paraId="6488DB1C">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5.7）电源适配器；</w:t>
            </w:r>
          </w:p>
          <w:p w14:paraId="179834F4">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5.8）AC线；</w:t>
            </w:r>
          </w:p>
          <w:p w14:paraId="3DB5460C">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5.9）笔盒；</w:t>
            </w:r>
          </w:p>
          <w:p w14:paraId="149A1C5D">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5.10）标准笔芯x5；</w:t>
            </w:r>
          </w:p>
          <w:p w14:paraId="41DFAE77">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5.11）毛毡笔芯x5；</w:t>
            </w:r>
          </w:p>
          <w:p w14:paraId="44967939">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5.12）防误触手套；</w:t>
            </w:r>
          </w:p>
          <w:p w14:paraId="5D8BAD0F">
            <w:pPr>
              <w:widowControl/>
              <w:jc w:val="left"/>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kern w:val="0"/>
                <w:sz w:val="24"/>
                <w:szCs w:val="24"/>
                <w:lang w:bidi="ar"/>
              </w:rPr>
              <w:t xml:space="preserve">5.13）清洁布 </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FC06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6FEE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r>
      <w:tr w14:paraId="0BBCECB8">
        <w:tblPrEx>
          <w:tblCellMar>
            <w:top w:w="0" w:type="dxa"/>
            <w:left w:w="108" w:type="dxa"/>
            <w:bottom w:w="0" w:type="dxa"/>
            <w:right w:w="108" w:type="dxa"/>
          </w:tblCellMar>
        </w:tblPrEx>
        <w:trPr>
          <w:trHeight w:val="9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B650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6187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电陶艺炉（电窑炉）</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A4990">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通过精准温控、安全操作的烧制过程，帮助康复者恢复物理功能、改善认知心理状态、提升职业技能。</w:t>
            </w:r>
          </w:p>
          <w:p w14:paraId="65745B96">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1）内空容积：≥0.084立方</w:t>
            </w:r>
          </w:p>
          <w:p w14:paraId="7D61AA99">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2）额定电压：220V/380V </w:t>
            </w:r>
          </w:p>
          <w:p w14:paraId="7F7CF415">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3）功率：8KW  </w:t>
            </w:r>
          </w:p>
          <w:p w14:paraId="6ED9A31E">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4）外部尺寸：75*115*122cm±20%</w:t>
            </w:r>
          </w:p>
          <w:p w14:paraId="1B5FA359">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5）承受温度：0～1300度</w:t>
            </w:r>
          </w:p>
          <w:p w14:paraId="3962274B">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6）常烧温度：0～1250度 </w:t>
            </w:r>
          </w:p>
          <w:p w14:paraId="463417A0">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7）棚板尺寸：30*34cm±20%</w:t>
            </w:r>
          </w:p>
          <w:p w14:paraId="0B178DE3">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8）控制柜：单曲线普通控制柜，LED数码晶体管显示，机械按键操作。</w:t>
            </w:r>
          </w:p>
          <w:p w14:paraId="370FA67E">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9）窑体：框架采用国标1.5mm钢板冷压一次成型，内框采用国标4*4cm方钢材质，抗压能力不低于30T；表面以多层绝缘防锈漆为底覆盖三层面漆的方式进行深加工。</w:t>
            </w:r>
          </w:p>
          <w:p w14:paraId="0C1D415A">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bidi="ar"/>
              </w:rPr>
              <w:t>高温砖：硅酸铝陶瓷纤维毯附加高分子纳米板。耐火砖符合国家GB/T21114-2019标准，空气隔热层使炉体外表面的温度保持在人体适应的范围内。烧制过程中不含六大重金属物质。（提供质量检验机构出具的检验报告予以佐证）</w:t>
            </w:r>
          </w:p>
          <w:p w14:paraId="0F0A7B4C">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11）发热材料：采用含锆硅钼丝合金材质。炉丝耐温≥1400度。</w:t>
            </w:r>
          </w:p>
          <w:p w14:paraId="77F51BA0">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bidi="ar"/>
              </w:rPr>
              <w:t>炉丝排布和降温系统：五面加热，内置风循环系统，2小时内快速降温。（提供质量检验机构出具的检验报告予以佐证）</w:t>
            </w:r>
          </w:p>
          <w:p w14:paraId="778C4ADE">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13）测温仪：采用国标铂金丝配件，</w:t>
            </w:r>
            <w:r>
              <w:rPr>
                <w:rFonts w:hint="eastAsia" w:ascii="宋体" w:hAnsi="宋体" w:eastAsia="宋体" w:cs="宋体"/>
                <w:color w:val="000000" w:themeColor="text1"/>
                <w:kern w:val="0"/>
                <w:sz w:val="24"/>
                <w:szCs w:val="24"/>
                <w:lang w:bidi="ar"/>
                <w14:textFill>
                  <w14:solidFill>
                    <w14:schemeClr w14:val="tx1"/>
                  </w14:solidFill>
                </w14:textFill>
              </w:rPr>
              <w:t>温差控制在5-10度。</w:t>
            </w:r>
          </w:p>
          <w:p w14:paraId="69655D46">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14）烧制段数：32段，可素烧、陶烧、紫砂烧、瓷烧等多功能烧制。</w:t>
            </w:r>
          </w:p>
          <w:p w14:paraId="5E6C79D7">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15）落地方式：配4个单轮承重≥250kg的万向脚轮，卡紧式设计。</w:t>
            </w:r>
          </w:p>
          <w:p w14:paraId="0372CCB5">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16）电流过载保护：电流实时监测，窑炉在小于等于额定电流下正常供给电源。</w:t>
            </w:r>
          </w:p>
          <w:p w14:paraId="0DA19133">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17）控制箱超温断电：制箱内配置温度监测系统，超温自动断电。</w:t>
            </w:r>
          </w:p>
          <w:p w14:paraId="24564FC3">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18）缺相保护：电源任意一相异常停止对炉丝供应。</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B3F5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7A35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r>
      <w:tr w14:paraId="24FC02B4">
        <w:tblPrEx>
          <w:tblCellMar>
            <w:top w:w="0" w:type="dxa"/>
            <w:left w:w="108" w:type="dxa"/>
            <w:bottom w:w="0" w:type="dxa"/>
            <w:right w:w="108" w:type="dxa"/>
          </w:tblCellMar>
        </w:tblPrEx>
        <w:trPr>
          <w:trHeight w:val="14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D2CA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2A76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陶艺工具套装</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E0276">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训练刻、刮、压、挖，提升手部控制。</w:t>
            </w:r>
          </w:p>
          <w:p w14:paraId="00AD2812">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1）泥雕塑工具红柄6件套：尖头塑形刀、头刮刀、扁口平刀、弧形弯刀、齿形梳刀、镂空钻刀各1</w:t>
            </w:r>
          </w:p>
          <w:p w14:paraId="5C08C8D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2）尺寸：16-19CM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3）产品材质:金属、木质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4）产品款式:陶艺工具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5）使用范围:适用于各</w:t>
            </w:r>
            <w:r>
              <w:rPr>
                <w:rStyle w:val="262"/>
                <w:rFonts w:hint="eastAsia" w:ascii="宋体" w:hAnsi="宋体" w:eastAsia="宋体" w:cs="宋体"/>
                <w:sz w:val="24"/>
                <w:szCs w:val="24"/>
                <w:lang w:bidi="ar"/>
              </w:rPr>
              <w:t>类泥塑、修坯粘土、软陶、精雕等手工艺制作工具。</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C9F6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AF6C3">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788FF534">
        <w:tblPrEx>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64D9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4927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彩泥套装（50色）</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F0D00">
            <w:pPr>
              <w:widowControl/>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锻炼手指抓捏、按压、搓圆、压扁</w:t>
            </w:r>
          </w:p>
          <w:p w14:paraId="629A6216">
            <w:pPr>
              <w:widowControl/>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1）≥1000克50色软陶泥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w:t>
            </w:r>
            <w:r>
              <w:rPr>
                <w:rStyle w:val="262"/>
                <w:rFonts w:hint="eastAsia" w:ascii="宋体" w:hAnsi="宋体" w:eastAsia="宋体" w:cs="宋体"/>
                <w:sz w:val="24"/>
                <w:szCs w:val="24"/>
                <w:lang w:bidi="ar"/>
              </w:rPr>
              <w:t>每块20克左右</w:t>
            </w:r>
          </w:p>
          <w:p w14:paraId="1C32AA6C">
            <w:pPr>
              <w:widowControl/>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3）1个颜色对应1块独立彩泥，一共 50 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3）规格4*4*1cm</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7F10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B7A4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6972D097">
        <w:tblPrEx>
          <w:tblCellMar>
            <w:top w:w="0" w:type="dxa"/>
            <w:left w:w="108" w:type="dxa"/>
            <w:bottom w:w="0" w:type="dxa"/>
            <w:right w:w="108" w:type="dxa"/>
          </w:tblCellMar>
        </w:tblPrEx>
        <w:trPr>
          <w:trHeight w:val="12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4241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FF44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手工艺训练用具</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0DB0E">
            <w:pPr>
              <w:widowControl/>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1）贴工盒规格：31.5×20×4cm，用途：拼贴、贴纸训练操作与配件收纳</w:t>
            </w:r>
          </w:p>
          <w:p w14:paraId="6302053F">
            <w:pPr>
              <w:widowControl/>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2）抽屉盒规格：10×11.5×10cm，用途：小零件分类收纳，训练抽拉、分类整理</w:t>
            </w:r>
          </w:p>
          <w:p w14:paraId="10BC223B">
            <w:pPr>
              <w:widowControl/>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3）带盖瓶规格：3.8×2×3.8cm，用途：细小配件收纳，训练拧盖、精细抓握</w:t>
            </w:r>
          </w:p>
          <w:p w14:paraId="10C90FF5">
            <w:pPr>
              <w:widowControl/>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4）剪纸盒规格：23.5×5cm，用途：剪纸工具、剪纸成品收纳保护</w:t>
            </w:r>
          </w:p>
          <w:p w14:paraId="705F3E35">
            <w:pPr>
              <w:widowControl/>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5）木质托盘（小号）规格：24.5×20×3cm，用途：手工艺操作托盘，防止零件散落，辅助训练</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5889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A710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5AE3DDCE">
        <w:tblPrEx>
          <w:tblCellMar>
            <w:top w:w="0" w:type="dxa"/>
            <w:left w:w="108" w:type="dxa"/>
            <w:bottom w:w="0" w:type="dxa"/>
            <w:right w:w="108" w:type="dxa"/>
          </w:tblCellMar>
        </w:tblPrEx>
        <w:trPr>
          <w:trHeight w:val="12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A729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F434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手工艺训练用具</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1AFCE">
            <w:pPr>
              <w:widowControl/>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1）贴工盒规格：31.5×20×4cm，用途：拼贴、贴纸训练操作与配件收纳</w:t>
            </w:r>
          </w:p>
          <w:p w14:paraId="5E076CFC">
            <w:pPr>
              <w:widowControl/>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2）抽屉盒规格：10×11.5×10cm，用途：小零件分类收纳，训练抽拉、分类整理</w:t>
            </w:r>
          </w:p>
          <w:p w14:paraId="53C41C51">
            <w:pPr>
              <w:widowControl/>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3）带盖瓶规格：3.8×2×3.8cm，用途：细小配件收纳，训练拧盖、精细抓握</w:t>
            </w:r>
          </w:p>
          <w:p w14:paraId="3BD8BF94">
            <w:pPr>
              <w:widowControl/>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4）剪纸盒规格：23.5×5cm，用途：剪纸工具、剪纸成品收纳保护</w:t>
            </w:r>
          </w:p>
          <w:p w14:paraId="4C2F348C">
            <w:pPr>
              <w:widowControl/>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5）木质托盘（小号）规格：24.5×20×3cm，用途：手工艺操作托盘，防止零件散落，辅助训练</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FF59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30E7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32435AA3">
        <w:tblPrEx>
          <w:tblCellMar>
            <w:top w:w="0" w:type="dxa"/>
            <w:left w:w="108" w:type="dxa"/>
            <w:bottom w:w="0" w:type="dxa"/>
            <w:right w:w="108" w:type="dxa"/>
          </w:tblCellMar>
        </w:tblPrEx>
        <w:trPr>
          <w:trHeight w:val="388"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B12C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67DE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压力波治疗仪</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66886">
            <w:pPr>
              <w:widowControl/>
              <w:jc w:val="left"/>
              <w:textAlignment w:val="center"/>
              <w:rPr>
                <w:rFonts w:hint="eastAsia" w:ascii="宋体" w:hAnsi="宋体" w:eastAsia="宋体" w:cs="宋体"/>
                <w:sz w:val="24"/>
                <w:szCs w:val="24"/>
                <w:lang w:eastAsia="zh-Hans"/>
              </w:rPr>
            </w:pPr>
            <w:r>
              <w:rPr>
                <w:rFonts w:hint="eastAsia" w:ascii="宋体" w:hAnsi="宋体" w:eastAsia="宋体" w:cs="宋体"/>
                <w:sz w:val="24"/>
                <w:szCs w:val="24"/>
                <w:lang w:eastAsia="zh-Hans"/>
              </w:rPr>
              <w:t>通过对气囊的有序充放气，形成对局部静脉的阶梯压力，缓解四肢浮肿，促进血液循环。</w:t>
            </w:r>
          </w:p>
          <w:p w14:paraId="54180172">
            <w:pPr>
              <w:widowControl/>
              <w:numPr>
                <w:ilvl w:val="0"/>
                <w:numId w:val="11"/>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电源：～220V 50Hz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2）额定功率： 50VA</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3）系统最大额定输出气体压力(无气囊状态)：150mmHg±15mmHg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4）治疗时间范围：1～99 min，±1min；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5）压力显示单位：mmHg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6）噪音：≤55dB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7）循环时间设定范围：3-60秒</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8）气压输出：双通道，每通道6气室</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9）工作模式：≥2种工作模式，包括循环加压及间隔加压</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10）每通道可单独设置压力</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11）TPU材质气囊，</w:t>
            </w:r>
            <w:r>
              <w:rPr>
                <w:rFonts w:hint="eastAsia" w:ascii="宋体" w:hAnsi="宋体" w:eastAsia="宋体" w:cs="宋体"/>
                <w:color w:val="000000"/>
                <w:kern w:val="0"/>
                <w:sz w:val="24"/>
                <w:szCs w:val="24"/>
                <w:lang w:eastAsia="zh-Hans" w:bidi="ar"/>
              </w:rPr>
              <w:t>气囊配置挂钩</w:t>
            </w:r>
          </w:p>
          <w:p w14:paraId="2E00F120">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12）≥3档气囊尺寸可调，叠瓦气囊设计</w:t>
            </w:r>
          </w:p>
          <w:p w14:paraId="1B8630B0">
            <w:pPr>
              <w:widowControl/>
              <w:jc w:val="left"/>
              <w:textAlignment w:val="center"/>
              <w:rPr>
                <w:rFonts w:hint="eastAsia" w:ascii="宋体" w:hAnsi="宋体" w:eastAsia="宋体" w:cs="宋体"/>
                <w:color w:val="000000"/>
                <w:kern w:val="0"/>
                <w:sz w:val="24"/>
                <w:szCs w:val="24"/>
                <w:lang w:eastAsia="zh-Hans" w:bidi="ar"/>
              </w:rPr>
            </w:pPr>
            <w:r>
              <w:rPr>
                <w:rFonts w:hint="eastAsia" w:ascii="宋体" w:hAnsi="宋体" w:eastAsia="宋体" w:cs="宋体"/>
                <w:color w:val="000000"/>
                <w:kern w:val="0"/>
                <w:sz w:val="24"/>
                <w:szCs w:val="24"/>
                <w:lang w:bidi="ar"/>
              </w:rPr>
              <w:t>13）</w:t>
            </w:r>
            <w:r>
              <w:rPr>
                <w:rFonts w:hint="eastAsia" w:ascii="宋体" w:hAnsi="宋体" w:eastAsia="宋体" w:cs="宋体"/>
                <w:color w:val="000000"/>
                <w:kern w:val="0"/>
                <w:sz w:val="24"/>
                <w:szCs w:val="24"/>
                <w:lang w:eastAsia="zh-Hans" w:bidi="ar"/>
              </w:rPr>
              <w:t>直观操作界面，可显示单气腔压力及加压状态</w:t>
            </w:r>
          </w:p>
          <w:p w14:paraId="463F89E8">
            <w:pPr>
              <w:widowControl/>
              <w:jc w:val="left"/>
              <w:textAlignment w:val="center"/>
              <w:rPr>
                <w:rFonts w:hint="eastAsia" w:ascii="宋体" w:hAnsi="宋体" w:eastAsia="宋体" w:cs="宋体"/>
                <w:color w:val="000000"/>
                <w:kern w:val="0"/>
                <w:sz w:val="24"/>
                <w:szCs w:val="24"/>
                <w:lang w:eastAsia="zh-Hans" w:bidi="ar"/>
              </w:rPr>
            </w:pPr>
            <w:r>
              <w:rPr>
                <w:rFonts w:hint="eastAsia" w:ascii="宋体" w:hAnsi="宋体" w:eastAsia="宋体" w:cs="宋体"/>
                <w:color w:val="000000"/>
                <w:kern w:val="0"/>
                <w:sz w:val="24"/>
                <w:szCs w:val="24"/>
                <w:lang w:bidi="ar"/>
              </w:rPr>
              <w:t>14）</w:t>
            </w:r>
            <w:r>
              <w:rPr>
                <w:rFonts w:hint="eastAsia" w:ascii="宋体" w:hAnsi="宋体" w:eastAsia="宋体" w:cs="宋体"/>
                <w:color w:val="000000"/>
                <w:kern w:val="0"/>
                <w:sz w:val="24"/>
                <w:szCs w:val="24"/>
                <w:lang w:eastAsia="zh-Hans" w:bidi="ar"/>
              </w:rPr>
              <w:t>台车式设计</w:t>
            </w: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eastAsia="zh-Hans" w:bidi="ar"/>
              </w:rPr>
              <w:t>配置收纳柜</w:t>
            </w:r>
          </w:p>
          <w:p w14:paraId="6D74D30A">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w:t>
            </w:r>
            <w:r>
              <w:rPr>
                <w:rFonts w:hint="eastAsia" w:ascii="宋体" w:hAnsi="宋体" w:eastAsia="宋体" w:cs="宋体"/>
                <w:color w:val="000000"/>
                <w:kern w:val="0"/>
                <w:sz w:val="24"/>
                <w:szCs w:val="24"/>
                <w:lang w:eastAsia="zh-Hans" w:bidi="ar"/>
              </w:rPr>
              <w:t>采用静音式空气压缩机</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86A7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64C6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r>
      <w:tr w14:paraId="7E18DDF2">
        <w:tblPrEx>
          <w:tblCellMar>
            <w:top w:w="0" w:type="dxa"/>
            <w:left w:w="108" w:type="dxa"/>
            <w:bottom w:w="0" w:type="dxa"/>
            <w:right w:w="108" w:type="dxa"/>
          </w:tblCellMar>
        </w:tblPrEx>
        <w:trPr>
          <w:trHeight w:val="27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0545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9FEA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儿童模拟超市</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69421">
            <w:pPr>
              <w:widowControl/>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儿童模拟超市，</w:t>
            </w:r>
            <w:r>
              <w:rPr>
                <w:rStyle w:val="262"/>
                <w:rFonts w:hint="eastAsia" w:ascii="宋体" w:hAnsi="宋体" w:eastAsia="宋体" w:cs="宋体"/>
                <w:sz w:val="24"/>
                <w:szCs w:val="24"/>
                <w:lang w:bidi="ar"/>
              </w:rPr>
              <w:t>为儿童职业康复、社会适应、生活技能训练的核心情景教具，专为孤独症、发育迟缓、智力障碍、感统失调等特殊需要儿童设计，用仿真超市场景做康复训练，兼顾认知、精细、社交、职业启蒙四大康复目标。</w:t>
            </w:r>
          </w:p>
          <w:p w14:paraId="3363D76B">
            <w:pPr>
              <w:widowControl/>
              <w:numPr>
                <w:ilvl w:val="0"/>
                <w:numId w:val="12"/>
              </w:numPr>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材质：塑料</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2）模拟</w:t>
            </w:r>
            <w:r>
              <w:rPr>
                <w:rStyle w:val="262"/>
                <w:rFonts w:hint="eastAsia" w:ascii="宋体" w:hAnsi="宋体" w:eastAsia="宋体" w:cs="宋体"/>
                <w:sz w:val="24"/>
                <w:szCs w:val="24"/>
                <w:lang w:bidi="ar"/>
              </w:rPr>
              <w:t>小超市尺寸：</w:t>
            </w:r>
            <w:r>
              <w:rPr>
                <w:rFonts w:hint="eastAsia" w:ascii="宋体" w:hAnsi="宋体" w:eastAsia="宋体" w:cs="宋体"/>
                <w:color w:val="000000"/>
                <w:kern w:val="0"/>
                <w:sz w:val="24"/>
                <w:szCs w:val="24"/>
                <w:lang w:bidi="ar"/>
              </w:rPr>
              <w:t>≥</w:t>
            </w:r>
            <w:r>
              <w:rPr>
                <w:rStyle w:val="262"/>
                <w:rFonts w:hint="eastAsia" w:ascii="宋体" w:hAnsi="宋体" w:eastAsia="宋体" w:cs="宋体"/>
                <w:sz w:val="24"/>
                <w:szCs w:val="24"/>
                <w:lang w:bidi="ar"/>
              </w:rPr>
              <w:t>48*41*82cm；</w:t>
            </w:r>
          </w:p>
          <w:p w14:paraId="78751D41">
            <w:pPr>
              <w:widowControl/>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3）小推车尺寸：</w:t>
            </w:r>
            <w:r>
              <w:rPr>
                <w:rFonts w:hint="eastAsia" w:ascii="宋体" w:hAnsi="宋体" w:eastAsia="宋体" w:cs="宋体"/>
                <w:color w:val="000000"/>
                <w:kern w:val="0"/>
                <w:sz w:val="24"/>
                <w:szCs w:val="24"/>
                <w:lang w:bidi="ar"/>
              </w:rPr>
              <w:t>≥</w:t>
            </w:r>
            <w:r>
              <w:rPr>
                <w:rStyle w:val="262"/>
                <w:rFonts w:hint="eastAsia" w:ascii="宋体" w:hAnsi="宋体" w:eastAsia="宋体" w:cs="宋体"/>
                <w:sz w:val="24"/>
                <w:szCs w:val="24"/>
                <w:lang w:bidi="ar"/>
              </w:rPr>
              <w:t>33*20*40cm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4）包括购物推车1个，仿真超市配件1组（≥57件</w:t>
            </w:r>
            <w:r>
              <w:rPr>
                <w:rStyle w:val="55"/>
                <w:rFonts w:hint="eastAsia" w:ascii="宋体" w:hAnsi="宋体" w:eastAsia="宋体" w:cs="宋体"/>
                <w:sz w:val="24"/>
                <w:szCs w:val="24"/>
              </w:rPr>
              <w:t>）</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27BA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3CB63">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37FE5816">
        <w:tblPrEx>
          <w:tblCellMar>
            <w:top w:w="0" w:type="dxa"/>
            <w:left w:w="108" w:type="dxa"/>
            <w:bottom w:w="0" w:type="dxa"/>
            <w:right w:w="108" w:type="dxa"/>
          </w:tblCellMar>
        </w:tblPrEx>
        <w:trPr>
          <w:trHeight w:val="394"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E8E2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6B3A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PT凳</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557F7">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康复师进行手法治疗时可移动的坐具。</w:t>
            </w:r>
          </w:p>
          <w:p w14:paraId="5B270DBF">
            <w:pPr>
              <w:widowControl/>
              <w:numPr>
                <w:ilvl w:val="0"/>
                <w:numId w:val="13"/>
              </w:numPr>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外形尺寸（直径×高）：Φ600mm×（420～560）mm±20%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 带液压油缸，360°旋转</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 额定承载：≥2000N</w:t>
            </w:r>
          </w:p>
          <w:p w14:paraId="418B214C">
            <w:pPr>
              <w:widowControl/>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4）凳面可以360°旋转。</w:t>
            </w:r>
          </w:p>
          <w:p w14:paraId="053035F5">
            <w:pPr>
              <w:widowControl/>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5) 凳面高度可调，方便康复师使用。</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 凳体底部设计有万向滑轮，可以自由移动。</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0D0E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AF4D3">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w:t>
            </w:r>
          </w:p>
        </w:tc>
      </w:tr>
      <w:tr w14:paraId="292E9254">
        <w:tblPrEx>
          <w:tblCellMar>
            <w:top w:w="0" w:type="dxa"/>
            <w:left w:w="108" w:type="dxa"/>
            <w:bottom w:w="0" w:type="dxa"/>
            <w:right w:w="108" w:type="dxa"/>
          </w:tblCellMar>
        </w:tblPrEx>
        <w:trPr>
          <w:trHeight w:val="71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BB22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C44C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轮椅</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DA098">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帮助行动不便的人移动、参与日常活动的工具。</w:t>
            </w:r>
          </w:p>
          <w:p w14:paraId="3C2DE243">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1）产品符合GB/T13800-2009《手动轮椅车》国家标准。</w:t>
            </w:r>
          </w:p>
          <w:p w14:paraId="06470A28">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2）由铝合金管焊接组合成型，铝管直径≥22mm，壁厚≥2.0mm，车架可折叠。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3）外形尺寸：轮椅总长</w:t>
            </w:r>
            <w:r>
              <w:rPr>
                <w:rStyle w:val="262"/>
                <w:rFonts w:hint="eastAsia" w:ascii="宋体" w:hAnsi="宋体" w:eastAsia="宋体" w:cs="宋体"/>
                <w:sz w:val="24"/>
                <w:szCs w:val="24"/>
                <w:lang w:bidi="ar"/>
              </w:rPr>
              <w:t>≥</w:t>
            </w:r>
            <w:r>
              <w:rPr>
                <w:rFonts w:hint="eastAsia" w:ascii="宋体" w:hAnsi="宋体" w:eastAsia="宋体" w:cs="宋体"/>
                <w:color w:val="000000"/>
                <w:kern w:val="0"/>
                <w:sz w:val="24"/>
                <w:szCs w:val="24"/>
                <w:lang w:bidi="ar"/>
              </w:rPr>
              <w:t>820mm、总宽</w:t>
            </w:r>
            <w:r>
              <w:rPr>
                <w:rStyle w:val="262"/>
                <w:rFonts w:hint="eastAsia" w:ascii="宋体" w:hAnsi="宋体" w:eastAsia="宋体" w:cs="宋体"/>
                <w:sz w:val="24"/>
                <w:szCs w:val="24"/>
                <w:lang w:bidi="ar"/>
              </w:rPr>
              <w:t>≥</w:t>
            </w:r>
            <w:r>
              <w:rPr>
                <w:rFonts w:hint="eastAsia" w:ascii="宋体" w:hAnsi="宋体" w:eastAsia="宋体" w:cs="宋体"/>
                <w:color w:val="000000"/>
                <w:kern w:val="0"/>
                <w:sz w:val="24"/>
                <w:szCs w:val="24"/>
                <w:lang w:bidi="ar"/>
              </w:rPr>
              <w:t>580mm、总高</w:t>
            </w:r>
            <w:r>
              <w:rPr>
                <w:rStyle w:val="262"/>
                <w:rFonts w:hint="eastAsia" w:ascii="宋体" w:hAnsi="宋体" w:eastAsia="宋体" w:cs="宋体"/>
                <w:sz w:val="24"/>
                <w:szCs w:val="24"/>
                <w:lang w:bidi="ar"/>
              </w:rPr>
              <w:t>≥</w:t>
            </w:r>
            <w:r>
              <w:rPr>
                <w:rFonts w:hint="eastAsia" w:ascii="宋体" w:hAnsi="宋体" w:eastAsia="宋体" w:cs="宋体"/>
                <w:color w:val="000000"/>
                <w:kern w:val="0"/>
                <w:sz w:val="24"/>
                <w:szCs w:val="24"/>
                <w:lang w:bidi="ar"/>
              </w:rPr>
              <w:t>870mm、座宽</w:t>
            </w:r>
            <w:r>
              <w:rPr>
                <w:rStyle w:val="262"/>
                <w:rFonts w:hint="eastAsia" w:ascii="宋体" w:hAnsi="宋体" w:eastAsia="宋体" w:cs="宋体"/>
                <w:sz w:val="24"/>
                <w:szCs w:val="24"/>
                <w:lang w:bidi="ar"/>
              </w:rPr>
              <w:t>≥</w:t>
            </w:r>
            <w:r>
              <w:rPr>
                <w:rFonts w:hint="eastAsia" w:ascii="宋体" w:hAnsi="宋体" w:eastAsia="宋体" w:cs="宋体"/>
                <w:color w:val="000000"/>
                <w:kern w:val="0"/>
                <w:sz w:val="24"/>
                <w:szCs w:val="24"/>
                <w:lang w:bidi="ar"/>
              </w:rPr>
              <w:t>450mm、座深</w:t>
            </w:r>
            <w:r>
              <w:rPr>
                <w:rStyle w:val="262"/>
                <w:rFonts w:hint="eastAsia" w:ascii="宋体" w:hAnsi="宋体" w:eastAsia="宋体" w:cs="宋体"/>
                <w:sz w:val="24"/>
                <w:szCs w:val="24"/>
                <w:lang w:bidi="ar"/>
              </w:rPr>
              <w:t>≥</w:t>
            </w:r>
            <w:r>
              <w:rPr>
                <w:rFonts w:hint="eastAsia" w:ascii="宋体" w:hAnsi="宋体" w:eastAsia="宋体" w:cs="宋体"/>
                <w:color w:val="000000"/>
                <w:kern w:val="0"/>
                <w:sz w:val="24"/>
                <w:szCs w:val="24"/>
                <w:lang w:bidi="ar"/>
              </w:rPr>
              <w:t>420mm、座高</w:t>
            </w:r>
            <w:r>
              <w:rPr>
                <w:rStyle w:val="262"/>
                <w:rFonts w:hint="eastAsia" w:ascii="宋体" w:hAnsi="宋体" w:eastAsia="宋体" w:cs="宋体"/>
                <w:sz w:val="24"/>
                <w:szCs w:val="24"/>
                <w:lang w:bidi="ar"/>
              </w:rPr>
              <w:t>≥</w:t>
            </w:r>
            <w:r>
              <w:rPr>
                <w:rFonts w:hint="eastAsia" w:ascii="宋体" w:hAnsi="宋体" w:eastAsia="宋体" w:cs="宋体"/>
                <w:color w:val="000000"/>
                <w:kern w:val="0"/>
                <w:sz w:val="24"/>
                <w:szCs w:val="24"/>
                <w:lang w:bidi="ar"/>
              </w:rPr>
              <w:t>420mm、靠背高度</w:t>
            </w:r>
            <w:r>
              <w:rPr>
                <w:rStyle w:val="262"/>
                <w:rFonts w:hint="eastAsia" w:ascii="宋体" w:hAnsi="宋体" w:eastAsia="宋体" w:cs="宋体"/>
                <w:sz w:val="24"/>
                <w:szCs w:val="24"/>
                <w:lang w:bidi="ar"/>
              </w:rPr>
              <w:t>≥</w:t>
            </w:r>
            <w:r>
              <w:rPr>
                <w:rFonts w:hint="eastAsia" w:ascii="宋体" w:hAnsi="宋体" w:eastAsia="宋体" w:cs="宋体"/>
                <w:color w:val="000000"/>
                <w:kern w:val="0"/>
                <w:sz w:val="24"/>
                <w:szCs w:val="24"/>
                <w:lang w:bidi="ar"/>
              </w:rPr>
              <w:t>430mm，承重≥100Kg。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4）座靠垫材质：600D的牛津纺布，夹层30D的海绵，配有小腿带及安全带。</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5）固定扶手，配备PU扶手垫。</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6）配金属手动驻刹、后手刹带前后联动刹车装置。</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7）前轮为</w:t>
            </w:r>
            <w:r>
              <w:rPr>
                <w:rStyle w:val="262"/>
                <w:rFonts w:hint="eastAsia" w:ascii="宋体" w:hAnsi="宋体" w:eastAsia="宋体" w:cs="宋体"/>
                <w:sz w:val="24"/>
                <w:szCs w:val="24"/>
                <w:lang w:bidi="ar"/>
              </w:rPr>
              <w:t>≥</w:t>
            </w:r>
            <w:r>
              <w:rPr>
                <w:rFonts w:hint="eastAsia" w:ascii="宋体" w:hAnsi="宋体" w:eastAsia="宋体" w:cs="宋体"/>
                <w:color w:val="000000"/>
                <w:kern w:val="0"/>
                <w:sz w:val="24"/>
                <w:szCs w:val="24"/>
                <w:lang w:bidi="ar"/>
              </w:rPr>
              <w:t>150mmPU实心轮胎；后轮为</w:t>
            </w:r>
            <w:r>
              <w:rPr>
                <w:rStyle w:val="262"/>
                <w:rFonts w:hint="eastAsia" w:ascii="宋体" w:hAnsi="宋体" w:eastAsia="宋体" w:cs="宋体"/>
                <w:sz w:val="24"/>
                <w:szCs w:val="24"/>
                <w:lang w:bidi="ar"/>
              </w:rPr>
              <w:t>≥</w:t>
            </w:r>
            <w:r>
              <w:rPr>
                <w:rFonts w:hint="eastAsia" w:ascii="宋体" w:hAnsi="宋体" w:eastAsia="宋体" w:cs="宋体"/>
                <w:color w:val="000000"/>
                <w:kern w:val="0"/>
                <w:sz w:val="24"/>
                <w:szCs w:val="24"/>
                <w:lang w:bidi="ar"/>
              </w:rPr>
              <w:t>380mm免充气轮胎</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CE1C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B8A1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w:t>
            </w:r>
          </w:p>
        </w:tc>
      </w:tr>
      <w:tr w14:paraId="0E243CBA">
        <w:tblPrEx>
          <w:tblCellMar>
            <w:top w:w="0" w:type="dxa"/>
            <w:left w:w="108" w:type="dxa"/>
            <w:bottom w:w="0" w:type="dxa"/>
            <w:right w:w="108"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B26E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955D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PT凳</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8348F">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康复师进行手法治疗时可移动的坐具。</w:t>
            </w:r>
          </w:p>
          <w:p w14:paraId="3C912E38">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 外形尺寸（直径×高）：Φ600mm×（420～560）mm±20%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 带液压油缸，360°旋转</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 额定承载：≥2000N</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 凳面高度可调，方便康复师使用。</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 凳体底部设计有万向滑轮，可以自由移动。</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DFEC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D319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w:t>
            </w:r>
          </w:p>
        </w:tc>
      </w:tr>
      <w:tr w14:paraId="660082E8">
        <w:tblPrEx>
          <w:tblCellMar>
            <w:top w:w="0" w:type="dxa"/>
            <w:left w:w="108" w:type="dxa"/>
            <w:bottom w:w="0" w:type="dxa"/>
            <w:right w:w="108" w:type="dxa"/>
          </w:tblCellMar>
        </w:tblPrEx>
        <w:trPr>
          <w:trHeight w:val="1290"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0395C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3E90B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互动康复训练系统（多感官训练系统）</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A7E5C">
            <w:pPr>
              <w:widowControl/>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适用感官失调的儿童在康复师的指导下以游戏的方式进行视觉、听觉、触觉、嗅觉等感官的综合训练。</w:t>
            </w:r>
          </w:p>
          <w:p w14:paraId="5327B86A">
            <w:pPr>
              <w:widowControl/>
              <w:numPr>
                <w:ilvl w:val="0"/>
                <w:numId w:val="14"/>
              </w:numPr>
              <w:jc w:val="left"/>
              <w:textAlignment w:val="center"/>
              <w:rPr>
                <w:rStyle w:val="262"/>
                <w:rFonts w:hint="eastAsia" w:ascii="宋体" w:hAnsi="宋体" w:eastAsia="宋体" w:cs="宋体"/>
                <w:b/>
                <w:bCs/>
                <w:sz w:val="24"/>
                <w:szCs w:val="24"/>
                <w:lang w:bidi="ar"/>
              </w:rPr>
            </w:pPr>
            <w:r>
              <w:rPr>
                <w:rStyle w:val="262"/>
                <w:rFonts w:hint="eastAsia" w:ascii="宋体" w:hAnsi="宋体" w:eastAsia="宋体" w:cs="宋体"/>
                <w:b/>
                <w:bCs/>
                <w:sz w:val="24"/>
                <w:szCs w:val="24"/>
                <w:lang w:bidi="ar"/>
              </w:rPr>
              <w:t>多感官配套投射系统1套</w:t>
            </w:r>
          </w:p>
          <w:p w14:paraId="0A2A454B">
            <w:pPr>
              <w:widowControl/>
              <w:numPr>
                <w:ilvl w:val="1"/>
                <w:numId w:val="15"/>
              </w:numPr>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投影仪1台 亮度：≥2800流明，标准分辨率：不低于1024×768。</w:t>
            </w:r>
          </w:p>
          <w:p w14:paraId="43BFA408">
            <w:pPr>
              <w:widowControl/>
              <w:numPr>
                <w:ilvl w:val="1"/>
                <w:numId w:val="15"/>
              </w:numPr>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电动投影幕1个，≥84英寸。</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2）多感官声音感知训练系统1套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2.1）≥43英寸大屏幕液晶触摸屏1个，</w:t>
            </w:r>
          </w:p>
          <w:p w14:paraId="3CCB7DCF">
            <w:pPr>
              <w:widowControl/>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2.2）含动物、交通、自然、乐器、日常生活五类及以上声音感知训练模块；</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3）多感官互动训练系统硬件1套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3.1）控制系统1台：中文操作系统</w:t>
            </w:r>
          </w:p>
          <w:p w14:paraId="2BD0430D">
            <w:pPr>
              <w:widowControl/>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3.2）液晶显示器1台，≥21.5英寸</w:t>
            </w:r>
          </w:p>
          <w:p w14:paraId="2ED713A1">
            <w:pPr>
              <w:widowControl/>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3.3）无线键鼠1套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3.4）HDMI延长线1套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3.5）USB延长线1套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3.6）VGA延长线1套；</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4）多感官互动训练系统软件1套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4.1）系统应用Kinect交互体感技术，通过识别肢体关节动作、人体骨骼状态、平衡、人体成像等多形态数据信息，来驱动系统虚拟情景训练和交互，实现了更加丰富、多样、准确的应用情景。</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4.2）采用精准的人脸识别系统，来应对复杂环境的玩家身份甄选，排除外在环境多人物的信息干扰，实现精准的人物定位跟踪和识别，同时将人脸信息作为用户的身份认证标识，实现了更加便捷、快速的用户筛选过程，简化训练流程，提高运行效率。</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4.3）提供丰富的情景训练内容，包含注意力训练游戏、记忆力、数的能力、思维能力、运动能力、感知能力、主题情景训练（合计19个以上训练游戏）。针对训练内容，提供了自定义的时间设置和难度设置，更大程度上的满足不同年龄、能力阶段上的差异化需求。</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4.4）实现了多模式的互动情景训练（适应症、能力、主题、课程等），系统提供多种适应症（脑瘫、孤独症、智力障碍等）、针对性的能力（注意、记忆等6个以上能力维度）、个性化的课程（可自主编辑满足不同需求的定制内容）、内置主题的多模式的训练方案。</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4.5）系统提供本地化用户信息，提供用户信息的采集和管理，采用加密的人脸信息作为用户身份标识数据；</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4.6）系统提供用户训练记录的存储，同时提供同一用户单训练历史记录的信息对比，有利于对用户训练成效的跟踪分析；</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5）泡泡管2根</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5.1）尺寸：一高一矮，长：2米以上、1.8米以上，直径：15CM以上</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5.2）管内可产生泡泡、灯光颜色可变换</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5.3）材质：亚克力防碎</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6）泡泡管固定架1套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6.1）木底板外包防破裂环保PU</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6.2）固定泡泡管</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7）动感彩轮1个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7.1）产品组成：面板、电源开关键、话筒模块、触摸面板、发光按钮、无线接收装置。</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7.2）外形尺寸：115L×67W×10cm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7.3）控制按钮：可以通过按钮控制动感彩轮的图案、音效、颜色、速度、播放/暂停</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7.4）触摸面板：</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7.4.1）模式调节：可以调节面板的形状，颜色，设置面板在形状和颜色之间滚动</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7.4.2）音量调节：增加或减少音量；</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7.4.3）音响调节：打开或关闭音响效果；</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7.4.4）触摸面板亮度调节：调节触摸面板显示亮度；</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7.4.5）面板亮度调节：调节触摸面板显示亮度；</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7.4.6）锁调节：锁定和解锁触摸面板的亮度显示；</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7.4.7）统计模块：可查看面板上按下按钮的次数以及面板使用的时间。</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8）声光墙面板1个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8.1）无线接收装置。</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8.2）外形尺寸：115L×67W×10cm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8.3）控制按钮：可以通过按钮控制声光墙面板的图案、颜色、音效</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8.4）触摸面板：</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8.4.1）模式调节：可以设置面板对声音的振幅和频率都做出反应，面板仅对声音的振幅做出反应，面板仅对声音的频率做出反应</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8.4.2）音量调节</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8.4.3）统计模块：可查看面板上按下按钮的次数以及面板使用的时间。</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9）无尽深度灯镜1个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9.1）产品组成：面板、电源开关键、话筒模块、触摸面板、控制按钮、无线接收装置。</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9.2）外形尺寸：115L×67W×10cm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9.3）控制按钮：可以通过按钮控制无尽深度灯镜的形状、图案、颜色、速度、播放/暂停按钮</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9.4）触摸式面板：</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9.4.1）模式调节：调节面板的形状，图案，颜色或速度，设置面板在形状，图案和颜色之间滚动</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9.4.2）统计模块：可查看面板上按下按钮的次数以及面板使用的时间。</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10）颜色转换控制面板1个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10.1）产品组成：面板、电源开关键、话筒模块、触摸面板、控制按钮、无线接收装置（提供质量检验机构出具的检验报告予以佐证）。</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10.2）外形尺寸：115L×67W×10cm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10.3）</w:t>
            </w:r>
            <w:r>
              <w:rPr>
                <w:rStyle w:val="262"/>
                <w:rFonts w:hint="eastAsia" w:ascii="宋体" w:hAnsi="宋体" w:cs="宋体"/>
                <w:sz w:val="24"/>
                <w:szCs w:val="24"/>
                <w:lang w:val="en-US" w:eastAsia="zh-CN" w:bidi="ar"/>
              </w:rPr>
              <w:t>#</w:t>
            </w:r>
            <w:r>
              <w:rPr>
                <w:rStyle w:val="262"/>
                <w:rFonts w:hint="eastAsia" w:ascii="宋体" w:hAnsi="宋体" w:eastAsia="宋体" w:cs="宋体"/>
                <w:sz w:val="24"/>
                <w:szCs w:val="24"/>
                <w:lang w:bidi="ar"/>
              </w:rPr>
              <w:t>控制按钮：可以通过按钮控制颜色转换控制面板的颜色、图案、色调、亮度（提供质量检验机构出具的检验报告予以佐证）</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10.4）触摸面板：</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10.4.1）</w:t>
            </w:r>
            <w:r>
              <w:rPr>
                <w:rStyle w:val="262"/>
                <w:rFonts w:hint="eastAsia" w:ascii="宋体" w:hAnsi="宋体" w:cs="宋体"/>
                <w:sz w:val="24"/>
                <w:szCs w:val="24"/>
                <w:lang w:val="en-US" w:eastAsia="zh-CN" w:bidi="ar"/>
              </w:rPr>
              <w:t>#</w:t>
            </w:r>
            <w:r>
              <w:rPr>
                <w:rStyle w:val="262"/>
                <w:rFonts w:hint="eastAsia" w:ascii="宋体" w:hAnsi="宋体" w:eastAsia="宋体" w:cs="宋体"/>
                <w:sz w:val="24"/>
                <w:szCs w:val="24"/>
                <w:lang w:bidi="ar"/>
              </w:rPr>
              <w:t>模式调节：调节面板的形状、颜色，面板在形状和颜色之间滚动</w:t>
            </w:r>
            <w:r>
              <w:rPr>
                <w:rStyle w:val="262"/>
                <w:rFonts w:hint="eastAsia" w:ascii="宋体" w:hAnsi="宋体" w:eastAsia="宋体" w:cs="宋体"/>
                <w:b/>
                <w:sz w:val="24"/>
                <w:szCs w:val="24"/>
                <w:lang w:bidi="ar"/>
              </w:rPr>
              <w:t>（提供质量检验机构出具的检验报告予以佐证）</w:t>
            </w:r>
            <w:r>
              <w:rPr>
                <w:rStyle w:val="262"/>
                <w:rFonts w:hint="eastAsia" w:ascii="宋体" w:hAnsi="宋体" w:eastAsia="宋体" w:cs="宋体"/>
                <w:b/>
                <w:sz w:val="24"/>
                <w:szCs w:val="24"/>
                <w:lang w:bidi="ar"/>
              </w:rPr>
              <w:br w:type="textWrapping"/>
            </w:r>
            <w:r>
              <w:rPr>
                <w:rStyle w:val="262"/>
                <w:rFonts w:hint="eastAsia" w:ascii="宋体" w:hAnsi="宋体" w:eastAsia="宋体" w:cs="宋体"/>
                <w:b/>
                <w:sz w:val="24"/>
                <w:szCs w:val="24"/>
                <w:lang w:bidi="ar"/>
              </w:rPr>
              <w:t>10.4.2）音量调节：增加或减少音量；</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10.4.3）音响调节：打开或关闭音响效果；</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10.4.4）触摸面板亮度调节：调节触摸面板显示亮度；</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10.4.5）面板亮度调节：调节触摸面板显示亮度；</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10.4.6）锁调节：锁定和解锁触摸面板的亮度显示；</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10.4.7）</w:t>
            </w:r>
            <w:r>
              <w:rPr>
                <w:rStyle w:val="262"/>
                <w:rFonts w:hint="eastAsia" w:ascii="宋体" w:hAnsi="宋体" w:cs="宋体"/>
                <w:sz w:val="24"/>
                <w:szCs w:val="24"/>
                <w:lang w:val="en-US" w:eastAsia="zh-CN" w:bidi="ar"/>
              </w:rPr>
              <w:t>#</w:t>
            </w:r>
            <w:r>
              <w:rPr>
                <w:rStyle w:val="262"/>
                <w:rFonts w:hint="eastAsia" w:ascii="宋体" w:hAnsi="宋体" w:eastAsia="宋体" w:cs="宋体"/>
                <w:sz w:val="24"/>
                <w:szCs w:val="24"/>
                <w:lang w:bidi="ar"/>
              </w:rPr>
              <w:t>统计模块（提供质量检验机构出具的检验报告予以佐证）：可查看面板上按下按钮的次数以及面板使用的时间。</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11）引导性协调训练器1个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11.1）尺寸95cm×64cm×10cm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t>，间隔时间速度可调，有时间记忆功能和倒记次数</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11.2）不但能刺激听觉，也可有操控环境的满足感,训练手眼协调。</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12）彩光地毯1个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12.1）当压力踏上地毯，光纤条的亮光亮起来，离开后熄灭；当再踏上地毯时，亮光颜色变化</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12.2）可鼓励学生以走、爬、滚或其他方式进行，以达到刺激的目的</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12.3）亮光颜色的控制，可由学生自己来控制</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12.4）包含：彩光地毯 1组、灯光源主机 1组</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12.5）尺寸：130×130cm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12.6）可无线接受无线说话方块的颜色控制</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12.7）内置无线接收装置</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13）无线说话方块1套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13.1）</w:t>
            </w:r>
            <w:r>
              <w:rPr>
                <w:rStyle w:val="262"/>
                <w:rFonts w:hint="eastAsia" w:ascii="宋体" w:hAnsi="宋体" w:cs="宋体"/>
                <w:sz w:val="24"/>
                <w:szCs w:val="24"/>
                <w:lang w:val="en-US" w:eastAsia="zh-CN" w:bidi="ar"/>
              </w:rPr>
              <w:t>#</w:t>
            </w:r>
            <w:r>
              <w:rPr>
                <w:rStyle w:val="262"/>
                <w:rFonts w:hint="eastAsia" w:ascii="宋体" w:hAnsi="宋体" w:eastAsia="宋体" w:cs="宋体"/>
                <w:sz w:val="24"/>
                <w:szCs w:val="24"/>
                <w:lang w:bidi="ar"/>
              </w:rPr>
              <w:t>由无线说话方块和LED光带组成（提供质量检验机构出具的检验报告予以佐证）</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13.2）无线LED光带≥20米</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13.3）电源参数：9V电池</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13.4）可以添加图片，符号或照片促进颜色识别。具有自录音功能，儿童可以录制自己的声音。</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13.5）</w:t>
            </w:r>
            <w:r>
              <w:rPr>
                <w:rStyle w:val="262"/>
                <w:rFonts w:hint="eastAsia" w:ascii="宋体" w:hAnsi="宋体" w:cs="宋体"/>
                <w:sz w:val="24"/>
                <w:szCs w:val="24"/>
                <w:lang w:val="en-US" w:eastAsia="zh-CN" w:bidi="ar"/>
              </w:rPr>
              <w:t>#</w:t>
            </w:r>
            <w:r>
              <w:rPr>
                <w:rStyle w:val="262"/>
                <w:rFonts w:hint="eastAsia" w:ascii="宋体" w:hAnsi="宋体" w:eastAsia="宋体" w:cs="宋体"/>
                <w:sz w:val="24"/>
                <w:szCs w:val="24"/>
                <w:lang w:bidi="ar"/>
              </w:rPr>
              <w:t>在无线说话方块和LED光带距离≤30米的情况下，当无线说话方块每翻转一面，光带在2秒内即变换一种颜色，总共有红、绿、等六种颜色。（提供质量检验机构出具的检验报告予以佐证）</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13.6）可无线遥控LED光带的颜色变换。</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14）彩像投射机1台</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14.1）连底座（含托架）</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14.2）配5张以上效果轮盘，（海洋、天空、陆地、红色魔幻、蓝与绿主题）</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14.3）提供有特色的主题视觉效果，也能刺激凝视远景，目光追踪转动的彩像</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15）幻彩光纤灯源1个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15.1）灯座，LED光源发生，产生四色光源（红、黄、兰、绿）</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16）幻彩光纤帘1套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16.1）多条透明光纤组成，光纤能转变不同颜色的彩光，配合电源使用，长度：≥2米。</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16.2）可进行长短、多少、颜色辨别的学习活动</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17）触觉套装1套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 xml:space="preserve">17.1）成套工具包(包括：触觉识别教具1套，触觉球3个，平衡触觉垫1个,振动枕1个，触觉刷1套，振动软棒1套。) </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17.2）触觉训练、检查工具包。</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18）嗅觉套装1套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 xml:space="preserve">18.1）成套工具包(包括：水果香味盒30种、植物香油9种、香精球6个，香熏发生器1台、香熏枕2个、食物认知卡片1套) </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18.2）嗅觉训练、检查工具包</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19）幻彩波波1套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19.1）尺寸145×145×72.5cm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t xml:space="preserve"> 海洋球池，配置1500个透明波波球，底座灯光可变换（红、黄、兰、绿）。</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19.2）感受身体与胶波的接触，教师可与智障儿童一起玩寻宝游戏。</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20）软垫梯级1套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20.1）级梯，采用发泡的密度内材，外包覆抗破裂PU或PVC，尺寸：145cm×45cm×72.5cm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t>。</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20.2）上下楼梯训练</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9475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6E233">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0538A6D0">
        <w:tblPrEx>
          <w:tblCellMar>
            <w:top w:w="0" w:type="dxa"/>
            <w:left w:w="108" w:type="dxa"/>
            <w:bottom w:w="0" w:type="dxa"/>
            <w:right w:w="108" w:type="dxa"/>
          </w:tblCellMar>
        </w:tblPrEx>
        <w:trPr>
          <w:trHeight w:val="50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5033E3">
            <w:pPr>
              <w:jc w:val="center"/>
              <w:rPr>
                <w:rFonts w:hint="eastAsia" w:ascii="宋体" w:hAnsi="宋体" w:eastAsia="宋体" w:cs="宋体"/>
                <w:color w:val="000000"/>
                <w:sz w:val="24"/>
                <w:szCs w:val="24"/>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1128A6">
            <w:pPr>
              <w:jc w:val="center"/>
              <w:rPr>
                <w:rFonts w:hint="eastAsia" w:ascii="宋体" w:hAnsi="宋体" w:eastAsia="宋体" w:cs="宋体"/>
                <w:color w:val="000000"/>
                <w:sz w:val="24"/>
                <w:szCs w:val="24"/>
              </w:rPr>
            </w:pP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243A1">
            <w:pPr>
              <w:widowControl/>
              <w:jc w:val="left"/>
              <w:textAlignment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lang w:bidi="ar"/>
              </w:rPr>
              <w:t>21）幻彩镜球1个</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21.1）直径约30cm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21.2）不同色彩的变换；</w:t>
            </w:r>
            <w:r>
              <w:rPr>
                <w:rFonts w:hint="eastAsia" w:ascii="宋体" w:hAnsi="宋体" w:eastAsia="宋体" w:cs="宋体"/>
                <w:color w:val="000000"/>
                <w:kern w:val="0"/>
                <w:sz w:val="24"/>
                <w:szCs w:val="24"/>
                <w:lang w:bidi="ar"/>
              </w:rPr>
              <w:br w:type="textWrapping"/>
            </w:r>
            <w:r>
              <w:rPr>
                <w:rFonts w:hint="eastAsia" w:ascii="宋体" w:hAnsi="宋体" w:eastAsia="宋体" w:cs="宋体"/>
                <w:b/>
                <w:bCs/>
                <w:color w:val="000000"/>
                <w:kern w:val="0"/>
                <w:sz w:val="24"/>
                <w:szCs w:val="24"/>
                <w:lang w:bidi="ar"/>
              </w:rPr>
              <w:t>22）彩光LED球1个</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22.1）电源参数：220V、50Hz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22.2）直径约15cm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22.3）能吸引儿童注意远方转动的影象，提高学生专注能力；</w:t>
            </w:r>
            <w:r>
              <w:rPr>
                <w:rFonts w:hint="eastAsia" w:ascii="宋体" w:hAnsi="宋体" w:eastAsia="宋体" w:cs="宋体"/>
                <w:color w:val="000000"/>
                <w:kern w:val="0"/>
                <w:sz w:val="24"/>
                <w:szCs w:val="24"/>
                <w:lang w:bidi="ar"/>
              </w:rPr>
              <w:br w:type="textWrapping"/>
            </w:r>
            <w:r>
              <w:rPr>
                <w:rFonts w:hint="eastAsia" w:ascii="宋体" w:hAnsi="宋体" w:eastAsia="宋体" w:cs="宋体"/>
                <w:b/>
                <w:bCs/>
                <w:color w:val="000000"/>
                <w:kern w:val="0"/>
                <w:sz w:val="24"/>
                <w:szCs w:val="24"/>
                <w:lang w:bidi="ar"/>
              </w:rPr>
              <w:t>23）彩转射灯1个</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23.1）电源参数：220V、50Hz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23.2）四种色彩的变换，引导、训练视觉功能；</w:t>
            </w:r>
            <w:r>
              <w:rPr>
                <w:rFonts w:hint="eastAsia" w:ascii="宋体" w:hAnsi="宋体" w:eastAsia="宋体" w:cs="宋体"/>
                <w:color w:val="000000"/>
                <w:kern w:val="0"/>
                <w:sz w:val="24"/>
                <w:szCs w:val="24"/>
                <w:lang w:bidi="ar"/>
              </w:rPr>
              <w:br w:type="textWrapping"/>
            </w:r>
            <w:r>
              <w:rPr>
                <w:rFonts w:hint="eastAsia" w:ascii="宋体" w:hAnsi="宋体" w:eastAsia="宋体" w:cs="宋体"/>
                <w:b/>
                <w:bCs/>
                <w:color w:val="000000"/>
                <w:kern w:val="0"/>
                <w:sz w:val="24"/>
                <w:szCs w:val="24"/>
                <w:lang w:bidi="ar"/>
              </w:rPr>
              <w:t>24）声控闪灯1个</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24.1）电源参数：220V、50Hz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24.2）功率：150MW</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24.3）含1个声控装置 声控装置光源</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24.4）有助提高儿童视、听觉配合手眼协调的学习。同时，儿童亦可透过活动，理解因果关、光暗与快慢概念；</w:t>
            </w:r>
            <w:r>
              <w:rPr>
                <w:rFonts w:hint="eastAsia" w:ascii="宋体" w:hAnsi="宋体" w:eastAsia="宋体" w:cs="宋体"/>
                <w:color w:val="000000"/>
                <w:kern w:val="0"/>
                <w:sz w:val="24"/>
                <w:szCs w:val="24"/>
                <w:lang w:bidi="ar"/>
              </w:rPr>
              <w:br w:type="textWrapping"/>
            </w:r>
            <w:r>
              <w:rPr>
                <w:rFonts w:hint="eastAsia" w:ascii="宋体" w:hAnsi="宋体" w:eastAsia="宋体" w:cs="宋体"/>
                <w:b/>
                <w:bCs/>
                <w:color w:val="000000"/>
                <w:kern w:val="0"/>
                <w:sz w:val="24"/>
                <w:szCs w:val="24"/>
                <w:lang w:bidi="ar"/>
              </w:rPr>
              <w:t>25）豆袋1个</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25.1）尺寸直径90cm，高90cm，±20%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25.2）材质：麻布</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25.3）以帮助大脑麻痹的学生，调节身体姿势，令他们感到舒适及松驰；</w:t>
            </w:r>
            <w:r>
              <w:rPr>
                <w:rFonts w:hint="eastAsia" w:ascii="宋体" w:hAnsi="宋体" w:eastAsia="宋体" w:cs="宋体"/>
                <w:color w:val="000000"/>
                <w:kern w:val="0"/>
                <w:sz w:val="24"/>
                <w:szCs w:val="24"/>
                <w:lang w:bidi="ar"/>
              </w:rPr>
              <w:br w:type="textWrapping"/>
            </w:r>
            <w:r>
              <w:rPr>
                <w:rFonts w:hint="eastAsia" w:ascii="宋体" w:hAnsi="宋体" w:eastAsia="宋体" w:cs="宋体"/>
                <w:b/>
                <w:bCs/>
                <w:color w:val="000000"/>
                <w:kern w:val="0"/>
                <w:sz w:val="24"/>
                <w:szCs w:val="24"/>
                <w:lang w:bidi="ar"/>
              </w:rPr>
              <w:t>26）装饰部分1项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27.1）专业地垫及低墙垫：根据现场设计，包含专业曲型地垫(厚5CM)、专业低墙垫、曲型褥垫、挡边垫等，现场设计，采用高密度海绵内材外包防破裂环保PU ，墙垫带木底板，提供保护作用，让其感到舒适、放松。</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27.2）天花专业配置 ：根据现场施工、制作、安装。轻钢龙骨基础，石膏板封面，顶面涂料用立邦品牌系列，具有防潮功能。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27.3）地板：PVC或强化复合地板厚度不低于2mm，防滑，防潮、耐磨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27.4）控制台、插座安装等：开关盒接线盒，各电器设备电源控制开关及电线、电缆等安装，集成控制各项设备，漏电保护</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27.5）多感官控制柜：根据现场定制，中央控制台：上面放置各设备控制器，专业音响的功放等；包括：开关盒接线盒，各电器设备电源控制开关等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27.6）墙面专业配套：墙面线管布置及涂料（立邦以上极别），防潮；</w:t>
            </w:r>
            <w:r>
              <w:rPr>
                <w:rFonts w:hint="eastAsia" w:ascii="宋体" w:hAnsi="宋体" w:eastAsia="宋体" w:cs="宋体"/>
                <w:color w:val="000000"/>
                <w:kern w:val="0"/>
                <w:sz w:val="24"/>
                <w:szCs w:val="24"/>
                <w:lang w:bidi="ar"/>
              </w:rPr>
              <w:br w:type="textWrapping"/>
            </w:r>
            <w:r>
              <w:rPr>
                <w:rFonts w:hint="eastAsia" w:ascii="宋体" w:hAnsi="宋体" w:eastAsia="宋体" w:cs="宋体"/>
                <w:b/>
                <w:bCs/>
                <w:color w:val="000000"/>
                <w:kern w:val="0"/>
                <w:sz w:val="24"/>
                <w:szCs w:val="24"/>
                <w:lang w:bidi="ar"/>
              </w:rPr>
              <w:t>28）移动式情景互动训练系统</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28.1）移动式情景互动训练系统采用先进的计算机视觉技术、身体移动跟踪软件及投影显示技术，营造互动式虚拟环境和丰富多彩的训练场景，让儿童置身于特定情境中，使现实空间变成一个充满乐趣的虚拟互动环境，儿童通过踢、走、跑、跳等运动形式与投影产生互动，激发儿童的兴趣和好奇心，让儿童在游戏中探索学习，增强前庭觉发育，本体感觉输入，循序渐进的提高认知、社交、感知、运动等多项能力，寓教于乐。</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28.2）应用可升降式投影技术，投影高度及面积可自定义调节并自动校准各项参数，不受使用场景限制。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28.3）支持桌面、地面投影两种训练模式，满足差异化个体需求。</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28.4）提供感知、注意、社交、运动、协调、情绪纾解六大康复训练功能，共包含30种虚拟情景训练游戏。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28.5）提供智能评估功能，涵盖注意力、感知、运动协调、社交4大功能模块，共7个游戏评测内容，综合评测儿童当前综合能力水平，为训练提供科学依据。</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28.6）针对孤独症儿童核心障碍点设计多人互动模式，引导儿童融入社交互动的情景中，让儿童在游戏中明白竞争、合作、互动的含义，提高其社会交往能力。</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28.13）提供一键式智能推荐功能，针对评测结果，一键进入与用户能力匹配的康复训练游戏。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28.7）采用循序渐进的训练模式，根据认知发展规律及特殊儿童身心特点将训练游戏划分为5个不同难度等级，给予儿童阶段式康复训练。</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28.8）呈现可视化评估、训练成绩报告，对用户的康复进程全程动态监控，对比分析训练前后效果，为训练方案的制定及优化提供客观依据。</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28.9）营造互动式虚拟现实三维游戏场景，使儿童置身于充满乐趣的虚拟互动环境中，沉浸式教学。</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CDD49">
            <w:pPr>
              <w:jc w:val="center"/>
              <w:rPr>
                <w:rFonts w:hint="eastAsia" w:ascii="宋体" w:hAnsi="宋体" w:eastAsia="宋体" w:cs="宋体"/>
                <w:color w:val="000000"/>
                <w:sz w:val="24"/>
                <w:szCs w:val="24"/>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9E5A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r>
      <w:tr w14:paraId="219781EF">
        <w:tblPrEx>
          <w:tblCellMar>
            <w:top w:w="0" w:type="dxa"/>
            <w:left w:w="108" w:type="dxa"/>
            <w:bottom w:w="0" w:type="dxa"/>
            <w:right w:w="108" w:type="dxa"/>
          </w:tblCellMar>
        </w:tblPrEx>
        <w:trPr>
          <w:trHeight w:val="1646"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8FDF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FAFC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孤独评估系统（自闭症与多动干预系统）</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BC016">
            <w:pPr>
              <w:widowControl/>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1）外形尺寸（长×宽×高）：1200mm×700mm×750mm</w:t>
            </w:r>
            <w:r>
              <w:rPr>
                <w:rFonts w:hint="eastAsia" w:ascii="宋体" w:hAnsi="宋体" w:eastAsia="宋体" w:cs="宋体"/>
                <w:color w:val="000000"/>
                <w:kern w:val="0"/>
                <w:sz w:val="24"/>
                <w:szCs w:val="24"/>
                <w:lang w:bidi="ar"/>
              </w:rPr>
              <w:t>±20%</w:t>
            </w:r>
          </w:p>
          <w:p w14:paraId="15A6DAC4">
            <w:pPr>
              <w:widowControl/>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2）系统提供了系统说明、情绪调节、行为干预、记录查询四大功能模块。系统说明模块详述系统的设计原理以及使用操作说明；情绪调节模块利用直接的视听刺激或间接的情绪调节方法学习，诱导儿童对其自身的情绪作出正确的调节，以提高其环境适应能力以及其他综合能力，进而改善患儿的学习能力；行为干预模块同样通过行为的教学模拟，结合多媒体的趣味呈现，诱导其学习良好的行为，形成良好的习惯；记录查询模块用于存储受训儿童的相关训练信息，便于治疗师了解训练进度，分析其干预效果。</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3）系统说明：使用说明、系统的操作指示。</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4）可进行记录查询：提供资料查询及资料修改两个功能。</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 xml:space="preserve">5）可进行情绪调节： </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视听渲染：根据音乐治疗及多感官刺激原理设计，通过音乐相关属性调节相应的神经兴奋性，利用虚拟的视觉画面刺激及双屏的视觉交叉原理设计，激发大脑皮层的开发，诱导其进行联想、学习，从而调整使用者的情绪及状态。</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7）情绪体验：利用卡通组图，设计不同的场景，教予儿童在相应场景下的不同情绪体验。</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8）表情识别：采用现实及卡通人物表情呈现的形式，让儿童识别不同的表情以及其对应的情绪，为儿童培养社会交往能力打下基础。</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9）绘画治疗：缓解压力，释放情绪。在心理咨询中，也常可通过绘画内容的解读，来分析来访者的情绪及心境。提供一个绘画减压的平台，作为治疗师评估其情绪状况的辅助标准之一。</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10）减压游戏：设计轻松愉快的减压游戏，利用多媒体的技术，游戏结合舒缓的音乐，缓解儿童紧张、焦虑的情绪，增加训练的趣味性，提高儿童对训练的依从性，达到理想的康复效果。</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11）行为干预：行为干预分为三大训练模块，包括基本自理、行为纠正、情景模拟。</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11.1）基本自理：行为与学习障碍的儿童表现为不同程度的自理能力缺陷，需要进行相应的自理能力的培养。因此我们以基本的认知功能为核心，通过对日常物品的功能、特征的归类、匹配训练，提升儿童对日常事物形成概念、分类、比较等的能力。从而能识别自身的行为以及使用日常物品，恢复其控制自身行为的能力。</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11.2）行为纠正：通过不同的社交场景主题，如打招呼、道歉、感谢别人等，教会患儿不同情景中恰当的交往行为，使患儿能够分辨正确与错误的社交行为，提高患儿的社交能力。</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11.3）情景模拟：利用计算机多媒体的3D呈现技术，模拟现实场景，让患儿找出不恰当的行为，以形成正确的交往观及良好的行为习惯。</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EE80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5BF46">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0F229BB7">
        <w:tblPrEx>
          <w:tblCellMar>
            <w:top w:w="0" w:type="dxa"/>
            <w:left w:w="108" w:type="dxa"/>
            <w:bottom w:w="0" w:type="dxa"/>
            <w:right w:w="108" w:type="dxa"/>
          </w:tblCellMar>
        </w:tblPrEx>
        <w:trPr>
          <w:trHeight w:val="25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FCB3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F1E8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运动训练器械（Bobath球）</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F947F">
            <w:pPr>
              <w:widowControl/>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1）外形尺寸（直径）：</w:t>
            </w:r>
            <w:r>
              <w:rPr>
                <w:rStyle w:val="262"/>
                <w:rFonts w:hint="eastAsia" w:ascii="宋体" w:hAnsi="宋体" w:eastAsia="宋体" w:cs="宋体"/>
                <w:sz w:val="24"/>
                <w:szCs w:val="24"/>
                <w:lang w:bidi="ar"/>
              </w:rPr>
              <w:t>≥</w:t>
            </w:r>
            <w:r>
              <w:rPr>
                <w:rFonts w:hint="eastAsia" w:ascii="宋体" w:hAnsi="宋体" w:eastAsia="宋体" w:cs="宋体"/>
                <w:color w:val="000000"/>
                <w:kern w:val="0"/>
                <w:sz w:val="24"/>
                <w:szCs w:val="24"/>
                <w:lang w:bidi="ar"/>
              </w:rPr>
              <w:t>Φ740mm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2）用于脑瘫患儿的缓解肌痉挛、进行平衡能力、反射调节能力训练。</w:t>
            </w:r>
          </w:p>
          <w:p w14:paraId="175A291C">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3）材质塑胶</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A6B9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7E4E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5E40CD8A">
        <w:tblPrEx>
          <w:tblCellMar>
            <w:top w:w="0" w:type="dxa"/>
            <w:left w:w="108" w:type="dxa"/>
            <w:bottom w:w="0" w:type="dxa"/>
            <w:right w:w="108" w:type="dxa"/>
          </w:tblCellMar>
        </w:tblPrEx>
        <w:trPr>
          <w:trHeight w:val="96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03A4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2D1E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运动训练器械（体操棒）</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D2383">
            <w:pPr>
              <w:widowControl/>
              <w:numPr>
                <w:ilvl w:val="0"/>
                <w:numId w:val="16"/>
              </w:numPr>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外形尺寸（长×宽×高）：400mm×400mm×1020mm±20%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2）体操棒外形尺寸（直径×高度）：φ28mm×995mm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t>，数量5根</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3）抛接球直径及数量：≥φ250mm，4个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4）通过带棒做操和抛接球活动，改善上肢活动范围，提高肢体协调控制能力及平衡能力。</w:t>
            </w:r>
          </w:p>
          <w:p w14:paraId="1D8A01F2">
            <w:pPr>
              <w:widowControl/>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sz w:val="24"/>
                <w:szCs w:val="24"/>
              </w:rPr>
              <w:t>5）主要采用实木、海绵、布料等。</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FF50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EE36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509E804E">
        <w:tblPrEx>
          <w:tblCellMar>
            <w:top w:w="0" w:type="dxa"/>
            <w:left w:w="108" w:type="dxa"/>
            <w:bottom w:w="0" w:type="dxa"/>
            <w:right w:w="108" w:type="dxa"/>
          </w:tblCellMar>
        </w:tblPrEx>
        <w:trPr>
          <w:trHeight w:val="12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9CF3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78C4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运动训练器械（平衡板）</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5614A">
            <w:pPr>
              <w:widowControl/>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用于平衡及协调功能的训练。</w:t>
            </w:r>
          </w:p>
          <w:p w14:paraId="4A3F7653">
            <w:pPr>
              <w:widowControl/>
              <w:numPr>
                <w:ilvl w:val="0"/>
                <w:numId w:val="17"/>
              </w:numPr>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外形尺寸（长×宽×高）：800mm×600mm×90mm±20%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2）面板摆动角度：-17°～+17°</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3）额定承载：2000N</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4）供单人使用</w:t>
            </w:r>
          </w:p>
          <w:p w14:paraId="3C707DEB">
            <w:pPr>
              <w:widowControl/>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sz w:val="24"/>
                <w:szCs w:val="24"/>
              </w:rPr>
              <w:t>5）材质：实木。</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61FF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D423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20D13329">
        <w:tblPrEx>
          <w:tblCellMar>
            <w:top w:w="0" w:type="dxa"/>
            <w:left w:w="108" w:type="dxa"/>
            <w:bottom w:w="0" w:type="dxa"/>
            <w:right w:w="108" w:type="dxa"/>
          </w:tblCellMar>
        </w:tblPrEx>
        <w:trPr>
          <w:trHeight w:val="1662"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5E849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7889C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多媒体感官康复训练设备（儿童感统训练设备）</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2A834">
            <w:pPr>
              <w:widowControl/>
              <w:jc w:val="left"/>
              <w:textAlignment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lang w:bidi="ar"/>
              </w:rPr>
              <w:t>1）多功能感觉统合综合训练架（秋千架）1套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1.1）为多功能的专项训练及统合训练的载体。</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1.2）配置不同产品可以适合各年龄阶段的儿童进行感觉统合训练。</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1.3）可同时拾配两个或两个以上的秋千使用，进行多人训练。</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1.4）规格：2800*1800*2400mm±20%；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1.5）配置不少于9个不锈钢吊环，每个吊环载重不少于200KG；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1.6）训练架整体载重不少于500kg；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1.7）产品主立柱外框配有环保软包；</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1.8）钢架脚板保护垫：厚度不小于4.5CM；PU皮革和EPE高分子发泡棉；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1.9）符合于JY 0001-2003教学仪器设备产品一般质量要求。</w:t>
            </w:r>
            <w:r>
              <w:rPr>
                <w:rFonts w:hint="eastAsia" w:ascii="宋体" w:hAnsi="宋体" w:eastAsia="宋体" w:cs="宋体"/>
                <w:color w:val="000000"/>
                <w:kern w:val="0"/>
                <w:sz w:val="24"/>
                <w:szCs w:val="24"/>
                <w:lang w:bidi="ar"/>
              </w:rPr>
              <w:br w:type="textWrapping"/>
            </w:r>
            <w:r>
              <w:rPr>
                <w:rFonts w:hint="eastAsia" w:ascii="宋体" w:hAnsi="宋体" w:eastAsia="宋体" w:cs="宋体"/>
                <w:b/>
                <w:bCs/>
                <w:color w:val="000000"/>
                <w:kern w:val="0"/>
                <w:sz w:val="24"/>
                <w:szCs w:val="24"/>
                <w:lang w:bidi="ar"/>
              </w:rPr>
              <w:t>2）计数蓝板1套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2.1）功能：单独使用时，可模仿投篮运动，锻炼大肌肉群肌力，身体运动企划能力及大肌肉群肌力；与秋千配合时，可进行视知觉、听知觉及前庭和本体觉的统整训练。投中发出激励的音乐。</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2.2）木质电子箱1件；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2.3）阻燃材料软包保护套1件；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2.4）输入电压:220VAC  工作电压:12VDC。；</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2.5）额定功率：小于40W；</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2.6）篮筐1个；</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2.7）皮球1个；</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2.8）尺寸：篮板：定制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2.9）产品有两种模式≥20种声音切换。</w:t>
            </w:r>
            <w:r>
              <w:rPr>
                <w:rFonts w:hint="eastAsia" w:ascii="宋体" w:hAnsi="宋体" w:eastAsia="宋体" w:cs="宋体"/>
                <w:color w:val="000000"/>
                <w:kern w:val="0"/>
                <w:sz w:val="24"/>
                <w:szCs w:val="24"/>
                <w:lang w:bidi="ar"/>
              </w:rPr>
              <w:br w:type="textWrapping"/>
            </w:r>
            <w:r>
              <w:rPr>
                <w:rFonts w:hint="eastAsia" w:ascii="宋体" w:hAnsi="宋体" w:eastAsia="宋体" w:cs="宋体"/>
                <w:b/>
                <w:bCs/>
                <w:color w:val="000000"/>
                <w:kern w:val="0"/>
                <w:sz w:val="24"/>
                <w:szCs w:val="24"/>
                <w:lang w:bidi="ar"/>
              </w:rPr>
              <w:t>3）前庭平衡觉转动训练器1套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3.1）配合秋千架使用，可进行旋转加速度和综合加速度失调的前庭平衡专项训练。</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3.2）通过转动，刺激前庭感受器。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3.3）通过抱紧器械，使肌肉收缩，刺激本体感受器。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3.4）规格：ø600*800mm±20%；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3.5）材质：外层：PU皮革，软体：EPE高分子发泡棉；主体：≥18MM多层板；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3.6）配安全保护腰带一条；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3.7）安全载重≥80kg。</w:t>
            </w:r>
            <w:r>
              <w:rPr>
                <w:rFonts w:hint="eastAsia" w:ascii="宋体" w:hAnsi="宋体" w:eastAsia="宋体" w:cs="宋体"/>
                <w:color w:val="000000"/>
                <w:kern w:val="0"/>
                <w:sz w:val="24"/>
                <w:szCs w:val="24"/>
                <w:lang w:bidi="ar"/>
              </w:rPr>
              <w:br w:type="textWrapping"/>
            </w:r>
            <w:r>
              <w:rPr>
                <w:rFonts w:hint="eastAsia" w:ascii="宋体" w:hAnsi="宋体" w:eastAsia="宋体" w:cs="宋体"/>
                <w:b/>
                <w:bCs/>
                <w:color w:val="000000"/>
                <w:kern w:val="0"/>
                <w:sz w:val="24"/>
                <w:szCs w:val="24"/>
                <w:lang w:bidi="ar"/>
              </w:rPr>
              <w:t>4）前庭平衡觉垂直训练器1套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4.1）配合秋千架使用，可进行水平加速度和综合加速度失调的前庭平衡专项训练。</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4.2）通过摆动，实现身体位置的快速变化，刺激前庭感觉器。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4.3）通过抱紧器械，使肌肉收缩，刺激本体感受器。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4.4）规格：ø200*1000mm±20%；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4.5）材质：外层：PU皮革，软体：EPE高分子发泡棉；主体：≥18MM多层板；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4.6）安全载重≥80kg。</w:t>
            </w:r>
            <w:r>
              <w:rPr>
                <w:rFonts w:hint="eastAsia" w:ascii="宋体" w:hAnsi="宋体" w:eastAsia="宋体" w:cs="宋体"/>
                <w:color w:val="000000"/>
                <w:kern w:val="0"/>
                <w:sz w:val="24"/>
                <w:szCs w:val="24"/>
                <w:lang w:bidi="ar"/>
              </w:rPr>
              <w:br w:type="textWrapping"/>
            </w:r>
            <w:r>
              <w:rPr>
                <w:rFonts w:hint="eastAsia" w:ascii="宋体" w:hAnsi="宋体" w:eastAsia="宋体" w:cs="宋体"/>
                <w:b/>
                <w:bCs/>
                <w:color w:val="000000"/>
                <w:kern w:val="0"/>
                <w:sz w:val="24"/>
                <w:szCs w:val="24"/>
                <w:lang w:bidi="ar"/>
              </w:rPr>
              <w:t>5）前庭平衡觉综合训练器1套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5.1）配合秋千架使用，可进行水平加速度和综合加速度失调的前庭平衡专项训练。围栏设计可适合0至7岁不同年龄段儿童使用。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5.2）通过悠荡，使身体迅速变换空间位置，刺激本体感受器。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5.3）通过绷直身体，使肌肉收缩，刺激本体感受器。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5.4）前后摇摆秋千，可在秋千上躺卧、俯卧、坐或站立等变化不同的姿势。秋千可配置活动软垫围栏，适合幼儿及严重身体控制障碍者使用。俯卧时可强化胸部以及腹部刺激，可为触觉感官失调儿童提供更舒适的触觉舒缓感觉，前庭系统的感觉输入强烈而多样，对平衡感及身体形象的建立帮助很大。</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5.5）规格：1200*650mmm±20%；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5.6）材质：外层：PU皮革，软体：EPE高分子发泡棉和海绵组成；主体：≥18mm多层板。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5.7）2kn安全扣2个；</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5.8）安全载重≥80kg。</w:t>
            </w:r>
            <w:r>
              <w:rPr>
                <w:rFonts w:hint="eastAsia" w:ascii="宋体" w:hAnsi="宋体" w:eastAsia="宋体" w:cs="宋体"/>
                <w:color w:val="000000"/>
                <w:kern w:val="0"/>
                <w:sz w:val="24"/>
                <w:szCs w:val="24"/>
                <w:lang w:bidi="ar"/>
              </w:rPr>
              <w:br w:type="textWrapping"/>
            </w:r>
            <w:r>
              <w:rPr>
                <w:rFonts w:hint="eastAsia" w:ascii="宋体" w:hAnsi="宋体" w:eastAsia="宋体" w:cs="宋体"/>
                <w:b/>
                <w:bCs/>
                <w:color w:val="000000"/>
                <w:kern w:val="0"/>
                <w:sz w:val="24"/>
                <w:szCs w:val="24"/>
                <w:lang w:bidi="ar"/>
              </w:rPr>
              <w:t>6）秋千升降吊绳套件4套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6.1）功能：方便更换不同功能的秋千及随意升降高度，以配合不同程度的游戏者。</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6.2）规格：≥1500mm长；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6.3）承重量≥200公斤；</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6.4）ø10mm安全绳，不锈钢挂圈，专业升降器；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6.5）2kn安全扣1个。</w:t>
            </w:r>
            <w:r>
              <w:rPr>
                <w:rFonts w:hint="eastAsia" w:ascii="宋体" w:hAnsi="宋体" w:eastAsia="宋体" w:cs="宋体"/>
                <w:color w:val="000000"/>
                <w:kern w:val="0"/>
                <w:sz w:val="24"/>
                <w:szCs w:val="24"/>
                <w:lang w:bidi="ar"/>
              </w:rPr>
              <w:br w:type="textWrapping"/>
            </w:r>
            <w:r>
              <w:rPr>
                <w:rFonts w:hint="eastAsia" w:ascii="宋体" w:hAnsi="宋体" w:eastAsia="宋体" w:cs="宋体"/>
                <w:b/>
                <w:bCs/>
                <w:color w:val="000000"/>
                <w:kern w:val="0"/>
                <w:sz w:val="24"/>
                <w:szCs w:val="24"/>
                <w:lang w:bidi="ar"/>
              </w:rPr>
              <w:t>7）秋千旋转吊绳套件1套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7.1）功能：配合同心轴旋转秋千使用。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7.2）规格：≥1500mm长；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7.3）承重量≥200公斤；</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7.4）≥ø10mm安全绳，不锈钢挂圈；</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7.5）2kn安全扣1个。</w:t>
            </w:r>
            <w:r>
              <w:rPr>
                <w:rFonts w:hint="eastAsia" w:ascii="宋体" w:hAnsi="宋体" w:eastAsia="宋体" w:cs="宋体"/>
                <w:color w:val="000000"/>
                <w:kern w:val="0"/>
                <w:sz w:val="24"/>
                <w:szCs w:val="24"/>
                <w:lang w:bidi="ar"/>
              </w:rPr>
              <w:br w:type="textWrapping"/>
            </w:r>
            <w:r>
              <w:rPr>
                <w:rFonts w:hint="eastAsia" w:ascii="宋体" w:hAnsi="宋体" w:eastAsia="宋体" w:cs="宋体"/>
                <w:b/>
                <w:bCs/>
                <w:color w:val="000000"/>
                <w:kern w:val="0"/>
                <w:sz w:val="24"/>
                <w:szCs w:val="24"/>
                <w:lang w:bidi="ar"/>
              </w:rPr>
              <w:t>8）平衡保持引导式训练系统（前庭平衡训练板）1套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8.1）功能：促进身体左右双侧的平衡，增进动作计划与整体协调能力，帮助儿童了解身体重心的移动关系。</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8.2）尺寸：600*250*200mm±20%；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8.3）材质：木质；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8.4）工作电压:DC12V</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8.5）额定功率：不大于25W；</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8.6）具有无线充电功能，充满电后待机时间不少于1个月；</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8.7）承重：不小于80KG；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8.8）嵌入式软件（平衡保持引导式训练系统）功能如下：</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8.8.1）音量大小调节：可以通过“音量+”和“音量-”对设备音量大小调节，从“音量最小”到“音量最大”都具有语音播报功能；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8.8.2）模式切换：可以通过“模式”键进行模式切换，从模式一到模式四循环切换；</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8.8.3）音乐下载：可以通USB口更换设备的语音和音乐。</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8.8.4）模式一：左右摇摆演奏模式；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8.8.5）模式二：左右摇摆升级模式：五级训练难度：每升一级，设备给予不同的激励声音或音乐，并进行不同的灯光闪烁激励；</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8.8.6）模式三：平衡保持升级模式：七级训练难度：每级的时间间隔依次增加。如果未保持住平衡，触碰到了左右极限位置，前面累积的难度会降低一档，且伴有音效提示；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8.8.7）模式四：平衡保持灯光模式：灯光激励规则：可以通过灯光来激励训练者的平衡功能保持能力：</w:t>
            </w:r>
            <w:r>
              <w:rPr>
                <w:rFonts w:hint="eastAsia" w:ascii="宋体" w:hAnsi="宋体" w:eastAsia="宋体" w:cs="宋体"/>
                <w:color w:val="000000"/>
                <w:kern w:val="0"/>
                <w:sz w:val="24"/>
                <w:szCs w:val="24"/>
                <w:lang w:bidi="ar"/>
              </w:rPr>
              <w:br w:type="textWrapping"/>
            </w:r>
            <w:r>
              <w:rPr>
                <w:rFonts w:hint="eastAsia" w:ascii="宋体" w:hAnsi="宋体" w:eastAsia="宋体" w:cs="宋体"/>
                <w:b/>
                <w:bCs/>
                <w:color w:val="000000"/>
                <w:kern w:val="0"/>
                <w:sz w:val="24"/>
                <w:szCs w:val="24"/>
                <w:lang w:bidi="ar"/>
              </w:rPr>
              <w:t>9）前庭本体统合训练器1套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9.1）功能：遮住双眼通过感应地垫，触摸墙面游戏箱，注入游戏元素：训练模式和引导模式及闯关模式增强儿童兴趣，在游戏中使儿童感知自身身体各部位所处的位置，肢体运动方式、方向、幅度、速度等，训练儿童本体感觉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9.2）规格：垫子3000*1000*50mm，游戏箱900*600*120mm；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9.3）工作电压：AC220V；</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9.4）产品有四种模式，训练模式、引导模式、计时模式及倒计时模式；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9.5）功率：35W；</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9.6）语音及音乐下载接口一个；                                                                          9.7）音源类别：≥3类，音源数量：≥9种；                                                            9.8）支持USB热插拔，音乐可更换；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9.9）操控屏一张：≥4.3英寸电容触摸屏，可进行音量加/减，模式加/减调节；</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9.10）外置程序升级口一个；</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24372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5D7B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456F55ED">
        <w:tblPrEx>
          <w:tblCellMar>
            <w:top w:w="0" w:type="dxa"/>
            <w:left w:w="108" w:type="dxa"/>
            <w:bottom w:w="0" w:type="dxa"/>
            <w:right w:w="108" w:type="dxa"/>
          </w:tblCellMar>
        </w:tblPrEx>
        <w:trPr>
          <w:trHeight w:val="6646"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7CC59E">
            <w:pPr>
              <w:jc w:val="center"/>
              <w:rPr>
                <w:rFonts w:hint="eastAsia" w:ascii="宋体" w:hAnsi="宋体" w:eastAsia="宋体" w:cs="宋体"/>
                <w:color w:val="000000"/>
                <w:sz w:val="24"/>
                <w:szCs w:val="24"/>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4BDFD3">
            <w:pPr>
              <w:jc w:val="center"/>
              <w:rPr>
                <w:rFonts w:hint="eastAsia" w:ascii="宋体" w:hAnsi="宋体" w:eastAsia="宋体" w:cs="宋体"/>
                <w:color w:val="000000"/>
                <w:sz w:val="24"/>
                <w:szCs w:val="24"/>
              </w:rPr>
            </w:pP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000B8">
            <w:pPr>
              <w:widowControl/>
              <w:jc w:val="left"/>
              <w:textAlignment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lang w:bidi="ar"/>
              </w:rPr>
              <w:t>10）</w:t>
            </w:r>
            <w:r>
              <w:rPr>
                <w:rStyle w:val="262"/>
                <w:rFonts w:hint="eastAsia" w:ascii="宋体" w:hAnsi="宋体" w:eastAsia="宋体" w:cs="宋体"/>
                <w:b/>
                <w:bCs/>
                <w:sz w:val="24"/>
                <w:szCs w:val="24"/>
                <w:lang w:bidi="ar"/>
              </w:rPr>
              <w:t>七件套攀爬组合（带电子）1套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10.1）功能：配合由导师控制的导引目标，可为不同程度感统失调儿童提供多元化及具挑战性的运动觉训练。</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10.2）4款不同攀爬器材共同组成的立体攀爬组件；</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10.3）整套器材包括木框、魔术黏贴背板绳梯（2套）、魔术黏贴背板木梯（2套）、攀岩墙（1套），软垫尼龙带织网（2套）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10.4）规格：3000*1800*2650mm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t>；</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10.5）输入电压:220VAC工作电压:12VDC；</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10.6）额定功率：小于35W；</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10.7）产品有八种模式共≥64种声音切换；</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10.8）单款攀爬器材承重：≥120kg；</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10.9）本产品主体由高强度优质钢材装配而成，承重能力优良，表面处理采用喷塑高温附着技术。</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10.10）主控箱：</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10.10.1）可查询攀爬到达时间；</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10.10.2）材质： ABS与PMMA复合材料，工艺：一体成型，表面无油漆，安全环保；</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10.10.3）规格：550*400*70mm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t>；</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10.10.4）支持USB热插拔，音乐可更换；</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10.10.5）外置程序升级口一个；</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11）训练保护垫2套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11.1）功能：对康复运动过程中起保护作用；可以释放肌肉的过度紧张，伸展并活化全身肌肉，对本体感的形成帮助很大。</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11.2）规格：1200*1400*100mm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11.3）材质：外层：优质环保布料，软体：EPE高分子发泡棉；</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12）鳄鱼球池1套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12.1）适用人群：触觉敏感度不足，自闭症，身体协调不良，多动症。</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12.2）功能：球池不但有触觉强化的作用，对前庭体系、身体协调、固有前庭平衡能力，都有很大帮助；对脑干部肌能强化的效果最佳。</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12.3）楼梯：优质木材造型，全方位软包保护，表面高级PU皮。</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12.4）斜坡：优质木材造型，全方位软包保护，表面高级PU皮。</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12.5）扶手：优质木材造型，全方位软包保护，表面高级PU皮，UV卡通图案。</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12.6）外观似鳄鱼形状；</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12.7）规格：2400*1200*900mm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t>；</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12.8）最大承重60kg；</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12.9）波波球池：球池底部铺有软垫，池内装高品质彩色波波球。</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13）智能触觉配对游戏组1套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13.1）功能：大小触盘有不同配对触点、刺激儿童皮肤接收器，可以锻炼儿童手脚配合能力，提升幼儿触觉强度的刺激，增加幼儿自信心的勇气及本体觉空间方位判断的能力，通过游戏化功能可锻炼儿童的感知能力和辨别能力。</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13.2）配置：手部智能游戏板一个，脚部功能触觉模块六块及眼罩一个；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13.3）手部智能游戏板：260*140*42MM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t>；</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13.4）脚部功能触觉模块：1200*800*50mm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t>；</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13.5）工作电压：12VDC；</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13.6）额定功率：小于40W；</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13.7）产品共4种模式：触觉感知模式，触觉配对训练模式，触觉配对测试模式及触觉分级模式；</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13.8）支持USB热插拔，音乐可更换；</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13.9）外置程序升级口一个；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13.10）一键式智能控制设备的开/关，智能及美观；</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13.11）操控屏一张：≥4.3英寸电容触摸屏，可进行音量加/减，模式加/减调节；</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14）互动式智能蹦床1套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14.1）功能：增强平衡、空间定向和重力感知，强化前庭-听觉-视觉整合，提升视觉追踪和动作计划能力，改善听觉过滤和专注力，增强肌肉力量、关节感知和动作精准度，通过趣味性降低训练抗拒，改善情绪管理。</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14.2）主体木结构+EPE高分子发泡棉+表面PU皮；</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14.3）规格：蹦床1000mm*1000mm*250mm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t>；显示面板：900*600*120mm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t>;</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14.4）承重：不小于 100kg。</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 xml:space="preserve">14.5）LED数码显示，具有计分及显示功能； </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14.6）工作电压：AC220V；</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14.7）功率：小于40W。</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14.8）语音及音乐下载接口一个；导师可以根据训练项目编辑和更换语音及音乐。</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15）视觉注意力训练模块1套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15.1）功能：本产品训练的儿童的视觉及注意力，包括视觉分辩、视觉记忆、视觉追踪。可改善儿童持续性记忆力的训练、选择型注意力的训练和分配型注意力的训练。</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15.2）材质： ABS与PMMA复合材料。配件：不少于8张亚克力舒尔特训练卡片；</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15.3）工艺：一体成型，表面无油漆，安全环保。</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15.4）本体：550*400*70mm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t>；</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15.5）操作控制面板采用7''触摸LCD液晶屏；训练面板采用12'触摸屏；                                                       15.6）自动识别卡片功能，当插舒尔特训练卡片，设备智能识别该卡片。</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15.7）训练面板采用多点触摸控制；LED多点显示，可显示矩阵数为：3*3；4*4；5*5；</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15.8）音频输出方式：2.1声道；</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15.9）功率：小于50W；</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15.10）输入电压：220VAC；</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 xml:space="preserve">15.11）信噪比：大于85DB；                                                                                             </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 xml:space="preserve">15.12）产品有四种训练模式，分别是：视觉追踪引导模式、视觉追踪训练模式、注意力训练引导模式、注意力训练测试模式。                     </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 xml:space="preserve">15.13）每种模式下的背景音乐可选，以满足不同使用者的需要。背景音乐数量：6种；                                                 </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15.14）视觉追踪引导模式下具有≥6种难度可调；注意力训练测试模式具有计时和倒计时功能；</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 xml:space="preserve">15.15）注意力训练引导模式和注意力训练测试模式中具有不少于3个层级的功能，每一个层级需插入一张舒尔特训练卡片，可提供6张舒尔特训练卡片进行训练使用。                                                     </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16）视觉创意几何拼板1套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16.1）功能：训练儿童的认知能力，开发智力。用柔软的拼图触感来强化儿童的手掌抓握能力，促进触觉信息的调试。可以双人训练，增加互动交流，对人际关系的强化也有帮助。适用人群：触觉敏感过度，自闭症。</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16.2）背板：优质木材+金属板，EPE高分子发泡棉+表面PU皮。</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16.3）拼图软件：主体采用EPE高分子发泡棉造型，内部嵌有高强力磁钢，表面荧光布，在适当的光线下会自发光，手感舒适，色彩柔和；</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16.4）尺寸：2000*1000*35mm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t>。</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17）数字积木1套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17.1）用于幼儿教学，打破传统木质积木教学的理念，软体积木在儿童活动中起到重要的保护作用，积木上不同的数字促进儿童的认知能力</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17.2）积木上分别有不同数字；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17.3）尺寸：250*250*250mm*12PCS</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t>；</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17.4）材质：外层：PU皮革，软体：EPE高分子发泡材料组成。</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18）豆袋1套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18.1）功能：放松神经、舒缓情绪。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18.2）规格：ø900*900mm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t>；</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18.3）材质：外层：PU皮，软体：EPE高分子发泡棉；</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19）音乐体感摇摆椅1套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19.1）功能：摇摆功能设计，刺激前庭觉的发展，并体验安全和完全放松，低音振动提供触觉刺激，低音声学声音会引起人体共鸣感，与人体骨骼、肌肉、神经经络、血液、细胞等固有生物波产生同频谐振，促进新陈代谢，提高机体免疫力和自愈能力。</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19.2）设备由两部份组成，体感摇摆椅和声音座椅，两者通过电缆连接；</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19.3）输入电压：220VAC；工作电压：12VDC；</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19.4）额定功率：小于50W；</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19.5）体感摇摆椅：1000*660*1500mm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t>；</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19.6）声音座椅：460*460*460mm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t>；</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19.7）可以选择打开/关闭振动；</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19.8）支持USB热插拔，音乐可更换；</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19.9）外置程序升级口一个；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19.10）一键式智能控制设备的开/关，智能及美观；</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19.11）操控屏一张：≥4.3英寸电容触摸屏，可进行音量加/减，模式加/减调节等控制；</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19.12）接受无线控制设备的控制；</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19.13）材质：内层优质木材，外层环保PE皮革；</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20）大笼球1个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20.1）功能：适合孩子进行球上运动，躺、坐、卧、趴…等。提供前庭刺激，加强平衡能力，也适合大人进行球上健身运动。 适于推、拍、滚的大型体能球具。</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20.2）规格：≥ø900mm</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21）凸点笼球1个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21.1）功能：适合孩子进行球上运动，躺、坐、卧、趴…等。提供前庭刺激，加强平衡能力，也适合大人进行球上健身运动。 适于推、拍、滚的大型体能球具。</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21.2）规格：≥ø850mm。</w:t>
            </w:r>
            <w:r>
              <w:rPr>
                <w:rStyle w:val="262"/>
                <w:rFonts w:hint="eastAsia" w:ascii="宋体" w:hAnsi="宋体" w:eastAsia="宋体" w:cs="宋体"/>
                <w:sz w:val="24"/>
                <w:szCs w:val="24"/>
                <w:lang w:bidi="ar"/>
              </w:rPr>
              <w:br w:type="textWrapping"/>
            </w:r>
            <w:r>
              <w:rPr>
                <w:rStyle w:val="262"/>
                <w:rFonts w:hint="eastAsia" w:ascii="宋体" w:hAnsi="宋体" w:eastAsia="宋体" w:cs="宋体"/>
                <w:b/>
                <w:bCs/>
                <w:sz w:val="24"/>
                <w:szCs w:val="24"/>
                <w:lang w:bidi="ar"/>
              </w:rPr>
              <w:t>22）花生球1个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22.1）功能：学生用来进行触觉训练，同时可以进行传递本体觉训练；</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22.2）材质：环保塑料；</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22.3）规格：≥ø400*800mm。</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54D1F5">
            <w:pPr>
              <w:jc w:val="center"/>
              <w:rPr>
                <w:rFonts w:hint="eastAsia" w:ascii="宋体" w:hAnsi="宋体" w:eastAsia="宋体" w:cs="宋体"/>
                <w:color w:val="000000"/>
                <w:sz w:val="24"/>
                <w:szCs w:val="24"/>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8E6E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r>
      <w:tr w14:paraId="7AE27F59">
        <w:tblPrEx>
          <w:tblCellMar>
            <w:top w:w="0" w:type="dxa"/>
            <w:left w:w="108" w:type="dxa"/>
            <w:bottom w:w="0" w:type="dxa"/>
            <w:right w:w="108" w:type="dxa"/>
          </w:tblCellMar>
        </w:tblPrEx>
        <w:trPr>
          <w:trHeight w:val="3765"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6B437E">
            <w:pPr>
              <w:jc w:val="center"/>
              <w:rPr>
                <w:rFonts w:hint="eastAsia" w:ascii="宋体" w:hAnsi="宋体" w:eastAsia="宋体" w:cs="宋体"/>
                <w:color w:val="000000"/>
                <w:sz w:val="24"/>
                <w:szCs w:val="24"/>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067856">
            <w:pPr>
              <w:jc w:val="center"/>
              <w:rPr>
                <w:rFonts w:hint="eastAsia" w:ascii="宋体" w:hAnsi="宋体" w:eastAsia="宋体" w:cs="宋体"/>
                <w:color w:val="000000"/>
                <w:sz w:val="24"/>
                <w:szCs w:val="24"/>
              </w:rPr>
            </w:pP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DB206">
            <w:pPr>
              <w:widowControl/>
              <w:jc w:val="left"/>
              <w:textAlignment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lang w:bidi="ar"/>
              </w:rPr>
              <w:t>23）羊角球组合1个</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23.1）功能:可进行下肢力度训练，也可以进行本体觉训练；</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23.2）材质：环保塑料；</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23.3）尺寸：ø450mm、ø550mm的羊角球各一个；</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23.4）颜色：黄色、绿色</w:t>
            </w:r>
            <w:r>
              <w:rPr>
                <w:rFonts w:hint="eastAsia" w:ascii="宋体" w:hAnsi="宋体" w:eastAsia="宋体" w:cs="宋体"/>
                <w:color w:val="000000"/>
                <w:kern w:val="0"/>
                <w:sz w:val="24"/>
                <w:szCs w:val="24"/>
                <w:lang w:bidi="ar"/>
              </w:rPr>
              <w:br w:type="textWrapping"/>
            </w:r>
            <w:r>
              <w:rPr>
                <w:rFonts w:hint="eastAsia" w:ascii="宋体" w:hAnsi="宋体" w:eastAsia="宋体" w:cs="宋体"/>
                <w:b/>
                <w:bCs/>
                <w:color w:val="000000"/>
                <w:kern w:val="0"/>
                <w:sz w:val="24"/>
                <w:szCs w:val="24"/>
                <w:lang w:bidi="ar"/>
              </w:rPr>
              <w:t>24）1/4圆1套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24.1）功能：孩子可根据不同摆放形式去锻炼；通过摇摆、攀爬、盲走等训练前庭及平衡感。</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24.2）规格：1330*420mm±20%；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24.3）材质：PP塑料塑料；</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24.4）内含：平衡条≥8根，塑料盖片≥8个，铁螺丝螺母≥66个，铁片≥16片，扳手≥1个，黄杠≥20根，黄螺母≥40个。</w:t>
            </w:r>
            <w:r>
              <w:rPr>
                <w:rFonts w:hint="eastAsia" w:ascii="宋体" w:hAnsi="宋体" w:eastAsia="宋体" w:cs="宋体"/>
                <w:color w:val="000000"/>
                <w:kern w:val="0"/>
                <w:sz w:val="24"/>
                <w:szCs w:val="24"/>
                <w:lang w:bidi="ar"/>
              </w:rPr>
              <w:br w:type="textWrapping"/>
            </w:r>
            <w:r>
              <w:rPr>
                <w:rFonts w:hint="eastAsia" w:ascii="宋体" w:hAnsi="宋体" w:eastAsia="宋体" w:cs="宋体"/>
                <w:b/>
                <w:bCs/>
                <w:color w:val="000000"/>
                <w:kern w:val="0"/>
                <w:sz w:val="24"/>
                <w:szCs w:val="24"/>
                <w:lang w:bidi="ar"/>
              </w:rPr>
              <w:t>25）40mm厚纯色墙垫32平方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25.1）功能：保护与整体环境装饰作用，环保软体和高级木材组合墙垫制作，除可减轻墙垫厚度及重量；亦确保游戏者的安全外，更同时可保护游戏者的安全。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25.2）规格：1200*800*40mm±20%；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25.3）材质：外层：PU皮革（或PVC布），软体：EPE高分子发泡棉。</w:t>
            </w:r>
            <w:r>
              <w:rPr>
                <w:rFonts w:hint="eastAsia" w:ascii="宋体" w:hAnsi="宋体" w:eastAsia="宋体" w:cs="宋体"/>
                <w:color w:val="000000"/>
                <w:kern w:val="0"/>
                <w:sz w:val="24"/>
                <w:szCs w:val="24"/>
                <w:lang w:bidi="ar"/>
              </w:rPr>
              <w:br w:type="textWrapping"/>
            </w:r>
            <w:r>
              <w:rPr>
                <w:rFonts w:hint="eastAsia" w:ascii="宋体" w:hAnsi="宋体" w:eastAsia="宋体" w:cs="宋体"/>
                <w:b/>
                <w:bCs/>
                <w:color w:val="000000"/>
                <w:kern w:val="0"/>
                <w:sz w:val="24"/>
                <w:szCs w:val="24"/>
                <w:lang w:bidi="ar"/>
              </w:rPr>
              <w:t>26）50mm厚纯色地垫40平方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26.1）功能：保护与整体环境装饰作用，组合地垫采用弹度材质制作，除可减轻地垫厚度及重量；亦确保游戏者的安全外，更同时可保护游戏者在地垫上跑动的稳定。每张地垫采用底层魔术贴拼贴。</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26.2）规格：1000*1000*50mm±20%；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26.3）材质：外层：PU皮革（或PVC布），软体：EPE高分子发泡棉。</w:t>
            </w:r>
            <w:r>
              <w:rPr>
                <w:rFonts w:hint="eastAsia" w:ascii="宋体" w:hAnsi="宋体" w:eastAsia="宋体" w:cs="宋体"/>
                <w:color w:val="000000"/>
                <w:kern w:val="0"/>
                <w:sz w:val="24"/>
                <w:szCs w:val="24"/>
                <w:lang w:bidi="ar"/>
              </w:rPr>
              <w:br w:type="textWrapping"/>
            </w:r>
            <w:r>
              <w:rPr>
                <w:rFonts w:hint="eastAsia" w:ascii="宋体" w:hAnsi="宋体" w:eastAsia="宋体" w:cs="宋体"/>
                <w:b/>
                <w:bCs/>
                <w:color w:val="000000"/>
                <w:kern w:val="0"/>
                <w:sz w:val="24"/>
                <w:szCs w:val="24"/>
                <w:lang w:bidi="ar"/>
              </w:rPr>
              <w:t>27）造型吊顶40平方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27.1）功能：营造良好的空间氛围，增强和丰富良好的视觉感官。</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27.2）整体石膏板造型吊顶设计与施工；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27.3）吊顶表面乳胶漆处理；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27.4）吊顶相关照明和氛围灯光效果及相关线路铺设。</w:t>
            </w:r>
            <w:r>
              <w:rPr>
                <w:rFonts w:hint="eastAsia" w:ascii="宋体" w:hAnsi="宋体" w:eastAsia="宋体" w:cs="宋体"/>
                <w:color w:val="000000"/>
                <w:kern w:val="0"/>
                <w:sz w:val="24"/>
                <w:szCs w:val="24"/>
                <w:lang w:bidi="ar"/>
              </w:rPr>
              <w:br w:type="textWrapping"/>
            </w:r>
            <w:r>
              <w:rPr>
                <w:rFonts w:hint="eastAsia" w:ascii="宋体" w:hAnsi="宋体" w:eastAsia="宋体" w:cs="宋体"/>
                <w:b/>
                <w:bCs/>
                <w:color w:val="000000"/>
                <w:kern w:val="0"/>
                <w:sz w:val="24"/>
                <w:szCs w:val="24"/>
                <w:lang w:bidi="ar"/>
              </w:rPr>
              <w:t>28）墙面彩绘50平方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28.1）功能：营造良好的空间氛围，增强和丰富良好的视觉感官，提升训练室的整全性和趣味性，打造一个适合儿童开展相关训练的完善空间。</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02A858">
            <w:pPr>
              <w:jc w:val="center"/>
              <w:rPr>
                <w:rFonts w:hint="eastAsia" w:ascii="宋体" w:hAnsi="宋体" w:eastAsia="宋体" w:cs="宋体"/>
                <w:color w:val="000000"/>
                <w:sz w:val="24"/>
                <w:szCs w:val="24"/>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60EB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r>
      <w:tr w14:paraId="66EB4171">
        <w:tblPrEx>
          <w:tblCellMar>
            <w:top w:w="0" w:type="dxa"/>
            <w:left w:w="108" w:type="dxa"/>
            <w:bottom w:w="0" w:type="dxa"/>
            <w:right w:w="108" w:type="dxa"/>
          </w:tblCellMar>
        </w:tblPrEx>
        <w:trPr>
          <w:trHeight w:val="12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33B4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241E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PT凳</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DEE5F">
            <w:pPr>
              <w:widowControl/>
              <w:numPr>
                <w:ilvl w:val="0"/>
                <w:numId w:val="18"/>
              </w:numPr>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外形尺寸（直径×高）：Φ600mm×（420～560）mm±20%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 带液压油缸，360°旋转</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 额定承载：≥2000N</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 凳面高度可调，方便康复师使用。</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 凳体底部设计有万向滑轮，可以自由移动。</w:t>
            </w:r>
          </w:p>
          <w:p w14:paraId="56ACCBBA">
            <w:pPr>
              <w:jc w:val="left"/>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用于康复师进行手法治疗时可移动的坐具</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29AE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F323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w:t>
            </w:r>
          </w:p>
        </w:tc>
      </w:tr>
      <w:tr w14:paraId="00BAE32A">
        <w:tblPrEx>
          <w:tblCellMar>
            <w:top w:w="0" w:type="dxa"/>
            <w:left w:w="108" w:type="dxa"/>
            <w:bottom w:w="0" w:type="dxa"/>
            <w:right w:w="108" w:type="dxa"/>
          </w:tblCellMar>
        </w:tblPrEx>
        <w:trPr>
          <w:trHeight w:val="12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917E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1FB9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运动训练器械（楔形板）</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6DB54">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1）外形尺寸（长×宽×高）：370mm×310mm×110mm±20%</w:t>
            </w:r>
            <w:r>
              <w:rPr>
                <w:rStyle w:val="262"/>
                <w:rFonts w:hint="eastAsia" w:ascii="宋体" w:hAnsi="宋体" w:eastAsia="宋体" w:cs="宋体"/>
                <w:sz w:val="24"/>
                <w:szCs w:val="24"/>
                <w:lang w:bidi="ar"/>
              </w:rPr>
              <w:t>；</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2）矫正板角度调节范围：5档15°、25°、30°、35°、40°；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3）矫正板高度调节范围：110mm～210mm；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4）踏板安全工作载荷：≥100㎏。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用于对踝关节进行矫正训练。</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CBA8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94BF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4328EC56">
        <w:tblPrEx>
          <w:tblCellMar>
            <w:top w:w="0" w:type="dxa"/>
            <w:left w:w="108" w:type="dxa"/>
            <w:bottom w:w="0" w:type="dxa"/>
            <w:right w:w="108" w:type="dxa"/>
          </w:tblCellMar>
        </w:tblPrEx>
        <w:trPr>
          <w:trHeight w:val="216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7E80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D0C1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运动训练器械（立式踏踩器）</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9F6E6">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 外形尺寸（长×宽×高）：750mm×556mm×995mm±20%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 两扶手中心距离：450mm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 上扶手高端中心离地高度：825mm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 下扶手高端中心离地高度：680mm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 两踏脚板中心距离：160mm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 油缸的工作行程：≥60mm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 额定承载：≥1200N</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 油缸阻力≥12档可调</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用于对脚部（及腿部）肌肉力量进行训练，使训练者下肢力量得到加强或者恢复。</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00FA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57DD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7D640B0D">
        <w:tblPrEx>
          <w:tblCellMar>
            <w:top w:w="0" w:type="dxa"/>
            <w:left w:w="108" w:type="dxa"/>
            <w:bottom w:w="0" w:type="dxa"/>
            <w:right w:w="108" w:type="dxa"/>
          </w:tblCellMar>
        </w:tblPrEx>
        <w:trPr>
          <w:trHeight w:val="429"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44C7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F0F3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腋杖</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5B2A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1）功能：水平腋托,铝合金材质，高度9档可调，免安装，辅助前行；                                                                                                                 </w:t>
            </w:r>
            <w:r>
              <w:rPr>
                <w:rFonts w:hint="eastAsia" w:ascii="宋体" w:hAnsi="宋体" w:eastAsia="宋体" w:cs="宋体"/>
                <w:color w:val="000000"/>
                <w:kern w:val="0"/>
                <w:sz w:val="24"/>
                <w:szCs w:val="24"/>
                <w:lang w:bidi="ar"/>
              </w:rPr>
              <w:br w:type="textWrapping"/>
            </w:r>
            <w:r>
              <w:rPr>
                <w:rStyle w:val="262"/>
                <w:rFonts w:hint="eastAsia" w:ascii="宋体" w:hAnsi="宋体" w:eastAsia="宋体" w:cs="宋体"/>
                <w:sz w:val="24"/>
                <w:szCs w:val="24"/>
                <w:lang w:bidi="ar"/>
              </w:rPr>
              <w:t>2）规格：中号腋拐：113-134CM可调节；净重：1.0KG每对，适合1.54-1.79M身高人士；</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3）以 GB/T 19545.2-2009《单臂操作助行器要求和试验方法第 2 部分：腋拐》国家标准，作为设计生产的参照标准，其结构特点如下：</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3.1）主架：采用高强度铝合金材质，脚管和握把可调高低，主管管壁厚度≥0.8MM， 脚管和伸缩管管壁厚度≥0.8MM；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3.2）腋托和手托：采用加厚EVA材质，防滑、防过敏，舒适，无异味；</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3.3）脚垫：加厚加大橡胶脚垫，脚垫里面有铁垫片防止穿透脚垫，耐用，防滑。</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FCC3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B9C73">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副</w:t>
            </w:r>
          </w:p>
        </w:tc>
      </w:tr>
      <w:tr w14:paraId="77B4D467">
        <w:tblPrEx>
          <w:tblCellMar>
            <w:top w:w="0" w:type="dxa"/>
            <w:left w:w="108" w:type="dxa"/>
            <w:bottom w:w="0" w:type="dxa"/>
            <w:right w:w="108" w:type="dxa"/>
          </w:tblCellMar>
        </w:tblPrEx>
        <w:trPr>
          <w:trHeight w:val="14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27BF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DC1F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手杖（四脚拐）</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D0938">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1）材质：铝合金</w:t>
            </w:r>
            <w:r>
              <w:rPr>
                <w:rFonts w:hint="eastAsia" w:ascii="宋体" w:hAnsi="宋体" w:eastAsia="宋体" w:cs="宋体"/>
                <w:color w:val="000000"/>
                <w:kern w:val="0"/>
                <w:sz w:val="24"/>
                <w:szCs w:val="24"/>
                <w:lang w:bidi="ar"/>
              </w:rPr>
              <w:br w:type="textWrapping"/>
            </w:r>
            <w:r>
              <w:rPr>
                <w:rStyle w:val="262"/>
                <w:rFonts w:hint="eastAsia" w:ascii="宋体" w:hAnsi="宋体" w:eastAsia="宋体" w:cs="宋体"/>
                <w:sz w:val="24"/>
                <w:szCs w:val="24"/>
                <w:lang w:bidi="ar"/>
              </w:rPr>
              <w:t>2）调节高度：≥10档伸缩(65-88厘米)</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3）适用身高：140-190厘米</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4）主架：采用铝合金管，下肢采用钢质管，高度可调节；</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5）脚架：采用钢质管与底板焊接成型，四支脚着地结构，配橡胶防滑脚垫，安全可靠；</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6）把手：采用高密度泡沫塑料，防滑、舒适；</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0D71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4999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w:t>
            </w:r>
          </w:p>
        </w:tc>
      </w:tr>
      <w:tr w14:paraId="76EEC918">
        <w:tblPrEx>
          <w:tblCellMar>
            <w:top w:w="0" w:type="dxa"/>
            <w:left w:w="108" w:type="dxa"/>
            <w:bottom w:w="0" w:type="dxa"/>
            <w:right w:w="108" w:type="dxa"/>
          </w:tblCellMar>
        </w:tblPrEx>
        <w:trPr>
          <w:trHeight w:val="12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54BC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23</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B374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PT凳</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92F40">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 外形尺寸（直径×高）：Φ600mm×（420～560）mm±20%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 带液压油缸，360°旋转</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 额定承载：≥2000N</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 凳面高度可调，方便康复师使用。</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 凳体底部设计有万向滑轮，可以自由移动。</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93F1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CEF3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w:t>
            </w:r>
          </w:p>
        </w:tc>
      </w:tr>
      <w:tr w14:paraId="074671AB">
        <w:tblPrEx>
          <w:tblCellMar>
            <w:top w:w="0" w:type="dxa"/>
            <w:left w:w="108" w:type="dxa"/>
            <w:bottom w:w="0" w:type="dxa"/>
            <w:right w:w="108" w:type="dxa"/>
          </w:tblCellMar>
        </w:tblPrEx>
        <w:trPr>
          <w:trHeight w:val="7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C663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6B3A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姿势矫正镜</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09913">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1）外形尺寸：850mm×670mm×1900mm±20%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2）镜面玻璃厚度：≥5mm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用于各种姿势或表情的矫正训练。</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4F62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031B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面</w:t>
            </w:r>
          </w:p>
        </w:tc>
      </w:tr>
      <w:tr w14:paraId="6EBF4B24">
        <w:tblPrEx>
          <w:tblCellMar>
            <w:top w:w="0" w:type="dxa"/>
            <w:left w:w="108" w:type="dxa"/>
            <w:bottom w:w="0" w:type="dxa"/>
            <w:right w:w="108" w:type="dxa"/>
          </w:tblCellMar>
        </w:tblPrEx>
        <w:trPr>
          <w:trHeight w:val="288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1CBF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6777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压力波治疗仪</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4F583">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1）电源：～220V 50Hz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2）额定功率： 50VA</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3）系统最大额定输出气体压力(无气囊状态)： 150mmHg±15mmHg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4）治疗时间范围：1~99 min，±1min；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5）压力显示单位： mmHg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6）噪音：≤55dB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7）循环时间设定范围：3-60秒</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8）气压输出：双通道，每通道6气室</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9）工作模式：≥2种工作模式，包括循环加压及间隔加压</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10）每通道可单独设置压力</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11）TPU材质气囊，可调尺寸</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12）≥3档气囊尺寸可调，叠瓦气囊设计，保障治疗效果</w:t>
            </w:r>
          </w:p>
          <w:p w14:paraId="49DD9C8F">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r>
              <w:rPr>
                <w:rFonts w:hint="eastAsia" w:ascii="宋体" w:hAnsi="宋体" w:eastAsia="宋体" w:cs="宋体"/>
                <w:sz w:val="24"/>
                <w:szCs w:val="24"/>
                <w:lang w:eastAsia="zh-Hans"/>
              </w:rPr>
              <w:t>通过对气囊的有序充放气，形成对局部静脉的阶梯压力，缓解四肢浮肿，促进血液循环。</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EB3C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82CC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r>
      <w:tr w14:paraId="2463192C">
        <w:tblPrEx>
          <w:tblCellMar>
            <w:top w:w="0" w:type="dxa"/>
            <w:left w:w="108" w:type="dxa"/>
            <w:bottom w:w="0" w:type="dxa"/>
            <w:right w:w="108" w:type="dxa"/>
          </w:tblCellMar>
        </w:tblPrEx>
        <w:trPr>
          <w:trHeight w:val="306"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0047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26</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8AEE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排烟管道（艾灸排烟系统）</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19B1B">
            <w:pPr>
              <w:widowControl/>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1）输入功率 200W</w:t>
            </w:r>
            <w:r>
              <w:rPr>
                <w:rFonts w:hint="eastAsia" w:ascii="宋体" w:hAnsi="宋体" w:eastAsia="宋体" w:cs="宋体"/>
                <w:color w:val="000000"/>
                <w:kern w:val="0"/>
                <w:sz w:val="24"/>
                <w:szCs w:val="24"/>
                <w:lang w:bidi="ar"/>
              </w:rPr>
              <w:br w:type="textWrapping"/>
            </w:r>
            <w:r>
              <w:rPr>
                <w:rStyle w:val="262"/>
                <w:rFonts w:hint="eastAsia" w:ascii="宋体" w:hAnsi="宋体" w:eastAsia="宋体" w:cs="宋体"/>
                <w:sz w:val="24"/>
                <w:szCs w:val="24"/>
                <w:lang w:bidi="ar"/>
              </w:rPr>
              <w:t>2）额定电压 220V/可定制110V</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3）进风口（单口） 直径：≥￠75MM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4）噪音 &lt;55db</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5）空载转速</w:t>
            </w:r>
            <w:r>
              <w:rPr>
                <w:rFonts w:hint="eastAsia" w:ascii="宋体" w:hAnsi="宋体" w:eastAsia="宋体" w:cs="宋体"/>
                <w:color w:val="000000"/>
                <w:sz w:val="24"/>
                <w:szCs w:val="24"/>
              </w:rPr>
              <w:t>≥</w:t>
            </w:r>
            <w:r>
              <w:rPr>
                <w:rStyle w:val="262"/>
                <w:rFonts w:hint="eastAsia" w:ascii="宋体" w:hAnsi="宋体" w:eastAsia="宋体" w:cs="宋体"/>
                <w:sz w:val="24"/>
                <w:szCs w:val="24"/>
                <w:lang w:bidi="ar"/>
              </w:rPr>
              <w:t xml:space="preserve"> 5800r/min</w:t>
            </w:r>
          </w:p>
          <w:p w14:paraId="4B0EA669">
            <w:pPr>
              <w:widowControl/>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6）吸烟管长</w:t>
            </w:r>
            <w:r>
              <w:rPr>
                <w:rFonts w:hint="eastAsia" w:ascii="宋体" w:hAnsi="宋体" w:eastAsia="宋体" w:cs="宋体"/>
                <w:color w:val="000000"/>
                <w:sz w:val="24"/>
                <w:szCs w:val="24"/>
              </w:rPr>
              <w:t>≥</w:t>
            </w:r>
            <w:r>
              <w:rPr>
                <w:rStyle w:val="262"/>
                <w:rFonts w:hint="eastAsia" w:ascii="宋体" w:hAnsi="宋体" w:eastAsia="宋体" w:cs="宋体"/>
                <w:sz w:val="24"/>
                <w:szCs w:val="24"/>
                <w:lang w:bidi="ar"/>
              </w:rPr>
              <w:t>1.3m</w:t>
            </w:r>
            <w:r>
              <w:rPr>
                <w:rStyle w:val="262"/>
                <w:rFonts w:hint="eastAsia" w:ascii="宋体" w:hAnsi="宋体" w:eastAsia="宋体" w:cs="宋体"/>
                <w:sz w:val="24"/>
                <w:szCs w:val="24"/>
                <w:lang w:bidi="ar"/>
              </w:rPr>
              <w:br w:type="textWrapping"/>
            </w:r>
            <w:r>
              <w:rPr>
                <w:rFonts w:hint="eastAsia" w:ascii="宋体" w:hAnsi="宋体" w:eastAsia="宋体" w:cs="宋体"/>
                <w:color w:val="000000"/>
                <w:sz w:val="24"/>
                <w:szCs w:val="24"/>
              </w:rPr>
              <w:t>7）单口风速≥23m/s</w:t>
            </w:r>
          </w:p>
          <w:p w14:paraId="0007A7B8">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8）系统流量≥300m³/h</w:t>
            </w:r>
          </w:p>
          <w:p w14:paraId="187BB26D">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sz w:val="24"/>
                <w:szCs w:val="24"/>
              </w:rPr>
              <w:t>9）外形尺寸L425*W250*H410mm</w:t>
            </w:r>
            <w:r>
              <w:rPr>
                <w:rFonts w:hint="eastAsia" w:ascii="宋体" w:hAnsi="宋体" w:eastAsia="宋体" w:cs="宋体"/>
                <w:color w:val="000000"/>
                <w:kern w:val="0"/>
                <w:sz w:val="24"/>
                <w:szCs w:val="24"/>
                <w:lang w:bidi="ar"/>
              </w:rPr>
              <w:t>±20%</w:t>
            </w:r>
          </w:p>
          <w:p w14:paraId="060981F8">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10）负压≥2000Pa</w:t>
            </w:r>
          </w:p>
          <w:p w14:paraId="3202409D">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11）滤芯结构：逐级过滤</w:t>
            </w:r>
          </w:p>
          <w:p w14:paraId="2E8FEF2E">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12）滤芯层数≥4</w:t>
            </w:r>
          </w:p>
          <w:p w14:paraId="0F96783B">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13）过滤精度0.03μm</w:t>
            </w:r>
          </w:p>
          <w:p w14:paraId="37C65A0D">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14）滤净率≥99.97%</w:t>
            </w:r>
          </w:p>
          <w:p w14:paraId="7ED165E3">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15）除味效果≥80%</w:t>
            </w:r>
          </w:p>
          <w:p w14:paraId="765B5D7B">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16）≥10档风速调节</w:t>
            </w:r>
          </w:p>
          <w:p w14:paraId="771C5BE7">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17）机身镀锌板</w:t>
            </w:r>
          </w:p>
          <w:p w14:paraId="1B2A85A6">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18）滤芯：3M滤纸+纳米复合碳</w:t>
            </w:r>
          </w:p>
          <w:p w14:paraId="6FA3B7AF">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19）涡轮：耐疲劳铝合金</w:t>
            </w:r>
          </w:p>
          <w:p w14:paraId="05B95DCF">
            <w:pPr>
              <w:widowControl/>
              <w:jc w:val="left"/>
              <w:textAlignment w:val="center"/>
              <w:rPr>
                <w:rStyle w:val="55"/>
                <w:rFonts w:hint="eastAsia" w:ascii="宋体" w:hAnsi="宋体" w:eastAsia="宋体" w:cs="宋体"/>
                <w:sz w:val="24"/>
                <w:szCs w:val="24"/>
              </w:rPr>
            </w:pPr>
            <w:r>
              <w:rPr>
                <w:rFonts w:hint="eastAsia" w:ascii="宋体" w:hAnsi="宋体" w:eastAsia="宋体" w:cs="宋体"/>
                <w:color w:val="000000"/>
                <w:kern w:val="0"/>
                <w:sz w:val="24"/>
                <w:szCs w:val="24"/>
                <w:lang w:bidi="ar"/>
              </w:rPr>
              <w:t>20）电机：无刷直流电机（连续24h运转，寿命</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lang w:bidi="ar"/>
              </w:rPr>
              <w:t>4万个小时）</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C4EB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F4FF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36A1B008">
        <w:tblPrEx>
          <w:tblCellMar>
            <w:top w:w="0" w:type="dxa"/>
            <w:left w:w="108" w:type="dxa"/>
            <w:bottom w:w="0" w:type="dxa"/>
            <w:right w:w="108" w:type="dxa"/>
          </w:tblCellMar>
        </w:tblPrEx>
        <w:trPr>
          <w:trHeight w:val="99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BF3B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27</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2855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工作桌（数字化智慧OT）</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419D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1）外形尺寸（长×宽×高）：1005mm×910mm×1160mm±20%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2）升降柱升降行程：650mm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3）显示器翻转角度：0°～90°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4）使用人员高度范围：1200mm～1900mm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5）训练时间设定范围：5 min～45 min</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6）输入功率：350W</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7）多点触摸训练系统 ≥43英寸LED液晶屏 1台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8）电源电压：AC220 V，电源频率：50 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9）中文操作系统，分辨率1920×1080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10）提供Brunnstrom评定量表、徒手肌力检查评估、MMSE评估、Berg平衡评定、简化Fugl-Meyer运动功能评定、精细运动功能评估等11种评估量表。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游戏化智慧评估，智能排序训练，测试平台包含：注意力(选择性注意，集中性注意，分配性注意)、记忆力(短时记忆，形象记忆，空间记忆)、空间知觉(视觉浏览，视觉追踪，镜像空间)、数的能力(数的认知，计数能力，运算能力)、上肢运动(运动控制，运动范围，双手协同)5大模块的智能化评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12）高级脑功能互动训练：训练平台包含注意力、记忆力、空间知觉、数的能力、分类认知、上肢运动、问题解决、日常生活、互动游戏、休闲益智等多功能训练模块。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13）丰富的精细运动控制、上肢大关节运动控制和认知、脑功能结合训练，能够提供丰富的动画显示、声音播放。</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14）多人互动游戏，增加训练趣味性。</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15）记录并可详细查看评估结果、训练结果报表，以可视化图表的形式，呈现更加直观。</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16）错误题库记录各时间段分类模块下的错题，可进行错题再强化学习。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17）多功能用户管理模式：用户管理能管理多种角色的信息，可新增、删除、修改角色信息，设定不同权限，多重保护各个用户的个人资料。</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7647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34B1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0A5087D5">
        <w:tblPrEx>
          <w:tblCellMar>
            <w:top w:w="0" w:type="dxa"/>
            <w:left w:w="108" w:type="dxa"/>
            <w:bottom w:w="0" w:type="dxa"/>
            <w:right w:w="108" w:type="dxa"/>
          </w:tblCellMar>
        </w:tblPrEx>
        <w:trPr>
          <w:trHeight w:val="12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02C6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28</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5D53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运动训练器械（楔形板）</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49178">
            <w:pPr>
              <w:widowControl/>
              <w:numPr>
                <w:ilvl w:val="0"/>
                <w:numId w:val="19"/>
              </w:numPr>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外形尺寸（长×宽×高）：370mm×310mm×110mm±20%</w:t>
            </w:r>
            <w:r>
              <w:rPr>
                <w:rStyle w:val="262"/>
                <w:rFonts w:hint="eastAsia" w:ascii="宋体" w:hAnsi="宋体" w:eastAsia="宋体" w:cs="宋体"/>
                <w:sz w:val="24"/>
                <w:szCs w:val="24"/>
                <w:lang w:bidi="ar"/>
              </w:rPr>
              <w:t>；</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2）矫正板角度调节范围：5档15°、25°、30°、35°、40°；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3）矫正板高度调节范围：110mm～210mm；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4）踏板安全工作载荷：≥100㎏。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5）适用于对踝关节进行矫正训练。</w:t>
            </w:r>
          </w:p>
          <w:p w14:paraId="4BFB9F98">
            <w:pPr>
              <w:widowControl/>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sz w:val="24"/>
                <w:szCs w:val="24"/>
              </w:rPr>
              <w:t>6）主要构件采用主要采用优质型钢等材质制造。</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5EC7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DAE1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6F928B70">
        <w:tblPrEx>
          <w:tblCellMar>
            <w:top w:w="0" w:type="dxa"/>
            <w:left w:w="108" w:type="dxa"/>
            <w:bottom w:w="0" w:type="dxa"/>
            <w:right w:w="108" w:type="dxa"/>
          </w:tblCellMar>
        </w:tblPrEx>
        <w:trPr>
          <w:trHeight w:val="416"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6DD1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29</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F718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运动训练器械（肋木）</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923B4">
            <w:pPr>
              <w:widowControl/>
              <w:snapToGrid w:val="0"/>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1）外形尺寸（长×宽×高）：980mm×440mm×2220mm±20%；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2）肋木杠直径：φ32mm；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3）肋木杠间距：150mm；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4）肋木安全工作载荷：100㎏。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w:t>
            </w:r>
            <w:r>
              <w:rPr>
                <w:rStyle w:val="262"/>
                <w:rFonts w:hint="eastAsia" w:ascii="宋体" w:hAnsi="宋体" w:eastAsia="宋体" w:cs="宋体"/>
                <w:sz w:val="24"/>
                <w:szCs w:val="24"/>
                <w:lang w:bidi="ar"/>
              </w:rPr>
              <w:t>为受训者提供不同高度的上肢协调性运动训练。</w:t>
            </w:r>
          </w:p>
          <w:p w14:paraId="5CBD0CAD">
            <w:pPr>
              <w:widowControl/>
              <w:snapToGrid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6）主要构件采用优质型钢等材质制造。</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DF61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2739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36563334">
        <w:tblPrEx>
          <w:tblCellMar>
            <w:top w:w="0" w:type="dxa"/>
            <w:left w:w="108" w:type="dxa"/>
            <w:bottom w:w="0" w:type="dxa"/>
            <w:right w:w="108" w:type="dxa"/>
          </w:tblCellMar>
        </w:tblPrEx>
        <w:trPr>
          <w:trHeight w:val="96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6E46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758F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运动训练器械（体操棒）</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6DDE5">
            <w:pPr>
              <w:widowControl/>
              <w:snapToGrid w:val="0"/>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1）外形尺寸（长×宽×高）：400mm×400mm×1020mm±20%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2）体操棒外形尺寸（直径×高度）：φ28mm×995mm，数量≥5根</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3）抛接球直径及数量：≥φ250mm，4个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4）通过带棒做操和抛接球活动，改善上肢活动范围，提高肢体协调控制能力及平衡能力。</w:t>
            </w:r>
          </w:p>
          <w:p w14:paraId="62CDC0CD">
            <w:pPr>
              <w:widowControl/>
              <w:snapToGrid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5）主要采用实木、海绵、布料等。</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0FFD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734A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4AD53219">
        <w:tblPrEx>
          <w:tblCellMar>
            <w:top w:w="0" w:type="dxa"/>
            <w:left w:w="108" w:type="dxa"/>
            <w:bottom w:w="0" w:type="dxa"/>
            <w:right w:w="108" w:type="dxa"/>
          </w:tblCellMar>
        </w:tblPrEx>
        <w:trPr>
          <w:trHeight w:val="168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2ABD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B3D2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运动训练器械(墙拉力器)</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9BA28">
            <w:pPr>
              <w:widowControl/>
              <w:snapToGrid w:val="0"/>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1）外形尺寸（长×宽×高）：630mm×200mm×1750mm±20%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2）拉力器套数：2套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3）配重块质量及数量：2kg/块，共12块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4）最大行程：1150mm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5）拉手额定承载：≥480N</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6）绳索额定承载：≥720N</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7）适用于对关节功能障碍患者进行康复训练。</w:t>
            </w:r>
          </w:p>
          <w:p w14:paraId="177D8765">
            <w:pPr>
              <w:widowControl/>
              <w:snapToGrid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8）主要构件采用优质型钢、尼龙绳、ABS等。</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B635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D44E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1C6CDD1A">
        <w:tblPrEx>
          <w:tblCellMar>
            <w:top w:w="0" w:type="dxa"/>
            <w:left w:w="108" w:type="dxa"/>
            <w:bottom w:w="0" w:type="dxa"/>
            <w:right w:w="108" w:type="dxa"/>
          </w:tblCellMar>
        </w:tblPrEx>
        <w:trPr>
          <w:trHeight w:val="11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5B62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D968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运动训练器械(训练用棍)</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A0F73">
            <w:pPr>
              <w:widowControl/>
              <w:numPr>
                <w:ilvl w:val="0"/>
                <w:numId w:val="20"/>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外形尺寸（长×宽×高）：400mm×400mm×1020mm±20%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2）体操棒外形尺寸（直径×高度）：φ28mm×995mm，数量5根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3）抛接球直径及数量：≥φ250mm，4个</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4）通过带棒做操和抛接球活动，改善上肢活动范围，提高肢体协调控制能力及平衡能力。</w:t>
            </w:r>
          </w:p>
          <w:p w14:paraId="7ECAF1A6">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sz w:val="24"/>
                <w:szCs w:val="24"/>
              </w:rPr>
              <w:t>5）主要采用实木、海绵、布料等。</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A1DF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1716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67B28E34">
        <w:tblPrEx>
          <w:tblCellMar>
            <w:top w:w="0" w:type="dxa"/>
            <w:left w:w="108" w:type="dxa"/>
            <w:bottom w:w="0" w:type="dxa"/>
            <w:right w:w="108" w:type="dxa"/>
          </w:tblCellMar>
        </w:tblPrEx>
        <w:trPr>
          <w:trHeight w:val="191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3879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33</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0226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手功能综合训练桌</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7083A">
            <w:pPr>
              <w:widowControl/>
              <w:numPr>
                <w:ilvl w:val="0"/>
                <w:numId w:val="21"/>
              </w:numPr>
              <w:snapToGrid w:val="0"/>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产品组成</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1.1）日常生活能力训练桌由桌子本体及训练用附件组成。</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1.2）训练用附件由基板及训练件组成，需要训练时，将基板插在桌面相应插槽内。（训练时可任选以下多款训练附件进行训练）。</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1.2.1）拧瓶盖训练附件1套；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1.2.2）扭纽扣训练附件1套；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1.2.3）进食功能训练附件1套；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 xml:space="preserve">1.2.4）堆杯训练附件1套； </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1.2.5）开关训练附件1套；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1.2.6）插座训练附件1套；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1.2.7）木插板训练附件1套；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1.2.8）套圈训练附件1套；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1.2.9）套彩盘训练附件1套；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1.2.10）笔和纸训练附件1套；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1.2.11）夹子训练附件1套；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1.2.12）餐盒、筷子训练附件1套；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1.2.13）拼图训练附件1套；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1.2.14）暗箱训练附件1套；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1.2.15）水龙头训练附件1套；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1.2.16）洗漱用品训练附件1套；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1.2.17）棋盘训练附件1套。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1.3）外形尺寸（推柱缩至最短）（长×宽×高）/mm：1200*1200*1000</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1.4）推柱升降行程/mm：≥300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1.5）桌面可调角度板旋转角度/mm：0°～35°</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2）产品特性：</w:t>
            </w:r>
          </w:p>
          <w:p w14:paraId="3940FB89">
            <w:pPr>
              <w:widowControl/>
              <w:snapToGrid w:val="0"/>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2.1）日常生活能力训练桌高度可调节，适应性强；</w:t>
            </w:r>
          </w:p>
          <w:p w14:paraId="26071E37">
            <w:pPr>
              <w:widowControl/>
              <w:snapToGrid w:val="0"/>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2.2）一机多用，可以同时满足4个使用者使用；</w:t>
            </w:r>
          </w:p>
          <w:p w14:paraId="23B6B9BC">
            <w:pPr>
              <w:widowControl/>
              <w:snapToGrid w:val="0"/>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2.3）中间转台可以做360°旋转，方便交替训练平台，便于操作与训练；</w:t>
            </w:r>
          </w:p>
          <w:p w14:paraId="65E7C3A9">
            <w:pPr>
              <w:widowControl/>
              <w:snapToGrid w:val="0"/>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2.4）配备17个训练附件模块，训练手、眼协调能力、手指抓握能力、上肢协调训练能力、手的精细功能训练、手部感觉训练、视觉空间训练等；</w:t>
            </w:r>
          </w:p>
          <w:p w14:paraId="5298BA7A">
            <w:pPr>
              <w:widowControl/>
              <w:snapToGrid w:val="0"/>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3）产品用途</w:t>
            </w:r>
          </w:p>
          <w:p w14:paraId="5B685FAC">
            <w:pPr>
              <w:widowControl/>
              <w:snapToGrid w:val="0"/>
              <w:jc w:val="left"/>
              <w:textAlignment w:val="center"/>
              <w:rPr>
                <w:rFonts w:hint="eastAsia" w:ascii="宋体" w:hAnsi="宋体" w:eastAsia="宋体" w:cs="宋体"/>
                <w:color w:val="000000"/>
                <w:sz w:val="24"/>
                <w:szCs w:val="24"/>
                <w:lang w:bidi="ar"/>
              </w:rPr>
            </w:pPr>
            <w:r>
              <w:rPr>
                <w:rStyle w:val="262"/>
                <w:rFonts w:hint="eastAsia" w:ascii="宋体" w:hAnsi="宋体" w:eastAsia="宋体" w:cs="宋体"/>
                <w:sz w:val="24"/>
                <w:szCs w:val="24"/>
                <w:lang w:bidi="ar"/>
              </w:rPr>
              <w:t>产品适用人群：脑卒中、脑外伤、脑瘫、老年科、帕金森氏综合症等人群。</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E80B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F2B9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1CDFA217">
        <w:tblPrEx>
          <w:tblCellMar>
            <w:top w:w="0" w:type="dxa"/>
            <w:left w:w="108" w:type="dxa"/>
            <w:bottom w:w="0" w:type="dxa"/>
            <w:right w:w="108" w:type="dxa"/>
          </w:tblCellMar>
        </w:tblPrEx>
        <w:trPr>
          <w:trHeight w:val="3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3080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34</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EE1F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日常生活作业职业训练系统</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7C242">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1）可提供包括挤牙膏、拿杯子、ATM 存取款机操作、开汽车、开煤气炉、按压水龙头、开圆形门把手、开L形（竖形）门把手、拧瓶盖、操作电梯按键在内的不少于10种日常生活能力模拟训练模式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2）四大功能模块：单项日常生活动作训练、连续任务训练、互动游戏训练、评估量表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3）可以提供≥3种不同生活场景的连续训练：取款、泡咖啡、煮饺子</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4）多种日常生活能力评定量表，包括Barthel量表、FIM功能独立性量表、手功能量表等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5）可以提供手眼协调训练、注意力训练、关节活动度训练、认知训练、协调性训练等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6）训练平台可以顺时针或逆时针完成360°任意旋转，实现不同训练模式的插件无缝切换</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7）配≥21.5英寸高清触摸式显示屏，屏幕上下倾斜角度不小于-5°到5°可调，水平角度不小于-160°到160°可调</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8）可自定义训练命题，通过对不同插件模块的组合，实现智能自动切换场景与训练内容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9）训练结果自动纪录，可进行训练前后对比</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10）可以无障碍增加其他生活功能插件，训练软件对新增加的训练硬件留有开放接口并兼容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11）工作台可升降</w:t>
            </w:r>
            <w:r>
              <w:rPr>
                <w:rFonts w:hint="eastAsia" w:ascii="宋体" w:hAnsi="宋体" w:eastAsia="宋体" w:cs="宋体"/>
                <w:color w:val="000000"/>
                <w:kern w:val="0"/>
                <w:sz w:val="24"/>
                <w:szCs w:val="24"/>
                <w:lang w:bidi="ar"/>
              </w:rPr>
              <w:br w:type="textWrapping"/>
            </w:r>
            <w:r>
              <w:rPr>
                <w:rStyle w:val="262"/>
                <w:rFonts w:hint="eastAsia" w:ascii="宋体" w:hAnsi="宋体" w:eastAsia="宋体" w:cs="宋体"/>
                <w:sz w:val="24"/>
                <w:szCs w:val="24"/>
                <w:lang w:bidi="ar"/>
              </w:rPr>
              <w:t>12）产品整体尺寸（长×宽×高）：150cm×90cm×150cm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13）控制系统配置不低于：内存4GB；硬盘256GB；21.5英寸屏幕</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C317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2B02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679CFA6A">
        <w:tblPrEx>
          <w:tblCellMar>
            <w:top w:w="0" w:type="dxa"/>
            <w:left w:w="108" w:type="dxa"/>
            <w:bottom w:w="0" w:type="dxa"/>
            <w:right w:w="108" w:type="dxa"/>
          </w:tblCellMar>
        </w:tblPrEx>
        <w:trPr>
          <w:trHeight w:val="134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7E83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35</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839D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OT综合训练工作台</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5CBF3">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1）侧板展开时外形尺寸（长×宽×高）：1840mm×1035mm×910mm±20%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2）侧板高度调节范围：345mm～735mm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3）侧板角度调节范围：0°～90°     </w:t>
            </w:r>
            <w:r>
              <w:rPr>
                <w:rFonts w:hint="eastAsia" w:ascii="宋体" w:hAnsi="宋体" w:eastAsia="宋体" w:cs="宋体"/>
                <w:color w:val="000000"/>
                <w:kern w:val="0"/>
                <w:sz w:val="24"/>
                <w:szCs w:val="24"/>
                <w:lang w:bidi="ar"/>
              </w:rPr>
              <w:br w:type="textWrapping"/>
            </w:r>
            <w:r>
              <w:rPr>
                <w:rStyle w:val="262"/>
                <w:rFonts w:hint="eastAsia" w:ascii="宋体" w:hAnsi="宋体" w:eastAsia="宋体" w:cs="宋体"/>
                <w:sz w:val="24"/>
                <w:szCs w:val="24"/>
                <w:lang w:bidi="ar"/>
              </w:rPr>
              <w:t>4)工作台材质要求：ABS工程塑料</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5）侧板高度可调，适合不同身高人群使用。</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6）侧板可快速拆卸，节省存放空间。</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7）配有带刹脚轮，方便移动。</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8）≥12套训练器材组合搭配，可进行综合训练。</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9）训练结束后各器具可整理、收集在柜中，节约放置空间。</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10）适用于改善手指功能、提高眼手协调功能，训练感知能力及大脑对图形的识别能力，训练上肢稳定性、协调性，提高上肢日常活动能力。</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B524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9F63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70A2B8A4">
        <w:tblPrEx>
          <w:tblCellMar>
            <w:top w:w="0" w:type="dxa"/>
            <w:left w:w="108" w:type="dxa"/>
            <w:bottom w:w="0" w:type="dxa"/>
            <w:right w:w="108" w:type="dxa"/>
          </w:tblCellMar>
        </w:tblPrEx>
        <w:trPr>
          <w:trHeight w:val="1054"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BE10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EDF4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重锤式手指肌力训练桌</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08B6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1）外形尺寸（长×宽×高）：810mm×610mm×1100mm±20%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2）重锤质量：100g、200g、300g、500g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w:t>
            </w:r>
            <w:r>
              <w:rPr>
                <w:rStyle w:val="262"/>
                <w:rFonts w:hint="eastAsia" w:ascii="宋体" w:hAnsi="宋体" w:eastAsia="宋体" w:cs="宋体"/>
                <w:sz w:val="24"/>
                <w:szCs w:val="24"/>
                <w:lang w:bidi="ar"/>
              </w:rPr>
              <w:t>用于手指肌力训练和手指关节活动度训练。</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2A7C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F5BD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w:t>
            </w:r>
          </w:p>
        </w:tc>
      </w:tr>
      <w:tr w14:paraId="39D17206">
        <w:tblPrEx>
          <w:tblCellMar>
            <w:top w:w="0" w:type="dxa"/>
            <w:left w:w="108" w:type="dxa"/>
            <w:bottom w:w="0" w:type="dxa"/>
            <w:right w:w="108" w:type="dxa"/>
          </w:tblCellMar>
        </w:tblPrEx>
        <w:trPr>
          <w:trHeight w:val="1084"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6718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C838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运动训练器械(分指板)</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1A3BD">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1）外形尺寸（长×宽×高）：222mm×222mm×30mm±20%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2）指板间距：26mm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3）防止和矫正手指屈肌痉挛或挛缩畸形。</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FADA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8A7B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19DB5F55">
        <w:tblPrEx>
          <w:tblCellMar>
            <w:top w:w="0" w:type="dxa"/>
            <w:left w:w="108" w:type="dxa"/>
            <w:bottom w:w="0" w:type="dxa"/>
            <w:right w:w="108" w:type="dxa"/>
          </w:tblCellMar>
        </w:tblPrEx>
        <w:trPr>
          <w:trHeight w:val="1106"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5642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38</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34BE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运动训练器械(堆杯)</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79B84">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1)外形尺寸：300mm×150mm×22mm±20%（不含杯子）</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2)配9只杯子</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3）适用于手指功能的感知、认知训练。</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8C54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314A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272E9411">
        <w:tblPrEx>
          <w:tblCellMar>
            <w:top w:w="0" w:type="dxa"/>
            <w:left w:w="108" w:type="dxa"/>
            <w:bottom w:w="0" w:type="dxa"/>
            <w:right w:w="108" w:type="dxa"/>
          </w:tblCellMar>
        </w:tblPrEx>
        <w:trPr>
          <w:trHeight w:val="96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2031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39</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167F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运动训练器械(手指阶梯)</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48EA2">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1）外形尺寸（长×宽×高）：295mm×120mm×450mm±20%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2）阶梯台阶距离：22mm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3）台阶数量10层</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4）通过改善手指关节活动范围，训练手指主动运动的灵活性、协调性。</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FACE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E077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13B1CB3A">
        <w:tblPrEx>
          <w:tblCellMar>
            <w:top w:w="0" w:type="dxa"/>
            <w:left w:w="108" w:type="dxa"/>
            <w:bottom w:w="0" w:type="dxa"/>
            <w:right w:w="108" w:type="dxa"/>
          </w:tblCellMar>
        </w:tblPrEx>
        <w:trPr>
          <w:trHeight w:val="396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4C20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CE61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运动训练器械(手功能组合训练箱)</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F1C3C">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1）产品组成：主要由木插棍、玻璃球、铁插棍、螺栓、螺母、握力圈、握力器、防盗扣、箱搭扣、模拟插头插座、锁搭扣及挂锁、台锁、窗插销、窗钩等14种训练用具组成。</w:t>
            </w:r>
            <w:r>
              <w:rPr>
                <w:rFonts w:hint="eastAsia" w:ascii="宋体" w:hAnsi="宋体" w:eastAsia="宋体" w:cs="宋体"/>
                <w:color w:val="000000"/>
                <w:kern w:val="0"/>
                <w:sz w:val="24"/>
                <w:szCs w:val="24"/>
                <w:lang w:bidi="ar"/>
              </w:rPr>
              <w:br w:type="textWrapping"/>
            </w:r>
            <w:r>
              <w:rPr>
                <w:rStyle w:val="262"/>
                <w:rFonts w:hint="eastAsia" w:ascii="宋体" w:hAnsi="宋体" w:eastAsia="宋体" w:cs="宋体"/>
                <w:sz w:val="24"/>
                <w:szCs w:val="24"/>
                <w:lang w:bidi="ar"/>
              </w:rPr>
              <w:t>2）外形尺寸（长×宽×高）：550mm×400mm×140mm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3）木插棍外形尺寸及数量：（大:Φ26mm，3根）、（中：Φ18mm，4根）、（小：Φ13mm，5根）</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4）玻璃球数量：大（4个）、中（5个）、小（5个）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5）铁插棍外形尺寸及数量：（大：Φ8mm×60mm）、（中：Φ6mm×60mm）、（小：Φ4mm×60mm），各21个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6）螺栓外形尺寸及数量：M8×40（5只）、M6×40（3只）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7）螺母外形尺寸及数量：M8（6只）、M6（6只）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8）适用于眼、手协调功能训练。</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E5DB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EB31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300CE2D4">
        <w:tblPrEx>
          <w:tblCellMar>
            <w:top w:w="0" w:type="dxa"/>
            <w:left w:w="108" w:type="dxa"/>
            <w:bottom w:w="0" w:type="dxa"/>
            <w:right w:w="108" w:type="dxa"/>
          </w:tblCellMar>
        </w:tblPrEx>
        <w:trPr>
          <w:trHeight w:val="176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7E36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41</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90A6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运动训练器械(套彩盘)</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95273">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1）外形尺寸（长×宽×高）：800mm×170mm×720mm±20%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2）立柱直径：φ28mm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3）配三角木块、正方形木块、圆板木块各4个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4）训练受训者眼、手协调功能及感知、认知功能，还可做改善上肢关节活动度的作业训练。</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577E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B2F5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36781313">
        <w:tblPrEx>
          <w:tblCellMar>
            <w:top w:w="0" w:type="dxa"/>
            <w:left w:w="108" w:type="dxa"/>
            <w:bottom w:w="0" w:type="dxa"/>
            <w:right w:w="108" w:type="dxa"/>
          </w:tblCellMar>
        </w:tblPrEx>
        <w:trPr>
          <w:trHeight w:val="109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62BD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42</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EF0E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运动训练器械(套圈)</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A328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1）外形尺寸（直径×高度）：φ280mm×470mm±20%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2）立杆直径：φ40mm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3）受训者眼、手协调功能。</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6953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7EA06">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1BC4795F">
        <w:tblPrEx>
          <w:tblCellMar>
            <w:top w:w="0" w:type="dxa"/>
            <w:left w:w="108" w:type="dxa"/>
            <w:bottom w:w="0" w:type="dxa"/>
            <w:right w:w="108" w:type="dxa"/>
          </w:tblCellMar>
        </w:tblPrEx>
        <w:trPr>
          <w:trHeight w:val="1388"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9F92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43</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0648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运动训练器械(套圈)</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BD126">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1）外形尺寸（长×宽×高）：500mm×420mm×170mm±20%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2）木棍直径：φ30mm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3）套圈绳数量：≥9个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4）适用于眼与手的协调功能训练。</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7B50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31916">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164C38C9">
        <w:tblPrEx>
          <w:tblCellMar>
            <w:top w:w="0" w:type="dxa"/>
            <w:left w:w="108" w:type="dxa"/>
            <w:bottom w:w="0" w:type="dxa"/>
            <w:right w:w="108" w:type="dxa"/>
          </w:tblCellMar>
        </w:tblPrEx>
        <w:trPr>
          <w:trHeight w:val="63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AD58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44</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9E56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OT工作桌</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A22F1">
            <w:pPr>
              <w:widowControl/>
              <w:numPr>
                <w:ilvl w:val="0"/>
                <w:numId w:val="22"/>
              </w:numPr>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外形尺寸（长×宽×高）：1200mm×800mm×605mm±20%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2）桌面升降范围：605～845mm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3）桌面尺寸（长×宽）：1200mm×800mm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 xml:space="preserve">4）手柄转动力矩：≤10N•m </w:t>
            </w:r>
          </w:p>
          <w:p w14:paraId="408C941B">
            <w:pPr>
              <w:widowControl/>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sz w:val="24"/>
                <w:szCs w:val="24"/>
              </w:rPr>
              <w:t>5</w:t>
            </w:r>
            <w:r>
              <w:rPr>
                <w:rStyle w:val="262"/>
                <w:rFonts w:hint="eastAsia" w:ascii="宋体" w:hAnsi="宋体" w:eastAsia="宋体" w:cs="宋体"/>
                <w:sz w:val="24"/>
                <w:szCs w:val="24"/>
                <w:lang w:bidi="ar"/>
              </w:rPr>
              <w:t>）桌面高度可调，适合不同身高人群使用。</w:t>
            </w:r>
          </w:p>
          <w:p w14:paraId="6980A850">
            <w:pPr>
              <w:widowControl/>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6）配模拟作业工具，可进行手工作业训练。</w:t>
            </w:r>
          </w:p>
          <w:p w14:paraId="58941815">
            <w:pPr>
              <w:widowControl/>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7）作业训练用桌，桌面高度可按需进行调节</w:t>
            </w:r>
          </w:p>
          <w:p w14:paraId="034A6D12">
            <w:pPr>
              <w:widowControl/>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8）配备模拟作业工具一套。                                                                                                      9）配备智能体感OT球</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9.1）物理治疗与可视化游戏相结合：系统包含6个训练游戏，将临床物理治疗融入至趣味游戏当中，生动有趣，相比单一的临床康复训练更能激发训练者的新鲜感与积极性。</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9.2）</w:t>
            </w:r>
            <w:r>
              <w:rPr>
                <w:rStyle w:val="262"/>
                <w:rFonts w:hint="eastAsia" w:ascii="宋体" w:hAnsi="宋体" w:cs="宋体"/>
                <w:sz w:val="24"/>
                <w:szCs w:val="24"/>
                <w:lang w:val="en-US" w:eastAsia="zh-CN" w:bidi="ar"/>
              </w:rPr>
              <w:t>#</w:t>
            </w:r>
            <w:r>
              <w:rPr>
                <w:rStyle w:val="262"/>
                <w:rFonts w:hint="eastAsia" w:ascii="宋体" w:hAnsi="宋体" w:eastAsia="宋体" w:cs="宋体"/>
                <w:sz w:val="24"/>
                <w:szCs w:val="24"/>
                <w:lang w:bidi="ar"/>
              </w:rPr>
              <w:t>通过挤压或滚动压力传感球，无线实时反馈信号至软件。（提供质量检验机构出具的检验报告予以佐证）</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9.3）</w:t>
            </w:r>
            <w:r>
              <w:rPr>
                <w:rStyle w:val="262"/>
                <w:rFonts w:hint="eastAsia" w:ascii="宋体" w:hAnsi="宋体" w:cs="宋体"/>
                <w:sz w:val="24"/>
                <w:szCs w:val="24"/>
                <w:lang w:val="en-US" w:eastAsia="zh-CN" w:bidi="ar"/>
              </w:rPr>
              <w:t>#</w:t>
            </w:r>
            <w:r>
              <w:rPr>
                <w:rStyle w:val="262"/>
                <w:rFonts w:hint="eastAsia" w:ascii="宋体" w:hAnsi="宋体" w:eastAsia="宋体" w:cs="宋体"/>
                <w:sz w:val="24"/>
                <w:szCs w:val="24"/>
                <w:lang w:bidi="ar"/>
              </w:rPr>
              <w:t>智能测试：实时测量挤压力量数据、最近的训练数据、最大力量数据、精准度数据、最好成绩数据、活跃时间数据。（提供质量检验机构出具的检验报告予以佐证）</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9.4）账号管理：机构版首次登陆账号即为管理员，管理员账号可查看所有子账户ID、训练记录、并可导出用户训练数据。</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2801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BFE8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24C9D387">
        <w:tblPrEx>
          <w:tblCellMar>
            <w:top w:w="0" w:type="dxa"/>
            <w:left w:w="108" w:type="dxa"/>
            <w:bottom w:w="0" w:type="dxa"/>
            <w:right w:w="108" w:type="dxa"/>
          </w:tblCellMar>
        </w:tblPrEx>
        <w:trPr>
          <w:trHeight w:val="174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6B87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45</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CE55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可调式砂磨板及附件</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03100">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1）外形尺寸（长×宽×高）：1040mm×840mm×855mm±20%（不含附件）</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2）砂磨板可调角度：≥60°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3）附件：砂磨斗、摇磨具、单手推板、单手磨具，各1只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4）适用于对关节功能障碍患者进行康复训练。</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179C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C53B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2E1039D7">
        <w:tblPrEx>
          <w:tblCellMar>
            <w:top w:w="0" w:type="dxa"/>
            <w:left w:w="108" w:type="dxa"/>
            <w:bottom w:w="0" w:type="dxa"/>
            <w:right w:w="108" w:type="dxa"/>
          </w:tblCellMar>
        </w:tblPrEx>
        <w:trPr>
          <w:trHeight w:val="171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93D5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46</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2A11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运动训练器械(上螺丝)</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41CC7">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1)外形尺寸（长×宽×高）：350mm×250mm×70mm±20%（不含螺栓）</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2)组件：全螺纹六角头螺栓M6×40，7只、全螺纹六角头螺栓M8×40，13只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3）通过模拟作业，改善手指的指功能，提高手的协调性、灵活性。</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5A3E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F4F8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2F58DDA4">
        <w:tblPrEx>
          <w:tblCellMar>
            <w:top w:w="0" w:type="dxa"/>
            <w:left w:w="108" w:type="dxa"/>
            <w:bottom w:w="0" w:type="dxa"/>
            <w:right w:w="108" w:type="dxa"/>
          </w:tblCellMar>
        </w:tblPrEx>
        <w:trPr>
          <w:trHeight w:val="39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D267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47</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AF47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运动训练器械(上螺母)</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EA256">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1）外形尺寸（长×宽×高）：340mm×190mm×210mm±20%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2）组件：M6×40六角螺栓8只、M8×40六角螺栓16只、M6螺母16只、M8螺母32只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3）通过模拟作业，改善手指的指功能，提高手的协调性、灵活性。</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E2B0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4976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7019D75B">
        <w:tblPrEx>
          <w:tblCellMar>
            <w:top w:w="0" w:type="dxa"/>
            <w:left w:w="108" w:type="dxa"/>
            <w:bottom w:w="0" w:type="dxa"/>
            <w:right w:w="108" w:type="dxa"/>
          </w:tblCellMar>
        </w:tblPrEx>
        <w:trPr>
          <w:trHeight w:val="2584"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6828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48</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141A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脑瘫儿童坐姿矫正椅</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65D55">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1）外形尺寸（长×宽×高）：600mm×600mm×900mm±20%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2)手臂托盘尺寸:600mm×530mm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3)头枕升降调节范围为0mm～130mm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4)裆垫前后调节范围为0mm～100mm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5)脚踏板高度可调，座垫至脚踏板最大距离为190mm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6)手臂托盘的台面至座垫距离为200mm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7）用于2～6岁的脑瘫儿童进行坐位保持、坐位平衡、矫正姿势等。</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7DAE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073A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w:t>
            </w:r>
          </w:p>
        </w:tc>
      </w:tr>
      <w:tr w14:paraId="57107411">
        <w:tblPrEx>
          <w:tblCellMar>
            <w:top w:w="0" w:type="dxa"/>
            <w:left w:w="108" w:type="dxa"/>
            <w:bottom w:w="0" w:type="dxa"/>
            <w:right w:w="108" w:type="dxa"/>
          </w:tblCellMar>
        </w:tblPrEx>
        <w:trPr>
          <w:trHeight w:val="12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A58A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49</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33C0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PT凳</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0D806">
            <w:pPr>
              <w:widowControl/>
              <w:numPr>
                <w:ilvl w:val="0"/>
                <w:numId w:val="23"/>
              </w:numPr>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外形尺寸（直径×高）：Φ600mm×（420～560）mm±20%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 带液压油缸，360°旋转</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 额定承载：≥2000N</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 凳面高度可调，方便康复师使用。</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 凳体底部设计有万向滑轮，可以自由移动。</w:t>
            </w:r>
          </w:p>
          <w:p w14:paraId="3CCF013B">
            <w:pPr>
              <w:jc w:val="left"/>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6）康复师进行手法治疗时可移动的坐具。</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690E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6D90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w:t>
            </w:r>
          </w:p>
        </w:tc>
      </w:tr>
      <w:tr w14:paraId="0F1F6B80">
        <w:tblPrEx>
          <w:tblCellMar>
            <w:top w:w="0" w:type="dxa"/>
            <w:left w:w="108" w:type="dxa"/>
            <w:bottom w:w="0" w:type="dxa"/>
            <w:right w:w="108" w:type="dxa"/>
          </w:tblCellMar>
        </w:tblPrEx>
        <w:trPr>
          <w:trHeight w:val="468"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3463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CC71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运动训练器械(平行杠)</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A80C2">
            <w:pPr>
              <w:widowControl/>
              <w:numPr>
                <w:ilvl w:val="0"/>
                <w:numId w:val="24"/>
              </w:numPr>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外形尺寸（长×宽×高）：3350mm×855mm×780mm±20%</w:t>
            </w:r>
            <w:r>
              <w:rPr>
                <w:rStyle w:val="262"/>
                <w:rFonts w:hint="eastAsia" w:ascii="宋体" w:hAnsi="宋体" w:eastAsia="宋体" w:cs="宋体"/>
                <w:sz w:val="24"/>
                <w:szCs w:val="24"/>
                <w:lang w:bidi="ar"/>
              </w:rPr>
              <w:t>；</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2）两扶手杆中心调节范围：310mm～650mm；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3）扶手杆直径：φ38mm；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4）脚踏板安全工作载荷：≥100 kg；</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5）矫正板踩踏面相对于水平面的夹角：150。</w:t>
            </w:r>
          </w:p>
          <w:p w14:paraId="66A18E05">
            <w:pPr>
              <w:widowControl/>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6）配套用具：步行辅助器</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6.1）髋关节辅助力矩：0~3Nm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6.2）防水等级：IPX4</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6.3）控制器使用时长：8小时</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6.4）外形尺寸：长885×65×540mm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6.5）主体高度调节范围：540～610mm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6.6）辅助力调节旋钮水平移动距离：0～6mm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6.7）</w:t>
            </w:r>
            <w:r>
              <w:rPr>
                <w:rStyle w:val="262"/>
                <w:rFonts w:hint="eastAsia" w:ascii="宋体" w:hAnsi="宋体" w:cs="宋体"/>
                <w:sz w:val="24"/>
                <w:szCs w:val="24"/>
                <w:lang w:val="en-US" w:eastAsia="zh-CN" w:bidi="ar"/>
              </w:rPr>
              <w:t>#</w:t>
            </w:r>
            <w:r>
              <w:rPr>
                <w:rStyle w:val="262"/>
                <w:rFonts w:hint="eastAsia" w:ascii="宋体" w:hAnsi="宋体" w:eastAsia="宋体" w:cs="宋体"/>
                <w:sz w:val="24"/>
                <w:szCs w:val="24"/>
                <w:lang w:bidi="ar"/>
              </w:rPr>
              <w:t>下肢摆臂摆动范围：-20°～300°（提供质量检验机构出具的检验报告予以佐证）</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6.8）</w:t>
            </w:r>
            <w:r>
              <w:rPr>
                <w:rStyle w:val="262"/>
                <w:rFonts w:hint="eastAsia" w:ascii="宋体" w:hAnsi="宋体" w:cs="宋体"/>
                <w:sz w:val="24"/>
                <w:szCs w:val="24"/>
                <w:lang w:val="en-US" w:eastAsia="zh-CN" w:bidi="ar"/>
              </w:rPr>
              <w:t>#</w:t>
            </w:r>
            <w:r>
              <w:rPr>
                <w:rStyle w:val="262"/>
                <w:rFonts w:hint="eastAsia" w:ascii="宋体" w:hAnsi="宋体" w:eastAsia="宋体" w:cs="宋体"/>
                <w:sz w:val="24"/>
                <w:szCs w:val="24"/>
                <w:lang w:bidi="ar"/>
              </w:rPr>
              <w:t>下肢摆臂高度调节： 70mm±5mm （提供质量检验机构出具的检验报告予以佐证）</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 xml:space="preserve">6.9）辅助装置通过吸收部分冲击，降低病患 肌肉激活需求。 </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6.10）辅助装置通过释放存储的势能，提高屈肌能力，帮助摆腿。</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6.11）</w:t>
            </w:r>
            <w:r>
              <w:rPr>
                <w:rStyle w:val="262"/>
                <w:rFonts w:hint="eastAsia" w:ascii="宋体" w:hAnsi="宋体" w:cs="宋体"/>
                <w:sz w:val="24"/>
                <w:szCs w:val="24"/>
                <w:lang w:val="en-US" w:eastAsia="zh-CN" w:bidi="ar"/>
              </w:rPr>
              <w:t>#</w:t>
            </w:r>
            <w:r>
              <w:rPr>
                <w:rStyle w:val="262"/>
                <w:rFonts w:hint="eastAsia" w:ascii="宋体" w:hAnsi="宋体" w:eastAsia="宋体" w:cs="宋体"/>
                <w:sz w:val="24"/>
                <w:szCs w:val="24"/>
                <w:lang w:bidi="ar"/>
              </w:rPr>
              <w:t>具有跌落报警功能（提供质量检验机构出具的检验报告予以佐证）</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7）用于体育训练场和医院康复科步行康复训练。</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33F6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1DAB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55B14ADB">
        <w:tblPrEx>
          <w:tblCellMar>
            <w:top w:w="0" w:type="dxa"/>
            <w:left w:w="108" w:type="dxa"/>
            <w:bottom w:w="0" w:type="dxa"/>
            <w:right w:w="108" w:type="dxa"/>
          </w:tblCellMar>
        </w:tblPrEx>
        <w:trPr>
          <w:trHeight w:val="719"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74AB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D205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运动训练器械(训练用阶梯)</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44FA4">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1）外形尺寸（长×宽×高）：3320mm×1350mm×（1340～1660）mm±20%</w:t>
            </w:r>
            <w:r>
              <w:rPr>
                <w:rStyle w:val="262"/>
                <w:rFonts w:hint="eastAsia" w:ascii="宋体" w:hAnsi="宋体" w:eastAsia="宋体" w:cs="宋体"/>
                <w:sz w:val="24"/>
                <w:szCs w:val="24"/>
                <w:lang w:bidi="ar"/>
              </w:rPr>
              <w:t>；</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2）相邻台阶的距离分别为：100mm、110mm、120mm、200mm；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3）扶手杠高度调节范围：0mm～310mm；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4）扶手杠侧向额定承载：≥750N；</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5）阶梯踏板额定承载：≥2000N；</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6）三向；</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7）适用于恢复日常上下楼梯的功能训练。</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9361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651D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71DF79A5">
        <w:tblPrEx>
          <w:tblCellMar>
            <w:top w:w="0" w:type="dxa"/>
            <w:left w:w="108" w:type="dxa"/>
            <w:bottom w:w="0" w:type="dxa"/>
            <w:right w:w="108" w:type="dxa"/>
          </w:tblCellMar>
        </w:tblPrEx>
        <w:trPr>
          <w:trHeight w:val="2956"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D97E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52</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DCAF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助行器</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B9019">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1）采用双弯设计，H杆扁管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2）移动式和固定式两用，满足使用需求</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3）防滑防水软握把</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4）八档可调节高度</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5）可折叠，折起来不占地方可外带</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w:t>
            </w:r>
            <w:r>
              <w:rPr>
                <w:rStyle w:val="262"/>
                <w:rFonts w:hint="eastAsia" w:ascii="宋体" w:hAnsi="宋体" w:eastAsia="宋体" w:cs="宋体"/>
                <w:sz w:val="24"/>
                <w:szCs w:val="24"/>
                <w:lang w:bidi="ar"/>
              </w:rPr>
              <w:t>产品尺寸：长55CM、宽48CM 69-89（八档可调）</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7）特点：H杆偏管、可交互和固定两用双弯设计</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8）铝合金材质，表面氧化处理，主体管径是25*1.2mm，脚管是28*1.2mm</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A7BC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1D47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63412B0A">
        <w:tblPrEx>
          <w:tblCellMar>
            <w:top w:w="0" w:type="dxa"/>
            <w:left w:w="108" w:type="dxa"/>
            <w:bottom w:w="0" w:type="dxa"/>
            <w:right w:w="108" w:type="dxa"/>
          </w:tblCellMar>
        </w:tblPrEx>
        <w:trPr>
          <w:trHeight w:val="1268"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C073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53</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94A1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姿势矫正镜</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D1D0D">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1）外形尺寸：850mm×670mm×1900mm±20%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2）镜面玻璃厚度：≥5mm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3）用于各种姿势或表情的矫正训练。</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FC70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83AB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面</w:t>
            </w:r>
          </w:p>
        </w:tc>
      </w:tr>
      <w:tr w14:paraId="0DD1B7DF">
        <w:tblPrEx>
          <w:tblCellMar>
            <w:top w:w="0" w:type="dxa"/>
            <w:left w:w="108" w:type="dxa"/>
            <w:bottom w:w="0" w:type="dxa"/>
            <w:right w:w="108" w:type="dxa"/>
          </w:tblCellMar>
        </w:tblPrEx>
        <w:trPr>
          <w:trHeight w:val="6654"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AD12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54</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E35A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电动起立床</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42EE4">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1）外形尺寸：1915×900×1050mm±20%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2）床面高度：522mm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3）床面宽度：605mm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4）床面角度转动范围：0°～85°</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5）脚托板调节角度：0°～35°</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6）床板安全工作载荷/N：≥1700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7）升降床架的安全工作载荷/N：≥2200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8）输入功率：300VA</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9）电机≥8000N</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10）患者承重≥135kg</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11）医用承压轮直径≥7.5cm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12）电机调节时间：≥30 s</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13）密度海绵≥5cm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14）专业医用阻燃标准PVC</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15）框架材质：优质钢材架加喷塑处理</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16)脚托板安全工作载荷不应小于1500 N</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17)桌板垂直安全工作载荷不应小于750 N，水平安全工作载荷不应小于500 N</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18）工作噪音：≤65dB</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19）适用于脑卒中引起的下肢功能障碍患者康复站立辅助训练。</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D416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E02C3">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w:t>
            </w:r>
          </w:p>
        </w:tc>
      </w:tr>
      <w:tr w14:paraId="7ECC2579">
        <w:tblPrEx>
          <w:tblCellMar>
            <w:top w:w="0" w:type="dxa"/>
            <w:left w:w="108" w:type="dxa"/>
            <w:bottom w:w="0" w:type="dxa"/>
            <w:right w:w="108" w:type="dxa"/>
          </w:tblCellMar>
        </w:tblPrEx>
        <w:trPr>
          <w:trHeight w:val="1046"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4950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55</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BDFD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运动训练器械(楔形垫)</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DF7E2">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 角度：30°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 外形尺寸（30°）：600mm×510mm×300mm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3）适用于对人体躯干、四肢、头部等部位的支撑。</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CA00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44E7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块</w:t>
            </w:r>
          </w:p>
        </w:tc>
      </w:tr>
      <w:tr w14:paraId="5D6AE8DD">
        <w:tblPrEx>
          <w:tblCellMar>
            <w:top w:w="0" w:type="dxa"/>
            <w:left w:w="108" w:type="dxa"/>
            <w:bottom w:w="0" w:type="dxa"/>
            <w:right w:w="108" w:type="dxa"/>
          </w:tblCellMar>
        </w:tblPrEx>
        <w:trPr>
          <w:trHeight w:val="114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A126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56</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3172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运动训练器械(楔形垫)</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99552">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 角度：45°</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 外形尺寸（45°）：600mm×420mm×420mm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3）适用于对人体躯干、四肢、头部等部位的支撑。</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95EB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A925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块</w:t>
            </w:r>
          </w:p>
        </w:tc>
      </w:tr>
      <w:tr w14:paraId="71D0FD23">
        <w:tblPrEx>
          <w:tblCellMar>
            <w:top w:w="0" w:type="dxa"/>
            <w:left w:w="108" w:type="dxa"/>
            <w:bottom w:w="0" w:type="dxa"/>
            <w:right w:w="108" w:type="dxa"/>
          </w:tblCellMar>
        </w:tblPrEx>
        <w:trPr>
          <w:trHeight w:val="5786"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35AD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57</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9A02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PT床（电动升降）</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D2D82">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 外形尺寸（长×宽×高）：2000mm×1200mm×495mm±20%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 床面高度升降范围：490mm～800mm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 背板翻转角度调节范围：0°～70°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 背板尺寸（长×宽）：780mm×1200mm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 座板尺寸（长×宽）：1180mm×1200mm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 床板安全工作载荷/N：≥1700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 升降床架的安全工作载荷/N：≥2200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8）框架材质：钢框架加表面喷塑处理</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9）专业医用阻燃标准PVC</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10）背板气杆控制角度的调整</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11）密度海绵≥5cm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12）医用承压轮直径≥7.5cm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13）电机≥8000N</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14）调节需要时间：约30秒</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15）工作噪声不应大于声压65dB（A）</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16）输入功率：400VA</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17）用于对脑中风、脑外伤、人体肌肉系统及神经系统损伤的患者进行肢体运动康复训练。</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93C6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16DA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w:t>
            </w:r>
          </w:p>
        </w:tc>
      </w:tr>
      <w:tr w14:paraId="6C17011D">
        <w:tblPrEx>
          <w:tblCellMar>
            <w:top w:w="0" w:type="dxa"/>
            <w:left w:w="108" w:type="dxa"/>
            <w:bottom w:w="0" w:type="dxa"/>
            <w:right w:w="108" w:type="dxa"/>
          </w:tblCellMar>
        </w:tblPrEx>
        <w:trPr>
          <w:trHeight w:val="14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DC19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58</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4482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网架治疗床</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F7527">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1）外形尺寸（长×宽×高）：2200mm×1150mm×2100mm±20%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2）网架额定载荷：≥800N</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3）床面额定载荷：≥2000N</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4）床面高度：470mm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5）床面宽度：1120mm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6）适用于肌力、关节活动度和放松调整训练，也可进行牵引训练。</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B1B0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02B0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章</w:t>
            </w:r>
          </w:p>
        </w:tc>
      </w:tr>
      <w:tr w14:paraId="2A2EDF01">
        <w:tblPrEx>
          <w:tblCellMar>
            <w:top w:w="0" w:type="dxa"/>
            <w:left w:w="108" w:type="dxa"/>
            <w:bottom w:w="0" w:type="dxa"/>
            <w:right w:w="108" w:type="dxa"/>
          </w:tblCellMar>
        </w:tblPrEx>
        <w:trPr>
          <w:trHeight w:val="1328"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CF4F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59</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5DF6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运动训练器械(Bobath球)</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19E58">
            <w:pPr>
              <w:widowControl/>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1）外形尺寸（直径）：Φ740mm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2）用于脑瘫患儿的缓解肌痉挛、进行平衡能力、反射调节能力训练。</w:t>
            </w:r>
          </w:p>
          <w:p w14:paraId="3FE121A4">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3）材质塑胶</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F20F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B357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32853250">
        <w:tblPrEx>
          <w:tblCellMar>
            <w:top w:w="0" w:type="dxa"/>
            <w:left w:w="108" w:type="dxa"/>
            <w:bottom w:w="0" w:type="dxa"/>
            <w:right w:w="108" w:type="dxa"/>
          </w:tblCellMar>
        </w:tblPrEx>
        <w:trPr>
          <w:trHeight w:val="3624"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FAD9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60</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F43A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沙盘（心理沙盘套装）</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248C8">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1）沙具≥800件(人物类、动物类、植物类、建筑类、家居类、交通类、水果食物类、石头贝壳及自然物质类、其他类）</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2）实木标准沙盘1个（尺寸：约57cm*72cm*7cm±20%  材质：实木 颜色：外侧木本色，内侧蓝色，底部蓝色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3）实木标准沙盘支架1个（与标准沙盘配套，材质：实木 颜色：木本色）</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4）实木沙具陈列柜1套（5层9阶，尺寸：约160cm*100cm*30cm±20%， 材质：实木 颜色：木本色）</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5）原色海沙≥12公斤</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6）沙盘游戏指导书籍1本</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7）心理沙盘档案管理系统1套：系统功能：包含沙盘介绍；来访者信息管理；沙盘档案管理；查询；沙具意象词典；沙盘记录表等功能。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w:t>
            </w:r>
            <w:r>
              <w:rPr>
                <w:rStyle w:val="262"/>
                <w:rFonts w:hint="eastAsia" w:ascii="宋体" w:hAnsi="宋体" w:eastAsia="宋体" w:cs="宋体"/>
                <w:sz w:val="24"/>
                <w:szCs w:val="24"/>
                <w:lang w:bidi="ar"/>
              </w:rPr>
              <w:t>1）沙盘介绍：通过图文的方式展现沙盘功能，帮助初学者更好的理解沙盘游戏。</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7.2）来访者信息管理：添加来访者；批量导入来访者信息，修改来访者信息，</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7.3）沙盘档案管理：可以添加图片加评语，视频加评语，方便心理老师后期沙盘游戏分析与档案的调取。</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7.4）查询：可以根据学号或者学生姓名调用档案记录。方便心理老师查询历史记录。</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7.5）沙具意象词典：意象类型约10大类；总意象数量约60个。</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7.6）系统具备自主添加沙具意象功能，心理老师可以根据自己的经验添加对沙具投射意象的理解。</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7.7）沙盘记录表：系统可以自动分析并生成沙盘记录表，系统可以根据来访者操作的沙盘游戏情况，把沙具相关数据在系统配置好即可一键自动分析，并生成团体沙盘记录表或者个体沙盘记录表。</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7.8）可与智能心理云平台管理系统实现对接，自动生成数据传输至云平台管理系统中。</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8）心理沙盘游戏视频剪辑1套 （最少含有5课时的沙盘游戏指导课程）</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9）沙具选取框1个+沙刷1个+沙扒1个（用于沙具选取及清理)</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68CF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 </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7C7D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0EDE0214">
        <w:tblPrEx>
          <w:tblCellMar>
            <w:top w:w="0" w:type="dxa"/>
            <w:left w:w="108" w:type="dxa"/>
            <w:bottom w:w="0" w:type="dxa"/>
            <w:right w:w="108" w:type="dxa"/>
          </w:tblCellMar>
        </w:tblPrEx>
        <w:trPr>
          <w:trHeight w:val="229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F21C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61</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CFF1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成人认知能力测试与训练仪</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1A51D">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1）产品特性</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在康复训练中较具特色的是“认知训练平台”采用开放式平台设计，治疗师可根据患者实际需求一次性输入5个同一性质的训练方案，可自由插入地方方言、患者家庭图片、各种独特动物语音或熟悉语音、动画训练情景、配合训练提示等等，可自由控制训练时音、奖励时间及方式，为治疗师提供较为方便的个体化设计平台。大大地减少了治疗师的工作量。使患者体验到康复训练的乐趣，在不断康复游戏中超越疾病的束缚，达到认知程度较大的康复。</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1.2）老师出题界面和学生做题界面，康复师可以根据不同患者进行康复方案设计，使康复方案的设计更加灵活和个体化。</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1.3）康复方案设计完毕后系统有自动记忆功能，下次训练时系统自动从记忆库中提取上一次的训练内容，不需要治疗师做重复劳动，大大地减少了治疗师的工作量。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1.4）精细化用户管理系统，统一用户基础属性、形成结构化管理框架，包含管理员、医生、治疗师、患者四种用户角色，实现系统数据分层管理；</w:t>
            </w:r>
            <w:r>
              <w:rPr>
                <w:rFonts w:hint="eastAsia" w:ascii="宋体" w:hAnsi="宋体" w:eastAsia="宋体" w:cs="宋体"/>
                <w:color w:val="000000"/>
                <w:kern w:val="0"/>
                <w:sz w:val="24"/>
                <w:szCs w:val="24"/>
                <w:lang w:bidi="ar"/>
              </w:rPr>
              <w:br w:type="textWrapping"/>
            </w:r>
            <w:r>
              <w:rPr>
                <w:rStyle w:val="262"/>
                <w:rFonts w:hint="eastAsia" w:ascii="宋体" w:hAnsi="宋体" w:eastAsia="宋体" w:cs="宋体"/>
                <w:sz w:val="24"/>
                <w:szCs w:val="24"/>
                <w:lang w:bidi="ar"/>
              </w:rPr>
              <w:t>2）软件功能要求</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2.1）系统介绍</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2.2）病历管理</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2.3）筛查评估：分为甄别试和等级试测试，包含定向能力、注意能力、语言能力、执行能力、记忆能力、计算能力、日常知识、推理能力8个方面，其中，语言能力又包括表达、听理解、视理解和命名四个方面。</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2.4）康复训练：康复训练与筛查评估有机地结合，对每个患者的每项评估，通过康复建议实现康复个体化，实用性更强，做到为每个患者度身订制的康复训练方案。设计了与评估相匹配的七种能力康复训练，每一种能力的训练分为初级、中级和高级三个难度等级，根据个人的语言及文化的差异将每个难度梯度又分成了更细的训练内容：结构组织能力（空间理解、空间综合、方位判断）、定向能力（时间定向、地点定向、人物定向）、专注能力（视觉专注、听觉专注、连线游戏）、语言能力（复述、命名、判断、理解、阅读、组句、选择、匹配）、记忆能力（形象记忆、逻辑记忆、运动记忆）、计算能力（直接运算、间接运算、创造性运算）、推理能力（次序推理、图像推理、事件推理）等。</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8F9A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50BF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r>
      <w:tr w14:paraId="0638FAC1">
        <w:tblPrEx>
          <w:tblCellMar>
            <w:top w:w="0" w:type="dxa"/>
            <w:left w:w="108" w:type="dxa"/>
            <w:bottom w:w="0" w:type="dxa"/>
            <w:right w:w="108" w:type="dxa"/>
          </w:tblCellMar>
        </w:tblPrEx>
        <w:trPr>
          <w:trHeight w:val="2004"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130E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62</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8103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PT凳</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EFB1F">
            <w:pPr>
              <w:widowControl/>
              <w:numPr>
                <w:ilvl w:val="0"/>
                <w:numId w:val="25"/>
              </w:numPr>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外形尺寸（直径×高）：Φ600mm×（420～560）mm±20%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 带液压油缸，360°旋转</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 额定承载：≥2000N</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 凳面高度可调，方便康复师使用。</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 凳体底部设计有万向滑轮，可以自由移动。</w:t>
            </w:r>
          </w:p>
          <w:p w14:paraId="51099E9D">
            <w:pPr>
              <w:jc w:val="left"/>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6）康复师进行手法治疗时可移动的坐具。</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5449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02C4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w:t>
            </w:r>
          </w:p>
        </w:tc>
      </w:tr>
      <w:tr w14:paraId="623E6B50">
        <w:tblPrEx>
          <w:tblCellMar>
            <w:top w:w="0" w:type="dxa"/>
            <w:left w:w="108" w:type="dxa"/>
            <w:bottom w:w="0" w:type="dxa"/>
            <w:right w:w="108"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579C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63</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829F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脑瘫儿童坐姿矫正椅</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A4D89">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1）外形尺寸（长×宽×高）：600mm×600mm×900mm±20%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2)手臂托盘尺寸:600mm×530mm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3)头枕升降调节范围为0mm～130mm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4)裆垫前后调节范围为0mm～100mm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5)脚踏板高度可调，座垫至脚踏板最大距离为190mm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6)手臂托盘的台面至座垫距离为200mm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7）用于2～6岁的脑瘫儿童进行坐位保持、坐位平衡、矫正姿势等。</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43DC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2EF8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w:t>
            </w:r>
          </w:p>
        </w:tc>
      </w:tr>
      <w:tr w14:paraId="74E805C1">
        <w:tblPrEx>
          <w:tblCellMar>
            <w:top w:w="0" w:type="dxa"/>
            <w:left w:w="108" w:type="dxa"/>
            <w:bottom w:w="0" w:type="dxa"/>
            <w:right w:w="108" w:type="dxa"/>
          </w:tblCellMar>
        </w:tblPrEx>
        <w:trPr>
          <w:trHeight w:val="150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0B5E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64</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B024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运动训练器械（滑轮吊环）</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E1D52">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1）外形尺寸（长×宽×高）：710mm×145mm×1500mm±20%</w:t>
            </w:r>
            <w:r>
              <w:rPr>
                <w:rStyle w:val="262"/>
                <w:rFonts w:hint="eastAsia" w:ascii="宋体" w:hAnsi="宋体" w:eastAsia="宋体" w:cs="宋体"/>
                <w:sz w:val="24"/>
                <w:szCs w:val="24"/>
                <w:lang w:bidi="ar"/>
              </w:rPr>
              <w:t>；</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2）升降支架调节范围：0～470mm。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3）适用于肩关节活动范围的训练、关节牵引及肌力的训练，高度可调节。</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4AD0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F01A3">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633BC77A">
        <w:tblPrEx>
          <w:tblCellMar>
            <w:top w:w="0" w:type="dxa"/>
            <w:left w:w="108" w:type="dxa"/>
            <w:bottom w:w="0" w:type="dxa"/>
            <w:right w:w="108" w:type="dxa"/>
          </w:tblCellMar>
        </w:tblPrEx>
        <w:trPr>
          <w:trHeight w:val="1678"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B2FD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65</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CCA3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压力波治疗仪</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64E50">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1）电源：～220V 50Hz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2）额定功率： 50VA</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3）系统最大额定输出气体压力(无气囊状态)： 150mmHg±15mmHg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4）治疗时间范围：1~99 min，±1min；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5）压力显示单位： mmHg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6）噪音：≤55dB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7）循环时间设定范围：3-60秒</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8）气压输出：双通道，每通道6气室</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9）工作模式：≥2种工作模式，包括循环加压及间隔加压</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10）每通道可单独设置压力</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11）TPU材质气囊，可调尺寸</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12）≥3档气囊尺寸可调，叠瓦气囊设计，保障治疗效果</w:t>
            </w:r>
          </w:p>
          <w:p w14:paraId="60ABB044">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r>
              <w:rPr>
                <w:rFonts w:hint="eastAsia" w:ascii="宋体" w:hAnsi="宋体" w:eastAsia="宋体" w:cs="宋体"/>
                <w:sz w:val="24"/>
                <w:szCs w:val="24"/>
                <w:lang w:eastAsia="zh-Hans"/>
              </w:rPr>
              <w:t>通过对气囊的有序充放气，形成对局部静脉的阶梯压力，缓解四肢浮肿，促进血液循环。</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F467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286C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r>
      <w:tr w14:paraId="3706E659">
        <w:tblPrEx>
          <w:tblCellMar>
            <w:top w:w="0" w:type="dxa"/>
            <w:left w:w="108" w:type="dxa"/>
            <w:bottom w:w="0" w:type="dxa"/>
            <w:right w:w="108" w:type="dxa"/>
          </w:tblCellMar>
        </w:tblPrEx>
        <w:trPr>
          <w:trHeight w:val="999"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4356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66</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9567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床旁下肢智能康复训练系统  </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D322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1）适用范围：用于对关节功能障碍者患者进行康复训练。</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w:t>
            </w:r>
            <w:r>
              <w:rPr>
                <w:rStyle w:val="262"/>
                <w:rFonts w:hint="eastAsia" w:ascii="宋体" w:hAnsi="宋体" w:eastAsia="宋体" w:cs="宋体"/>
                <w:sz w:val="24"/>
                <w:szCs w:val="24"/>
                <w:lang w:bidi="ar"/>
              </w:rPr>
              <w:t>产品组成：产品由硬件和软件组成，硬件包含平板、急停开关、扶手、旋转手柄、驻车踏板、脚轮、挂绳组件、脚踏、底座支架等。</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3）≥10寸的平板触摸操作，便于肌力弱的患者使用。</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4）屏幕倾角可调整，满足不同身高的患者以舒适的角度进行操作和查看。</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5）中文操作系统，方便软件升级，软件运行更顺畅。</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6）系统可直接连接打印机打印报告，无需外接u盘或其他装置。</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7）系统支持虚拟打印，可将训练报告导出成不同的格式并保存于系统中。</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8）外形尺寸（长×宽×高）：1640mm×650mm×1550mm。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9）具有底盘固定装置，无需固定于床尾板，患者在pt床等床面上均可进行稳定的训练。</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10）悬臂调节行程：0-200mm。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11）悬臂调节方式：通过旋转手摇杆轻松调节，断电情况下依然可用。</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12）升降柱调节行程：0-200mm。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13）升降方式：电动升降，通过软件界面进行高度调节，轻松省力，且调节更精准。</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14）小腿支架行程调节：0-110mm，可根据患者小腿长进行支架调节。</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15）训练时间调节范围：1～60 min，步进为1min。</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16）被动训练转速调节范围：1～60 r/min，步进为1r/min。</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17）电机动力级别分为低、中、高三档，可适配不同肌张力等级或肢体重量的患者。</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18）训练阻力调节：0～20级，难度逐级增加，步进为1。</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19）痉挛等级：1-6级可调，步进为1，等级越高，痉挛灵敏度越高，越易触发痉挛保护。</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20）痉挛保护可选择开启或关闭。</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21）训练方向可调，换向方式包括手动换向、自动换向。</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22）自动换向时间：0-30min可调。</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23）转速预置值：≤10r/min。</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24）转速变化率：≤0.5r/s²。</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25）超速保护：当主动训练速度超过100r/min时，设备停止运动。</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26）痉挛响应时间：≤5s。</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27）工作噪声：≤60dB（A）。</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28）患者管理</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28.1）具有患者信息存储，可保存上千份患者信息。</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28.2）可通过输入患者姓名及编号进行快速查找。</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28.3）删除患者时需输入安全密码进行确认，防止其他人误操作或恶意篡改信息。</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29）游戏训练</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29.1）至少具有6种训练游戏可选，可实现一周内每天的训练游戏不重复，患者始终保持对训练的新鲜感。</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29.2）可进行游戏训练难度的调节。</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29.3）游戏界面实时显示游戏的得分情况，并伴有游戏音效，促进患者的主动参与度和积极性。</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30）基础训练：对双侧下肢进行训练。</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30.1）主动训练模式，对下肢肌力等级3-4级的患者进行抗阻肌力训练。</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30.2）被动训练模式，对下肢肌力等级0-1级的患者进行被动的关节活动度训练。</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30.3）助力模式：当使用者的力量不能够做一个完整的循环运动时，电机可以协助使用者完成运动，针对肌力等级1-2级的肢体，辅助肢体运动。</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30.4）等速训练模式：以恒定范围的转速进行训练，阻力会随患者用力程序的增大而增大，控制转速，保证肌力训练的安全性。</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30.5）主动模式和被动模式可自动切换。</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31）训练报告：训练结束可自动保存患者的所有训练记录并生成训练报告。</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31.1） 训练报告中包括基础信息（姓名、编号、性别、年龄、身高、体重、病因）、训练参数（游戏名称、训练模式、痉挛等级、训练部位、游戏难度）、训练情况（游戏得分、平均功率、平均速度、能量消耗、痉挛次数、训练里程、训练时长、对称性比值）</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31.2）训练报告中需体现训练趋势的变化，包含功率变化趋势图、阻力/速度变化趋势图，便于临床对患者每一次的训练情况有清晰全面的掌握。</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31.3）生成的训练报告可支持保存，导出，打印。</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31.4）可对患者的多次训练报告进行筛选和对比分析，分析结果可生成报告并支持导出，打印，便于临床对患者一段时间内的功能变化情况进行评价。</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31.5）训练报告可通过日期进行筛选查看。</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31.6）可修改训练报告的抬头，包括医院和科室信息，利于临床的收费。</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32）至少具有以下5重安全保护功能</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32.1）痉挛保护，根据患者痉挛情况，可设置不同的灵敏度。</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32.2）过速保护，训练过程种瞬时转速过大时，为避免肌肉拉伤设备会进行停机保护。</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32.3）手动急停，机器靠近身体部位有一键急停装置和明显的指示标志。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32.4）被动转速设置过大时会跳出确认窗口提醒操作人员，防止误操作。</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32.5）软件登录及重要操作时需填写安全密码，防止其他人误操作或治疗信息被篡改或泄露。</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33）支持默认参数的修改，根据医院的使用习惯和患者类别，可以设置默认的训练时间，被动转速，默认阻力大小，痉挛等级，自动换向时间等，减少每次上机时重复调整训练参数的时间。</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34）可设置账户及安全密码，保护信息安全。</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35）具有双侧肢体的对称性检测功能，训练时在界面上实时显示对称性变化。同时对称性检测结果可体现在每次的训练报告上，便于数据的对比及信息的追溯。</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1C5B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D867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r>
      <w:tr w14:paraId="0162C546">
        <w:tblPrEx>
          <w:tblCellMar>
            <w:top w:w="0" w:type="dxa"/>
            <w:left w:w="108" w:type="dxa"/>
            <w:bottom w:w="0" w:type="dxa"/>
            <w:right w:w="108" w:type="dxa"/>
          </w:tblCellMar>
        </w:tblPrEx>
        <w:trPr>
          <w:trHeight w:val="166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FA63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67</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ACA8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PT凳</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F9D27">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 外形尺寸（直径×高）：Φ600mm×（420～560）mm±20%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 带液压油缸，360°旋转</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 额定承载：≥2000N</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 凳面高度可调，方便康复师使用。</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 凳体底部设计有万向滑轮，可以自由移动。</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4A90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0580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w:t>
            </w:r>
          </w:p>
        </w:tc>
      </w:tr>
      <w:tr w14:paraId="33EF2732">
        <w:tblPrEx>
          <w:tblCellMar>
            <w:top w:w="0" w:type="dxa"/>
            <w:left w:w="108" w:type="dxa"/>
            <w:bottom w:w="0" w:type="dxa"/>
            <w:right w:w="108" w:type="dxa"/>
          </w:tblCellMar>
        </w:tblPrEx>
        <w:trPr>
          <w:trHeight w:val="121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D3F9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68</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BD63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感统训练球</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7025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1）外形尺寸（直径）：Φ740mm、Φ940mm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2）用于脑瘫患儿的缓解肌痉挛、进行平衡能力、反射调节能力训练。</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3）多型号套装（至少2 种球）</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7DC1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26EB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395E7C51">
        <w:tblPrEx>
          <w:tblCellMar>
            <w:top w:w="0" w:type="dxa"/>
            <w:left w:w="108" w:type="dxa"/>
            <w:bottom w:w="0" w:type="dxa"/>
            <w:right w:w="108" w:type="dxa"/>
          </w:tblCellMar>
        </w:tblPrEx>
        <w:trPr>
          <w:trHeight w:val="1476"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38BC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69</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0D66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言语口肌训练桌</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5FE72">
            <w:pPr>
              <w:widowControl/>
              <w:numPr>
                <w:ilvl w:val="0"/>
                <w:numId w:val="26"/>
              </w:numPr>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外形尺寸（长×宽×高）：1200mm×800mm×605mm±20%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2）桌面升降范围：605～845mm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3）桌面尺寸（长×宽）：1200mm×800mm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4）手柄转动力矩：≤10N•m</w:t>
            </w:r>
          </w:p>
          <w:p w14:paraId="7BDB0F97">
            <w:pPr>
              <w:widowControl/>
              <w:numPr>
                <w:ilvl w:val="0"/>
                <w:numId w:val="27"/>
              </w:numPr>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用于言语口肌的训练用桌</w:t>
            </w:r>
          </w:p>
          <w:p w14:paraId="69D5716F">
            <w:pPr>
              <w:widowControl/>
              <w:numPr>
                <w:ilvl w:val="0"/>
                <w:numId w:val="27"/>
              </w:numPr>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材质：木质</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C95B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D9AE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w:t>
            </w:r>
          </w:p>
        </w:tc>
      </w:tr>
      <w:tr w14:paraId="0EE704BB">
        <w:tblPrEx>
          <w:tblCellMar>
            <w:top w:w="0" w:type="dxa"/>
            <w:left w:w="108" w:type="dxa"/>
            <w:bottom w:w="0" w:type="dxa"/>
            <w:right w:w="108" w:type="dxa"/>
          </w:tblCellMar>
        </w:tblPrEx>
        <w:trPr>
          <w:trHeight w:val="919"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CF05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70</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15AB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儿童手眼协调训练器材</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20036">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1）外形尺寸（直径×高）：Φ150mm×260mm±20%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2）适用于儿童进行手、眼协调及感知、认知功能训练。</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ADDB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4AF56">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2862606F">
        <w:tblPrEx>
          <w:tblCellMar>
            <w:top w:w="0" w:type="dxa"/>
            <w:left w:w="108" w:type="dxa"/>
            <w:bottom w:w="0" w:type="dxa"/>
            <w:right w:w="108" w:type="dxa"/>
          </w:tblCellMar>
        </w:tblPrEx>
        <w:trPr>
          <w:trHeight w:val="137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984E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71</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5EFF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图形认知组件（儿童认知立体板配对嵌板）</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897DD">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1）材质：多层板+榉木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2）包装尺寸：23*23*7.5cm±20%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3）功能：一个可嵌入五个形状的底板，五种不同形状颜色带捏手的几何形状积木组成</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EDCC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1944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0D2D29D4">
        <w:tblPrEx>
          <w:tblCellMar>
            <w:top w:w="0" w:type="dxa"/>
            <w:left w:w="108" w:type="dxa"/>
            <w:bottom w:w="0" w:type="dxa"/>
            <w:right w:w="108" w:type="dxa"/>
          </w:tblCellMar>
        </w:tblPrEx>
        <w:trPr>
          <w:trHeight w:val="137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B68F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72</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B103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蒙氏教具（蒙氏配对智力盒）</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6BC35">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1）材质：木质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2）尺寸：12*13.8*13.8cm±20%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3）功能：加强认识不同的颜色和形状/培养观察能力和手眼协调力</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72FB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5806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2C6B049C">
        <w:tblPrEx>
          <w:tblCellMar>
            <w:top w:w="0" w:type="dxa"/>
            <w:left w:w="108" w:type="dxa"/>
            <w:bottom w:w="0" w:type="dxa"/>
            <w:right w:w="108" w:type="dxa"/>
          </w:tblCellMar>
        </w:tblPrEx>
        <w:trPr>
          <w:trHeight w:val="50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AE67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73</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599D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蒙氏教具（蒙氏教具板）</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7FA39">
            <w:pPr>
              <w:widowControl/>
              <w:numPr>
                <w:ilvl w:val="0"/>
                <w:numId w:val="28"/>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主要材质:毛毡布</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2）适合年龄:3岁以上</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3）包装尺寸:43*28cm±20%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4）包装方式:OPP袋子</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6F25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1251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648822A1">
        <w:tblPrEx>
          <w:tblCellMar>
            <w:top w:w="0" w:type="dxa"/>
            <w:left w:w="108" w:type="dxa"/>
            <w:bottom w:w="0" w:type="dxa"/>
            <w:right w:w="108" w:type="dxa"/>
          </w:tblCellMar>
        </w:tblPrEx>
        <w:trPr>
          <w:trHeight w:val="143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C349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74</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6CD2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蒙氏教具（蒙氏生活体验馆）</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F4913">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1）材质：榉木+布</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2）尺寸：82*27*13cm±20%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3）功能：由1个架、12个衣饰框组成。学会各种绳带、纽扣的系法，锻炼手指灵活性，培养适应日常生活的自理能力。</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CBF8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1B78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4C030203">
        <w:tblPrEx>
          <w:tblCellMar>
            <w:top w:w="0" w:type="dxa"/>
            <w:left w:w="108" w:type="dxa"/>
            <w:bottom w:w="0" w:type="dxa"/>
            <w:right w:w="108" w:type="dxa"/>
          </w:tblCellMar>
        </w:tblPrEx>
        <w:trPr>
          <w:trHeight w:val="1038"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60E9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75</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418B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PT床（电动升降）</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D9029">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 外形尺寸（长×宽×高）：2000mm×1200mm×495mm±20%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 床面高度升降范围：490mm～800mm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 背板翻转角度调节范围：0°～70°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 背板尺寸（长×宽）：780mm×1200mm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 座板尺寸（长×宽）：1180mm×1200mm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 床板安全工作载荷/N：≥1700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 升降床架的安全工作载荷/N：≥2200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8）框架材质：钢框架加表面喷塑处理</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9）专业医用阻燃标准PVC</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10）背板气杆控制角度的调整</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11）密度海绵≥5cm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12）医用承压轮直径≥7.5cm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13）电机≥8000N</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14）调节需要时间：约30秒</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15）工作噪声不应大于声压65dB（A）</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16）输入功率：400VA</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17）用于对脑中风、脑外伤、人体肌肉系统及神经系统损伤的患者进行肢体运动康复训练。</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1321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1D22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w:t>
            </w:r>
          </w:p>
        </w:tc>
      </w:tr>
      <w:tr w14:paraId="414DA259">
        <w:tblPrEx>
          <w:tblCellMar>
            <w:top w:w="0" w:type="dxa"/>
            <w:left w:w="108" w:type="dxa"/>
            <w:bottom w:w="0" w:type="dxa"/>
            <w:right w:w="108" w:type="dxa"/>
          </w:tblCellMar>
        </w:tblPrEx>
        <w:trPr>
          <w:trHeight w:val="12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2147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76</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6232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PT凳</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E4844">
            <w:pPr>
              <w:widowControl/>
              <w:numPr>
                <w:ilvl w:val="0"/>
                <w:numId w:val="29"/>
              </w:numPr>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外形尺寸（直径×高）：Φ600mm×（420～560）mm±20%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 带液压油缸，360°旋转</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 额定承载：≥2000N</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 凳面高度可调，方便康复师使用。</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 凳体底部设计有万向滑轮，可以自由移动。</w:t>
            </w:r>
          </w:p>
          <w:p w14:paraId="118297A6">
            <w:pPr>
              <w:widowControl/>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6）康复师进行手法治疗时可移动的坐具。</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074B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FDB7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w:t>
            </w:r>
          </w:p>
        </w:tc>
      </w:tr>
      <w:tr w14:paraId="3EC44085">
        <w:tblPrEx>
          <w:tblCellMar>
            <w:top w:w="0" w:type="dxa"/>
            <w:left w:w="108" w:type="dxa"/>
            <w:bottom w:w="0" w:type="dxa"/>
            <w:right w:w="108" w:type="dxa"/>
          </w:tblCellMar>
        </w:tblPrEx>
        <w:trPr>
          <w:trHeight w:val="71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094A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77</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07EB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儿童仿真蔬菜水果认知玩具（套装）</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271E7">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1）水果筐</w:t>
            </w:r>
            <w:r>
              <w:rPr>
                <w:rFonts w:hint="eastAsia" w:ascii="宋体" w:hAnsi="宋体" w:eastAsia="宋体" w:cs="宋体"/>
                <w:color w:val="000000"/>
                <w:kern w:val="0"/>
                <w:sz w:val="24"/>
                <w:szCs w:val="24"/>
                <w:lang w:bidi="ar"/>
              </w:rPr>
              <w:br w:type="textWrapping"/>
            </w:r>
            <w:r>
              <w:rPr>
                <w:rStyle w:val="262"/>
                <w:rFonts w:hint="eastAsia" w:ascii="宋体" w:hAnsi="宋体" w:eastAsia="宋体" w:cs="宋体"/>
                <w:sz w:val="24"/>
                <w:szCs w:val="24"/>
                <w:lang w:bidi="ar"/>
              </w:rPr>
              <w:t>1.1）材质：保利龙+泡沫+塑料（筐）</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1.2）篮筐尺寸：26*17*8cm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t xml:space="preserve"> 水果尺寸：6-9cm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1.3）功能：认知水果 1：1</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2）蔬菜筐</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2.1）材质：保利龙+泡沫+塑料（筐）</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2.2）篮筐尺寸：26*17*8cm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2.3）蔬菜尺寸：7-9cm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2.4）功能：认知水果 1：1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E0F1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9EE4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0DFC17C5">
        <w:tblPrEx>
          <w:tblCellMar>
            <w:top w:w="0" w:type="dxa"/>
            <w:left w:w="108" w:type="dxa"/>
            <w:bottom w:w="0" w:type="dxa"/>
            <w:right w:w="108" w:type="dxa"/>
          </w:tblCellMar>
        </w:tblPrEx>
        <w:trPr>
          <w:trHeight w:val="96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5F77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78</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D61C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儿童各类玩具车（套装）</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F769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1）12件套装</w:t>
            </w:r>
            <w:r>
              <w:rPr>
                <w:rFonts w:hint="eastAsia" w:ascii="宋体" w:hAnsi="宋体" w:eastAsia="宋体" w:cs="宋体"/>
                <w:color w:val="000000"/>
                <w:kern w:val="0"/>
                <w:sz w:val="24"/>
                <w:szCs w:val="24"/>
                <w:lang w:bidi="ar"/>
              </w:rPr>
              <w:br w:type="textWrapping"/>
            </w:r>
            <w:r>
              <w:rPr>
                <w:rStyle w:val="262"/>
                <w:rFonts w:hint="eastAsia" w:ascii="宋体" w:hAnsi="宋体" w:eastAsia="宋体" w:cs="宋体"/>
                <w:sz w:val="24"/>
                <w:szCs w:val="24"/>
                <w:lang w:bidi="ar"/>
              </w:rPr>
              <w:t>2）材质：ABS</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3）100:1制作</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4）尺寸约为：5*12*6CM</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627C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7DFF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51D418C1">
        <w:tblPrEx>
          <w:tblCellMar>
            <w:top w:w="0" w:type="dxa"/>
            <w:left w:w="108" w:type="dxa"/>
            <w:bottom w:w="0" w:type="dxa"/>
            <w:right w:w="108" w:type="dxa"/>
          </w:tblCellMar>
        </w:tblPrEx>
        <w:trPr>
          <w:trHeight w:val="138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8CA3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79</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75B0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儿童拆装工程车（套装）</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86435">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1）产品材质:ABS塑胶</w:t>
            </w:r>
            <w:r>
              <w:rPr>
                <w:rFonts w:hint="eastAsia" w:ascii="宋体" w:hAnsi="宋体" w:eastAsia="宋体" w:cs="宋体"/>
                <w:color w:val="000000"/>
                <w:kern w:val="0"/>
                <w:sz w:val="24"/>
                <w:szCs w:val="24"/>
                <w:lang w:bidi="ar"/>
              </w:rPr>
              <w:br w:type="textWrapping"/>
            </w:r>
            <w:r>
              <w:rPr>
                <w:rStyle w:val="262"/>
                <w:rFonts w:hint="eastAsia" w:ascii="宋体" w:hAnsi="宋体" w:eastAsia="宋体" w:cs="宋体"/>
                <w:sz w:val="24"/>
                <w:szCs w:val="24"/>
                <w:lang w:bidi="ar"/>
              </w:rPr>
              <w:t>2）适用年龄:3岁及以上宝宝</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3）产品功能:拆卸组装</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4）尺寸约为：14.5*6.5*7.5CM</w:t>
            </w:r>
            <w:r>
              <w:rPr>
                <w:rFonts w:hint="eastAsia" w:ascii="宋体" w:hAnsi="宋体" w:eastAsia="宋体" w:cs="宋体"/>
                <w:color w:val="000000"/>
                <w:kern w:val="0"/>
                <w:sz w:val="24"/>
                <w:szCs w:val="24"/>
                <w:lang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C88C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08F2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7DD155AE">
        <w:tblPrEx>
          <w:tblCellMar>
            <w:top w:w="0" w:type="dxa"/>
            <w:left w:w="108" w:type="dxa"/>
            <w:bottom w:w="0" w:type="dxa"/>
            <w:right w:w="108" w:type="dxa"/>
          </w:tblCellMar>
        </w:tblPrEx>
        <w:trPr>
          <w:trHeight w:val="719"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724A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80</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93DB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儿童海绵玩具球（套装）</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B534C">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1）实心海绵球</w:t>
            </w:r>
            <w:r>
              <w:rPr>
                <w:rFonts w:hint="eastAsia" w:ascii="宋体" w:hAnsi="宋体" w:eastAsia="宋体" w:cs="宋体"/>
                <w:color w:val="000000"/>
                <w:kern w:val="0"/>
                <w:sz w:val="24"/>
                <w:szCs w:val="24"/>
                <w:lang w:bidi="ar"/>
              </w:rPr>
              <w:br w:type="textWrapping"/>
            </w:r>
            <w:r>
              <w:rPr>
                <w:rStyle w:val="262"/>
                <w:rFonts w:hint="eastAsia" w:ascii="宋体" w:hAnsi="宋体" w:eastAsia="宋体" w:cs="宋体"/>
                <w:sz w:val="24"/>
                <w:szCs w:val="24"/>
                <w:lang w:bidi="ar"/>
              </w:rPr>
              <w:t>2）尺寸:约6.3CM</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C4FC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AE6C3">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7E0609A4">
        <w:tblPrEx>
          <w:tblCellMar>
            <w:top w:w="0" w:type="dxa"/>
            <w:left w:w="108" w:type="dxa"/>
            <w:bottom w:w="0" w:type="dxa"/>
            <w:right w:w="108" w:type="dxa"/>
          </w:tblCellMar>
        </w:tblPrEx>
        <w:trPr>
          <w:trHeight w:val="1388"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20BC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81</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9F9A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儿童可升降篮球架（套装）</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B4ED2">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1）小型篮球架 最低108cm，最高152cm，最低球筐离地75cm.</w:t>
            </w:r>
            <w:r>
              <w:rPr>
                <w:rStyle w:val="262"/>
                <w:rFonts w:hint="eastAsia" w:ascii="宋体" w:hAnsi="宋体" w:eastAsia="宋体" w:cs="宋体"/>
                <w:sz w:val="24"/>
                <w:szCs w:val="24"/>
                <w:lang w:bidi="ar"/>
              </w:rPr>
              <w:t xml:space="preserve"> </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2）每挡9cm，一共分为5个档次。</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3）适合年龄：1岁半到5岁</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4）主要材质：高密度聚乙烯</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CB63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69E3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083A67C9">
        <w:tblPrEx>
          <w:tblCellMar>
            <w:top w:w="0" w:type="dxa"/>
            <w:left w:w="108" w:type="dxa"/>
            <w:bottom w:w="0" w:type="dxa"/>
            <w:right w:w="108" w:type="dxa"/>
          </w:tblCellMar>
        </w:tblPrEx>
        <w:trPr>
          <w:trHeight w:val="31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C512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82</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ACAA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步入式无障碍洗浴系统</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0A15645">
            <w:pPr>
              <w:widowControl/>
              <w:numPr>
                <w:ilvl w:val="0"/>
                <w:numId w:val="30"/>
              </w:numPr>
              <w:jc w:val="left"/>
              <w:textAlignment w:val="bottom"/>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专为老年人、残疾人、行动障碍者及半失能患者设计的开门浴槽</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2）材质：亚克力（PMMA高分子材料)、不锈钢支架；</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3）材质安全性要求：为确保使用者的安全，所有直接接触皮肤的材质必须满足以下要求：①无皮肤刺激性②无致敏性③无细胞毒性④不含甲醛</w:t>
            </w:r>
          </w:p>
          <w:p w14:paraId="7AAF77C4">
            <w:pPr>
              <w:widowControl/>
              <w:jc w:val="left"/>
              <w:textAlignment w:val="bottom"/>
              <w:rPr>
                <w:rFonts w:hint="eastAsia" w:ascii="宋体" w:hAnsi="宋体" w:eastAsia="宋体" w:cs="宋体"/>
                <w:color w:val="000000"/>
                <w:sz w:val="24"/>
                <w:szCs w:val="24"/>
              </w:rPr>
            </w:pPr>
            <w:r>
              <w:rPr>
                <w:rStyle w:val="262"/>
                <w:rFonts w:hint="eastAsia" w:ascii="宋体" w:hAnsi="宋体" w:eastAsia="宋体" w:cs="宋体"/>
                <w:sz w:val="24"/>
                <w:szCs w:val="24"/>
                <w:lang w:bidi="ar"/>
              </w:rPr>
              <w:t>4）外形尺寸：1300*750*1150mm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5）内槽尺寸：1100*600*800mm</w:t>
            </w:r>
            <w:r>
              <w:rPr>
                <w:rFonts w:hint="eastAsia" w:ascii="宋体" w:hAnsi="宋体" w:eastAsia="宋体" w:cs="宋体"/>
                <w:color w:val="000000"/>
                <w:kern w:val="0"/>
                <w:sz w:val="24"/>
                <w:szCs w:val="24"/>
                <w:lang w:bidi="ar"/>
              </w:rPr>
              <w:t>±20%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6）开门方式：向外开启式的浴缸</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7）进水方式：手动</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8）排水方式：手动</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9）清洗功能：配备多功能花洒淋浴头，可供患者洗浴，也可清洗舱体。</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10）最大水容量：460L</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11）安全门设计：304 不锈钢门锁、低入式进出口。</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0B4B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760E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41EB9859">
        <w:tblPrEx>
          <w:tblCellMar>
            <w:top w:w="0" w:type="dxa"/>
            <w:left w:w="108" w:type="dxa"/>
            <w:bottom w:w="0" w:type="dxa"/>
            <w:right w:w="108" w:type="dxa"/>
          </w:tblCellMar>
        </w:tblPrEx>
        <w:trPr>
          <w:trHeight w:val="12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6453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83</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0431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床上用小桌板</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F82474F">
            <w:pPr>
              <w:widowControl/>
              <w:numPr>
                <w:ilvl w:val="0"/>
                <w:numId w:val="31"/>
              </w:numPr>
              <w:jc w:val="left"/>
              <w:textAlignment w:val="bottom"/>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规格尺寸：桌面长度600mm  桌面宽度400mm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2）产品性能：优质钢管，表面静电喷塑处理，立杆30mm*30mm 调节杆25mm*25mm，底座长600mm  底座宽430mm，管壁厚度≥1.2mm。</w:t>
            </w:r>
          </w:p>
          <w:p w14:paraId="2B8D2BEC">
            <w:pPr>
              <w:widowControl/>
              <w:jc w:val="left"/>
              <w:textAlignment w:val="bottom"/>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3）环保木料；</w:t>
            </w:r>
          </w:p>
          <w:p w14:paraId="1ED0E7B3">
            <w:pPr>
              <w:widowControl/>
              <w:jc w:val="left"/>
              <w:textAlignment w:val="bottom"/>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4）可拆卸；</w:t>
            </w:r>
          </w:p>
          <w:p w14:paraId="6446C00B">
            <w:pPr>
              <w:widowControl/>
              <w:jc w:val="left"/>
              <w:textAlignment w:val="bottom"/>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5）底面带刹车转向轮，移动方便；</w:t>
            </w:r>
          </w:p>
          <w:p w14:paraId="21076C32">
            <w:pPr>
              <w:widowControl/>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6）支柱高度可伸缩调节。</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12C1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C0D3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1A7335B5">
        <w:tblPrEx>
          <w:tblCellMar>
            <w:top w:w="0" w:type="dxa"/>
            <w:left w:w="108" w:type="dxa"/>
            <w:bottom w:w="0" w:type="dxa"/>
            <w:right w:w="108" w:type="dxa"/>
          </w:tblCellMar>
        </w:tblPrEx>
        <w:trPr>
          <w:trHeight w:val="26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3827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84</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8251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放大镜（手持放大镜）</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C2599">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1）符合国家和行业相关标准要求；</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2）放大倍率：≥2.5倍,局部5倍</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3）使用4.5V、20MA、白光LED电珠，采用两节5号电池供电；</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4）照明光源：白光LED；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5）手柄可折叠，既可作为手持式助视器变换阅读距离使用，也可以将支架展开，作为立式使用；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6）支架：平衡、稳定、回转灵活；</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7）视场直径：90MM；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8）透镜材质：PMMA；</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D382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28F6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18CDD3B3">
        <w:tblPrEx>
          <w:tblCellMar>
            <w:top w:w="0" w:type="dxa"/>
            <w:left w:w="108" w:type="dxa"/>
            <w:bottom w:w="0" w:type="dxa"/>
            <w:right w:w="108" w:type="dxa"/>
          </w:tblCellMar>
        </w:tblPrEx>
        <w:trPr>
          <w:trHeight w:val="216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35B7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85</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48A1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闪光门铃</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30258">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1）外观采用雅光磨沙半透明设计，采用高亮度七色幻灯闪烁，</w:t>
            </w:r>
            <w:r>
              <w:rPr>
                <w:rStyle w:val="262"/>
                <w:rFonts w:hint="eastAsia" w:ascii="宋体" w:hAnsi="宋体" w:eastAsia="宋体" w:cs="宋体"/>
                <w:sz w:val="24"/>
                <w:szCs w:val="24"/>
                <w:lang w:bidi="ar"/>
              </w:rPr>
              <w:t>适合耳聋耳背者；</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2）具有三种工作模式:A、铃声+七彩闪灯  B、铃声+震动   C、七彩闪灯；</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3）具有≥32首音乐供选择；内置数码按钮铃音大小五级可供调节，闪灯颜色可选；</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4）接收器使用3节五号电池，遥控器使用1节12V23A电池，换用方便；</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5）接收器带支架，具有桌面立放和枕下平放以及佩挂于腰间三种安置方式；</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6）具有较强的抗干扰能力，空旷区域达200米有效距离；</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7）门铃尺寸:接收端:9*6.2*3.3cm，发射端:7.5*4*2cm；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8）配置：门铃接收端一个，发射端一个，一节七号电池，一块双面胶；</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13D3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7AEF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535FFE81">
        <w:tblPrEx>
          <w:tblCellMar>
            <w:top w:w="0" w:type="dxa"/>
            <w:left w:w="108" w:type="dxa"/>
            <w:bottom w:w="0" w:type="dxa"/>
            <w:right w:w="108" w:type="dxa"/>
          </w:tblCellMar>
        </w:tblPrEx>
        <w:trPr>
          <w:trHeight w:val="19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943B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86</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2F93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闪光门铃</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ABA3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1）外观采用雅光磨沙半透明设计，采用高亮度七色幻灯闪烁</w:t>
            </w:r>
            <w:r>
              <w:rPr>
                <w:rStyle w:val="262"/>
                <w:rFonts w:hint="eastAsia" w:ascii="宋体" w:hAnsi="宋体" w:eastAsia="宋体" w:cs="宋体"/>
                <w:sz w:val="24"/>
                <w:szCs w:val="24"/>
                <w:lang w:bidi="ar"/>
              </w:rPr>
              <w:t>,适合耳聋耳背者；</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2）具有三种工作模式:A、铃声+七彩闪灯  B、铃声+震动   C、七彩闪灯；</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3）具有≥32首音乐供选择；内置数码按钮铃音大小五级可供调节，闪灯颜色可选；</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4）接收器使用3节五号电池，遥控器使用1节12V23A电池，换用方便；</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5）接收器带支架，具有桌面立放和枕下平放以及佩挂于腰间三种安置方式；</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6）具有较强的抗干扰能力，空旷区域达200米有效距离；</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7）门铃尺寸:接收端:9*6.2*3.3cm，发射端:7.5*4*2cm；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8）配置：门铃接收端一个，发射端一个，一节七号电池，一块双面胶；</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E638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35F9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2FAD2B4B">
        <w:tblPrEx>
          <w:tblCellMar>
            <w:top w:w="0" w:type="dxa"/>
            <w:left w:w="108" w:type="dxa"/>
            <w:bottom w:w="0" w:type="dxa"/>
            <w:right w:w="108" w:type="dxa"/>
          </w:tblCellMar>
        </w:tblPrEx>
        <w:trPr>
          <w:trHeight w:val="65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2CD6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87</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CDBD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无障碍淋浴椅 </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46EB8">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固定在地面上无障碍淋浴椅                                                                                                          1）材质：不锈钢龙骨，座椅面为4片高强度尼龙片。</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2）内衬龙骨：不锈钢¢28或¢25管，两头不锈钢垫片满焊处理。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3）外层材料：采用Φ35*3.5mm纯黄色或者纯白色ABS尼龙或PP原装环保料。</w:t>
            </w:r>
          </w:p>
          <w:p w14:paraId="31701120">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4）面管两端人工倒角。                                                                                                                                        4）规格315*380*551mm                            </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BA94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 </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8535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626C55FA">
        <w:tblPrEx>
          <w:tblCellMar>
            <w:top w:w="0" w:type="dxa"/>
            <w:left w:w="108" w:type="dxa"/>
            <w:bottom w:w="0" w:type="dxa"/>
            <w:right w:w="108" w:type="dxa"/>
          </w:tblCellMar>
        </w:tblPrEx>
        <w:trPr>
          <w:trHeight w:val="688"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D80C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88</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F20A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无障碍淋浴椅 </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679A3">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固定在地面的淋浴座椅                                                                                                                         1）材质：不锈钢龙骨，座椅面为4片高强度尼龙片。</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2）内衬龙骨：不锈钢¢28或¢25管，两头不锈钢垫片满焊处理。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3）外层材料：采用Φ35*3.5mm纯黄色或者纯白色ABS尼龙或者PP原装环保料。 </w:t>
            </w:r>
          </w:p>
          <w:p w14:paraId="6B269B0D">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4）面管两端人工倒角。                                                                                                                                    4）规格315*380*551mm                            </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22F3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6 </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DBB1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7D53F4F5">
        <w:tblPrEx>
          <w:tblCellMar>
            <w:top w:w="0" w:type="dxa"/>
            <w:left w:w="108" w:type="dxa"/>
            <w:bottom w:w="0" w:type="dxa"/>
            <w:right w:w="108" w:type="dxa"/>
          </w:tblCellMar>
        </w:tblPrEx>
        <w:trPr>
          <w:trHeight w:val="786"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FB5C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89</w:t>
            </w:r>
          </w:p>
        </w:tc>
        <w:tc>
          <w:tcPr>
            <w:tcW w:w="2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CFF4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卫浴辅具（清洗盆） </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DD661">
            <w:pPr>
              <w:widowControl/>
              <w:numPr>
                <w:ilvl w:val="0"/>
                <w:numId w:val="32"/>
              </w:numPr>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规格：外径47cm</w:t>
            </w:r>
            <w:r>
              <w:rPr>
                <w:rStyle w:val="262"/>
                <w:rFonts w:hint="eastAsia" w:ascii="宋体" w:hAnsi="宋体" w:eastAsia="宋体" w:cs="宋体"/>
                <w:sz w:val="24"/>
                <w:szCs w:val="24"/>
                <w:lang w:bidi="ar"/>
              </w:rPr>
              <w:t>，内径42cm</w:t>
            </w:r>
          </w:p>
          <w:p w14:paraId="6381B92F">
            <w:pPr>
              <w:widowControl/>
              <w:numPr>
                <w:ilvl w:val="0"/>
                <w:numId w:val="32"/>
              </w:numPr>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高21cm，底部长33cm</w:t>
            </w:r>
            <w:r>
              <w:rPr>
                <w:rFonts w:hint="eastAsia" w:ascii="宋体" w:hAnsi="宋体" w:eastAsia="宋体" w:cs="宋体"/>
                <w:color w:val="000000"/>
                <w:kern w:val="0"/>
                <w:sz w:val="24"/>
                <w:szCs w:val="24"/>
                <w:lang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63A9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24 </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142C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026B830C">
        <w:tblPrEx>
          <w:tblCellMar>
            <w:top w:w="0" w:type="dxa"/>
            <w:left w:w="108" w:type="dxa"/>
            <w:bottom w:w="0" w:type="dxa"/>
            <w:right w:w="108" w:type="dxa"/>
          </w:tblCellMar>
        </w:tblPrEx>
        <w:trPr>
          <w:trHeight w:val="324"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8AA1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90</w:t>
            </w:r>
          </w:p>
        </w:tc>
        <w:tc>
          <w:tcPr>
            <w:tcW w:w="2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C2C4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卫浴辅具（智能马桶垫） </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04FC6">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1）前置过滤</w:t>
            </w:r>
            <w:r>
              <w:rPr>
                <w:rFonts w:hint="eastAsia" w:ascii="宋体" w:hAnsi="宋体" w:eastAsia="宋体" w:cs="宋体"/>
                <w:color w:val="000000"/>
                <w:kern w:val="0"/>
                <w:sz w:val="24"/>
                <w:szCs w:val="24"/>
                <w:lang w:bidi="ar"/>
              </w:rPr>
              <w:br w:type="textWrapping"/>
            </w:r>
            <w:r>
              <w:rPr>
                <w:rStyle w:val="262"/>
                <w:rFonts w:hint="eastAsia" w:ascii="宋体" w:hAnsi="宋体" w:eastAsia="宋体" w:cs="宋体"/>
                <w:sz w:val="24"/>
                <w:szCs w:val="24"/>
                <w:lang w:bidi="ar"/>
              </w:rPr>
              <w:t>2）按摩助便</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3）臀部清洗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4）移动清洗</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5）暖风烘干</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6）座圈加热</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7）喷杆调节</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8）水势调节</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9）夜光照明智能节电安全防护</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10）紫外杀菌智能屏显女性清洗智慧按键喷头自洁速热出水</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11）座圈感应</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12）温度调节静音缓降</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13）漏电保护</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14）无线遥控</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 xml:space="preserve">15）IPX4防水 </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AE54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24 </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4FAA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118DDD93">
        <w:tblPrEx>
          <w:tblCellMar>
            <w:top w:w="0" w:type="dxa"/>
            <w:left w:w="108" w:type="dxa"/>
            <w:bottom w:w="0" w:type="dxa"/>
            <w:right w:w="108"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0BB1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91</w:t>
            </w:r>
          </w:p>
        </w:tc>
        <w:tc>
          <w:tcPr>
            <w:tcW w:w="2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3E2A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卫浴辅具（马桶喷枪） </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12BAF">
            <w:pPr>
              <w:widowControl/>
              <w:numPr>
                <w:ilvl w:val="0"/>
                <w:numId w:val="33"/>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全铜免按压喷枪</w:t>
            </w:r>
          </w:p>
          <w:p w14:paraId="35308E27">
            <w:pPr>
              <w:widowControl/>
              <w:numPr>
                <w:ilvl w:val="0"/>
                <w:numId w:val="33"/>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≥3.5米伸缩管</w:t>
            </w:r>
          </w:p>
          <w:p w14:paraId="256E974A">
            <w:pPr>
              <w:widowControl/>
              <w:numPr>
                <w:ilvl w:val="0"/>
                <w:numId w:val="33"/>
              </w:numP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免打孔支架</w:t>
            </w:r>
          </w:p>
          <w:p w14:paraId="16E9B595">
            <w:pPr>
              <w:widowControl/>
              <w:numPr>
                <w:ilvl w:val="0"/>
                <w:numId w:val="33"/>
              </w:numP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全铜双控角阀</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87A1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24 </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1BB6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把</w:t>
            </w:r>
          </w:p>
        </w:tc>
      </w:tr>
      <w:tr w14:paraId="14278B3C">
        <w:tblPrEx>
          <w:tblCellMar>
            <w:top w:w="0" w:type="dxa"/>
            <w:left w:w="108" w:type="dxa"/>
            <w:bottom w:w="0" w:type="dxa"/>
            <w:right w:w="108" w:type="dxa"/>
          </w:tblCellMar>
        </w:tblPrEx>
        <w:trPr>
          <w:trHeight w:val="48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A8ED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92</w:t>
            </w:r>
          </w:p>
        </w:tc>
        <w:tc>
          <w:tcPr>
            <w:tcW w:w="2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6F77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壁挂式靠背 </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5B768">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靠背可拆卸不锈                                                                                                                    1）纯白色原装尼龙料   </w:t>
            </w:r>
          </w:p>
          <w:p w14:paraId="0C96805C">
            <w:pPr>
              <w:widowControl/>
              <w:numPr>
                <w:ilvl w:val="0"/>
                <w:numId w:val="32"/>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纯白色原装ABS料     </w:t>
            </w:r>
          </w:p>
          <w:p w14:paraId="0B74F7C0">
            <w:pPr>
              <w:widowControl/>
              <w:numPr>
                <w:ilvl w:val="0"/>
                <w:numId w:val="32"/>
              </w:numP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内￠28不锈钢龙骨</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1CFA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24 </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8BD6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5327ADA3">
        <w:tblPrEx>
          <w:tblCellMar>
            <w:top w:w="0" w:type="dxa"/>
            <w:left w:w="108" w:type="dxa"/>
            <w:bottom w:w="0" w:type="dxa"/>
            <w:right w:w="108"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AFFC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93</w:t>
            </w:r>
          </w:p>
        </w:tc>
        <w:tc>
          <w:tcPr>
            <w:tcW w:w="2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9BA6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卫浴辅具（低位挂钩） </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23023">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1）免打孔安装，防水防潮，实心排钩</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8C8A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24 </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A27A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04D600B6">
        <w:tblPrEx>
          <w:tblCellMar>
            <w:top w:w="0" w:type="dxa"/>
            <w:left w:w="108" w:type="dxa"/>
            <w:bottom w:w="0" w:type="dxa"/>
            <w:right w:w="108"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9477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94</w:t>
            </w:r>
          </w:p>
        </w:tc>
        <w:tc>
          <w:tcPr>
            <w:tcW w:w="2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7AD3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卫浴辅具（多功能台） </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E66A3">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1）吸盘置物架，尺寸50CM</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3FC7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19 </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CBAB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18BDA714">
        <w:tblPrEx>
          <w:tblCellMar>
            <w:top w:w="0" w:type="dxa"/>
            <w:left w:w="108" w:type="dxa"/>
            <w:bottom w:w="0" w:type="dxa"/>
            <w:right w:w="108" w:type="dxa"/>
          </w:tblCellMar>
        </w:tblPrEx>
        <w:trPr>
          <w:trHeight w:val="54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945E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95</w:t>
            </w:r>
          </w:p>
        </w:tc>
        <w:tc>
          <w:tcPr>
            <w:tcW w:w="2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7F5D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卫浴辅具（垃圾桶） </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0B83A">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1）19L</w:t>
            </w:r>
          </w:p>
          <w:p w14:paraId="52245C69">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2）尺寸：30*27*27cm±20%</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C88B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75 </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F1EB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744630C3">
        <w:tblPrEx>
          <w:tblCellMar>
            <w:top w:w="0" w:type="dxa"/>
            <w:left w:w="108" w:type="dxa"/>
            <w:bottom w:w="0" w:type="dxa"/>
            <w:right w:w="108"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662D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96</w:t>
            </w:r>
          </w:p>
        </w:tc>
        <w:tc>
          <w:tcPr>
            <w:tcW w:w="2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7774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卫浴辅具（洗手液盒） </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47945">
            <w:pPr>
              <w:widowControl/>
              <w:numPr>
                <w:ilvl w:val="0"/>
                <w:numId w:val="34"/>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容量约450ML</w:t>
            </w:r>
          </w:p>
          <w:p w14:paraId="0793A284">
            <w:pPr>
              <w:widowControl/>
              <w:numPr>
                <w:ilvl w:val="0"/>
                <w:numId w:val="34"/>
              </w:numP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尺寸：高280mm*长52cm*厚度86mm</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54D3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38 </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8D49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5441B7CE">
        <w:tblPrEx>
          <w:tblCellMar>
            <w:top w:w="0" w:type="dxa"/>
            <w:left w:w="108" w:type="dxa"/>
            <w:bottom w:w="0" w:type="dxa"/>
            <w:right w:w="108"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1366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97</w:t>
            </w:r>
          </w:p>
        </w:tc>
        <w:tc>
          <w:tcPr>
            <w:tcW w:w="2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DD79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卫浴辅具（卫生纸挂盒） </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99DE2">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1）ABS材质，防摔耐用，免打孔</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0DEF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38 </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DC32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4C2A0BB5">
        <w:tblPrEx>
          <w:tblCellMar>
            <w:top w:w="0" w:type="dxa"/>
            <w:left w:w="108" w:type="dxa"/>
            <w:bottom w:w="0" w:type="dxa"/>
            <w:right w:w="108"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92B9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98</w:t>
            </w:r>
          </w:p>
        </w:tc>
        <w:tc>
          <w:tcPr>
            <w:tcW w:w="2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8A4D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卫浴辅具（烘手机） </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93914">
            <w:pPr>
              <w:widowControl/>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可快速吹干手上水分。</w:t>
            </w:r>
          </w:p>
          <w:p w14:paraId="42F5DA9B">
            <w:pPr>
              <w:widowControl/>
              <w:numPr>
                <w:ilvl w:val="0"/>
                <w:numId w:val="35"/>
              </w:numPr>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尺寸：宽248*厚190*高520MM（10%）</w:t>
            </w:r>
          </w:p>
          <w:p w14:paraId="583A7EBA">
            <w:pPr>
              <w:widowControl/>
              <w:numPr>
                <w:ilvl w:val="0"/>
                <w:numId w:val="35"/>
              </w:numPr>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功率：1200W</w:t>
            </w:r>
          </w:p>
          <w:p w14:paraId="6461C445">
            <w:pPr>
              <w:widowControl/>
              <w:numPr>
                <w:ilvl w:val="0"/>
                <w:numId w:val="35"/>
              </w:numPr>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免打孔安装</w:t>
            </w:r>
          </w:p>
          <w:p w14:paraId="4A579931">
            <w:pPr>
              <w:widowControl/>
              <w:numPr>
                <w:ilvl w:val="0"/>
                <w:numId w:val="35"/>
              </w:numPr>
              <w:snapToGrid w:val="0"/>
              <w:jc w:val="left"/>
              <w:textAlignment w:val="center"/>
              <w:rPr>
                <w:rStyle w:val="262"/>
                <w:rFonts w:hint="eastAsia" w:ascii="宋体" w:hAnsi="宋体" w:eastAsia="宋体" w:cs="宋体"/>
                <w:sz w:val="24"/>
                <w:szCs w:val="24"/>
              </w:rPr>
            </w:pPr>
            <w:r>
              <w:rPr>
                <w:rStyle w:val="262"/>
                <w:rFonts w:hint="eastAsia" w:ascii="宋体" w:hAnsi="宋体" w:eastAsia="宋体" w:cs="宋体"/>
                <w:sz w:val="24"/>
                <w:szCs w:val="24"/>
                <w:lang w:bidi="ar"/>
              </w:rPr>
              <w:t>额定功率约1200W</w:t>
            </w:r>
          </w:p>
          <w:p w14:paraId="3AD0783A">
            <w:pPr>
              <w:widowControl/>
              <w:numPr>
                <w:ilvl w:val="0"/>
                <w:numId w:val="35"/>
              </w:numPr>
              <w:snapToGrid w:val="0"/>
              <w:jc w:val="left"/>
              <w:textAlignment w:val="center"/>
              <w:rPr>
                <w:rStyle w:val="262"/>
                <w:rFonts w:hint="eastAsia" w:ascii="宋体" w:hAnsi="宋体" w:eastAsia="宋体" w:cs="宋体"/>
                <w:sz w:val="24"/>
                <w:szCs w:val="24"/>
              </w:rPr>
            </w:pPr>
            <w:r>
              <w:rPr>
                <w:rStyle w:val="262"/>
                <w:rFonts w:hint="eastAsia" w:ascii="宋体" w:hAnsi="宋体" w:eastAsia="宋体" w:cs="宋体"/>
                <w:sz w:val="24"/>
                <w:szCs w:val="24"/>
                <w:lang w:bidi="ar"/>
              </w:rPr>
              <w:t>工作分贝≤65dB</w:t>
            </w:r>
          </w:p>
          <w:p w14:paraId="0380EA79">
            <w:pPr>
              <w:widowControl/>
              <w:numPr>
                <w:ilvl w:val="0"/>
                <w:numId w:val="35"/>
              </w:numPr>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干手时间5-30s</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2795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33 </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CC4A6">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r>
      <w:tr w14:paraId="28E69998">
        <w:tblPrEx>
          <w:tblCellMar>
            <w:top w:w="0" w:type="dxa"/>
            <w:left w:w="108" w:type="dxa"/>
            <w:bottom w:w="0" w:type="dxa"/>
            <w:right w:w="108"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BAB3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99</w:t>
            </w:r>
          </w:p>
        </w:tc>
        <w:tc>
          <w:tcPr>
            <w:tcW w:w="2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1C50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卫浴辅具（厕位挂钩) </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3D33A">
            <w:pPr>
              <w:widowControl/>
              <w:numPr>
                <w:ilvl w:val="0"/>
                <w:numId w:val="36"/>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镜面抛光</w:t>
            </w:r>
          </w:p>
          <w:p w14:paraId="70AF7E02">
            <w:pPr>
              <w:widowControl/>
              <w:numPr>
                <w:ilvl w:val="0"/>
                <w:numId w:val="36"/>
              </w:numP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304不锈钢</w:t>
            </w:r>
          </w:p>
          <w:p w14:paraId="784BB2AE">
            <w:pPr>
              <w:widowControl/>
              <w:numPr>
                <w:ilvl w:val="0"/>
                <w:numId w:val="36"/>
              </w:numP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尺寸：6.5*5*2cm±20%</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4E7C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52 </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AA3A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7434511D">
        <w:tblPrEx>
          <w:tblCellMar>
            <w:top w:w="0" w:type="dxa"/>
            <w:left w:w="108" w:type="dxa"/>
            <w:bottom w:w="0" w:type="dxa"/>
            <w:right w:w="108"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F243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w:t>
            </w:r>
          </w:p>
        </w:tc>
        <w:tc>
          <w:tcPr>
            <w:tcW w:w="2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EDCC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卫浴辅具(手纸架) </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571B1">
            <w:pPr>
              <w:widowControl/>
              <w:numPr>
                <w:ilvl w:val="0"/>
                <w:numId w:val="37"/>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尺寸：18*10*7.8cm±20%</w:t>
            </w:r>
          </w:p>
          <w:p w14:paraId="47286BA7">
            <w:pPr>
              <w:widowControl/>
              <w:numPr>
                <w:ilvl w:val="0"/>
                <w:numId w:val="37"/>
              </w:numPr>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免钉安装</w:t>
            </w:r>
          </w:p>
          <w:p w14:paraId="316C5281">
            <w:pPr>
              <w:widowControl/>
              <w:numPr>
                <w:ilvl w:val="0"/>
                <w:numId w:val="37"/>
              </w:numPr>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多种收纳</w:t>
            </w:r>
          </w:p>
          <w:p w14:paraId="0EA5AAE3">
            <w:pPr>
              <w:widowControl/>
              <w:numPr>
                <w:ilvl w:val="0"/>
                <w:numId w:val="37"/>
              </w:numPr>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加厚材质</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49F1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53 </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F8983">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76D105AF">
        <w:tblPrEx>
          <w:tblCellMar>
            <w:top w:w="0" w:type="dxa"/>
            <w:left w:w="108" w:type="dxa"/>
            <w:bottom w:w="0" w:type="dxa"/>
            <w:right w:w="108"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845D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101</w:t>
            </w:r>
          </w:p>
        </w:tc>
        <w:tc>
          <w:tcPr>
            <w:tcW w:w="2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D47D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卫浴辅具(纸巾盒架) </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D46BD">
            <w:pPr>
              <w:widowControl/>
              <w:numPr>
                <w:ilvl w:val="0"/>
                <w:numId w:val="38"/>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尺寸：180*275mm±20%</w:t>
            </w:r>
          </w:p>
          <w:p w14:paraId="416E62C1">
            <w:pPr>
              <w:widowControl/>
              <w:numPr>
                <w:ilvl w:val="0"/>
                <w:numId w:val="38"/>
              </w:numPr>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免钉贴</w:t>
            </w:r>
          </w:p>
          <w:p w14:paraId="496710DA">
            <w:pPr>
              <w:widowControl/>
              <w:numPr>
                <w:ilvl w:val="0"/>
                <w:numId w:val="38"/>
              </w:numPr>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塑料材质</w:t>
            </w:r>
          </w:p>
          <w:p w14:paraId="1B0A4052">
            <w:pPr>
              <w:widowControl/>
              <w:numPr>
                <w:ilvl w:val="0"/>
                <w:numId w:val="38"/>
              </w:numPr>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下开口抽纸</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AB8B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38 </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C4DE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7BB12C82">
        <w:tblPrEx>
          <w:tblCellMar>
            <w:top w:w="0" w:type="dxa"/>
            <w:left w:w="108" w:type="dxa"/>
            <w:bottom w:w="0" w:type="dxa"/>
            <w:right w:w="108"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9E2D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102</w:t>
            </w:r>
          </w:p>
        </w:tc>
        <w:tc>
          <w:tcPr>
            <w:tcW w:w="2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AEB2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卫浴辅具(婴儿尿布打理台) </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D98E8">
            <w:pPr>
              <w:widowControl/>
              <w:numPr>
                <w:ilvl w:val="0"/>
                <w:numId w:val="39"/>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尺寸：长85cm，宽54cm，高48cm</w:t>
            </w:r>
          </w:p>
          <w:p w14:paraId="22F360DF">
            <w:pPr>
              <w:widowControl/>
              <w:numPr>
                <w:ilvl w:val="0"/>
                <w:numId w:val="39"/>
              </w:numPr>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HDPE材质</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8976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 </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4893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0B601195">
        <w:tblPrEx>
          <w:tblCellMar>
            <w:top w:w="0" w:type="dxa"/>
            <w:left w:w="108" w:type="dxa"/>
            <w:bottom w:w="0" w:type="dxa"/>
            <w:right w:w="108" w:type="dxa"/>
          </w:tblCellMar>
        </w:tblPrEx>
        <w:trPr>
          <w:trHeight w:val="9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4AF0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103</w:t>
            </w:r>
          </w:p>
        </w:tc>
        <w:tc>
          <w:tcPr>
            <w:tcW w:w="2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EA27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卫浴辅具（浴帘+浴杆） </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D0E47">
            <w:pPr>
              <w:widowControl/>
              <w:numPr>
                <w:ilvl w:val="0"/>
                <w:numId w:val="40"/>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浴帘+浴杆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2）带磁吸防水条 </w:t>
            </w:r>
          </w:p>
          <w:p w14:paraId="4ABBBFF0">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3）尺寸：150*200cm±20%</w:t>
            </w:r>
          </w:p>
          <w:p w14:paraId="08C3E427">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4）两片</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B27C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 </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02EA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23B2EF5D">
        <w:tblPrEx>
          <w:tblCellMar>
            <w:top w:w="0" w:type="dxa"/>
            <w:left w:w="108" w:type="dxa"/>
            <w:bottom w:w="0" w:type="dxa"/>
            <w:right w:w="108"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4A62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104</w:t>
            </w:r>
          </w:p>
        </w:tc>
        <w:tc>
          <w:tcPr>
            <w:tcW w:w="2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CAE8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卫浴辅具（毛巾架） </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977FC">
            <w:pPr>
              <w:widowControl/>
              <w:numPr>
                <w:ilvl w:val="0"/>
                <w:numId w:val="41"/>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尺寸：30*7cm</w:t>
            </w:r>
          </w:p>
          <w:p w14:paraId="77CA0F23">
            <w:pPr>
              <w:widowControl/>
              <w:numPr>
                <w:ilvl w:val="0"/>
                <w:numId w:val="41"/>
              </w:numPr>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免打孔</w:t>
            </w:r>
          </w:p>
          <w:p w14:paraId="07FB97E7">
            <w:pPr>
              <w:widowControl/>
              <w:numPr>
                <w:ilvl w:val="0"/>
                <w:numId w:val="41"/>
              </w:numPr>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单杆毛巾架</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F91A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 </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D55E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57E64D13">
        <w:tblPrEx>
          <w:tblCellMar>
            <w:top w:w="0" w:type="dxa"/>
            <w:left w:w="108" w:type="dxa"/>
            <w:bottom w:w="0" w:type="dxa"/>
            <w:right w:w="108" w:type="dxa"/>
          </w:tblCellMar>
        </w:tblPrEx>
        <w:trPr>
          <w:trHeight w:val="48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B2A9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105</w:t>
            </w:r>
          </w:p>
        </w:tc>
        <w:tc>
          <w:tcPr>
            <w:tcW w:w="2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CF7F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卫浴辅具（浴帘+浴杆） </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1FF66">
            <w:pPr>
              <w:widowControl/>
              <w:numPr>
                <w:ilvl w:val="0"/>
                <w:numId w:val="42"/>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浴帘+浴杆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2）带磁吸防水条 </w:t>
            </w:r>
          </w:p>
          <w:p w14:paraId="7F6EA2CA">
            <w:pPr>
              <w:widowControl/>
              <w:numPr>
                <w:ilvl w:val="0"/>
                <w:numId w:val="42"/>
              </w:numP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尺寸：240*200cm±20%</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5F3A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 </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64CA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27E7D1E1">
        <w:tblPrEx>
          <w:tblCellMar>
            <w:top w:w="0" w:type="dxa"/>
            <w:left w:w="108" w:type="dxa"/>
            <w:bottom w:w="0" w:type="dxa"/>
            <w:right w:w="108"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60EF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106</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FBB4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防烫取盘手套</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4D6EB">
            <w:pPr>
              <w:widowControl/>
              <w:numPr>
                <w:ilvl w:val="0"/>
                <w:numId w:val="43"/>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阻燃防烫，吸汗耐磨</w:t>
            </w:r>
          </w:p>
          <w:p w14:paraId="73E329A9">
            <w:pPr>
              <w:widowControl/>
              <w:numPr>
                <w:ilvl w:val="0"/>
                <w:numId w:val="43"/>
              </w:numPr>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耐高温300°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41D6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DBC4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5B6A2C11">
        <w:tblPrEx>
          <w:tblCellMar>
            <w:top w:w="0" w:type="dxa"/>
            <w:left w:w="108" w:type="dxa"/>
            <w:bottom w:w="0" w:type="dxa"/>
            <w:right w:w="108" w:type="dxa"/>
          </w:tblCellMar>
        </w:tblPrEx>
        <w:trPr>
          <w:trHeight w:val="48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402D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107</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EDF7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餐具防滑垫</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8BB11">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1）材质：PCV </w:t>
            </w:r>
            <w:r>
              <w:rPr>
                <w:rFonts w:hint="eastAsia" w:ascii="宋体" w:hAnsi="宋体" w:eastAsia="宋体" w:cs="宋体"/>
                <w:color w:val="000000"/>
                <w:kern w:val="0"/>
                <w:sz w:val="24"/>
                <w:szCs w:val="24"/>
                <w:lang w:bidi="ar"/>
              </w:rPr>
              <w:br w:type="textWrapping"/>
            </w:r>
            <w:r>
              <w:rPr>
                <w:rStyle w:val="262"/>
                <w:rFonts w:hint="eastAsia" w:ascii="宋体" w:hAnsi="宋体" w:eastAsia="宋体" w:cs="宋体"/>
                <w:sz w:val="24"/>
                <w:szCs w:val="24"/>
                <w:lang w:bidi="ar"/>
              </w:rPr>
              <w:t>2）尺寸：30*45cm</w:t>
            </w:r>
            <w:r>
              <w:rPr>
                <w:rFonts w:hint="eastAsia" w:ascii="宋体" w:hAnsi="宋体" w:eastAsia="宋体" w:cs="宋体"/>
                <w:color w:val="000000"/>
                <w:kern w:val="0"/>
                <w:sz w:val="24"/>
                <w:szCs w:val="24"/>
                <w:lang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F30A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A78A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353B7D4D">
        <w:tblPrEx>
          <w:tblCellMar>
            <w:top w:w="0" w:type="dxa"/>
            <w:left w:w="108" w:type="dxa"/>
            <w:bottom w:w="0" w:type="dxa"/>
            <w:right w:w="108" w:type="dxa"/>
          </w:tblCellMar>
        </w:tblPrEx>
        <w:trPr>
          <w:trHeight w:val="48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9C17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108</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99ED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多功能削皮器</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B34F2">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1）通过特制的设计结构，降低普通刀具削皮时对上肢运动功能和手精细活动的要求程度，使上肢运动功能受限的肢体残疾人轻松完成食物削皮动作的器具</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26F4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D2E0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7C271BF1">
        <w:tblPrEx>
          <w:tblCellMar>
            <w:top w:w="0" w:type="dxa"/>
            <w:left w:w="108" w:type="dxa"/>
            <w:bottom w:w="0" w:type="dxa"/>
            <w:right w:w="108" w:type="dxa"/>
          </w:tblCellMar>
        </w:tblPrEx>
        <w:trPr>
          <w:trHeight w:val="48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AF9E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109</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7198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自动开瓶器</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08356">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1）材质：不锈钢 </w:t>
            </w:r>
            <w:r>
              <w:rPr>
                <w:rFonts w:hint="eastAsia" w:ascii="宋体" w:hAnsi="宋体" w:eastAsia="宋体" w:cs="宋体"/>
                <w:color w:val="000000"/>
                <w:kern w:val="0"/>
                <w:sz w:val="24"/>
                <w:szCs w:val="24"/>
                <w:lang w:bidi="ar"/>
              </w:rPr>
              <w:br w:type="textWrapping"/>
            </w:r>
            <w:r>
              <w:rPr>
                <w:rStyle w:val="262"/>
                <w:rFonts w:hint="eastAsia" w:ascii="宋体" w:hAnsi="宋体" w:eastAsia="宋体" w:cs="宋体"/>
                <w:sz w:val="24"/>
                <w:szCs w:val="24"/>
                <w:lang w:bidi="ar"/>
              </w:rPr>
              <w:t>2）适用于手部稳定性、协调性及上肢肌力较差，经评估需适配的肢体功能障碍者</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FAE9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82EC3">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017570AA">
        <w:tblPrEx>
          <w:tblCellMar>
            <w:top w:w="0" w:type="dxa"/>
            <w:left w:w="108" w:type="dxa"/>
            <w:bottom w:w="0" w:type="dxa"/>
            <w:right w:w="108" w:type="dxa"/>
          </w:tblCellMar>
        </w:tblPrEx>
        <w:trPr>
          <w:trHeight w:val="48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CA04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110</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895B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操作台（不锈钢取餐台）</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01025">
            <w:pPr>
              <w:widowControl/>
              <w:numPr>
                <w:ilvl w:val="0"/>
                <w:numId w:val="44"/>
              </w:numPr>
              <w:jc w:val="left"/>
              <w:textAlignment w:val="center"/>
              <w:rPr>
                <w:rStyle w:val="55"/>
                <w:rFonts w:hint="eastAsia" w:ascii="宋体" w:hAnsi="宋体" w:eastAsia="宋体" w:cs="宋体"/>
                <w:sz w:val="24"/>
                <w:szCs w:val="24"/>
              </w:rPr>
            </w:pPr>
            <w:r>
              <w:rPr>
                <w:rStyle w:val="55"/>
                <w:rFonts w:hint="eastAsia" w:ascii="宋体" w:hAnsi="宋体" w:eastAsia="宋体" w:cs="宋体"/>
                <w:sz w:val="24"/>
                <w:szCs w:val="24"/>
              </w:rPr>
              <w:t>取餐台尺寸：5400</w:t>
            </w:r>
            <w:r>
              <w:rPr>
                <w:rFonts w:hint="eastAsia" w:ascii="宋体" w:hAnsi="宋体" w:eastAsia="宋体" w:cs="宋体"/>
                <w:color w:val="000000"/>
                <w:kern w:val="0"/>
                <w:sz w:val="24"/>
                <w:szCs w:val="24"/>
                <w:lang w:bidi="ar"/>
              </w:rPr>
              <w:t>*</w:t>
            </w:r>
            <w:r>
              <w:rPr>
                <w:rStyle w:val="55"/>
                <w:rFonts w:hint="eastAsia" w:ascii="宋体" w:hAnsi="宋体" w:eastAsia="宋体" w:cs="宋体"/>
                <w:sz w:val="24"/>
                <w:szCs w:val="24"/>
              </w:rPr>
              <w:t>800</w:t>
            </w:r>
            <w:r>
              <w:rPr>
                <w:rFonts w:hint="eastAsia" w:ascii="宋体" w:hAnsi="宋体" w:eastAsia="宋体" w:cs="宋体"/>
                <w:color w:val="000000"/>
                <w:kern w:val="0"/>
                <w:sz w:val="24"/>
                <w:szCs w:val="24"/>
                <w:lang w:bidi="ar"/>
              </w:rPr>
              <w:t>*</w:t>
            </w:r>
            <w:r>
              <w:rPr>
                <w:rStyle w:val="55"/>
                <w:rFonts w:hint="eastAsia" w:ascii="宋体" w:hAnsi="宋体" w:eastAsia="宋体" w:cs="宋体"/>
                <w:sz w:val="24"/>
                <w:szCs w:val="24"/>
              </w:rPr>
              <w:t>800</w:t>
            </w:r>
            <w:r>
              <w:rPr>
                <w:rFonts w:hint="eastAsia" w:ascii="宋体" w:hAnsi="宋体" w:eastAsia="宋体" w:cs="宋体"/>
                <w:color w:val="000000"/>
                <w:kern w:val="0"/>
                <w:sz w:val="24"/>
                <w:szCs w:val="24"/>
                <w:lang w:bidi="ar"/>
              </w:rPr>
              <w:t>mm</w:t>
            </w:r>
          </w:p>
          <w:p w14:paraId="45B82E29">
            <w:pPr>
              <w:widowControl/>
              <w:numPr>
                <w:ilvl w:val="0"/>
                <w:numId w:val="44"/>
              </w:numPr>
              <w:jc w:val="left"/>
              <w:textAlignment w:val="center"/>
              <w:rPr>
                <w:rStyle w:val="55"/>
                <w:rFonts w:hint="eastAsia" w:ascii="宋体" w:hAnsi="宋体" w:eastAsia="宋体" w:cs="宋体"/>
                <w:sz w:val="24"/>
                <w:szCs w:val="24"/>
              </w:rPr>
            </w:pPr>
            <w:r>
              <w:rPr>
                <w:rFonts w:hint="eastAsia" w:ascii="宋体" w:hAnsi="宋体" w:eastAsia="宋体" w:cs="宋体"/>
                <w:color w:val="000000"/>
                <w:kern w:val="0"/>
                <w:sz w:val="24"/>
                <w:szCs w:val="24"/>
                <w:lang w:bidi="ar"/>
              </w:rPr>
              <w:t>材质：不锈钢</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F833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20B6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w:t>
            </w:r>
          </w:p>
        </w:tc>
      </w:tr>
      <w:tr w14:paraId="6160B14D">
        <w:tblPrEx>
          <w:tblCellMar>
            <w:top w:w="0" w:type="dxa"/>
            <w:left w:w="108" w:type="dxa"/>
            <w:bottom w:w="0" w:type="dxa"/>
            <w:right w:w="108" w:type="dxa"/>
          </w:tblCellMar>
        </w:tblPrEx>
        <w:trPr>
          <w:trHeight w:val="42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F394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111</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B180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操作台（长餐台）</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52026">
            <w:pPr>
              <w:widowControl/>
              <w:numPr>
                <w:ilvl w:val="0"/>
                <w:numId w:val="45"/>
              </w:numPr>
              <w:jc w:val="left"/>
              <w:textAlignment w:val="center"/>
              <w:rPr>
                <w:rStyle w:val="55"/>
                <w:rFonts w:hint="eastAsia" w:ascii="宋体" w:hAnsi="宋体" w:eastAsia="宋体" w:cs="宋体"/>
                <w:sz w:val="24"/>
                <w:szCs w:val="24"/>
              </w:rPr>
            </w:pPr>
            <w:r>
              <w:rPr>
                <w:rFonts w:hint="eastAsia" w:ascii="宋体" w:hAnsi="宋体" w:eastAsia="宋体" w:cs="宋体"/>
                <w:color w:val="000000"/>
                <w:kern w:val="0"/>
                <w:sz w:val="24"/>
                <w:szCs w:val="24"/>
                <w:lang w:bidi="ar"/>
              </w:rPr>
              <w:t>长餐台尺寸：2700*400*1000mm±20%</w:t>
            </w:r>
          </w:p>
          <w:p w14:paraId="2C72EB07">
            <w:pPr>
              <w:widowControl/>
              <w:numPr>
                <w:ilvl w:val="0"/>
                <w:numId w:val="45"/>
              </w:numPr>
              <w:jc w:val="left"/>
              <w:textAlignment w:val="center"/>
              <w:rPr>
                <w:rStyle w:val="55"/>
                <w:rFonts w:hint="eastAsia" w:ascii="宋体" w:hAnsi="宋体" w:eastAsia="宋体" w:cs="宋体"/>
                <w:sz w:val="24"/>
                <w:szCs w:val="24"/>
              </w:rPr>
            </w:pPr>
            <w:r>
              <w:rPr>
                <w:rFonts w:hint="eastAsia" w:ascii="宋体" w:hAnsi="宋体" w:eastAsia="宋体" w:cs="宋体"/>
                <w:color w:val="000000"/>
                <w:kern w:val="0"/>
                <w:sz w:val="24"/>
                <w:szCs w:val="24"/>
                <w:lang w:bidi="ar"/>
              </w:rPr>
              <w:t>材质：不锈钢</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03CB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B21D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w:t>
            </w:r>
          </w:p>
        </w:tc>
      </w:tr>
      <w:tr w14:paraId="439B63A5">
        <w:tblPrEx>
          <w:tblCellMar>
            <w:top w:w="0" w:type="dxa"/>
            <w:left w:w="108" w:type="dxa"/>
            <w:bottom w:w="0" w:type="dxa"/>
            <w:right w:w="108" w:type="dxa"/>
          </w:tblCellMar>
        </w:tblPrEx>
        <w:trPr>
          <w:trHeight w:val="46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9BF6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112</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DEE5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操作台（长餐台）</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B5718">
            <w:pPr>
              <w:widowControl/>
              <w:numPr>
                <w:ilvl w:val="0"/>
                <w:numId w:val="46"/>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长餐台尺寸：4700*400*1000mm±20%</w:t>
            </w:r>
          </w:p>
          <w:p w14:paraId="5135C869">
            <w:pPr>
              <w:widowControl/>
              <w:numPr>
                <w:ilvl w:val="0"/>
                <w:numId w:val="46"/>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材质：不锈钢</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7A65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458E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w:t>
            </w:r>
          </w:p>
        </w:tc>
      </w:tr>
      <w:tr w14:paraId="49A4679F">
        <w:tblPrEx>
          <w:tblCellMar>
            <w:top w:w="0" w:type="dxa"/>
            <w:left w:w="108" w:type="dxa"/>
            <w:bottom w:w="0" w:type="dxa"/>
            <w:right w:w="108"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1A36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113</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6D6A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坐垫</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B6D90">
            <w:pPr>
              <w:widowControl/>
              <w:numPr>
                <w:ilvl w:val="0"/>
                <w:numId w:val="47"/>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尺寸：100*100*5cm±20%</w:t>
            </w:r>
          </w:p>
          <w:p w14:paraId="6794E3EA">
            <w:pPr>
              <w:widowControl/>
              <w:numPr>
                <w:ilvl w:val="0"/>
                <w:numId w:val="47"/>
              </w:numPr>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单位：平米</w:t>
            </w:r>
          </w:p>
          <w:p w14:paraId="1319AB12">
            <w:pPr>
              <w:widowControl/>
              <w:numPr>
                <w:ilvl w:val="0"/>
                <w:numId w:val="47"/>
              </w:numPr>
              <w:snapToGrid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环保EPE海绵内芯，加厚PU皮</w:t>
            </w:r>
          </w:p>
          <w:p w14:paraId="1C187A99">
            <w:pPr>
              <w:widowControl/>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4）提供保护作用，让其感到舒适、放松。</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1B1B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80</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ABE13">
            <w:pPr>
              <w:widowControl/>
              <w:jc w:val="center"/>
              <w:textAlignment w:val="center"/>
              <w:rPr>
                <w:rFonts w:hint="eastAsia" w:ascii="宋体" w:hAnsi="宋体" w:eastAsia="宋体" w:cs="宋体"/>
                <w:color w:val="000000"/>
                <w:kern w:val="0"/>
                <w:sz w:val="24"/>
                <w:szCs w:val="24"/>
                <w:lang w:bidi="ar"/>
              </w:rPr>
            </w:pPr>
            <w:r>
              <w:rPr>
                <w:rStyle w:val="262"/>
                <w:rFonts w:hint="eastAsia" w:ascii="宋体" w:hAnsi="宋体" w:eastAsia="宋体" w:cs="宋体"/>
                <w:sz w:val="24"/>
                <w:szCs w:val="24"/>
                <w:lang w:bidi="ar"/>
              </w:rPr>
              <w:t>平米</w:t>
            </w:r>
          </w:p>
        </w:tc>
      </w:tr>
      <w:tr w14:paraId="2FCAD148">
        <w:tblPrEx>
          <w:tblCellMar>
            <w:top w:w="0" w:type="dxa"/>
            <w:left w:w="108" w:type="dxa"/>
            <w:bottom w:w="0" w:type="dxa"/>
            <w:right w:w="108"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8C32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114</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B37D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坐垫</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99674">
            <w:pPr>
              <w:widowControl/>
              <w:snapToGrid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1）尺寸：100*100*5cm±20%</w:t>
            </w:r>
          </w:p>
          <w:p w14:paraId="12102408">
            <w:pPr>
              <w:widowControl/>
              <w:snapToGrid w:val="0"/>
              <w:jc w:val="left"/>
              <w:textAlignment w:val="center"/>
              <w:rPr>
                <w:rStyle w:val="262"/>
                <w:rFonts w:hint="eastAsia" w:ascii="宋体" w:hAnsi="宋体" w:eastAsia="宋体" w:cs="宋体"/>
                <w:sz w:val="24"/>
                <w:szCs w:val="24"/>
              </w:rPr>
            </w:pPr>
            <w:r>
              <w:rPr>
                <w:rStyle w:val="262"/>
                <w:rFonts w:hint="eastAsia" w:ascii="宋体" w:hAnsi="宋体" w:eastAsia="宋体" w:cs="宋体"/>
                <w:sz w:val="24"/>
                <w:szCs w:val="24"/>
                <w:lang w:bidi="ar"/>
              </w:rPr>
              <w:t>2）单位：平米</w:t>
            </w:r>
          </w:p>
          <w:p w14:paraId="6FFBCE4F">
            <w:pPr>
              <w:widowControl/>
              <w:snapToGrid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3（环保EPE海绵内芯，加厚PU皮</w:t>
            </w:r>
          </w:p>
          <w:p w14:paraId="0EF9E08F">
            <w:pPr>
              <w:widowControl/>
              <w:snapToGrid w:val="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4）提供保护作用，让其感到舒适、放松。</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D2A5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BD61B">
            <w:pPr>
              <w:widowControl/>
              <w:jc w:val="center"/>
              <w:textAlignment w:val="center"/>
              <w:rPr>
                <w:rFonts w:hint="eastAsia" w:ascii="宋体" w:hAnsi="宋体" w:eastAsia="宋体" w:cs="宋体"/>
                <w:color w:val="000000"/>
                <w:kern w:val="0"/>
                <w:sz w:val="24"/>
                <w:szCs w:val="24"/>
                <w:lang w:bidi="ar"/>
              </w:rPr>
            </w:pPr>
            <w:r>
              <w:rPr>
                <w:rStyle w:val="262"/>
                <w:rFonts w:hint="eastAsia" w:ascii="宋体" w:hAnsi="宋体" w:eastAsia="宋体" w:cs="宋体"/>
                <w:sz w:val="24"/>
                <w:szCs w:val="24"/>
                <w:lang w:bidi="ar"/>
              </w:rPr>
              <w:t>平米</w:t>
            </w:r>
          </w:p>
        </w:tc>
      </w:tr>
      <w:tr w14:paraId="134D4CAC">
        <w:tblPrEx>
          <w:tblCellMar>
            <w:top w:w="0" w:type="dxa"/>
            <w:left w:w="108" w:type="dxa"/>
            <w:bottom w:w="0" w:type="dxa"/>
            <w:right w:w="108"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72A6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115</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A211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坐垫</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1FA40">
            <w:pPr>
              <w:widowControl/>
              <w:snapToGrid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1）尺寸：100*100*5cm±20%</w:t>
            </w:r>
          </w:p>
          <w:p w14:paraId="18058258">
            <w:pPr>
              <w:widowControl/>
              <w:snapToGrid w:val="0"/>
              <w:jc w:val="left"/>
              <w:textAlignment w:val="center"/>
              <w:rPr>
                <w:rStyle w:val="262"/>
                <w:rFonts w:hint="eastAsia" w:ascii="宋体" w:hAnsi="宋体" w:eastAsia="宋体" w:cs="宋体"/>
                <w:sz w:val="24"/>
                <w:szCs w:val="24"/>
              </w:rPr>
            </w:pPr>
            <w:r>
              <w:rPr>
                <w:rStyle w:val="262"/>
                <w:rFonts w:hint="eastAsia" w:ascii="宋体" w:hAnsi="宋体" w:eastAsia="宋体" w:cs="宋体"/>
                <w:sz w:val="24"/>
                <w:szCs w:val="24"/>
                <w:lang w:bidi="ar"/>
              </w:rPr>
              <w:t>2）单位：平米</w:t>
            </w:r>
          </w:p>
          <w:p w14:paraId="63410712">
            <w:pPr>
              <w:widowControl/>
              <w:snapToGrid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3）环保EPE海绵内芯，加厚PU皮</w:t>
            </w:r>
          </w:p>
          <w:p w14:paraId="39E16EFA">
            <w:pPr>
              <w:widowControl/>
              <w:snapToGrid w:val="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4）提供保护作用，让其感到舒适、放松。</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59C3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AC6AB">
            <w:pPr>
              <w:widowControl/>
              <w:jc w:val="center"/>
              <w:textAlignment w:val="center"/>
              <w:rPr>
                <w:rFonts w:hint="eastAsia" w:ascii="宋体" w:hAnsi="宋体" w:eastAsia="宋体" w:cs="宋体"/>
                <w:color w:val="000000"/>
                <w:kern w:val="0"/>
                <w:sz w:val="24"/>
                <w:szCs w:val="24"/>
                <w:lang w:bidi="ar"/>
              </w:rPr>
            </w:pPr>
            <w:r>
              <w:rPr>
                <w:rStyle w:val="262"/>
                <w:rFonts w:hint="eastAsia" w:ascii="宋体" w:hAnsi="宋体" w:eastAsia="宋体" w:cs="宋体"/>
                <w:sz w:val="24"/>
                <w:szCs w:val="24"/>
                <w:lang w:bidi="ar"/>
              </w:rPr>
              <w:t>平米</w:t>
            </w:r>
          </w:p>
        </w:tc>
      </w:tr>
      <w:tr w14:paraId="69EEFE08">
        <w:tblPrEx>
          <w:tblCellMar>
            <w:top w:w="0" w:type="dxa"/>
            <w:left w:w="108" w:type="dxa"/>
            <w:bottom w:w="0" w:type="dxa"/>
            <w:right w:w="108"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2E0C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116</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57C6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坐垫</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E67D3">
            <w:pPr>
              <w:widowControl/>
              <w:snapToGrid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1）尺寸：100*100*5cm±20%</w:t>
            </w:r>
          </w:p>
          <w:p w14:paraId="5839118C">
            <w:pPr>
              <w:widowControl/>
              <w:snapToGrid w:val="0"/>
              <w:jc w:val="left"/>
              <w:textAlignment w:val="center"/>
              <w:rPr>
                <w:rStyle w:val="262"/>
                <w:rFonts w:hint="eastAsia" w:ascii="宋体" w:hAnsi="宋体" w:eastAsia="宋体" w:cs="宋体"/>
                <w:sz w:val="24"/>
                <w:szCs w:val="24"/>
              </w:rPr>
            </w:pPr>
            <w:r>
              <w:rPr>
                <w:rStyle w:val="262"/>
                <w:rFonts w:hint="eastAsia" w:ascii="宋体" w:hAnsi="宋体" w:eastAsia="宋体" w:cs="宋体"/>
                <w:sz w:val="24"/>
                <w:szCs w:val="24"/>
                <w:lang w:bidi="ar"/>
              </w:rPr>
              <w:t>2）单位：平米</w:t>
            </w:r>
          </w:p>
          <w:p w14:paraId="4154F17B">
            <w:pPr>
              <w:widowControl/>
              <w:snapToGrid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3）环保EPE海绵内芯，加厚PU皮</w:t>
            </w:r>
          </w:p>
          <w:p w14:paraId="6C518875">
            <w:pPr>
              <w:widowControl/>
              <w:snapToGrid w:val="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4）提供保护作用，让其感到舒适、放松。</w:t>
            </w:r>
          </w:p>
        </w:tc>
        <w:tc>
          <w:tcPr>
            <w:tcW w:w="585" w:type="dxa"/>
            <w:tcBorders>
              <w:top w:val="single" w:color="000000" w:sz="4" w:space="0"/>
              <w:left w:val="nil"/>
              <w:bottom w:val="single" w:color="000000" w:sz="4" w:space="0"/>
              <w:right w:val="single" w:color="000000" w:sz="4" w:space="0"/>
            </w:tcBorders>
            <w:shd w:val="clear" w:color="auto" w:fill="FFFFFF"/>
            <w:vAlign w:val="center"/>
          </w:tcPr>
          <w:p w14:paraId="071CCE5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80</w:t>
            </w:r>
          </w:p>
        </w:tc>
        <w:tc>
          <w:tcPr>
            <w:tcW w:w="474" w:type="dxa"/>
            <w:tcBorders>
              <w:top w:val="single" w:color="000000" w:sz="4" w:space="0"/>
              <w:left w:val="nil"/>
              <w:bottom w:val="single" w:color="000000" w:sz="4" w:space="0"/>
              <w:right w:val="single" w:color="000000" w:sz="4" w:space="0"/>
            </w:tcBorders>
            <w:shd w:val="clear" w:color="auto" w:fill="FFFFFF"/>
            <w:vAlign w:val="center"/>
          </w:tcPr>
          <w:p w14:paraId="79EAB02F">
            <w:pPr>
              <w:widowControl/>
              <w:jc w:val="center"/>
              <w:textAlignment w:val="center"/>
              <w:rPr>
                <w:rFonts w:hint="eastAsia" w:ascii="宋体" w:hAnsi="宋体" w:eastAsia="宋体" w:cs="宋体"/>
                <w:color w:val="000000"/>
                <w:kern w:val="0"/>
                <w:sz w:val="24"/>
                <w:szCs w:val="24"/>
                <w:lang w:bidi="ar"/>
              </w:rPr>
            </w:pPr>
            <w:r>
              <w:rPr>
                <w:rStyle w:val="262"/>
                <w:rFonts w:hint="eastAsia" w:ascii="宋体" w:hAnsi="宋体" w:eastAsia="宋体" w:cs="宋体"/>
                <w:sz w:val="24"/>
                <w:szCs w:val="24"/>
                <w:lang w:bidi="ar"/>
              </w:rPr>
              <w:t>平米</w:t>
            </w:r>
          </w:p>
        </w:tc>
      </w:tr>
      <w:tr w14:paraId="40C4673D">
        <w:tblPrEx>
          <w:tblCellMar>
            <w:top w:w="0" w:type="dxa"/>
            <w:left w:w="108" w:type="dxa"/>
            <w:bottom w:w="0" w:type="dxa"/>
            <w:right w:w="108"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47E6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117</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5EA1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坐垫</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C4069">
            <w:pPr>
              <w:widowControl/>
              <w:snapToGrid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1）尺寸：100*100*5cm±20%</w:t>
            </w:r>
          </w:p>
          <w:p w14:paraId="14D53332">
            <w:pPr>
              <w:widowControl/>
              <w:snapToGrid w:val="0"/>
              <w:jc w:val="left"/>
              <w:textAlignment w:val="center"/>
              <w:rPr>
                <w:rStyle w:val="262"/>
                <w:rFonts w:hint="eastAsia" w:ascii="宋体" w:hAnsi="宋体" w:eastAsia="宋体" w:cs="宋体"/>
                <w:sz w:val="24"/>
                <w:szCs w:val="24"/>
              </w:rPr>
            </w:pPr>
            <w:r>
              <w:rPr>
                <w:rStyle w:val="262"/>
                <w:rFonts w:hint="eastAsia" w:ascii="宋体" w:hAnsi="宋体" w:eastAsia="宋体" w:cs="宋体"/>
                <w:sz w:val="24"/>
                <w:szCs w:val="24"/>
                <w:lang w:bidi="ar"/>
              </w:rPr>
              <w:t>2）单位：平米</w:t>
            </w:r>
          </w:p>
          <w:p w14:paraId="6EFF5032">
            <w:pPr>
              <w:widowControl/>
              <w:snapToGrid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3）环保EPE海绵内芯，加厚PU皮</w:t>
            </w:r>
          </w:p>
          <w:p w14:paraId="2F313B97">
            <w:pPr>
              <w:widowControl/>
              <w:snapToGrid w:val="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4）提供保护作用，让其感到舒适、放松。</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4EB3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51C74">
            <w:pPr>
              <w:widowControl/>
              <w:jc w:val="center"/>
              <w:textAlignment w:val="center"/>
              <w:rPr>
                <w:rFonts w:hint="eastAsia" w:ascii="宋体" w:hAnsi="宋体" w:eastAsia="宋体" w:cs="宋体"/>
                <w:color w:val="000000"/>
                <w:kern w:val="0"/>
                <w:sz w:val="24"/>
                <w:szCs w:val="24"/>
                <w:lang w:bidi="ar"/>
              </w:rPr>
            </w:pPr>
            <w:r>
              <w:rPr>
                <w:rStyle w:val="262"/>
                <w:rFonts w:hint="eastAsia" w:ascii="宋体" w:hAnsi="宋体" w:eastAsia="宋体" w:cs="宋体"/>
                <w:sz w:val="24"/>
                <w:szCs w:val="24"/>
                <w:lang w:bidi="ar"/>
              </w:rPr>
              <w:t>平米</w:t>
            </w:r>
          </w:p>
        </w:tc>
      </w:tr>
      <w:tr w14:paraId="5B4D2C52">
        <w:tblPrEx>
          <w:tblCellMar>
            <w:top w:w="0" w:type="dxa"/>
            <w:left w:w="108" w:type="dxa"/>
            <w:bottom w:w="0" w:type="dxa"/>
            <w:right w:w="108"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16B8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118</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DEFD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坐垫</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706D0">
            <w:pPr>
              <w:widowControl/>
              <w:snapToGrid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1）尺寸：100*100*5cm±20%</w:t>
            </w:r>
          </w:p>
          <w:p w14:paraId="3C6733C9">
            <w:pPr>
              <w:widowControl/>
              <w:snapToGrid w:val="0"/>
              <w:jc w:val="left"/>
              <w:textAlignment w:val="center"/>
              <w:rPr>
                <w:rStyle w:val="262"/>
                <w:rFonts w:hint="eastAsia" w:ascii="宋体" w:hAnsi="宋体" w:eastAsia="宋体" w:cs="宋体"/>
                <w:sz w:val="24"/>
                <w:szCs w:val="24"/>
              </w:rPr>
            </w:pPr>
            <w:r>
              <w:rPr>
                <w:rStyle w:val="262"/>
                <w:rFonts w:hint="eastAsia" w:ascii="宋体" w:hAnsi="宋体" w:eastAsia="宋体" w:cs="宋体"/>
                <w:sz w:val="24"/>
                <w:szCs w:val="24"/>
                <w:lang w:bidi="ar"/>
              </w:rPr>
              <w:t>2）单位：平米</w:t>
            </w:r>
          </w:p>
          <w:p w14:paraId="3334F7F5">
            <w:pPr>
              <w:widowControl/>
              <w:snapToGrid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3）环保EPE海绵内芯，加厚PU皮</w:t>
            </w:r>
          </w:p>
          <w:p w14:paraId="3BCCAC46">
            <w:pPr>
              <w:widowControl/>
              <w:snapToGrid w:val="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4）提供保护作用，让其感到舒适、放松。</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A3C8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8BC10">
            <w:pPr>
              <w:widowControl/>
              <w:jc w:val="center"/>
              <w:textAlignment w:val="center"/>
              <w:rPr>
                <w:rFonts w:hint="eastAsia" w:ascii="宋体" w:hAnsi="宋体" w:eastAsia="宋体" w:cs="宋体"/>
                <w:color w:val="000000"/>
                <w:kern w:val="0"/>
                <w:sz w:val="24"/>
                <w:szCs w:val="24"/>
                <w:lang w:bidi="ar"/>
              </w:rPr>
            </w:pPr>
            <w:r>
              <w:rPr>
                <w:rStyle w:val="262"/>
                <w:rFonts w:hint="eastAsia" w:ascii="宋体" w:hAnsi="宋体" w:eastAsia="宋体" w:cs="宋体"/>
                <w:sz w:val="24"/>
                <w:szCs w:val="24"/>
                <w:lang w:bidi="ar"/>
              </w:rPr>
              <w:t>平米</w:t>
            </w:r>
          </w:p>
        </w:tc>
      </w:tr>
      <w:tr w14:paraId="0480D371">
        <w:tblPrEx>
          <w:tblCellMar>
            <w:top w:w="0" w:type="dxa"/>
            <w:left w:w="108" w:type="dxa"/>
            <w:bottom w:w="0" w:type="dxa"/>
            <w:right w:w="108" w:type="dxa"/>
          </w:tblCellMar>
        </w:tblPrEx>
        <w:trPr>
          <w:trHeight w:val="31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A0FB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119</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3B52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坐垫</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94A35">
            <w:pPr>
              <w:widowControl/>
              <w:snapToGrid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1）尺寸：100*100*5cm±20%</w:t>
            </w:r>
          </w:p>
          <w:p w14:paraId="74293274">
            <w:pPr>
              <w:widowControl/>
              <w:snapToGrid w:val="0"/>
              <w:jc w:val="left"/>
              <w:textAlignment w:val="center"/>
              <w:rPr>
                <w:rStyle w:val="262"/>
                <w:rFonts w:hint="eastAsia" w:ascii="宋体" w:hAnsi="宋体" w:eastAsia="宋体" w:cs="宋体"/>
                <w:sz w:val="24"/>
                <w:szCs w:val="24"/>
              </w:rPr>
            </w:pPr>
            <w:r>
              <w:rPr>
                <w:rStyle w:val="262"/>
                <w:rFonts w:hint="eastAsia" w:ascii="宋体" w:hAnsi="宋体" w:eastAsia="宋体" w:cs="宋体"/>
                <w:sz w:val="24"/>
                <w:szCs w:val="24"/>
                <w:lang w:bidi="ar"/>
              </w:rPr>
              <w:t>2）单位：平米</w:t>
            </w:r>
          </w:p>
          <w:p w14:paraId="58BC50E0">
            <w:pPr>
              <w:widowControl/>
              <w:snapToGrid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3）环保EPE海绵内芯，加厚PU皮</w:t>
            </w:r>
          </w:p>
          <w:p w14:paraId="46ED06FE">
            <w:pPr>
              <w:widowControl/>
              <w:snapToGrid w:val="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4）提供保护作用，让其感到舒适、放松。</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81B7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110</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41669">
            <w:pPr>
              <w:widowControl/>
              <w:jc w:val="center"/>
              <w:textAlignment w:val="center"/>
              <w:rPr>
                <w:rFonts w:hint="eastAsia" w:ascii="宋体" w:hAnsi="宋体" w:eastAsia="宋体" w:cs="宋体"/>
                <w:color w:val="000000"/>
                <w:kern w:val="0"/>
                <w:sz w:val="24"/>
                <w:szCs w:val="24"/>
                <w:lang w:bidi="ar"/>
              </w:rPr>
            </w:pPr>
            <w:r>
              <w:rPr>
                <w:rStyle w:val="262"/>
                <w:rFonts w:hint="eastAsia" w:ascii="宋体" w:hAnsi="宋体" w:eastAsia="宋体" w:cs="宋体"/>
                <w:sz w:val="24"/>
                <w:szCs w:val="24"/>
                <w:lang w:bidi="ar"/>
              </w:rPr>
              <w:t>平米</w:t>
            </w:r>
          </w:p>
        </w:tc>
      </w:tr>
      <w:tr w14:paraId="312CA3F8">
        <w:tblPrEx>
          <w:tblCellMar>
            <w:top w:w="0" w:type="dxa"/>
            <w:left w:w="108" w:type="dxa"/>
            <w:bottom w:w="0" w:type="dxa"/>
            <w:right w:w="108" w:type="dxa"/>
          </w:tblCellMar>
        </w:tblPrEx>
        <w:trPr>
          <w:trHeight w:val="96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9D30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120</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7090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手杖</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688ED">
            <w:pPr>
              <w:widowControl/>
              <w:numPr>
                <w:ilvl w:val="0"/>
                <w:numId w:val="48"/>
              </w:numPr>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规格尺寸：830mm-930mm±20%</w:t>
            </w:r>
            <w:r>
              <w:rPr>
                <w:rFonts w:hint="eastAsia" w:ascii="宋体" w:hAnsi="宋体" w:eastAsia="宋体" w:cs="宋体"/>
                <w:color w:val="000000"/>
                <w:kern w:val="0"/>
                <w:sz w:val="24"/>
                <w:szCs w:val="24"/>
                <w:lang w:bidi="ar"/>
              </w:rPr>
              <w:br w:type="textWrapping"/>
            </w:r>
            <w:r>
              <w:rPr>
                <w:rStyle w:val="262"/>
                <w:rFonts w:hint="eastAsia" w:ascii="宋体" w:hAnsi="宋体" w:eastAsia="宋体" w:cs="宋体"/>
                <w:sz w:val="24"/>
                <w:szCs w:val="24"/>
                <w:lang w:bidi="ar"/>
              </w:rPr>
              <w:t>2）产品性能：优质铝合金</w:t>
            </w:r>
          </w:p>
          <w:p w14:paraId="4B452C6A">
            <w:pPr>
              <w:widowControl/>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3）主体管直径≥22mm，壁厚≥1.2mm，腿部管直径≥19mm，壁厚≥1.2mm，</w:t>
            </w:r>
          </w:p>
          <w:p w14:paraId="1A043342">
            <w:pPr>
              <w:widowControl/>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4）表面阳极氧化处理。</w:t>
            </w:r>
          </w:p>
          <w:p w14:paraId="4D2D6215">
            <w:pPr>
              <w:widowControl/>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5）手柄采用工程聚丙材料，5档调节高度，调节范围：830mm-930mm，</w:t>
            </w:r>
          </w:p>
          <w:p w14:paraId="279A8099">
            <w:pPr>
              <w:widowControl/>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6）4折折叠，折叠后300mm。</w:t>
            </w:r>
          </w:p>
          <w:p w14:paraId="6739E70D">
            <w:pPr>
              <w:widowControl/>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7）脚垫采用耐磨、有弹性、表面摩擦系数较高的防滑橡胶材料。</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206A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FA93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w:t>
            </w:r>
          </w:p>
        </w:tc>
      </w:tr>
      <w:tr w14:paraId="7EBFF083">
        <w:tblPrEx>
          <w:tblCellMar>
            <w:top w:w="0" w:type="dxa"/>
            <w:left w:w="108" w:type="dxa"/>
            <w:bottom w:w="0" w:type="dxa"/>
            <w:right w:w="108" w:type="dxa"/>
          </w:tblCellMar>
        </w:tblPrEx>
        <w:trPr>
          <w:trHeight w:val="16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FDB8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121</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14FD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腋杖</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D9035">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1）拐身为铝合金，管径≥22mm，调节管管径≥25mm，调节管管径≥25mm，壁厚≥1.2mm；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2）可折叠拆分，方便携带；</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3）脚垫为耐磨、防滑材料；</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4）高度可多档调节，适合 1.4m～2m人群使用；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5）最大静载荷≥200kg。</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2F94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E428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副</w:t>
            </w:r>
          </w:p>
        </w:tc>
      </w:tr>
      <w:tr w14:paraId="26E57494">
        <w:tblPrEx>
          <w:tblCellMar>
            <w:top w:w="0" w:type="dxa"/>
            <w:left w:w="108" w:type="dxa"/>
            <w:bottom w:w="0" w:type="dxa"/>
            <w:right w:w="108" w:type="dxa"/>
          </w:tblCellMar>
        </w:tblPrEx>
        <w:trPr>
          <w:trHeight w:val="26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C3AD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122</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0348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轮椅</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68B42">
            <w:pPr>
              <w:widowControl/>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1）车架材质采用SPCC高频焊管，钢管直径≥22.2mm、壁厚≥1.2mm，表面喷涂处理，可折叠；</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2）尺寸：轮椅总长102cm，总宽63.5cm，总高86.5cm，折叠后宽度26cm，座宽48cm，座深40cm，座高48cm，背垫高41.5cm，载重≥100kg；</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3）坐背垫材质为30D的海绵和600D的牛津布；</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4）ABS塑料扶手垫，高强度塑料脚踏板，脚踏支架可旋转，可拆装并易于操作，高度可调，配有牛津布小腿带及安全带；</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5）驻车装置制动后不高于座面。</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6）前轮为高品质8英寸PVC实心轮胎；后轮为24英寸充气或PU轮胎，轮辐钢质，采用13#-36根辐条；ABS手扶圈。</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D988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A9DB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w:t>
            </w:r>
          </w:p>
        </w:tc>
      </w:tr>
      <w:tr w14:paraId="006FDAA5">
        <w:tblPrEx>
          <w:tblCellMar>
            <w:top w:w="0" w:type="dxa"/>
            <w:left w:w="108" w:type="dxa"/>
            <w:bottom w:w="0" w:type="dxa"/>
            <w:right w:w="108" w:type="dxa"/>
          </w:tblCellMar>
        </w:tblPrEx>
        <w:trPr>
          <w:trHeight w:val="116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8E45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123</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9DC9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肘杖</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35813">
            <w:pPr>
              <w:widowControl/>
              <w:numPr>
                <w:ilvl w:val="0"/>
                <w:numId w:val="49"/>
              </w:numPr>
              <w:jc w:val="left"/>
              <w:textAlignment w:val="center"/>
              <w:rPr>
                <w:rStyle w:val="262"/>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 xml:space="preserve">规格尺寸：870mm-1070mm ±20%       </w:t>
            </w:r>
            <w:r>
              <w:rPr>
                <w:rFonts w:hint="eastAsia" w:ascii="宋体" w:hAnsi="宋体" w:eastAsia="宋体" w:cs="宋体"/>
                <w:color w:val="000000"/>
                <w:kern w:val="0"/>
                <w:sz w:val="24"/>
                <w:szCs w:val="24"/>
                <w:lang w:bidi="ar"/>
              </w:rPr>
              <w:br w:type="textWrapping"/>
            </w:r>
            <w:r>
              <w:rPr>
                <w:rStyle w:val="262"/>
                <w:rFonts w:hint="eastAsia" w:ascii="宋体" w:hAnsi="宋体" w:eastAsia="宋体" w:cs="宋体"/>
                <w:sz w:val="24"/>
                <w:szCs w:val="24"/>
                <w:lang w:bidi="ar"/>
              </w:rPr>
              <w:t>2）产品材质：优质铝合金，主体管直径≥22mm，壁厚≥1.2mm，腿部管直径≥19mm,壁厚≥1.2mm，表面防氧化处理</w:t>
            </w:r>
          </w:p>
          <w:p w14:paraId="29E17875">
            <w:pPr>
              <w:widowControl/>
              <w:jc w:val="left"/>
              <w:textAlignment w:val="center"/>
              <w:rPr>
                <w:rStyle w:val="262"/>
                <w:rFonts w:hint="eastAsia" w:ascii="宋体" w:hAnsi="宋体" w:eastAsia="宋体" w:cs="宋体"/>
                <w:sz w:val="24"/>
                <w:szCs w:val="24"/>
                <w:lang w:bidi="ar"/>
              </w:rPr>
            </w:pPr>
            <w:r>
              <w:rPr>
                <w:rStyle w:val="262"/>
                <w:rFonts w:hint="eastAsia" w:ascii="宋体" w:hAnsi="宋体" w:eastAsia="宋体" w:cs="宋体"/>
                <w:sz w:val="24"/>
                <w:szCs w:val="24"/>
                <w:lang w:bidi="ar"/>
              </w:rPr>
              <w:t>3）高度可调，9档调节，调节范围是870mm-1070mm。</w:t>
            </w:r>
          </w:p>
          <w:p w14:paraId="0E2EDC8A">
            <w:pPr>
              <w:widowControl/>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4）肘托采用工程聚丙材料一次注塑成型</w:t>
            </w:r>
          </w:p>
          <w:p w14:paraId="54C5A08B">
            <w:pPr>
              <w:widowControl/>
              <w:jc w:val="left"/>
              <w:textAlignment w:val="center"/>
              <w:rPr>
                <w:rFonts w:hint="eastAsia" w:ascii="宋体" w:hAnsi="宋体" w:eastAsia="宋体" w:cs="宋体"/>
                <w:color w:val="000000"/>
                <w:sz w:val="24"/>
                <w:szCs w:val="24"/>
              </w:rPr>
            </w:pPr>
            <w:r>
              <w:rPr>
                <w:rStyle w:val="262"/>
                <w:rFonts w:hint="eastAsia" w:ascii="宋体" w:hAnsi="宋体" w:eastAsia="宋体" w:cs="宋体"/>
                <w:sz w:val="24"/>
                <w:szCs w:val="24"/>
                <w:lang w:bidi="ar"/>
              </w:rPr>
              <w:t>5）脚垫采用耐磨、有弹性、表面摩擦系数较高的防滑橡胶材料。</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6A35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9819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副</w:t>
            </w:r>
          </w:p>
        </w:tc>
      </w:tr>
      <w:tr w14:paraId="6769766F">
        <w:tblPrEx>
          <w:tblCellMar>
            <w:top w:w="0" w:type="dxa"/>
            <w:left w:w="108" w:type="dxa"/>
            <w:bottom w:w="0" w:type="dxa"/>
            <w:right w:w="108" w:type="dxa"/>
          </w:tblCellMar>
        </w:tblPrEx>
        <w:trPr>
          <w:trHeight w:val="739"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4899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124</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574F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轮椅（舞蹈专用）</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46D5C">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1）主框架采用铝合金材质，管径是直径25*2mm</w:t>
            </w:r>
            <w:r>
              <w:rPr>
                <w:rStyle w:val="262"/>
                <w:rFonts w:hint="eastAsia" w:ascii="宋体" w:hAnsi="宋体" w:eastAsia="宋体" w:cs="宋体"/>
                <w:sz w:val="24"/>
                <w:szCs w:val="24"/>
                <w:lang w:bidi="ar"/>
              </w:rPr>
              <w:t>，高强度、 轻量化、耐腐蚀                                                                    2）框架表面双层塑粉静电喷塑处理，耐腐蚀，不易掉漆</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3）轮椅护板采用碳纤维材质，高强度，护板可快拆，高低可调节。</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4）坐板采用碳纤维材质，坐深尺寸可以前后调节，坐垫采用高密度海绵，透气网格座套布</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5）靠背底布采用高强度软绷布，靠背高低可以调节，靠背垫采用高密度海绵，透气网格座套布</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6）轮椅为固定框架设计，载重强度高。</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7）轮椅带有脚腿护管套和小腿挡带设计</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8）脚腿支架高低可以调节，脚踏板为碳纤维材质</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9）前小轮为2英寸免充气发光轮轮，双臂前叉，不锈钢万向轴，前轮带有防尘保护设计。</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10）轮椅带有舞蹈专用防倾轮设计</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11）后轮为可拆卸设计，24英寸，充气轮胎，12根辐条轮，方便放进汽车后备箱，携带方便</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B4AA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41BE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w:t>
            </w:r>
          </w:p>
        </w:tc>
      </w:tr>
      <w:tr w14:paraId="759A48DA">
        <w:tblPrEx>
          <w:tblCellMar>
            <w:top w:w="0" w:type="dxa"/>
            <w:left w:w="108" w:type="dxa"/>
            <w:bottom w:w="0" w:type="dxa"/>
            <w:right w:w="108" w:type="dxa"/>
          </w:tblCellMar>
        </w:tblPrEx>
        <w:trPr>
          <w:trHeight w:val="19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CF36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125</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8BEE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电视机</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5D1B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1）屏幕尺寸：≥55英寸</w:t>
            </w:r>
            <w:r>
              <w:rPr>
                <w:rFonts w:hint="eastAsia" w:ascii="宋体" w:hAnsi="宋体" w:eastAsia="宋体" w:cs="宋体"/>
                <w:color w:val="000000"/>
                <w:kern w:val="0"/>
                <w:sz w:val="24"/>
                <w:szCs w:val="24"/>
                <w:lang w:bidi="ar"/>
              </w:rPr>
              <w:br w:type="textWrapping"/>
            </w:r>
            <w:r>
              <w:rPr>
                <w:rStyle w:val="273"/>
                <w:rFonts w:hint="eastAsia" w:ascii="宋体" w:hAnsi="宋体" w:eastAsia="宋体" w:cs="宋体"/>
                <w:sz w:val="24"/>
                <w:szCs w:val="24"/>
                <w:lang w:bidi="ar"/>
              </w:rPr>
              <w:t>2）能效等级：一级能效</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3）支持语音控制</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4）网络连接方式：有线+无线</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5）屏幕分辨率：超高清（3840×2160）</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6）支持HDR显示</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7）屏幕比例：16:9（宽屏）</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8）光源类型：LED背光</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CD4E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5C286">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11B4F188">
        <w:tblPrEx>
          <w:tblCellMar>
            <w:top w:w="0" w:type="dxa"/>
            <w:left w:w="108" w:type="dxa"/>
            <w:bottom w:w="0" w:type="dxa"/>
            <w:right w:w="108" w:type="dxa"/>
          </w:tblCellMar>
        </w:tblPrEx>
        <w:trPr>
          <w:trHeight w:val="17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6558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126</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A549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电视机</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FBBE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1）屏幕分辨率：高清（1366×768）</w:t>
            </w:r>
            <w:r>
              <w:rPr>
                <w:rFonts w:hint="eastAsia" w:ascii="宋体" w:hAnsi="宋体" w:eastAsia="宋体" w:cs="宋体"/>
                <w:color w:val="000000"/>
                <w:kern w:val="0"/>
                <w:sz w:val="24"/>
                <w:szCs w:val="24"/>
                <w:lang w:bidi="ar"/>
              </w:rPr>
              <w:br w:type="textWrapping"/>
            </w:r>
            <w:r>
              <w:rPr>
                <w:rStyle w:val="273"/>
                <w:rFonts w:hint="eastAsia" w:ascii="宋体" w:hAnsi="宋体" w:eastAsia="宋体" w:cs="宋体"/>
                <w:sz w:val="24"/>
                <w:szCs w:val="24"/>
                <w:lang w:bidi="ar"/>
              </w:rPr>
              <w:t>2）屏幕比例：16:9（宽屏）</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3）光源类型：LED背光                                                                                                      4）屏幕尺寸：≥32英寸                                                                                                 5）含电视支架</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2CBB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EE58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21663EE8">
        <w:tblPrEx>
          <w:tblCellMar>
            <w:top w:w="0" w:type="dxa"/>
            <w:left w:w="108" w:type="dxa"/>
            <w:bottom w:w="0" w:type="dxa"/>
            <w:right w:w="108" w:type="dxa"/>
          </w:tblCellMar>
        </w:tblPrEx>
        <w:trPr>
          <w:trHeight w:val="23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80EF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127</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8F9B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热水器（电热水器）</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5D10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1）容积：≥60L</w:t>
            </w:r>
            <w:r>
              <w:rPr>
                <w:rFonts w:hint="eastAsia" w:ascii="宋体" w:hAnsi="宋体" w:eastAsia="宋体" w:cs="宋体"/>
                <w:color w:val="000000"/>
                <w:kern w:val="0"/>
                <w:sz w:val="24"/>
                <w:szCs w:val="24"/>
                <w:lang w:bidi="ar"/>
              </w:rPr>
              <w:br w:type="textWrapping"/>
            </w:r>
            <w:r>
              <w:rPr>
                <w:rStyle w:val="269"/>
                <w:rFonts w:hint="eastAsia" w:ascii="宋体" w:hAnsi="宋体" w:eastAsia="宋体" w:cs="宋体"/>
                <w:sz w:val="24"/>
                <w:szCs w:val="24"/>
                <w:lang w:bidi="ar"/>
              </w:rPr>
              <w:t>2）能效等级：一级能效</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3）加热功率：3000w</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4）加热方式：陶瓷发热</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5）加热体材质：陶瓷</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6）内胆材质：陶瓷</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7）加热温度：85℃</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8）防水等级：IPX4</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D532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082C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35E29FCE">
        <w:tblPrEx>
          <w:tblCellMar>
            <w:top w:w="0" w:type="dxa"/>
            <w:left w:w="108" w:type="dxa"/>
            <w:bottom w:w="0" w:type="dxa"/>
            <w:right w:w="108" w:type="dxa"/>
          </w:tblCellMar>
        </w:tblPrEx>
        <w:trPr>
          <w:trHeight w:val="7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27BE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128</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1558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浴厕推椅</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8D9C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1）尺寸：框架材质：铝合金，雾银表面工艺，管径≥25.4mm，管厚≥1.25mm，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总长：78cm</w:t>
            </w:r>
            <w:r>
              <w:rPr>
                <w:rStyle w:val="269"/>
                <w:rFonts w:hint="eastAsia" w:ascii="宋体" w:hAnsi="宋体" w:eastAsia="宋体" w:cs="宋体"/>
                <w:sz w:val="24"/>
                <w:szCs w:val="24"/>
                <w:lang w:bidi="ar"/>
              </w:rPr>
              <w:t>,总宽59cm,总高：99.5cm.座高53cm，座宽47.5cm，座深44cm；</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 xml:space="preserve">2）承重≥125KG； </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9B84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2FDC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w:t>
            </w:r>
          </w:p>
        </w:tc>
      </w:tr>
      <w:tr w14:paraId="79DFDB08">
        <w:tblPrEx>
          <w:tblCellMar>
            <w:top w:w="0" w:type="dxa"/>
            <w:left w:w="108" w:type="dxa"/>
            <w:bottom w:w="0" w:type="dxa"/>
            <w:right w:w="108" w:type="dxa"/>
          </w:tblCellMar>
        </w:tblPrEx>
        <w:trPr>
          <w:trHeight w:val="158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11B0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129</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B626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闪光门铃</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9B7C6">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1）外观采用雅光磨沙半透明设计，简洁大方，采用高亮度七色幻灯闪烁，大面积闪光强</w:t>
            </w:r>
            <w:r>
              <w:rPr>
                <w:rStyle w:val="262"/>
                <w:rFonts w:hint="eastAsia" w:ascii="宋体" w:hAnsi="宋体" w:eastAsia="宋体" w:cs="宋体"/>
                <w:sz w:val="24"/>
                <w:szCs w:val="24"/>
                <w:lang w:bidi="ar"/>
              </w:rPr>
              <w:t>,适合耳聋耳背者；</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2）具有三种工作模式:A、铃声+七彩闪灯  B、铃声+震动   C、七彩闪灯；</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3）具有≥32首音乐供选择；内置数码按钮铃音大小五级可供调节，闪灯颜色可选；</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4）接收器使用3节五号电池，遥控器使用1节12V23A电池，换用方便；</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5）接收器带支架，具有桌面立放和枕下平放以及佩挂于腰间三种安置方式；</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6）具有较强的抗干扰能力，空旷区域达200米有效距离；</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7）门铃尺寸:接收端:9*6.2*3.3cm，发射端:7.5*4*2cm；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8）配置：门铃接收端一个，发射端一个，一节七号电池，一块双面胶；</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151C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1B11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38863F16">
        <w:tblPrEx>
          <w:tblCellMar>
            <w:top w:w="0" w:type="dxa"/>
            <w:left w:w="108" w:type="dxa"/>
            <w:bottom w:w="0" w:type="dxa"/>
            <w:right w:w="108"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A451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130</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9559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热水器（电热水器）</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BDBD7">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1）容积：≥60L</w:t>
            </w:r>
            <w:r>
              <w:rPr>
                <w:rFonts w:hint="eastAsia" w:ascii="宋体" w:hAnsi="宋体" w:eastAsia="宋体" w:cs="宋体"/>
                <w:color w:val="000000"/>
                <w:kern w:val="0"/>
                <w:sz w:val="24"/>
                <w:szCs w:val="24"/>
                <w:lang w:bidi="ar"/>
              </w:rPr>
              <w:br w:type="textWrapping"/>
            </w:r>
            <w:r>
              <w:rPr>
                <w:rStyle w:val="269"/>
                <w:rFonts w:hint="eastAsia" w:ascii="宋体" w:hAnsi="宋体" w:eastAsia="宋体" w:cs="宋体"/>
                <w:sz w:val="24"/>
                <w:szCs w:val="24"/>
                <w:lang w:bidi="ar"/>
              </w:rPr>
              <w:t>2）能效等级：一级能效</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3）加热功率：3000w</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4）加热方式：陶瓷发热</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5）加热体材质：陶瓷</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6）内胆材质：陶瓷</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7）加热温度：85℃</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8）防水等级：IPX4</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7899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A17F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258C757A">
        <w:tblPrEx>
          <w:tblCellMar>
            <w:top w:w="0" w:type="dxa"/>
            <w:left w:w="108" w:type="dxa"/>
            <w:bottom w:w="0" w:type="dxa"/>
            <w:right w:w="108" w:type="dxa"/>
          </w:tblCellMar>
        </w:tblPrEx>
        <w:trPr>
          <w:trHeight w:val="19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D0B6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131</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B4C1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热水器（电热水器）</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5AD82">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1）容积：≥60L</w:t>
            </w:r>
            <w:r>
              <w:rPr>
                <w:rFonts w:hint="eastAsia" w:ascii="宋体" w:hAnsi="宋体" w:eastAsia="宋体" w:cs="宋体"/>
                <w:color w:val="000000"/>
                <w:kern w:val="0"/>
                <w:sz w:val="24"/>
                <w:szCs w:val="24"/>
                <w:lang w:bidi="ar"/>
              </w:rPr>
              <w:br w:type="textWrapping"/>
            </w:r>
            <w:r>
              <w:rPr>
                <w:rStyle w:val="269"/>
                <w:rFonts w:hint="eastAsia" w:ascii="宋体" w:hAnsi="宋体" w:eastAsia="宋体" w:cs="宋体"/>
                <w:sz w:val="24"/>
                <w:szCs w:val="24"/>
                <w:lang w:bidi="ar"/>
              </w:rPr>
              <w:t>2）能效等级：一级能效</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3）加热功率：3000w</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4）加热方式：陶瓷发热</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5）加热体材质：陶瓷</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6）内胆材质：陶瓷</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7）加热温度：85℃</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8）防水等级：IPX4</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5D6D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330A6">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3152B023">
        <w:tblPrEx>
          <w:tblCellMar>
            <w:top w:w="0" w:type="dxa"/>
            <w:left w:w="108" w:type="dxa"/>
            <w:bottom w:w="0" w:type="dxa"/>
            <w:right w:w="108" w:type="dxa"/>
          </w:tblCellMar>
        </w:tblPrEx>
        <w:trPr>
          <w:trHeight w:val="16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5078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132</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F936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电视机</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22697">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1）屏幕分辨率：高清（1366×768）</w:t>
            </w:r>
            <w:r>
              <w:rPr>
                <w:rFonts w:hint="eastAsia" w:ascii="宋体" w:hAnsi="宋体" w:eastAsia="宋体" w:cs="宋体"/>
                <w:color w:val="000000"/>
                <w:kern w:val="0"/>
                <w:sz w:val="24"/>
                <w:szCs w:val="24"/>
                <w:lang w:bidi="ar"/>
              </w:rPr>
              <w:br w:type="textWrapping"/>
            </w:r>
            <w:r>
              <w:rPr>
                <w:rStyle w:val="273"/>
                <w:rFonts w:hint="eastAsia" w:ascii="宋体" w:hAnsi="宋体" w:eastAsia="宋体" w:cs="宋体"/>
                <w:sz w:val="24"/>
                <w:szCs w:val="24"/>
                <w:lang w:bidi="ar"/>
              </w:rPr>
              <w:t>2）屏幕比例：16:9（宽屏）</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3）光源类型：LED背光</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4）能效等级：二级能效                                                                                                            5）屏幕尺寸：≥32英寸                                                                                                 6）含电视支架</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BD05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C7EE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0C1921B8">
        <w:tblPrEx>
          <w:tblCellMar>
            <w:top w:w="0" w:type="dxa"/>
            <w:left w:w="108" w:type="dxa"/>
            <w:bottom w:w="0" w:type="dxa"/>
            <w:right w:w="108" w:type="dxa"/>
          </w:tblCellMar>
        </w:tblPrEx>
        <w:trPr>
          <w:trHeight w:val="22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0DDF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133</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F532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闪光门铃</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ABB20">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1）外观采用雅光磨沙半透明设计，采用高亮度七色幻灯闪烁，大面积闪光强</w:t>
            </w:r>
            <w:r>
              <w:rPr>
                <w:rStyle w:val="262"/>
                <w:rFonts w:hint="eastAsia" w:ascii="宋体" w:hAnsi="宋体" w:eastAsia="宋体" w:cs="宋体"/>
                <w:sz w:val="24"/>
                <w:szCs w:val="24"/>
                <w:lang w:bidi="ar"/>
              </w:rPr>
              <w:t>,适合耳聋耳背者；</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2）具有三种工作模式:A、铃声+七彩闪灯  B、铃声+震动   C、七彩闪灯；</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3）具有≥32首音乐供选择；内置数码按钮铃音大小五级可供调节，闪灯颜色可选；</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4）接收器使用3节五号电池，遥控器使用1节12V23A电池，换用方便；</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5）接收器带支架，具有桌面立放和枕下平放以及佩挂于腰间三种安置方式；</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6）具有较强的抗干扰能力，空旷区域达200米有效距离；</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7）门铃尺寸:接收端:9*6.2*3.3cm，发射端:7.5*4*2cm；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8）配置：门铃接收端一个，发射端一个，一节七号电池，一块双面胶；</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F474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4619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6D9345E4">
        <w:tblPrEx>
          <w:tblCellMar>
            <w:top w:w="0" w:type="dxa"/>
            <w:left w:w="108" w:type="dxa"/>
            <w:bottom w:w="0" w:type="dxa"/>
            <w:right w:w="108" w:type="dxa"/>
          </w:tblCellMar>
        </w:tblPrEx>
        <w:trPr>
          <w:trHeight w:val="178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ED2A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134</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0C3E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饮水机(净水器)</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6A371">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1）制水流速：0.52L/min</w:t>
            </w:r>
            <w:r>
              <w:rPr>
                <w:rFonts w:hint="eastAsia" w:ascii="宋体" w:hAnsi="宋体" w:eastAsia="宋体" w:cs="宋体"/>
                <w:color w:val="000000"/>
                <w:kern w:val="0"/>
                <w:sz w:val="24"/>
                <w:szCs w:val="24"/>
                <w:lang w:bidi="ar"/>
              </w:rPr>
              <w:br w:type="textWrapping"/>
            </w:r>
            <w:r>
              <w:rPr>
                <w:rStyle w:val="269"/>
                <w:rFonts w:hint="eastAsia" w:ascii="宋体" w:hAnsi="宋体" w:eastAsia="宋体" w:cs="宋体"/>
                <w:sz w:val="24"/>
                <w:szCs w:val="24"/>
                <w:lang w:bidi="ar"/>
              </w:rPr>
              <w:t>2）额定净水量：3000L</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3）水效等级：二级</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4）水压范围：0.1Mpa-0.4Mpa</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5）滤芯级数：5级</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6）额定功率：1500W</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B67D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C5B76">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4EF17017">
        <w:tblPrEx>
          <w:tblCellMar>
            <w:top w:w="0" w:type="dxa"/>
            <w:left w:w="108" w:type="dxa"/>
            <w:bottom w:w="0" w:type="dxa"/>
            <w:right w:w="108" w:type="dxa"/>
          </w:tblCellMar>
        </w:tblPrEx>
        <w:trPr>
          <w:trHeight w:val="44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36CE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135</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370D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洗衣机</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2998C">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1）转速：≥1400转/分</w:t>
            </w:r>
            <w:r>
              <w:rPr>
                <w:rFonts w:hint="eastAsia" w:ascii="宋体" w:hAnsi="宋体" w:eastAsia="宋体" w:cs="宋体"/>
                <w:color w:val="000000"/>
                <w:kern w:val="0"/>
                <w:sz w:val="24"/>
                <w:szCs w:val="24"/>
                <w:lang w:bidi="ar"/>
              </w:rPr>
              <w:br w:type="textWrapping"/>
            </w:r>
            <w:r>
              <w:rPr>
                <w:rStyle w:val="273"/>
                <w:rFonts w:hint="eastAsia" w:ascii="宋体" w:hAnsi="宋体" w:eastAsia="宋体" w:cs="宋体"/>
                <w:sz w:val="24"/>
                <w:szCs w:val="24"/>
                <w:lang w:bidi="ar"/>
              </w:rPr>
              <w:t>2）洗衣程序：混合、除螨、纯棉、羊毛、童装、衬衣、家纺、筒自洁、快洗、巴氏除菌、空气洗、单烘、羽绒、漂脱、单脱、预约、烘干、特渍洗、一键智洗</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3）开门方式：侧开</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4）排水方式：上排水</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5）显示屏：彩色屏</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6）内桶材质：不锈钢</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7）箱体材料：PCM彩板</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8）洗净比：1.16</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9）洗衣容量：10kg</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10）洗涤功率：200w</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11）脱水容量：10kg</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12）脱水功率：600w</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13）烘干容量：6kg</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14）洗涤噪音：40db</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15）能效等级：一级能效                                                                                                         16) 洗衣烘干一体</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D12E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8F02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r>
      <w:tr w14:paraId="6FF136EB">
        <w:tblPrEx>
          <w:tblCellMar>
            <w:top w:w="0" w:type="dxa"/>
            <w:left w:w="108" w:type="dxa"/>
            <w:bottom w:w="0" w:type="dxa"/>
            <w:right w:w="108" w:type="dxa"/>
          </w:tblCellMar>
        </w:tblPrEx>
        <w:trPr>
          <w:trHeight w:val="20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F166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136</w:t>
            </w:r>
          </w:p>
        </w:tc>
        <w:tc>
          <w:tcPr>
            <w:tcW w:w="2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52A9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热水器(燃气热水器)</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CB35D">
            <w:pPr>
              <w:widowControl/>
              <w:jc w:val="left"/>
              <w:textAlignment w:val="center"/>
              <w:rPr>
                <w:rFonts w:hint="eastAsia" w:ascii="宋体" w:hAnsi="宋体" w:eastAsia="宋体" w:cs="宋体"/>
                <w:color w:val="000000"/>
                <w:sz w:val="24"/>
                <w:szCs w:val="24"/>
              </w:rPr>
            </w:pPr>
            <w:r>
              <w:rPr>
                <w:rStyle w:val="269"/>
                <w:rFonts w:hint="eastAsia" w:ascii="宋体" w:hAnsi="宋体" w:eastAsia="宋体" w:cs="宋体"/>
                <w:sz w:val="24"/>
                <w:szCs w:val="24"/>
                <w:lang w:bidi="ar"/>
              </w:rPr>
              <w:t>1）额定电压：220V</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2）热水产率：16L/min</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3）能效等级：二级能效</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4）气源：天然气</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5）控制方式：触摸控制</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6）排气方式：强排式</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7）面板材质：钢化玻璃</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E5D2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615C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r>
      <w:tr w14:paraId="540085D6">
        <w:tblPrEx>
          <w:tblCellMar>
            <w:top w:w="0" w:type="dxa"/>
            <w:left w:w="108" w:type="dxa"/>
            <w:bottom w:w="0" w:type="dxa"/>
            <w:right w:w="108" w:type="dxa"/>
          </w:tblCellMar>
        </w:tblPrEx>
        <w:trPr>
          <w:trHeight w:val="44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2C6A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137</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B288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洗衣机</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A0781">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1）转速：1400转/分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2）洗衣程序：混合、除螨、纯棉、羊毛、童装、衬衣、家纺、筒自洁、快洗、巴氏除菌、空气洗、单烘、羽绒、漂脱、单脱、预约、烘干、特渍洗、一键智洗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3）开门方式：侧开</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4）排水方式：上排水</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5）显示屏：彩色屏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6）内桶材质：不锈钢</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7）箱体材料：PCM彩板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8）洗净比：1.16</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9）洗衣容量：10kg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10）洗涤功率：200w</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11）脱水容量：10kg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12）脱水功率：600w</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13）烘干容量：6kg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14）洗涤噪音：40db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15）能效等级：一级能效                                                                                                         16) 洗衣烘干一体</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B923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398E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r>
      <w:tr w14:paraId="3B61472A">
        <w:tblPrEx>
          <w:tblCellMar>
            <w:top w:w="0" w:type="dxa"/>
            <w:left w:w="108" w:type="dxa"/>
            <w:bottom w:w="0" w:type="dxa"/>
            <w:right w:w="108" w:type="dxa"/>
          </w:tblCellMar>
        </w:tblPrEx>
        <w:trPr>
          <w:trHeight w:val="13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E2D5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138</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BCF9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熨烫机（蒸汽熨斗）</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B862C">
            <w:pPr>
              <w:widowControl/>
              <w:jc w:val="left"/>
              <w:textAlignment w:val="center"/>
              <w:rPr>
                <w:rFonts w:hint="eastAsia" w:ascii="宋体" w:hAnsi="宋体" w:eastAsia="宋体" w:cs="宋体"/>
                <w:color w:val="000000"/>
                <w:sz w:val="24"/>
                <w:szCs w:val="24"/>
              </w:rPr>
            </w:pPr>
            <w:r>
              <w:rPr>
                <w:rStyle w:val="269"/>
                <w:rFonts w:hint="eastAsia" w:ascii="宋体" w:hAnsi="宋体" w:eastAsia="宋体" w:cs="宋体"/>
                <w:sz w:val="24"/>
                <w:szCs w:val="24"/>
                <w:lang w:bidi="ar"/>
              </w:rPr>
              <w:t>1）额定功率：1000W</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2）水箱容量：110ml</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3）手柄调节：180°</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4）电源线长度：1.5m</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8FAB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A494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2B58238B">
        <w:tblPrEx>
          <w:tblCellMar>
            <w:top w:w="0" w:type="dxa"/>
            <w:left w:w="108" w:type="dxa"/>
            <w:bottom w:w="0" w:type="dxa"/>
            <w:right w:w="108" w:type="dxa"/>
          </w:tblCellMar>
        </w:tblPrEx>
        <w:trPr>
          <w:trHeight w:val="14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CEBA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139</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6C44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电视机</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4F58F">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1）屏幕分辨率：高清（1366×768）</w:t>
            </w:r>
            <w:r>
              <w:rPr>
                <w:rFonts w:hint="eastAsia" w:ascii="宋体" w:hAnsi="宋体" w:eastAsia="宋体" w:cs="宋体"/>
                <w:color w:val="000000"/>
                <w:kern w:val="0"/>
                <w:sz w:val="24"/>
                <w:szCs w:val="24"/>
                <w:lang w:bidi="ar"/>
              </w:rPr>
              <w:br w:type="textWrapping"/>
            </w:r>
            <w:r>
              <w:rPr>
                <w:rStyle w:val="273"/>
                <w:rFonts w:hint="eastAsia" w:ascii="宋体" w:hAnsi="宋体" w:eastAsia="宋体" w:cs="宋体"/>
                <w:sz w:val="24"/>
                <w:szCs w:val="24"/>
                <w:lang w:bidi="ar"/>
              </w:rPr>
              <w:t>2）屏幕比例：16:9（宽屏）</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3）光源类型：LED背光</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4）能效等级：二级能效</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5）屏幕尺寸：32英寸</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 xml:space="preserve">6）含电视支架 </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1502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42CE6">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518A8B63">
        <w:tblPrEx>
          <w:tblCellMar>
            <w:top w:w="0" w:type="dxa"/>
            <w:left w:w="108" w:type="dxa"/>
            <w:bottom w:w="0" w:type="dxa"/>
            <w:right w:w="108" w:type="dxa"/>
          </w:tblCellMar>
        </w:tblPrEx>
        <w:trPr>
          <w:trHeight w:val="2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44E0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140</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B0B1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电视机</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2E631">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反显电视机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1）屏幕尺寸：≥55英寸</w:t>
            </w:r>
            <w:r>
              <w:rPr>
                <w:rFonts w:hint="eastAsia" w:ascii="宋体" w:hAnsi="宋体" w:eastAsia="宋体" w:cs="宋体"/>
                <w:color w:val="000000"/>
                <w:kern w:val="0"/>
                <w:sz w:val="24"/>
                <w:szCs w:val="24"/>
                <w:lang w:bidi="ar"/>
              </w:rPr>
              <w:br w:type="textWrapping"/>
            </w:r>
            <w:r>
              <w:rPr>
                <w:rStyle w:val="273"/>
                <w:rFonts w:hint="eastAsia" w:ascii="宋体" w:hAnsi="宋体" w:eastAsia="宋体" w:cs="宋体"/>
                <w:sz w:val="24"/>
                <w:szCs w:val="24"/>
                <w:lang w:bidi="ar"/>
              </w:rPr>
              <w:t>2）能效等级：一级能效</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3）支持语音控制</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4）网络连接方式：有线+无线</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5）屏幕分辨率：超高清（3840×2160）</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6）支持HDR显示</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7）屏幕比例：16:9（宽屏）</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8）光源类型：LED背光</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9）含反转支架</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4C0B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A1C0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14343A6F">
        <w:tblPrEx>
          <w:tblCellMar>
            <w:top w:w="0" w:type="dxa"/>
            <w:left w:w="108" w:type="dxa"/>
            <w:bottom w:w="0" w:type="dxa"/>
            <w:right w:w="108" w:type="dxa"/>
          </w:tblCellMar>
        </w:tblPrEx>
        <w:trPr>
          <w:trHeight w:val="48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58BA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141</w:t>
            </w:r>
          </w:p>
        </w:tc>
        <w:tc>
          <w:tcPr>
            <w:tcW w:w="2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E54E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餐具（带盖水杯）</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A328D">
            <w:pPr>
              <w:widowControl/>
              <w:numPr>
                <w:ilvl w:val="0"/>
                <w:numId w:val="50"/>
              </w:numPr>
              <w:jc w:val="left"/>
              <w:textAlignment w:val="center"/>
              <w:rPr>
                <w:rStyle w:val="55"/>
                <w:rFonts w:hint="eastAsia" w:ascii="宋体" w:hAnsi="宋体" w:eastAsia="宋体" w:cs="宋体"/>
                <w:sz w:val="24"/>
                <w:szCs w:val="24"/>
              </w:rPr>
            </w:pPr>
            <w:r>
              <w:rPr>
                <w:rFonts w:hint="eastAsia" w:ascii="宋体" w:hAnsi="宋体" w:eastAsia="宋体" w:cs="宋体"/>
                <w:color w:val="000000"/>
                <w:kern w:val="0"/>
                <w:sz w:val="24"/>
                <w:szCs w:val="24"/>
                <w:lang w:bidi="ar"/>
              </w:rPr>
              <w:t>单只容量≥400ml</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2）1套为10只</w:t>
            </w:r>
          </w:p>
          <w:p w14:paraId="4F8B326C">
            <w:pPr>
              <w:widowControl/>
              <w:jc w:val="left"/>
              <w:textAlignment w:val="center"/>
              <w:rPr>
                <w:rStyle w:val="273"/>
                <w:rFonts w:hint="eastAsia" w:ascii="宋体" w:hAnsi="宋体" w:eastAsia="宋体" w:cs="宋体"/>
                <w:sz w:val="24"/>
                <w:szCs w:val="24"/>
                <w:lang w:bidi="ar"/>
              </w:rPr>
            </w:pPr>
            <w:r>
              <w:rPr>
                <w:rStyle w:val="273"/>
                <w:rFonts w:hint="eastAsia" w:ascii="宋体" w:hAnsi="宋体" w:eastAsia="宋体" w:cs="宋体"/>
                <w:sz w:val="24"/>
                <w:szCs w:val="24"/>
                <w:lang w:bidi="ar"/>
              </w:rPr>
              <w:t>3）材质：优质陶瓷</w:t>
            </w:r>
          </w:p>
          <w:p w14:paraId="17AA5FBF">
            <w:pPr>
              <w:widowControl/>
              <w:jc w:val="left"/>
              <w:textAlignment w:val="center"/>
              <w:rPr>
                <w:rFonts w:hint="eastAsia" w:ascii="宋体" w:hAnsi="宋体" w:eastAsia="宋体" w:cs="宋体"/>
                <w:sz w:val="24"/>
                <w:szCs w:val="24"/>
              </w:rPr>
            </w:pPr>
            <w:r>
              <w:rPr>
                <w:rStyle w:val="273"/>
                <w:rFonts w:hint="eastAsia" w:ascii="宋体" w:hAnsi="宋体" w:eastAsia="宋体" w:cs="宋体"/>
                <w:sz w:val="24"/>
                <w:szCs w:val="24"/>
                <w:lang w:bidi="ar"/>
              </w:rPr>
              <w:t>4）喝水用杯</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0F61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8DD76">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2771900B">
        <w:tblPrEx>
          <w:tblCellMar>
            <w:top w:w="0" w:type="dxa"/>
            <w:left w:w="108" w:type="dxa"/>
            <w:bottom w:w="0" w:type="dxa"/>
            <w:right w:w="108" w:type="dxa"/>
          </w:tblCellMar>
        </w:tblPrEx>
        <w:trPr>
          <w:trHeight w:val="76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1452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142</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AC21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电视机</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3699D">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辅助显示电视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1）屏幕尺寸：≥55英寸</w:t>
            </w:r>
            <w:r>
              <w:rPr>
                <w:rFonts w:hint="eastAsia" w:ascii="宋体" w:hAnsi="宋体" w:eastAsia="宋体" w:cs="宋体"/>
                <w:color w:val="000000"/>
                <w:kern w:val="0"/>
                <w:sz w:val="24"/>
                <w:szCs w:val="24"/>
                <w:lang w:bidi="ar"/>
              </w:rPr>
              <w:br w:type="textWrapping"/>
            </w:r>
            <w:r>
              <w:rPr>
                <w:rStyle w:val="273"/>
                <w:rFonts w:hint="eastAsia" w:ascii="宋体" w:hAnsi="宋体" w:eastAsia="宋体" w:cs="宋体"/>
                <w:sz w:val="24"/>
                <w:szCs w:val="24"/>
                <w:lang w:bidi="ar"/>
              </w:rPr>
              <w:t>2）能效等级：一级能效</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3）支持语音控制</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4）网络连接方式：有线+无线</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5）屏幕分辨率：超高清（3840×2160）</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6）支持HDR显示</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7）屏幕比例：16:9（宽屏）</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8）光源类型：LED背光</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4E8E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F1AC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7B583957">
        <w:tblPrEx>
          <w:tblCellMar>
            <w:top w:w="0" w:type="dxa"/>
            <w:left w:w="108" w:type="dxa"/>
            <w:bottom w:w="0" w:type="dxa"/>
            <w:right w:w="108" w:type="dxa"/>
          </w:tblCellMar>
        </w:tblPrEx>
        <w:trPr>
          <w:trHeight w:val="68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491A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143</w:t>
            </w:r>
          </w:p>
        </w:tc>
        <w:tc>
          <w:tcPr>
            <w:tcW w:w="2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5F91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餐具（带盖水杯）</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4457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1）容量≥400ml</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2）10只装</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8B8F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42F16">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29510DF4">
        <w:tblPrEx>
          <w:tblCellMar>
            <w:top w:w="0" w:type="dxa"/>
            <w:left w:w="108" w:type="dxa"/>
            <w:bottom w:w="0" w:type="dxa"/>
            <w:right w:w="108" w:type="dxa"/>
          </w:tblCellMar>
        </w:tblPrEx>
        <w:trPr>
          <w:trHeight w:val="26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E40F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144</w:t>
            </w:r>
          </w:p>
        </w:tc>
        <w:tc>
          <w:tcPr>
            <w:tcW w:w="2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AB2E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电视机（液晶电视）</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7A0F9">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1）屏幕尺寸：≥55英寸</w:t>
            </w:r>
            <w:r>
              <w:rPr>
                <w:rFonts w:hint="eastAsia" w:ascii="宋体" w:hAnsi="宋体" w:eastAsia="宋体" w:cs="宋体"/>
                <w:color w:val="000000"/>
                <w:kern w:val="0"/>
                <w:sz w:val="24"/>
                <w:szCs w:val="24"/>
                <w:lang w:bidi="ar"/>
              </w:rPr>
              <w:br w:type="textWrapping"/>
            </w:r>
            <w:r>
              <w:rPr>
                <w:rStyle w:val="273"/>
                <w:rFonts w:hint="eastAsia" w:ascii="宋体" w:hAnsi="宋体" w:eastAsia="宋体" w:cs="宋体"/>
                <w:sz w:val="24"/>
                <w:szCs w:val="24"/>
                <w:lang w:bidi="ar"/>
              </w:rPr>
              <w:t>2）能效等级：一级能效</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3）支持语音控制</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4）网络连接方式：有线+无线</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5）屏幕分辨率：超高清（3840×2160）</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6）支持HDR显示</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7）屏幕比例：16:9（宽屏）</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8）光源类型：LED背光</w:t>
            </w:r>
            <w:r>
              <w:rPr>
                <w:rStyle w:val="273"/>
                <w:rFonts w:hint="eastAsia" w:ascii="宋体" w:hAnsi="宋体" w:eastAsia="宋体" w:cs="宋体"/>
                <w:sz w:val="24"/>
                <w:szCs w:val="24"/>
                <w:lang w:bidi="ar"/>
              </w:rPr>
              <w:br w:type="textWrapping"/>
            </w:r>
            <w:r>
              <w:rPr>
                <w:rStyle w:val="273"/>
                <w:rFonts w:hint="eastAsia" w:ascii="宋体" w:hAnsi="宋体" w:eastAsia="宋体" w:cs="宋体"/>
                <w:sz w:val="24"/>
                <w:szCs w:val="24"/>
                <w:lang w:bidi="ar"/>
              </w:rPr>
              <w:t>9）含可移动电视支架（50-120英寸）</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4E6C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E98E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075D4351">
        <w:tblPrEx>
          <w:tblCellMar>
            <w:top w:w="0" w:type="dxa"/>
            <w:left w:w="108" w:type="dxa"/>
            <w:bottom w:w="0" w:type="dxa"/>
            <w:right w:w="108" w:type="dxa"/>
          </w:tblCellMar>
        </w:tblPrEx>
        <w:trPr>
          <w:trHeight w:val="7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399B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145</w:t>
            </w:r>
          </w:p>
        </w:tc>
        <w:tc>
          <w:tcPr>
            <w:tcW w:w="2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E71B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餐具（带盖水杯）</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65818">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1）容量≥400ml</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2）10只装</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A552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B0B0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654B5D92">
        <w:tblPrEx>
          <w:tblCellMar>
            <w:top w:w="0" w:type="dxa"/>
            <w:left w:w="108" w:type="dxa"/>
            <w:bottom w:w="0" w:type="dxa"/>
            <w:right w:w="108" w:type="dxa"/>
          </w:tblCellMar>
        </w:tblPrEx>
        <w:trPr>
          <w:trHeight w:val="19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0040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146</w:t>
            </w:r>
          </w:p>
        </w:tc>
        <w:tc>
          <w:tcPr>
            <w:tcW w:w="2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E634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热水器（电厨宝）</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C1A8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r>
              <w:rPr>
                <w:rStyle w:val="269"/>
                <w:rFonts w:hint="eastAsia" w:ascii="宋体" w:hAnsi="宋体" w:eastAsia="宋体" w:cs="宋体"/>
                <w:sz w:val="24"/>
                <w:szCs w:val="24"/>
                <w:lang w:bidi="ar"/>
              </w:rPr>
              <w:t>额定功率：1800W</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2）能效等级：一级能效</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3）额定压力：0.8MPa</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4）温度范围：常温到75℃</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5）防水等级：IPX4</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6）额定容量：≥6.5L</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7）内胆材质：搪瓷</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8）热水输出率：70%</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E1DD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71</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8EA4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r w14:paraId="77B7C850">
        <w:tblPrEx>
          <w:tblCellMar>
            <w:top w:w="0" w:type="dxa"/>
            <w:left w:w="108" w:type="dxa"/>
            <w:bottom w:w="0" w:type="dxa"/>
            <w:right w:w="108" w:type="dxa"/>
          </w:tblCellMar>
        </w:tblPrEx>
        <w:trPr>
          <w:trHeight w:val="168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7BD2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147</w:t>
            </w:r>
          </w:p>
        </w:tc>
        <w:tc>
          <w:tcPr>
            <w:tcW w:w="2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CE69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热水器（电厨宝）</w:t>
            </w:r>
          </w:p>
        </w:tc>
        <w:tc>
          <w:tcPr>
            <w:tcW w:w="6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E2111">
            <w:pPr>
              <w:widowControl/>
              <w:jc w:val="left"/>
              <w:textAlignment w:val="center"/>
              <w:rPr>
                <w:rFonts w:hint="eastAsia" w:ascii="宋体" w:hAnsi="宋体" w:eastAsia="宋体" w:cs="宋体"/>
                <w:color w:val="000000"/>
                <w:sz w:val="24"/>
                <w:szCs w:val="24"/>
              </w:rPr>
            </w:pPr>
            <w:r>
              <w:rPr>
                <w:rStyle w:val="269"/>
                <w:rFonts w:hint="eastAsia" w:ascii="宋体" w:hAnsi="宋体" w:eastAsia="宋体" w:cs="宋体"/>
                <w:sz w:val="24"/>
                <w:szCs w:val="24"/>
                <w:lang w:bidi="ar"/>
              </w:rPr>
              <w:t>1）额定功率：2000W</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2）能效等级：二级能效</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3）额定压力：0.8MPa</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4）容量：≥10L</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5）温度范围：常温到75℃</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6）防水等级：IPX4</w:t>
            </w:r>
            <w:r>
              <w:rPr>
                <w:rStyle w:val="269"/>
                <w:rFonts w:hint="eastAsia" w:ascii="宋体" w:hAnsi="宋体" w:eastAsia="宋体" w:cs="宋体"/>
                <w:sz w:val="24"/>
                <w:szCs w:val="24"/>
                <w:lang w:bidi="ar"/>
              </w:rPr>
              <w:br w:type="textWrapping"/>
            </w:r>
            <w:r>
              <w:rPr>
                <w:rStyle w:val="269"/>
                <w:rFonts w:hint="eastAsia" w:ascii="宋体" w:hAnsi="宋体" w:eastAsia="宋体" w:cs="宋体"/>
                <w:sz w:val="24"/>
                <w:szCs w:val="24"/>
                <w:lang w:bidi="ar"/>
              </w:rPr>
              <w:t>7）内胆材质：搪瓷</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7717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8D37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r>
    </w:tbl>
    <w:p w14:paraId="0BEDCFE2">
      <w:pPr>
        <w:pStyle w:val="3"/>
        <w:numPr>
          <w:ilvl w:val="1"/>
          <w:numId w:val="0"/>
        </w:numPr>
        <w:bidi w:val="0"/>
        <w:ind w:leftChars="0"/>
        <w:rPr>
          <w:rFonts w:hint="eastAsia"/>
          <w:lang w:eastAsia="zh-CN"/>
        </w:rPr>
      </w:pPr>
      <w:r>
        <w:rPr>
          <w:rFonts w:hint="eastAsia" w:ascii="宋体" w:hAnsi="宋体" w:eastAsia="宋体" w:cs="宋体"/>
        </w:rPr>
        <w:br w:type="textWrapping"/>
      </w:r>
      <w:r>
        <w:rPr>
          <w:rFonts w:hint="eastAsia" w:cs="宋体"/>
          <w:lang w:val="en-US" w:eastAsia="zh-CN"/>
        </w:rPr>
        <w:t>十一</w:t>
      </w:r>
      <w:r>
        <w:rPr>
          <w:rFonts w:hint="eastAsia"/>
          <w:lang w:val="en-US" w:eastAsia="zh-CN"/>
        </w:rPr>
        <w:t>、</w:t>
      </w:r>
      <w:r>
        <w:rPr>
          <w:rStyle w:val="269"/>
          <w:rFonts w:hint="eastAsia"/>
          <w:b w:val="0"/>
          <w:bCs w:val="0"/>
          <w:kern w:val="2"/>
          <w:sz w:val="24"/>
          <w:szCs w:val="24"/>
          <w:lang w:val="en-US" w:eastAsia="zh-CN" w:bidi="ar"/>
        </w:rPr>
        <w:t>进口产品：</w:t>
      </w:r>
    </w:p>
    <w:p w14:paraId="328F5D29">
      <w:pPr>
        <w:widowControl/>
        <w:jc w:val="left"/>
        <w:textAlignment w:val="center"/>
        <w:rPr>
          <w:rFonts w:hint="eastAsia" w:ascii="宋体" w:hAnsi="宋体" w:eastAsia="宋体" w:cs="宋体"/>
        </w:rPr>
      </w:pPr>
      <w:r>
        <w:rPr>
          <w:rStyle w:val="269"/>
          <w:rFonts w:hint="eastAsia" w:ascii="宋体" w:hAnsi="宋体" w:eastAsia="宋体" w:cs="宋体"/>
          <w:sz w:val="24"/>
          <w:szCs w:val="24"/>
          <w:lang w:bidi="ar"/>
        </w:rPr>
        <w:t>本项目不接受进口产品。</w:t>
      </w:r>
      <w:r>
        <w:rPr>
          <w:rFonts w:hint="eastAsia" w:ascii="宋体" w:hAnsi="宋体" w:eastAsia="宋体" w:cs="宋体"/>
          <w:szCs w:val="24"/>
        </w:rPr>
        <w:br w:type="textWrapping"/>
      </w:r>
      <w:r>
        <w:rPr>
          <w:rFonts w:hint="eastAsia" w:ascii="宋体" w:hAnsi="宋体" w:eastAsia="宋体" w:cs="宋体"/>
        </w:rPr>
        <w:br w:type="page"/>
      </w:r>
    </w:p>
    <w:p w14:paraId="2A27F172">
      <w:pPr>
        <w:pStyle w:val="4"/>
        <w:numPr>
          <w:ilvl w:val="2"/>
          <w:numId w:val="0"/>
        </w:numPr>
        <w:bidi w:val="0"/>
        <w:ind w:left="567" w:leftChars="0"/>
        <w:jc w:val="center"/>
        <w:rPr>
          <w:rFonts w:hint="eastAsia"/>
          <w:b/>
          <w:bCs/>
          <w:sz w:val="28"/>
          <w:szCs w:val="28"/>
          <w:lang w:eastAsia="zh-CN"/>
        </w:rPr>
      </w:pPr>
      <w:r>
        <w:rPr>
          <w:rFonts w:hint="eastAsia"/>
          <w:b/>
          <w:bCs/>
          <w:sz w:val="28"/>
          <w:szCs w:val="28"/>
        </w:rPr>
        <w:t>采购需求</w:t>
      </w:r>
      <w:r>
        <w:rPr>
          <w:rFonts w:hint="eastAsia"/>
          <w:b/>
          <w:bCs/>
          <w:sz w:val="28"/>
          <w:szCs w:val="28"/>
          <w:lang w:eastAsia="zh-CN"/>
        </w:rPr>
        <w:t>（</w:t>
      </w:r>
      <w:r>
        <w:rPr>
          <w:rFonts w:hint="eastAsia"/>
          <w:b/>
          <w:bCs/>
          <w:sz w:val="28"/>
          <w:szCs w:val="28"/>
          <w:lang w:val="en-US" w:eastAsia="zh-CN"/>
        </w:rPr>
        <w:t>第二包</w:t>
      </w:r>
      <w:r>
        <w:rPr>
          <w:rFonts w:hint="eastAsia"/>
          <w:b/>
          <w:bCs/>
          <w:sz w:val="28"/>
          <w:szCs w:val="28"/>
          <w:lang w:eastAsia="zh-CN"/>
        </w:rPr>
        <w:t>）</w:t>
      </w:r>
    </w:p>
    <w:p w14:paraId="6E0F01A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1、本包最高限价：</w:t>
      </w:r>
      <w:r>
        <w:rPr>
          <w:rFonts w:hint="eastAsia" w:ascii="宋体" w:hAnsi="宋体" w:eastAsia="宋体" w:cs="宋体"/>
          <w:color w:val="000000" w:themeColor="text1"/>
          <w:sz w:val="24"/>
          <w:szCs w:val="24"/>
          <w:highlight w:val="none"/>
          <w14:textFill>
            <w14:solidFill>
              <w14:schemeClr w14:val="tx1"/>
            </w14:solidFill>
          </w14:textFill>
        </w:rPr>
        <w:t>人民币515.7582</w:t>
      </w:r>
      <w:r>
        <w:rPr>
          <w:rFonts w:hint="eastAsia" w:ascii="宋体" w:hAnsi="宋体" w:cs="宋体"/>
          <w:color w:val="000000" w:themeColor="text1"/>
          <w:sz w:val="24"/>
          <w:szCs w:val="24"/>
          <w:highlight w:val="none"/>
          <w:lang w:val="en-US" w:eastAsia="zh-CN"/>
          <w14:textFill>
            <w14:solidFill>
              <w14:schemeClr w14:val="tx1"/>
            </w14:solidFill>
          </w14:textFill>
        </w:rPr>
        <w:t>万</w:t>
      </w:r>
      <w:r>
        <w:rPr>
          <w:rFonts w:hint="eastAsia" w:ascii="宋体" w:hAnsi="宋体" w:eastAsia="宋体" w:cs="宋体"/>
          <w:color w:val="000000" w:themeColor="text1"/>
          <w:sz w:val="24"/>
          <w:szCs w:val="24"/>
          <w:highlight w:val="none"/>
          <w14:textFill>
            <w14:solidFill>
              <w14:schemeClr w14:val="tx1"/>
            </w14:solidFill>
          </w14:textFill>
        </w:rPr>
        <w:t>元。</w:t>
      </w:r>
    </w:p>
    <w:p w14:paraId="7933EF2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2、交付时间：</w:t>
      </w:r>
      <w:r>
        <w:rPr>
          <w:rFonts w:hint="eastAsia" w:ascii="宋体" w:hAnsi="宋体" w:eastAsia="宋体" w:cs="宋体"/>
          <w:sz w:val="24"/>
          <w:szCs w:val="24"/>
          <w:lang w:val="en-US" w:eastAsia="zh-CN"/>
        </w:rPr>
        <w:t>合同签订完成后一个月之内前完成全部产品的交货、安装调试并交付采购人使用；分批交货的，双方另行约定每批次交货时间，以采购人书面通知为准。</w:t>
      </w:r>
    </w:p>
    <w:p w14:paraId="3739A3E2">
      <w:pPr>
        <w:spacing w:line="360" w:lineRule="auto"/>
        <w:ind w:left="719" w:leftChars="228" w:hanging="240" w:hangingChars="100"/>
        <w:rPr>
          <w:rFonts w:hint="eastAsia" w:ascii="宋体" w:hAnsi="宋体" w:eastAsia="宋体" w:cs="宋体"/>
          <w:sz w:val="24"/>
          <w:szCs w:val="24"/>
          <w:highlight w:val="none"/>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、付款方式：以签订合同为准</w:t>
      </w:r>
    </w:p>
    <w:p w14:paraId="135C7D63">
      <w:pPr>
        <w:pStyle w:val="3"/>
        <w:numPr>
          <w:ilvl w:val="1"/>
          <w:numId w:val="0"/>
        </w:numPr>
        <w:tabs>
          <w:tab w:val="left" w:pos="420"/>
          <w:tab w:val="clear" w:pos="0"/>
        </w:tabs>
        <w:ind w:leftChars="0"/>
        <w:rPr>
          <w:rFonts w:hint="eastAsia" w:ascii="宋体" w:hAnsi="宋体" w:eastAsia="宋体" w:cs="宋体"/>
        </w:rPr>
      </w:pPr>
      <w:r>
        <w:rPr>
          <w:rFonts w:hint="eastAsia" w:cs="宋体"/>
          <w:lang w:val="en-US" w:eastAsia="zh-CN"/>
        </w:rPr>
        <w:t>一、</w:t>
      </w:r>
      <w:r>
        <w:rPr>
          <w:rFonts w:hint="eastAsia" w:ascii="宋体" w:hAnsi="宋体" w:eastAsia="宋体" w:cs="宋体"/>
        </w:rPr>
        <w:t>采购标的、规格及价款</w:t>
      </w:r>
    </w:p>
    <w:p w14:paraId="574ECCC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（一）采购内容</w:t>
      </w:r>
    </w:p>
    <w:p w14:paraId="60D69BD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采购产品分为三类，具体名称、品牌、型号规格、数量、技术参数、单价、总价、备注等详细信息，详见附件一《采购产品清单及技术规格表》，附件为本合同不可分割的组成部分，与本合同具有同等法律效力。</w:t>
      </w:r>
    </w:p>
    <w:p w14:paraId="275E51E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会议室信息化产品：包括但不限于会议平板、音响功放、投影设备、中控系统、会议桌椅、网络布线、拼接屏、摄像头、麦克风等，需明确技术参数、接口标准、安装配套配件；</w:t>
      </w:r>
    </w:p>
    <w:p w14:paraId="5E25A01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医疗器械：包括但不限于辅助医疗设备等，需明确医疗器械注册证号、生产厂家、生产批号、有效期、适用范围、灭菌方式（如有）；</w:t>
      </w:r>
    </w:p>
    <w:p w14:paraId="1044635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厨房设备：包括但不限于灶具、蒸饭柜、冰箱、消毒柜、排烟系统、洗菜池、工作台等，需明确材质、尺寸、功率、卫生标准、安装接驳要求。</w:t>
      </w:r>
    </w:p>
    <w:p w14:paraId="21E7C52F">
      <w:pPr>
        <w:pStyle w:val="3"/>
        <w:numPr>
          <w:ilvl w:val="1"/>
          <w:numId w:val="0"/>
        </w:numPr>
        <w:tabs>
          <w:tab w:val="left" w:pos="420"/>
          <w:tab w:val="clear" w:pos="0"/>
        </w:tabs>
        <w:ind w:leftChars="0"/>
        <w:rPr>
          <w:rFonts w:hint="eastAsia" w:ascii="宋体" w:hAnsi="宋体" w:eastAsia="宋体" w:cs="宋体"/>
        </w:rPr>
      </w:pPr>
      <w:r>
        <w:rPr>
          <w:rFonts w:hint="eastAsia" w:cs="宋体"/>
          <w:lang w:val="en-US" w:eastAsia="zh-CN"/>
        </w:rPr>
        <w:t>二、</w:t>
      </w:r>
      <w:r>
        <w:rPr>
          <w:rFonts w:hint="eastAsia" w:ascii="宋体" w:hAnsi="宋体" w:eastAsia="宋体" w:cs="宋体"/>
        </w:rPr>
        <w:t>质量标准与技术要求</w:t>
      </w:r>
    </w:p>
    <w:p w14:paraId="541CC484">
      <w:pPr>
        <w:pStyle w:val="4"/>
        <w:rPr>
          <w:rFonts w:hint="eastAsia" w:ascii="宋体" w:hAnsi="宋体" w:eastAsia="宋体" w:cs="宋体"/>
          <w:highlight w:val="none"/>
        </w:rPr>
      </w:pPr>
      <w:r>
        <w:rPr>
          <w:rFonts w:hint="eastAsia" w:ascii="宋体" w:hAnsi="宋体" w:eastAsia="宋体" w:cs="宋体"/>
          <w:highlight w:val="none"/>
        </w:rPr>
        <w:t>（一）通用质量标准</w:t>
      </w:r>
    </w:p>
    <w:p w14:paraId="4F2CD260">
      <w:pPr>
        <w:spacing w:line="360" w:lineRule="auto"/>
        <w:ind w:firstLine="42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highlight w:val="none"/>
          <w:lang w:val="en-US" w:eastAsia="zh-CN"/>
        </w:rPr>
        <w:t>供应商</w:t>
      </w:r>
      <w:r>
        <w:rPr>
          <w:rFonts w:hint="eastAsia" w:ascii="宋体" w:hAnsi="宋体" w:eastAsia="宋体" w:cs="宋体"/>
          <w:color w:val="000000" w:themeColor="text1"/>
          <w:sz w:val="24"/>
          <w:szCs w:val="24"/>
          <w:highlight w:val="none"/>
          <w14:textFill>
            <w14:solidFill>
              <w14:schemeClr w14:val="tx1"/>
            </w14:solidFill>
          </w14:textFill>
        </w:rPr>
        <w:t>所供产品必须为全新、原厂正品、未使用过的合格产品，无任何质量瑕疵、破损、缺陷，符合国家现行有效的强制性标准、行业标准、规范及甲方使用要求；</w:t>
      </w:r>
    </w:p>
    <w:p w14:paraId="7C3B4C0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外包装完好，标识清晰，随货附带产品合格证、质量检验报告、使用说明书、保修卡、出厂证明等全套资料；医疗器械需额外提供医疗器械注册证、生产许可证、经营许可证复印件（加盖乙方公章），厨房设备需提供食品安全检测报告，信息化产品需提供3C认证证书。</w:t>
      </w:r>
    </w:p>
    <w:p w14:paraId="138F623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（二）分类专项标准</w:t>
      </w:r>
    </w:p>
    <w:p w14:paraId="5198E73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会议室信息化产品：符合国家电子信息产品质量标准，技术参数完全匹配附件一要求，系统兼容稳定，安装调试后可正常运行，满足会议室日常会议、投屏、音响、网络等使用需求；</w:t>
      </w:r>
    </w:p>
    <w:p w14:paraId="57C0877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医疗器械：严格符合《医疗器械监督管理条例》及相关国家标准、行业标准，与医疗器械注册证载明的技术要求完全一致，在有效期内，无菌、无破损，具备可追溯性，严禁提供过期、不合格、假冒伪劣医疗器械；</w:t>
      </w:r>
    </w:p>
    <w:p w14:paraId="2A8EE09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厨房设备：符合食品安全国家标准及厨房设备行业规范，不锈钢材质达标，设备密封、排烟、水电接驳性能良好，耐高温、耐腐蚀，满足厨房安全、卫生、高效使用要求，排烟系统需符合环保排放标准。</w:t>
      </w:r>
    </w:p>
    <w:p w14:paraId="50B010A4">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（三）样品约定</w:t>
      </w:r>
    </w:p>
    <w:p w14:paraId="6067588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若双方签订合同前封存样品，产品质量需与封存样品完全一致，样品作为验收依据之一。</w:t>
      </w:r>
    </w:p>
    <w:p w14:paraId="48D3BCE3">
      <w:pPr>
        <w:pStyle w:val="3"/>
        <w:numPr>
          <w:ilvl w:val="1"/>
          <w:numId w:val="0"/>
        </w:numPr>
        <w:tabs>
          <w:tab w:val="left" w:pos="420"/>
          <w:tab w:val="clear" w:pos="0"/>
        </w:tabs>
        <w:ind w:leftChars="0"/>
        <w:rPr>
          <w:rFonts w:hint="eastAsia" w:ascii="宋体" w:hAnsi="宋体" w:eastAsia="宋体" w:cs="宋体"/>
        </w:rPr>
      </w:pPr>
      <w:r>
        <w:rPr>
          <w:rFonts w:hint="eastAsia" w:cs="宋体"/>
          <w:lang w:val="en-US" w:eastAsia="zh-CN"/>
        </w:rPr>
        <w:t>三、</w:t>
      </w:r>
      <w:r>
        <w:rPr>
          <w:rFonts w:hint="eastAsia" w:ascii="宋体" w:hAnsi="宋体" w:eastAsia="宋体" w:cs="宋体"/>
        </w:rPr>
        <w:t>交货、运输及安装</w:t>
      </w:r>
    </w:p>
    <w:p w14:paraId="0305143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（一）交货时间</w:t>
      </w:r>
    </w:p>
    <w:p w14:paraId="0AF5EF98">
      <w:pPr>
        <w:spacing w:line="360" w:lineRule="auto"/>
        <w:ind w:firstLine="42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lang w:val="en-US" w:eastAsia="zh-CN"/>
        </w:rPr>
        <w:t>供应商</w:t>
      </w:r>
      <w:r>
        <w:rPr>
          <w:rFonts w:hint="eastAsia" w:ascii="宋体" w:hAnsi="宋体" w:eastAsia="宋体" w:cs="宋体"/>
          <w:color w:val="000000" w:themeColor="text1"/>
          <w:sz w:val="24"/>
          <w:szCs w:val="24"/>
          <w14:textFill>
            <w14:solidFill>
              <w14:schemeClr w14:val="tx1"/>
            </w14:solidFill>
          </w14:textFill>
        </w:rPr>
        <w:t>应于</w:t>
      </w:r>
      <w:r>
        <w:rPr>
          <w:rFonts w:hint="eastAsia" w:ascii="宋体" w:hAnsi="宋体" w:eastAsia="宋体" w:cs="宋体"/>
          <w:color w:val="000000" w:themeColor="text1"/>
          <w:sz w:val="24"/>
          <w:szCs w:val="24"/>
          <w:lang w:val="en-US" w:eastAsia="zh-CN"/>
          <w14:textFill>
            <w14:solidFill>
              <w14:schemeClr w14:val="tx1"/>
            </w14:solidFill>
          </w14:textFill>
        </w:rPr>
        <w:t>合同签订完成后一个月之内</w:t>
      </w:r>
      <w:r>
        <w:rPr>
          <w:rFonts w:hint="eastAsia" w:ascii="宋体" w:hAnsi="宋体" w:eastAsia="宋体" w:cs="宋体"/>
          <w:color w:val="000000" w:themeColor="text1"/>
          <w:sz w:val="24"/>
          <w:szCs w:val="24"/>
          <w14:textFill>
            <w14:solidFill>
              <w14:schemeClr w14:val="tx1"/>
            </w14:solidFill>
          </w14:textFill>
        </w:rPr>
        <w:t>前完成全部产品的交货、安装调试并交付</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使用；分批交货的，双方另行约定每批次交货时间，以</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书面通知为准。</w:t>
      </w:r>
    </w:p>
    <w:p w14:paraId="6BC66CC7">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（二）交货地点</w:t>
      </w:r>
    </w:p>
    <w:p w14:paraId="0635DA86">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指定地点</w:t>
      </w:r>
    </w:p>
    <w:p w14:paraId="50420AA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（三）交货及运输</w:t>
      </w:r>
    </w:p>
    <w:p w14:paraId="5F737A8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负责产品的运输、装卸，全程承担运输、装卸过程中的全部风险及费用，产品交付</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前的毁损、灭失责任由</w:t>
      </w:r>
      <w:r>
        <w:rPr>
          <w:rFonts w:hint="eastAsia" w:ascii="宋体" w:hAnsi="宋体" w:eastAsia="宋体" w:cs="宋体"/>
          <w:lang w:val="en-US" w:eastAsia="zh-CN"/>
        </w:rPr>
        <w:t>供应商</w:t>
      </w:r>
      <w:r>
        <w:rPr>
          <w:rFonts w:hint="eastAsia" w:ascii="宋体" w:hAnsi="宋体" w:eastAsia="宋体" w:cs="宋体"/>
          <w:color w:val="000000" w:themeColor="text1"/>
          <w:sz w:val="24"/>
          <w:szCs w:val="24"/>
          <w14:textFill>
            <w14:solidFill>
              <w14:schemeClr w14:val="tx1"/>
            </w14:solidFill>
          </w14:textFill>
        </w:rPr>
        <w:t>承担；</w:t>
      </w:r>
    </w:p>
    <w:p w14:paraId="0394DF8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产品到货前24小时，</w:t>
      </w:r>
      <w:r>
        <w:rPr>
          <w:rFonts w:hint="eastAsia" w:ascii="宋体" w:hAnsi="宋体" w:eastAsia="宋体" w:cs="宋体"/>
          <w:lang w:val="en-US" w:eastAsia="zh-CN"/>
        </w:rPr>
        <w:t>供应商</w:t>
      </w:r>
      <w:r>
        <w:rPr>
          <w:rFonts w:hint="eastAsia" w:ascii="宋体" w:hAnsi="宋体" w:eastAsia="宋体" w:cs="宋体"/>
          <w:color w:val="000000" w:themeColor="text1"/>
          <w:sz w:val="24"/>
          <w:szCs w:val="24"/>
          <w14:textFill>
            <w14:solidFill>
              <w14:schemeClr w14:val="tx1"/>
            </w14:solidFill>
          </w14:textFill>
        </w:rPr>
        <w:t>需书面或电话通知</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，以便</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安排验收；到货时乙方需提供送货单，注明产品名称、规格、数量、合同编号。</w:t>
      </w:r>
    </w:p>
    <w:p w14:paraId="36215237">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（四）安装调试</w:t>
      </w:r>
    </w:p>
    <w:p w14:paraId="450F4C1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会议室信息化产品：</w:t>
      </w:r>
      <w:r>
        <w:rPr>
          <w:rFonts w:hint="eastAsia" w:ascii="宋体" w:hAnsi="宋体" w:eastAsia="宋体" w:cs="宋体"/>
          <w:lang w:val="en-US" w:eastAsia="zh-CN"/>
        </w:rPr>
        <w:t>供应商</w:t>
      </w:r>
      <w:r>
        <w:rPr>
          <w:rFonts w:hint="eastAsia" w:ascii="宋体" w:hAnsi="宋体" w:eastAsia="宋体" w:cs="宋体"/>
          <w:color w:val="000000" w:themeColor="text1"/>
          <w:sz w:val="24"/>
          <w:szCs w:val="24"/>
          <w14:textFill>
            <w14:solidFill>
              <w14:schemeClr w14:val="tx1"/>
            </w14:solidFill>
          </w14:textFill>
        </w:rPr>
        <w:t>负责上门安装、布线、调试，确保整套系统正常运行，安装过程不得损坏</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现有装修及设施，安装完毕后清理现场；</w:t>
      </w:r>
    </w:p>
    <w:p w14:paraId="470EA68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厨房设备：</w:t>
      </w:r>
      <w:r>
        <w:rPr>
          <w:rFonts w:hint="eastAsia" w:ascii="宋体" w:hAnsi="宋体" w:eastAsia="宋体" w:cs="宋体"/>
          <w:lang w:val="en-US" w:eastAsia="zh-CN"/>
        </w:rPr>
        <w:t>供应商</w:t>
      </w:r>
      <w:r>
        <w:rPr>
          <w:rFonts w:hint="eastAsia" w:ascii="宋体" w:hAnsi="宋体" w:eastAsia="宋体" w:cs="宋体"/>
          <w:color w:val="000000" w:themeColor="text1"/>
          <w:sz w:val="24"/>
          <w:szCs w:val="24"/>
          <w14:textFill>
            <w14:solidFill>
              <w14:schemeClr w14:val="tx1"/>
            </w14:solidFill>
          </w14:textFill>
        </w:rPr>
        <w:t>负责设备就位、水电燃气接驳、排烟管道安装、调试，确保设备运行正常，符合厨房使用及安全规范，安装后清理施工垃圾；</w:t>
      </w:r>
    </w:p>
    <w:p w14:paraId="551333A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医疗器械：如需安装调试的大型设备，</w:t>
      </w:r>
      <w:r>
        <w:rPr>
          <w:rFonts w:hint="eastAsia" w:ascii="宋体" w:hAnsi="宋体" w:eastAsia="宋体" w:cs="宋体"/>
          <w:lang w:val="en-US" w:eastAsia="zh-CN"/>
        </w:rPr>
        <w:t>供应商</w:t>
      </w:r>
      <w:r>
        <w:rPr>
          <w:rFonts w:hint="eastAsia" w:ascii="宋体" w:hAnsi="宋体" w:eastAsia="宋体" w:cs="宋体"/>
          <w:color w:val="000000" w:themeColor="text1"/>
          <w:sz w:val="24"/>
          <w:szCs w:val="24"/>
          <w14:textFill>
            <w14:solidFill>
              <w14:schemeClr w14:val="tx1"/>
            </w14:solidFill>
          </w14:textFill>
        </w:rPr>
        <w:t>负责安装调试，操作简单的小型设备无需安装，直接交付。</w:t>
      </w:r>
    </w:p>
    <w:p w14:paraId="4BE3C1B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（五）现场配合</w:t>
      </w:r>
    </w:p>
    <w:p w14:paraId="45DFC1CE">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供应商</w:t>
      </w:r>
      <w:r>
        <w:rPr>
          <w:rFonts w:hint="eastAsia" w:ascii="宋体" w:hAnsi="宋体" w:eastAsia="宋体" w:cs="宋体"/>
          <w:color w:val="000000" w:themeColor="text1"/>
          <w:sz w:val="24"/>
          <w:szCs w:val="24"/>
          <w14:textFill>
            <w14:solidFill>
              <w14:schemeClr w14:val="tx1"/>
            </w14:solidFill>
          </w14:textFill>
        </w:rPr>
        <w:t>为</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交货、安装提供必要的现场条件（如水电、场地），</w:t>
      </w:r>
      <w:r>
        <w:rPr>
          <w:rFonts w:hint="eastAsia" w:ascii="宋体" w:hAnsi="宋体" w:eastAsia="宋体" w:cs="宋体"/>
          <w:lang w:val="en-US" w:eastAsia="zh-CN"/>
        </w:rPr>
        <w:t>供应商</w:t>
      </w:r>
      <w:r>
        <w:rPr>
          <w:rFonts w:hint="eastAsia" w:ascii="宋体" w:hAnsi="宋体" w:eastAsia="宋体" w:cs="宋体"/>
          <w:color w:val="000000" w:themeColor="text1"/>
          <w:sz w:val="24"/>
          <w:szCs w:val="24"/>
          <w14:textFill>
            <w14:solidFill>
              <w14:schemeClr w14:val="tx1"/>
            </w14:solidFill>
          </w14:textFill>
        </w:rPr>
        <w:t>施工人员需遵守</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现场管理规定，文明施工，安全作业，若造成</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或第三方财产损失、人身伤害，由</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承担全部责任。</w:t>
      </w:r>
    </w:p>
    <w:p w14:paraId="53941AD6">
      <w:pPr>
        <w:pStyle w:val="3"/>
        <w:numPr>
          <w:ilvl w:val="1"/>
          <w:numId w:val="0"/>
        </w:numPr>
        <w:tabs>
          <w:tab w:val="left" w:pos="420"/>
          <w:tab w:val="clear" w:pos="0"/>
        </w:tabs>
        <w:ind w:leftChars="0"/>
        <w:rPr>
          <w:rFonts w:hint="eastAsia" w:ascii="宋体" w:hAnsi="宋体" w:eastAsia="宋体" w:cs="宋体"/>
        </w:rPr>
      </w:pPr>
      <w:r>
        <w:rPr>
          <w:rFonts w:hint="eastAsia" w:cs="宋体"/>
          <w:lang w:val="en-US" w:eastAsia="zh-CN"/>
        </w:rPr>
        <w:t>四、</w:t>
      </w:r>
      <w:r>
        <w:rPr>
          <w:rFonts w:hint="eastAsia" w:ascii="宋体" w:hAnsi="宋体" w:eastAsia="宋体" w:cs="宋体"/>
        </w:rPr>
        <w:t>验收标准与流程</w:t>
      </w:r>
    </w:p>
    <w:p w14:paraId="2C749BF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（一）初步验收</w:t>
      </w:r>
    </w:p>
    <w:p w14:paraId="750D1697">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产品到货后，</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在3个工作日内组织初步验收，核对产品名称、规格型号、数量、外包装、随货资料，外观无破损、资料齐全的，签署初步验收单；初步验收仅为数量及外观确认，不视为产品最终质量合格。</w:t>
      </w:r>
    </w:p>
    <w:p w14:paraId="240C179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（二）最终验收</w:t>
      </w:r>
    </w:p>
    <w:p w14:paraId="54A1707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无需安装的产品：初步验收后5个工作日内，</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对产品质量、性能进行最终验收；</w:t>
      </w:r>
    </w:p>
    <w:p w14:paraId="4DFECD9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需安装调试的产品：安装调试完毕后7个工作日内，</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组织最终验收，测试产品运行性能、技术参数，三类产品分别按对应标准验收，验收合格后双方签署《最终验收合格确认书》；</w:t>
      </w:r>
    </w:p>
    <w:p w14:paraId="5BEFA99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医疗器械验收需额外核对注册证号、有效期、生产批号，确保合规可追溯；厨房设备需测试水电燃气运行、排烟效果、卫生性能；信息化产品需测试系统稳定性、功能完整性。</w:t>
      </w:r>
    </w:p>
    <w:p w14:paraId="52F6E6F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（三）验收异议处理</w:t>
      </w:r>
    </w:p>
    <w:p w14:paraId="743634C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验收不合格的，</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当场提出书面异议，注明不合格事项及整改要求；</w:t>
      </w:r>
    </w:p>
    <w:p w14:paraId="2B9B5587">
      <w:pPr>
        <w:spacing w:line="360" w:lineRule="auto"/>
        <w:ind w:firstLine="42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lang w:val="en-US" w:eastAsia="zh-CN"/>
        </w:rPr>
        <w:t>供应商</w:t>
      </w:r>
      <w:r>
        <w:rPr>
          <w:rFonts w:hint="eastAsia" w:ascii="宋体" w:hAnsi="宋体" w:eastAsia="宋体" w:cs="宋体"/>
          <w:color w:val="000000" w:themeColor="text1"/>
          <w:sz w:val="24"/>
          <w:szCs w:val="24"/>
          <w14:textFill>
            <w14:solidFill>
              <w14:schemeClr w14:val="tx1"/>
            </w14:solidFill>
          </w14:textFill>
        </w:rPr>
        <w:t>应在3个工作日内无条件更换、退货或维修，直至验收合格，由此产生的全部费用、工期延误由</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承担；</w:t>
      </w:r>
    </w:p>
    <w:p w14:paraId="5528F00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逾期未提出书面异议，且未签署验收合格确认书的，视为产品初步验收合格；最终验收逾期未提出异议的，视为最终验收合格。</w:t>
      </w:r>
    </w:p>
    <w:p w14:paraId="2B66FD6B">
      <w:pPr>
        <w:pStyle w:val="3"/>
        <w:tabs>
          <w:tab w:val="left" w:pos="420"/>
          <w:tab w:val="clear" w:pos="0"/>
        </w:tabs>
        <w:rPr>
          <w:rFonts w:hint="eastAsia" w:ascii="宋体" w:hAnsi="宋体" w:eastAsia="宋体" w:cs="宋体"/>
        </w:rPr>
      </w:pPr>
      <w:r>
        <w:rPr>
          <w:rFonts w:hint="eastAsia" w:ascii="宋体" w:hAnsi="宋体" w:eastAsia="宋体" w:cs="宋体"/>
        </w:rPr>
        <w:t>质保期与售后服务</w:t>
      </w:r>
    </w:p>
    <w:p w14:paraId="72F316A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（一）质保期限</w:t>
      </w:r>
    </w:p>
    <w:p w14:paraId="49C80B9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本合同产品质保期为</w:t>
      </w: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个月，自最终验收合格之日起计算；国家法律法规或产品说明书规定质保期更长的，从其规定；医疗器械质保期按国家医疗器械相关规定及产品说明书执行，不得低于法定标准。</w:t>
      </w:r>
    </w:p>
    <w:p w14:paraId="47D26A8A">
      <w:pPr>
        <w:spacing w:line="360" w:lineRule="auto"/>
        <w:ind w:left="239" w:leftChars="114"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质保期内，</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提供保修、更换零配件、上门维修服务，人为损坏、不可抗力、</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操作不当除外。</w:t>
      </w:r>
    </w:p>
    <w:p w14:paraId="71AD0FD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（二）售后服务响应</w:t>
      </w:r>
    </w:p>
    <w:p w14:paraId="7F0F647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设立专属售后服务专员，接到</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故障通知后，2</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小时内响应，</w:t>
      </w:r>
      <w:r>
        <w:rPr>
          <w:rFonts w:hint="eastAsia" w:ascii="宋体" w:hAnsi="宋体" w:eastAsia="宋体" w:cs="宋体"/>
          <w:color w:val="000000" w:themeColor="text1"/>
          <w:sz w:val="24"/>
          <w:szCs w:val="24"/>
          <w:lang w:val="en-US" w:eastAsia="zh-CN"/>
          <w14:textFill>
            <w14:solidFill>
              <w14:schemeClr w14:val="tx1"/>
            </w14:solidFill>
          </w14:textFill>
        </w:rPr>
        <w:t>48</w:t>
      </w:r>
      <w:r>
        <w:rPr>
          <w:rFonts w:hint="eastAsia" w:ascii="宋体" w:hAnsi="宋体" w:eastAsia="宋体" w:cs="宋体"/>
          <w:color w:val="000000" w:themeColor="text1"/>
          <w:sz w:val="24"/>
          <w:szCs w:val="24"/>
          <w14:textFill>
            <w14:solidFill>
              <w14:schemeClr w14:val="tx1"/>
            </w14:solidFill>
          </w14:textFill>
        </w:rPr>
        <w:t>小时内派员到场维修，紧急情况（如医疗器械故障、厨房设备停用、会议系统瘫痪）需12小时内到场；</w:t>
      </w:r>
    </w:p>
    <w:p w14:paraId="227ED0B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一般故障</w:t>
      </w:r>
      <w:r>
        <w:rPr>
          <w:rFonts w:hint="eastAsia" w:ascii="宋体" w:hAnsi="宋体" w:eastAsia="宋体" w:cs="宋体"/>
          <w:color w:val="000000" w:themeColor="text1"/>
          <w:sz w:val="24"/>
          <w:szCs w:val="24"/>
          <w:lang w:val="en-US" w:eastAsia="zh-CN"/>
          <w14:textFill>
            <w14:solidFill>
              <w14:schemeClr w14:val="tx1"/>
            </w14:solidFill>
          </w14:textFill>
        </w:rPr>
        <w:t>96</w:t>
      </w:r>
      <w:r>
        <w:rPr>
          <w:rFonts w:hint="eastAsia" w:ascii="宋体" w:hAnsi="宋体" w:eastAsia="宋体" w:cs="宋体"/>
          <w:color w:val="000000" w:themeColor="text1"/>
          <w:sz w:val="24"/>
          <w:szCs w:val="24"/>
          <w14:textFill>
            <w14:solidFill>
              <w14:schemeClr w14:val="tx1"/>
            </w14:solidFill>
          </w14:textFill>
        </w:rPr>
        <w:t>小时内修复，重大故障无法当场修复的，</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需提供备用产品，确保</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正常使用，直至产品修复完毕；</w:t>
      </w:r>
    </w:p>
    <w:p w14:paraId="5B9C07E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质保期内，产品因质量问题出现故障，</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无法修复的，无条件更换全新合格产品，更换后质保期重新计算。</w:t>
      </w:r>
    </w:p>
    <w:p w14:paraId="495C85A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（三）培训服务</w:t>
      </w:r>
    </w:p>
    <w:p w14:paraId="238ED6E4">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为</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操作人员提供产品使用、日常维护、简单故障排查培训，确保</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员熟练操作，培训记录双方签字确认。</w:t>
      </w:r>
    </w:p>
    <w:p w14:paraId="12F1431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（四）质保期外服务</w:t>
      </w:r>
    </w:p>
    <w:p w14:paraId="28E976E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质保期满后，</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提供终身维修服务，仅收取零配件成本费，免收上门服务费、维修费，维修价格不得高于市场同期价格。</w:t>
      </w:r>
    </w:p>
    <w:p w14:paraId="2F7118C0">
      <w:pPr>
        <w:spacing w:line="360" w:lineRule="auto"/>
        <w:contextualSpacing/>
        <w:jc w:val="left"/>
        <w:rPr>
          <w:rFonts w:hint="eastAsia" w:ascii="宋体" w:hAnsi="宋体" w:eastAsia="宋体" w:cs="宋体"/>
          <w:color w:val="C0504D" w:themeColor="accent2"/>
          <w:sz w:val="24"/>
          <w:highlight w:val="none"/>
          <w14:textFill>
            <w14:solidFill>
              <w14:schemeClr w14:val="accent2"/>
            </w14:solidFill>
          </w14:textFill>
        </w:rPr>
      </w:pPr>
    </w:p>
    <w:p w14:paraId="57AE320B">
      <w:pPr>
        <w:pStyle w:val="3"/>
        <w:bidi w:val="0"/>
        <w:rPr>
          <w:rFonts w:hint="eastAsia" w:ascii="宋体" w:hAnsi="宋体" w:eastAsia="宋体" w:cs="宋体"/>
          <w:szCs w:val="24"/>
          <w:highlight w:val="none"/>
          <w:lang w:val="en-US" w:eastAsia="zh-CN"/>
        </w:rPr>
      </w:pPr>
      <w:r>
        <w:rPr>
          <w:rFonts w:hint="eastAsia" w:ascii="宋体" w:hAnsi="宋体" w:eastAsia="宋体" w:cs="宋体"/>
          <w:lang w:val="en-US" w:eastAsia="zh-CN"/>
        </w:rPr>
        <w:t>技术规格</w:t>
      </w:r>
      <w:r>
        <w:rPr>
          <w:rFonts w:hint="eastAsia" w:ascii="宋体" w:hAnsi="宋体" w:eastAsia="宋体" w:cs="宋体"/>
          <w:szCs w:val="24"/>
          <w:lang w:val="en-US" w:eastAsia="zh-CN"/>
        </w:rPr>
        <w:br w:type="textWrapping"/>
      </w:r>
      <w:r>
        <w:rPr>
          <w:rStyle w:val="59"/>
          <w:rFonts w:hint="eastAsia" w:ascii="宋体" w:hAnsi="宋体" w:eastAsia="宋体" w:cs="宋体"/>
          <w:b/>
          <w:bCs/>
          <w:lang w:val="en-US" w:eastAsia="zh-CN"/>
        </w:rPr>
        <w:t>1、信息化</w:t>
      </w:r>
    </w:p>
    <w:tbl>
      <w:tblPr>
        <w:tblStyle w:val="284"/>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84"/>
        <w:gridCol w:w="1296"/>
        <w:gridCol w:w="792"/>
        <w:gridCol w:w="792"/>
        <w:gridCol w:w="5147"/>
      </w:tblGrid>
      <w:tr w14:paraId="3037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920" w:type="dxa"/>
            <w:gridSpan w:val="5"/>
            <w:tcBorders>
              <w:insideH w:val="single" w:sz="4" w:space="0"/>
            </w:tcBorders>
            <w:shd w:val="clear" w:color="auto" w:fill="FFFFFF" w:themeFill="background1"/>
            <w:noWrap/>
            <w:vAlign w:val="center"/>
          </w:tcPr>
          <w:p w14:paraId="192CAE42">
            <w:pPr>
              <w:widowControl/>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lang w:bidi="ar"/>
              </w:rPr>
            </w:pPr>
          </w:p>
        </w:tc>
        <w:tc>
          <w:tcPr>
            <w:tcW w:w="5147" w:type="dxa"/>
            <w:tcBorders>
              <w:insideH w:val="single" w:sz="4" w:space="0"/>
            </w:tcBorders>
            <w:shd w:val="clear" w:color="auto" w:fill="FFFFFF" w:themeFill="background1"/>
            <w:noWrap/>
            <w:vAlign w:val="center"/>
          </w:tcPr>
          <w:p w14:paraId="3849DB4C">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会议室类型汇总</w:t>
            </w:r>
          </w:p>
        </w:tc>
      </w:tr>
      <w:tr w14:paraId="7875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56" w:type="dxa"/>
            <w:tcBorders>
              <w:insideV w:val="single" w:sz="4" w:space="0"/>
            </w:tcBorders>
            <w:shd w:val="clear" w:color="auto" w:fill="FFFFFF" w:themeFill="background1"/>
            <w:noWrap/>
            <w:vAlign w:val="center"/>
          </w:tcPr>
          <w:p w14:paraId="1F633D6B">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序号</w:t>
            </w:r>
          </w:p>
        </w:tc>
        <w:tc>
          <w:tcPr>
            <w:tcW w:w="1284" w:type="dxa"/>
            <w:shd w:val="clear" w:color="auto" w:fill="F1F1F1" w:themeFill="background1" w:themeFillShade="F2"/>
            <w:noWrap/>
            <w:vAlign w:val="center"/>
          </w:tcPr>
          <w:p w14:paraId="2C1F4266">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产品名称</w:t>
            </w:r>
          </w:p>
        </w:tc>
        <w:tc>
          <w:tcPr>
            <w:tcW w:w="1296" w:type="dxa"/>
            <w:shd w:val="clear" w:color="auto" w:fill="F1F1F1" w:themeFill="background1" w:themeFillShade="F2"/>
            <w:noWrap/>
            <w:vAlign w:val="center"/>
          </w:tcPr>
          <w:p w14:paraId="661366D6">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功能名称</w:t>
            </w:r>
          </w:p>
        </w:tc>
        <w:tc>
          <w:tcPr>
            <w:tcW w:w="792" w:type="dxa"/>
            <w:shd w:val="clear" w:color="auto" w:fill="F1F1F1" w:themeFill="background1" w:themeFillShade="F2"/>
            <w:noWrap/>
            <w:vAlign w:val="center"/>
          </w:tcPr>
          <w:p w14:paraId="7E85CD21">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单位</w:t>
            </w:r>
          </w:p>
        </w:tc>
        <w:tc>
          <w:tcPr>
            <w:tcW w:w="792" w:type="dxa"/>
            <w:shd w:val="clear" w:color="auto" w:fill="F1F1F1" w:themeFill="background1" w:themeFillShade="F2"/>
            <w:noWrap/>
            <w:vAlign w:val="center"/>
          </w:tcPr>
          <w:p w14:paraId="03B5D12C">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5147" w:type="dxa"/>
            <w:shd w:val="clear" w:color="auto" w:fill="F1F1F1" w:themeFill="background1" w:themeFillShade="F2"/>
            <w:noWrap/>
            <w:vAlign w:val="center"/>
          </w:tcPr>
          <w:p w14:paraId="0E12B2D4">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规格参数</w:t>
            </w:r>
          </w:p>
        </w:tc>
      </w:tr>
      <w:tr w14:paraId="163C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18F5303D">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w:t>
            </w:r>
          </w:p>
        </w:tc>
        <w:tc>
          <w:tcPr>
            <w:tcW w:w="1284" w:type="dxa"/>
            <w:vAlign w:val="center"/>
          </w:tcPr>
          <w:p w14:paraId="1A39BB64">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专业相机</w:t>
            </w:r>
          </w:p>
        </w:tc>
        <w:tc>
          <w:tcPr>
            <w:tcW w:w="1296" w:type="dxa"/>
            <w:vAlign w:val="center"/>
          </w:tcPr>
          <w:p w14:paraId="1346F4F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专业相机</w:t>
            </w:r>
          </w:p>
        </w:tc>
        <w:tc>
          <w:tcPr>
            <w:tcW w:w="792" w:type="dxa"/>
            <w:vAlign w:val="center"/>
          </w:tcPr>
          <w:p w14:paraId="11485154">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vAlign w:val="center"/>
          </w:tcPr>
          <w:p w14:paraId="7769A133">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vAlign w:val="center"/>
          </w:tcPr>
          <w:p w14:paraId="453CFC23">
            <w:pPr>
              <w:widowControl/>
              <w:numPr>
                <w:ilvl w:val="0"/>
                <w:numId w:val="51"/>
              </w:numPr>
              <w:snapToGrid w:val="0"/>
              <w:ind w:left="0" w:leftChars="0" w:right="0" w:rightChars="0" w:firstLine="0" w:firstLineChars="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传感器类型：CMOS</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.画幅：APS - C或全画幅</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.有效像素：≥2400万像素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.拍摄性能：连拍速度≥5张/秒，支持全像素双核CMOS AF，支持WiFi和蓝牙连接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.视频拍摄：支持4K视频录制，分辨率≥3840×2160，帧率≥30fps</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.存储：支持SD、SDHC、SDXC存储卡，兼容UHS - I</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bidi="ar"/>
              </w:rPr>
              <w:t>.电池续航：单次充电可拍摄≥500张照片</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8</w:t>
            </w:r>
            <w:r>
              <w:rPr>
                <w:rFonts w:hint="eastAsia" w:ascii="宋体" w:hAnsi="宋体" w:eastAsia="宋体" w:cs="宋体"/>
                <w:color w:val="000000"/>
                <w:kern w:val="0"/>
                <w:sz w:val="24"/>
                <w:szCs w:val="24"/>
                <w:lang w:bidi="ar"/>
              </w:rPr>
              <w:t>.镜头类型：标准变焦镜头</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9</w:t>
            </w:r>
            <w:r>
              <w:rPr>
                <w:rFonts w:hint="eastAsia" w:ascii="宋体" w:hAnsi="宋体" w:eastAsia="宋体" w:cs="宋体"/>
                <w:color w:val="000000"/>
                <w:kern w:val="0"/>
                <w:sz w:val="24"/>
                <w:szCs w:val="24"/>
                <w:lang w:bidi="ar"/>
              </w:rPr>
              <w:t>.焦距范围：24 - 70mm（全画幅）</w:t>
            </w:r>
          </w:p>
          <w:p w14:paraId="17E28949">
            <w:pPr>
              <w:widowControl/>
              <w:numPr>
                <w:ilvl w:val="0"/>
                <w:numId w:val="0"/>
              </w:numPr>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0</w:t>
            </w:r>
            <w:r>
              <w:rPr>
                <w:rFonts w:hint="eastAsia" w:ascii="宋体" w:hAnsi="宋体" w:eastAsia="宋体" w:cs="宋体"/>
                <w:color w:val="000000"/>
                <w:kern w:val="0"/>
                <w:sz w:val="24"/>
                <w:szCs w:val="24"/>
                <w:lang w:bidi="ar"/>
              </w:rPr>
              <w:t>.光圈：≥F4</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.功能：支持光学防抖，自动对焦马达</w:t>
            </w:r>
          </w:p>
        </w:tc>
      </w:tr>
      <w:tr w14:paraId="3CC0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04BEDD09">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2</w:t>
            </w:r>
          </w:p>
        </w:tc>
        <w:tc>
          <w:tcPr>
            <w:tcW w:w="1284" w:type="dxa"/>
            <w:shd w:val="clear" w:color="auto" w:fill="auto"/>
            <w:vAlign w:val="center"/>
          </w:tcPr>
          <w:p w14:paraId="3BFDDE64">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静物拍摄台</w:t>
            </w:r>
          </w:p>
        </w:tc>
        <w:tc>
          <w:tcPr>
            <w:tcW w:w="1296" w:type="dxa"/>
            <w:shd w:val="clear" w:color="auto" w:fill="auto"/>
            <w:vAlign w:val="center"/>
          </w:tcPr>
          <w:p w14:paraId="5EF4F8B5">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静物拍摄台</w:t>
            </w:r>
          </w:p>
        </w:tc>
        <w:tc>
          <w:tcPr>
            <w:tcW w:w="792" w:type="dxa"/>
            <w:shd w:val="clear" w:color="auto" w:fill="auto"/>
            <w:vAlign w:val="center"/>
          </w:tcPr>
          <w:p w14:paraId="00BC7B39">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3934F400">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147" w:type="dxa"/>
            <w:shd w:val="clear" w:color="auto" w:fill="auto"/>
            <w:vAlign w:val="center"/>
          </w:tcPr>
          <w:p w14:paraId="22995E77">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1.静物摄影台尺寸≥20cm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2.支持电动旋转</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3.承重≥10KG</w:t>
            </w:r>
          </w:p>
        </w:tc>
      </w:tr>
      <w:tr w14:paraId="23D4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09ADB601">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3</w:t>
            </w:r>
          </w:p>
        </w:tc>
        <w:tc>
          <w:tcPr>
            <w:tcW w:w="1284" w:type="dxa"/>
            <w:vAlign w:val="center"/>
          </w:tcPr>
          <w:p w14:paraId="781C9F71">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静物物体</w:t>
            </w:r>
          </w:p>
        </w:tc>
        <w:tc>
          <w:tcPr>
            <w:tcW w:w="1296" w:type="dxa"/>
            <w:vAlign w:val="center"/>
          </w:tcPr>
          <w:p w14:paraId="42D20EC1">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静物物体</w:t>
            </w:r>
          </w:p>
        </w:tc>
        <w:tc>
          <w:tcPr>
            <w:tcW w:w="792" w:type="dxa"/>
            <w:vAlign w:val="center"/>
          </w:tcPr>
          <w:p w14:paraId="379D928E">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vAlign w:val="center"/>
          </w:tcPr>
          <w:p w14:paraId="31BFBF33">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147" w:type="dxa"/>
            <w:vAlign w:val="center"/>
          </w:tcPr>
          <w:p w14:paraId="1CA9AD1D">
            <w:pPr>
              <w:widowControl/>
              <w:numPr>
                <w:ilvl w:val="0"/>
                <w:numId w:val="52"/>
              </w:numPr>
              <w:snapToGrid w:val="0"/>
              <w:ind w:left="0" w:leftChars="0" w:right="0" w:rightChars="0" w:firstLine="0" w:firstLineChars="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陶瓷类物体</w:t>
            </w:r>
          </w:p>
          <w:p w14:paraId="5DE98349">
            <w:pPr>
              <w:widowControl/>
              <w:numPr>
                <w:ilvl w:val="0"/>
                <w:numId w:val="52"/>
              </w:numPr>
              <w:snapToGrid w:val="0"/>
              <w:ind w:left="0" w:leftChars="0" w:right="0" w:rightChars="0" w:firstLine="0" w:firstLineChars="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高度≥20cm</w:t>
            </w:r>
          </w:p>
          <w:p w14:paraId="57C47B34">
            <w:pPr>
              <w:widowControl/>
              <w:numPr>
                <w:ilvl w:val="0"/>
                <w:numId w:val="52"/>
              </w:numPr>
              <w:snapToGrid w:val="0"/>
              <w:ind w:left="0" w:leftChars="0" w:right="0" w:rightChars="0" w:firstLine="0" w:firstLineChars="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直径≥15cm</w:t>
            </w:r>
          </w:p>
          <w:p w14:paraId="66A1B5A5">
            <w:pPr>
              <w:widowControl/>
              <w:numPr>
                <w:ilvl w:val="0"/>
                <w:numId w:val="52"/>
              </w:numPr>
              <w:snapToGrid w:val="0"/>
              <w:ind w:left="0" w:leftChars="0" w:right="0" w:rightChars="0" w:firstLine="0" w:firstLineChars="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表面要求材质光滑，具备明显明暗交界线与反光特征</w:t>
            </w:r>
          </w:p>
        </w:tc>
      </w:tr>
      <w:tr w14:paraId="088E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040BE3A5">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4</w:t>
            </w:r>
          </w:p>
        </w:tc>
        <w:tc>
          <w:tcPr>
            <w:tcW w:w="1284" w:type="dxa"/>
            <w:shd w:val="clear" w:color="auto" w:fill="auto"/>
            <w:vAlign w:val="center"/>
          </w:tcPr>
          <w:p w14:paraId="6F10F8DD">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补光板</w:t>
            </w:r>
          </w:p>
        </w:tc>
        <w:tc>
          <w:tcPr>
            <w:tcW w:w="1296" w:type="dxa"/>
            <w:shd w:val="clear" w:color="auto" w:fill="auto"/>
            <w:vAlign w:val="center"/>
          </w:tcPr>
          <w:p w14:paraId="177E1F45">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补光板</w:t>
            </w:r>
          </w:p>
        </w:tc>
        <w:tc>
          <w:tcPr>
            <w:tcW w:w="792" w:type="dxa"/>
            <w:shd w:val="clear" w:color="auto" w:fill="auto"/>
            <w:vAlign w:val="center"/>
          </w:tcPr>
          <w:p w14:paraId="1F6511F6">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66838385">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147" w:type="dxa"/>
            <w:shd w:val="clear" w:color="auto" w:fill="auto"/>
            <w:vAlign w:val="center"/>
          </w:tcPr>
          <w:p w14:paraId="027CAF57">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1.支持柔光反射式补光，表面采用高漫反射涂层，避免产生高光斑点，确保被摄物体受光均匀。</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2.标准直径≥80cm，可折叠设计便于收纳与运输</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3.支持快速展开与折叠，单人操作可在30秒内完成部署</w:t>
            </w:r>
          </w:p>
        </w:tc>
      </w:tr>
      <w:tr w14:paraId="65FF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2C4AE1EF">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5</w:t>
            </w:r>
          </w:p>
        </w:tc>
        <w:tc>
          <w:tcPr>
            <w:tcW w:w="1284" w:type="dxa"/>
            <w:vAlign w:val="center"/>
          </w:tcPr>
          <w:p w14:paraId="656AD0D8">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补光灯</w:t>
            </w:r>
          </w:p>
        </w:tc>
        <w:tc>
          <w:tcPr>
            <w:tcW w:w="1296" w:type="dxa"/>
            <w:vAlign w:val="center"/>
          </w:tcPr>
          <w:p w14:paraId="761E62B9">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补光灯</w:t>
            </w:r>
          </w:p>
        </w:tc>
        <w:tc>
          <w:tcPr>
            <w:tcW w:w="792" w:type="dxa"/>
            <w:vAlign w:val="center"/>
          </w:tcPr>
          <w:p w14:paraId="35C68C5E">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vAlign w:val="center"/>
          </w:tcPr>
          <w:p w14:paraId="3FC6A542">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5147" w:type="dxa"/>
            <w:vAlign w:val="center"/>
          </w:tcPr>
          <w:p w14:paraId="7BFA403D">
            <w:pPr>
              <w:widowControl/>
              <w:numPr>
                <w:ilvl w:val="0"/>
                <w:numId w:val="53"/>
              </w:numPr>
              <w:snapToGrid w:val="0"/>
              <w:ind w:left="0" w:leftChars="0" w:right="0" w:rightChars="0" w:firstLine="0" w:firstLineChars="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支持无线遥控开关</w:t>
            </w:r>
          </w:p>
          <w:p w14:paraId="607FB6B7">
            <w:pPr>
              <w:widowControl/>
              <w:numPr>
                <w:ilvl w:val="0"/>
                <w:numId w:val="53"/>
              </w:numPr>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功率≥20W</w:t>
            </w:r>
          </w:p>
          <w:p w14:paraId="0C26596D">
            <w:pPr>
              <w:widowControl/>
              <w:numPr>
                <w:ilvl w:val="0"/>
                <w:numId w:val="53"/>
              </w:numPr>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显色指数</w:t>
            </w:r>
            <w:r>
              <w:rPr>
                <w:rFonts w:hint="eastAsia" w:ascii="宋体" w:hAnsi="宋体" w:eastAsia="宋体" w:cs="宋体"/>
                <w:color w:val="000000"/>
                <w:kern w:val="0"/>
                <w:sz w:val="24"/>
                <w:szCs w:val="24"/>
                <w:lang w:val="en-US" w:eastAsia="zh-CN" w:bidi="ar"/>
              </w:rPr>
              <w:t>:CRI ≥90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.支持≥3种色温选择</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.支持≥2米高的支架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.携带轻盈方便</w:t>
            </w:r>
          </w:p>
        </w:tc>
      </w:tr>
      <w:tr w14:paraId="0593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4F20A0EA">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6</w:t>
            </w:r>
          </w:p>
        </w:tc>
        <w:tc>
          <w:tcPr>
            <w:tcW w:w="1284" w:type="dxa"/>
            <w:shd w:val="clear" w:color="auto" w:fill="auto"/>
            <w:vAlign w:val="center"/>
          </w:tcPr>
          <w:p w14:paraId="22752BDF">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单色换景布（单位：张）</w:t>
            </w:r>
          </w:p>
        </w:tc>
        <w:tc>
          <w:tcPr>
            <w:tcW w:w="1296" w:type="dxa"/>
            <w:shd w:val="clear" w:color="auto" w:fill="auto"/>
            <w:vAlign w:val="center"/>
          </w:tcPr>
          <w:p w14:paraId="0D32A691">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单色换景布（单位：张）</w:t>
            </w:r>
          </w:p>
        </w:tc>
        <w:tc>
          <w:tcPr>
            <w:tcW w:w="792" w:type="dxa"/>
            <w:shd w:val="clear" w:color="auto" w:fill="auto"/>
            <w:vAlign w:val="center"/>
          </w:tcPr>
          <w:p w14:paraId="2C0EB0CA">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张</w:t>
            </w:r>
          </w:p>
        </w:tc>
        <w:tc>
          <w:tcPr>
            <w:tcW w:w="792" w:type="dxa"/>
            <w:shd w:val="clear" w:color="auto" w:fill="auto"/>
            <w:vAlign w:val="center"/>
          </w:tcPr>
          <w:p w14:paraId="099146A1">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147" w:type="dxa"/>
            <w:shd w:val="clear" w:color="auto" w:fill="auto"/>
            <w:vAlign w:val="center"/>
          </w:tcPr>
          <w:p w14:paraId="39A0AFE8">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1.多种颜色可选，颜色纯正，</w:t>
            </w:r>
            <w:r>
              <w:rPr>
                <w:rFonts w:hint="eastAsia" w:ascii="宋体" w:hAnsi="宋体" w:eastAsia="宋体" w:cs="宋体"/>
                <w:color w:val="000000"/>
                <w:kern w:val="0"/>
                <w:sz w:val="24"/>
                <w:szCs w:val="24"/>
                <w:lang w:val="en-US" w:eastAsia="zh-CN" w:bidi="ar"/>
              </w:rPr>
              <w:t>材质为不低于植绒吸光布</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2.材质细腻柔软，颜色丰富</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3.尺寸≥60cm*100cm</w:t>
            </w:r>
          </w:p>
        </w:tc>
      </w:tr>
      <w:tr w14:paraId="6FD0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0194A2A6">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7</w:t>
            </w:r>
          </w:p>
        </w:tc>
        <w:tc>
          <w:tcPr>
            <w:tcW w:w="1284" w:type="dxa"/>
            <w:vAlign w:val="center"/>
          </w:tcPr>
          <w:p w14:paraId="4F32B814">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背景架</w:t>
            </w:r>
          </w:p>
        </w:tc>
        <w:tc>
          <w:tcPr>
            <w:tcW w:w="1296" w:type="dxa"/>
            <w:vAlign w:val="center"/>
          </w:tcPr>
          <w:p w14:paraId="06E666A7">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背景架</w:t>
            </w:r>
          </w:p>
        </w:tc>
        <w:tc>
          <w:tcPr>
            <w:tcW w:w="792" w:type="dxa"/>
            <w:vAlign w:val="center"/>
          </w:tcPr>
          <w:p w14:paraId="3CF928EB">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vAlign w:val="center"/>
          </w:tcPr>
          <w:p w14:paraId="4BE19679">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147" w:type="dxa"/>
            <w:vAlign w:val="center"/>
          </w:tcPr>
          <w:p w14:paraId="12C4BDE6">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1.支持≥高2米自由伸缩</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2.2米背景支架+2米横杆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3.加粗材质，承重能力大大加强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4.多档高度，自由调节，ABS锁扣自由伸缩</w:t>
            </w:r>
          </w:p>
        </w:tc>
      </w:tr>
      <w:tr w14:paraId="0632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3A30638C">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8</w:t>
            </w:r>
          </w:p>
        </w:tc>
        <w:tc>
          <w:tcPr>
            <w:tcW w:w="1284" w:type="dxa"/>
            <w:shd w:val="clear" w:color="auto" w:fill="auto"/>
            <w:vAlign w:val="center"/>
          </w:tcPr>
          <w:p w14:paraId="2434CAE0">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摄影棚</w:t>
            </w:r>
          </w:p>
        </w:tc>
        <w:tc>
          <w:tcPr>
            <w:tcW w:w="1296" w:type="dxa"/>
            <w:shd w:val="clear" w:color="auto" w:fill="auto"/>
            <w:vAlign w:val="center"/>
          </w:tcPr>
          <w:p w14:paraId="5E401850">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摄影棚</w:t>
            </w:r>
          </w:p>
        </w:tc>
        <w:tc>
          <w:tcPr>
            <w:tcW w:w="792" w:type="dxa"/>
            <w:shd w:val="clear" w:color="auto" w:fill="auto"/>
            <w:vAlign w:val="center"/>
          </w:tcPr>
          <w:p w14:paraId="14C69BC4">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7380251D">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5B081493">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1.尺寸≥80cm</w:t>
            </w:r>
            <w:r>
              <w:rPr>
                <w:rStyle w:val="55"/>
                <w:rFonts w:hint="eastAsia" w:ascii="宋体" w:hAnsi="宋体" w:eastAsia="宋体" w:cs="宋体"/>
                <w:sz w:val="24"/>
                <w:szCs w:val="24"/>
                <w:lang w:val="en-US" w:eastAsia="zh-CN"/>
              </w:rPr>
              <w:t>*</w:t>
            </w:r>
            <w:r>
              <w:rPr>
                <w:rFonts w:hint="eastAsia" w:ascii="宋体" w:hAnsi="宋体" w:eastAsia="宋体" w:cs="宋体"/>
                <w:color w:val="000000"/>
                <w:kern w:val="0"/>
                <w:sz w:val="24"/>
                <w:szCs w:val="24"/>
                <w:lang w:bidi="ar"/>
              </w:rPr>
              <w:t>80cm</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80cm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2.支持≥3种色温选择</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3.支持无极调光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4.支持快速安装，携带方便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5.≥6组灯光板</w:t>
            </w:r>
          </w:p>
        </w:tc>
      </w:tr>
      <w:tr w14:paraId="62F2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5BCAFD15">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9</w:t>
            </w:r>
          </w:p>
        </w:tc>
        <w:tc>
          <w:tcPr>
            <w:tcW w:w="1284" w:type="dxa"/>
            <w:shd w:val="clear" w:color="auto" w:fill="auto"/>
            <w:vAlign w:val="center"/>
          </w:tcPr>
          <w:p w14:paraId="3B3A38E9">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摄影棚</w:t>
            </w:r>
          </w:p>
        </w:tc>
        <w:tc>
          <w:tcPr>
            <w:tcW w:w="1296" w:type="dxa"/>
            <w:shd w:val="clear" w:color="auto" w:fill="auto"/>
            <w:vAlign w:val="center"/>
          </w:tcPr>
          <w:p w14:paraId="29B88F31">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摄影棚</w:t>
            </w:r>
          </w:p>
        </w:tc>
        <w:tc>
          <w:tcPr>
            <w:tcW w:w="792" w:type="dxa"/>
            <w:shd w:val="clear" w:color="auto" w:fill="auto"/>
            <w:vAlign w:val="center"/>
          </w:tcPr>
          <w:p w14:paraId="4C4EB0ED">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5668C1BC">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59EE09CC">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1.尺寸≥45cm</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45cm</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45cm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2.支持≥3种色温选择</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3.支持无极调光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4.支持快速安装，携带方便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5.≥6组灯光板</w:t>
            </w:r>
          </w:p>
        </w:tc>
      </w:tr>
      <w:tr w14:paraId="3596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6157A73D">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10</w:t>
            </w:r>
          </w:p>
        </w:tc>
        <w:tc>
          <w:tcPr>
            <w:tcW w:w="1284" w:type="dxa"/>
            <w:shd w:val="clear" w:color="auto" w:fill="auto"/>
            <w:vAlign w:val="center"/>
          </w:tcPr>
          <w:p w14:paraId="331171E0">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摄影棚</w:t>
            </w:r>
          </w:p>
        </w:tc>
        <w:tc>
          <w:tcPr>
            <w:tcW w:w="1296" w:type="dxa"/>
            <w:shd w:val="clear" w:color="auto" w:fill="auto"/>
            <w:vAlign w:val="center"/>
          </w:tcPr>
          <w:p w14:paraId="6BF4972E">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摄影棚</w:t>
            </w:r>
          </w:p>
        </w:tc>
        <w:tc>
          <w:tcPr>
            <w:tcW w:w="792" w:type="dxa"/>
            <w:shd w:val="clear" w:color="auto" w:fill="auto"/>
            <w:vAlign w:val="center"/>
          </w:tcPr>
          <w:p w14:paraId="4FDEA571">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28C49693">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563B187F">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1.尺寸≥65cm</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65cm</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65cm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2.支持≥3种色温选择</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3.支持无极调光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4.支持快速安装，携带方便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5.≥6组灯光板</w:t>
            </w:r>
          </w:p>
        </w:tc>
      </w:tr>
      <w:tr w14:paraId="74BF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62C2115C">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11</w:t>
            </w:r>
          </w:p>
        </w:tc>
        <w:tc>
          <w:tcPr>
            <w:tcW w:w="1284" w:type="dxa"/>
            <w:vAlign w:val="center"/>
          </w:tcPr>
          <w:p w14:paraId="309DE289">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移动更衣间</w:t>
            </w:r>
          </w:p>
        </w:tc>
        <w:tc>
          <w:tcPr>
            <w:tcW w:w="1296" w:type="dxa"/>
            <w:vAlign w:val="center"/>
          </w:tcPr>
          <w:p w14:paraId="0A17E5F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移动更衣间</w:t>
            </w:r>
          </w:p>
        </w:tc>
        <w:tc>
          <w:tcPr>
            <w:tcW w:w="792" w:type="dxa"/>
            <w:vAlign w:val="center"/>
          </w:tcPr>
          <w:p w14:paraId="4064E1D9">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vAlign w:val="center"/>
          </w:tcPr>
          <w:p w14:paraId="0BCF8BCA">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vAlign w:val="center"/>
          </w:tcPr>
          <w:p w14:paraId="382DCFEC">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1.标准单元尺寸‌：≥2000mm（高）× 900mm（宽）× 420mm（深），适合单人使用，便于批量组合与运输。</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‌2.走道与使用空间‌：内部净宽建议≥600mm，确保站立更衣；</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‌3.高度设计‌：柜体总高度≥2000mm，便于悬挂衣物且无需借助工具取放顶部物品。</w:t>
            </w:r>
          </w:p>
        </w:tc>
      </w:tr>
      <w:tr w14:paraId="7CAA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66368AC8">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12</w:t>
            </w:r>
          </w:p>
        </w:tc>
        <w:tc>
          <w:tcPr>
            <w:tcW w:w="1284" w:type="dxa"/>
            <w:shd w:val="clear" w:color="auto" w:fill="auto"/>
            <w:vAlign w:val="center"/>
          </w:tcPr>
          <w:p w14:paraId="013AEC87">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写生静物台</w:t>
            </w:r>
          </w:p>
        </w:tc>
        <w:tc>
          <w:tcPr>
            <w:tcW w:w="1296" w:type="dxa"/>
            <w:shd w:val="clear" w:color="auto" w:fill="auto"/>
            <w:vAlign w:val="center"/>
          </w:tcPr>
          <w:p w14:paraId="5CCD6747">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写生静物台</w:t>
            </w:r>
          </w:p>
        </w:tc>
        <w:tc>
          <w:tcPr>
            <w:tcW w:w="792" w:type="dxa"/>
            <w:shd w:val="clear" w:color="auto" w:fill="auto"/>
            <w:vAlign w:val="center"/>
          </w:tcPr>
          <w:p w14:paraId="363F1B58">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台</w:t>
            </w:r>
          </w:p>
        </w:tc>
        <w:tc>
          <w:tcPr>
            <w:tcW w:w="792" w:type="dxa"/>
            <w:shd w:val="clear" w:color="auto" w:fill="auto"/>
            <w:vAlign w:val="center"/>
          </w:tcPr>
          <w:p w14:paraId="6E871A57">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147" w:type="dxa"/>
            <w:shd w:val="clear" w:color="auto" w:fill="auto"/>
            <w:vAlign w:val="center"/>
          </w:tcPr>
          <w:p w14:paraId="5D194E78">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‌1.台面尺寸‌：≥600mm×600mm，适合摆放石膏像、静物组合及绘画工具。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‌2.高度调节范围‌：标准高度≥60cm，便于匹配不同作画视角。根据美术写生视角要求，更利于获得理想构图。</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‌3.台面厚度‌：≥18mm，采用环保E</w:t>
            </w:r>
            <w:r>
              <w:rPr>
                <w:rFonts w:hint="eastAsia" w:ascii="宋体" w:hAnsi="宋体" w:eastAsia="宋体" w:cs="宋体"/>
                <w:color w:val="000000"/>
                <w:kern w:val="0"/>
                <w:sz w:val="24"/>
                <w:szCs w:val="24"/>
                <w:lang w:val="en-US" w:eastAsia="zh-CN" w:bidi="ar"/>
              </w:rPr>
              <w:t>0</w:t>
            </w:r>
            <w:r>
              <w:rPr>
                <w:rFonts w:hint="eastAsia" w:ascii="宋体" w:hAnsi="宋体" w:eastAsia="宋体" w:cs="宋体"/>
                <w:color w:val="000000"/>
                <w:kern w:val="0"/>
                <w:sz w:val="24"/>
                <w:szCs w:val="24"/>
                <w:lang w:bidi="ar"/>
              </w:rPr>
              <w:t>级三聚氰胺板或实木板材，确保承重稳定且不易变形</w:t>
            </w:r>
          </w:p>
        </w:tc>
      </w:tr>
      <w:tr w14:paraId="6AF4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16C6801F">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13</w:t>
            </w:r>
          </w:p>
        </w:tc>
        <w:tc>
          <w:tcPr>
            <w:tcW w:w="1284" w:type="dxa"/>
            <w:shd w:val="clear" w:color="auto" w:fill="auto"/>
            <w:vAlign w:val="center"/>
          </w:tcPr>
          <w:p w14:paraId="730AE697">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绘画专用灯</w:t>
            </w:r>
          </w:p>
        </w:tc>
        <w:tc>
          <w:tcPr>
            <w:tcW w:w="1296" w:type="dxa"/>
            <w:shd w:val="clear" w:color="auto" w:fill="auto"/>
            <w:vAlign w:val="center"/>
          </w:tcPr>
          <w:p w14:paraId="34BFA6B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绘画专用灯</w:t>
            </w:r>
          </w:p>
        </w:tc>
        <w:tc>
          <w:tcPr>
            <w:tcW w:w="792" w:type="dxa"/>
            <w:shd w:val="clear" w:color="auto" w:fill="auto"/>
            <w:vAlign w:val="center"/>
          </w:tcPr>
          <w:p w14:paraId="3FD518A2">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6B8AA5D4">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5147" w:type="dxa"/>
            <w:shd w:val="clear" w:color="auto" w:fill="auto"/>
            <w:vAlign w:val="center"/>
          </w:tcPr>
          <w:p w14:paraId="7F9D44CF">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1.灯管:≥40cm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2.光源:LED全光谱</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3.色温:4000-6000K</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4.开关:线控智能开关</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5.功率:≥20W</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6.护眼模式:3色护眼光/10档亮度</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7.显色指数:Ra≥95</w:t>
            </w:r>
          </w:p>
        </w:tc>
      </w:tr>
      <w:tr w14:paraId="393D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7492DC49">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14</w:t>
            </w:r>
          </w:p>
        </w:tc>
        <w:tc>
          <w:tcPr>
            <w:tcW w:w="1284" w:type="dxa"/>
            <w:shd w:val="clear" w:color="auto" w:fill="auto"/>
            <w:vAlign w:val="center"/>
          </w:tcPr>
          <w:p w14:paraId="296DB80D">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静物物体</w:t>
            </w:r>
          </w:p>
        </w:tc>
        <w:tc>
          <w:tcPr>
            <w:tcW w:w="1296" w:type="dxa"/>
            <w:shd w:val="clear" w:color="auto" w:fill="auto"/>
            <w:vAlign w:val="center"/>
          </w:tcPr>
          <w:p w14:paraId="56D8AD65">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静物物体</w:t>
            </w:r>
          </w:p>
        </w:tc>
        <w:tc>
          <w:tcPr>
            <w:tcW w:w="792" w:type="dxa"/>
            <w:shd w:val="clear" w:color="auto" w:fill="auto"/>
            <w:vAlign w:val="center"/>
          </w:tcPr>
          <w:p w14:paraId="490230F4">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626B56CA">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147" w:type="dxa"/>
            <w:shd w:val="clear" w:color="auto" w:fill="auto"/>
            <w:vAlign w:val="center"/>
          </w:tcPr>
          <w:p w14:paraId="130FCAB6">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1.绘画素描过程中所使用的静物物体</w:t>
            </w:r>
          </w:p>
        </w:tc>
      </w:tr>
      <w:tr w14:paraId="292E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5B999882">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15</w:t>
            </w:r>
          </w:p>
        </w:tc>
        <w:tc>
          <w:tcPr>
            <w:tcW w:w="1284" w:type="dxa"/>
            <w:vAlign w:val="center"/>
          </w:tcPr>
          <w:p w14:paraId="64825BA2">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拉胚机</w:t>
            </w:r>
          </w:p>
        </w:tc>
        <w:tc>
          <w:tcPr>
            <w:tcW w:w="1296" w:type="dxa"/>
            <w:vAlign w:val="center"/>
          </w:tcPr>
          <w:p w14:paraId="53442136">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拉胚机</w:t>
            </w:r>
          </w:p>
        </w:tc>
        <w:tc>
          <w:tcPr>
            <w:tcW w:w="792" w:type="dxa"/>
            <w:vAlign w:val="center"/>
          </w:tcPr>
          <w:p w14:paraId="2978C02F">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台</w:t>
            </w:r>
          </w:p>
        </w:tc>
        <w:tc>
          <w:tcPr>
            <w:tcW w:w="792" w:type="dxa"/>
            <w:vAlign w:val="center"/>
          </w:tcPr>
          <w:p w14:paraId="3AB3D83E">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147" w:type="dxa"/>
            <w:vAlign w:val="center"/>
          </w:tcPr>
          <w:p w14:paraId="16D15683">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1.工作电压：AC 220V</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2.电机功率：250W–400W（常见350W）</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3.转盘转速：0–300 r/min，支持无级变速调节</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4.调速方式：手动旋钮、脚踏控制或液晶触控双控模式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5.转盘直径：300mm–352mm（标准家用/教学型）</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6.承重能力：≥120kg（满足大件陶坯成型需求）</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7.控制方式：急启急停功能，防止坯体变形</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8.噪音水平：≤44dB（60cm处测量），静音设计适合室内使用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9.电机类型：DD直驱电机，加减速无延时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10.水盆设计：可拆卸式，新结构便于清洗</w:t>
            </w:r>
          </w:p>
        </w:tc>
      </w:tr>
      <w:tr w14:paraId="7525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6338E08B">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16</w:t>
            </w:r>
          </w:p>
        </w:tc>
        <w:tc>
          <w:tcPr>
            <w:tcW w:w="1284" w:type="dxa"/>
            <w:shd w:val="clear" w:color="auto" w:fill="auto"/>
            <w:vAlign w:val="center"/>
          </w:tcPr>
          <w:p w14:paraId="4D9B01F1">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烫衣板</w:t>
            </w:r>
          </w:p>
        </w:tc>
        <w:tc>
          <w:tcPr>
            <w:tcW w:w="1296" w:type="dxa"/>
            <w:shd w:val="clear" w:color="auto" w:fill="auto"/>
            <w:vAlign w:val="center"/>
          </w:tcPr>
          <w:p w14:paraId="6DAE96D7">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烫衣板</w:t>
            </w:r>
          </w:p>
        </w:tc>
        <w:tc>
          <w:tcPr>
            <w:tcW w:w="792" w:type="dxa"/>
            <w:shd w:val="clear" w:color="auto" w:fill="auto"/>
            <w:vAlign w:val="center"/>
          </w:tcPr>
          <w:p w14:paraId="4D9EB9B4">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7D14A637">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147" w:type="dxa"/>
            <w:shd w:val="clear" w:color="auto" w:fill="auto"/>
            <w:vAlign w:val="center"/>
          </w:tcPr>
          <w:p w14:paraId="5FB18C2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r>
              <w:rPr>
                <w:rStyle w:val="262"/>
                <w:rFonts w:hint="eastAsia" w:ascii="宋体" w:hAnsi="宋体" w:eastAsia="宋体" w:cs="宋体"/>
                <w:sz w:val="24"/>
                <w:szCs w:val="24"/>
                <w:lang w:bidi="ar"/>
              </w:rPr>
              <w:t>1.展开尺寸</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：展开后高度为≥80cm，宽度≥30cm，长度≥110cm，适合熨烫衬衫、西裤、连衣裙等常规衣物。</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2.烫面尺寸</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：有效熨烫面积通常为90×30cm,大号面板可一次性覆盖整件衬衫，提升效率。</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3.折叠厚度</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：收纳后厚度控制在6–12cm，便于塞入柜侧或墙角，节省空间。</w:t>
            </w:r>
          </w:p>
        </w:tc>
      </w:tr>
      <w:tr w14:paraId="3337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442D3183">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17</w:t>
            </w:r>
          </w:p>
        </w:tc>
        <w:tc>
          <w:tcPr>
            <w:tcW w:w="1284" w:type="dxa"/>
            <w:vAlign w:val="center"/>
          </w:tcPr>
          <w:p w14:paraId="6C485D28">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晾衣架</w:t>
            </w:r>
          </w:p>
        </w:tc>
        <w:tc>
          <w:tcPr>
            <w:tcW w:w="1296" w:type="dxa"/>
            <w:vAlign w:val="center"/>
          </w:tcPr>
          <w:p w14:paraId="6F2A744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晾衣架</w:t>
            </w:r>
          </w:p>
        </w:tc>
        <w:tc>
          <w:tcPr>
            <w:tcW w:w="792" w:type="dxa"/>
            <w:vAlign w:val="center"/>
          </w:tcPr>
          <w:p w14:paraId="4A285395">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vAlign w:val="center"/>
          </w:tcPr>
          <w:p w14:paraId="225687C1">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5147" w:type="dxa"/>
            <w:vAlign w:val="center"/>
          </w:tcPr>
          <w:p w14:paraId="446F26E7">
            <w:pPr>
              <w:widowControl/>
              <w:numPr>
                <w:ilvl w:val="0"/>
                <w:numId w:val="54"/>
              </w:numPr>
              <w:snapToGrid w:val="0"/>
              <w:ind w:left="0" w:leftChars="0" w:right="0" w:rightChars="0" w:firstLine="0" w:firstLineChars="0"/>
              <w:jc w:val="left"/>
              <w:textAlignment w:val="center"/>
              <w:rPr>
                <w:rStyle w:val="55"/>
                <w:rFonts w:hint="eastAsia" w:ascii="宋体" w:hAnsi="宋体" w:eastAsia="宋体" w:cs="宋体"/>
                <w:sz w:val="24"/>
                <w:szCs w:val="24"/>
              </w:rPr>
            </w:pPr>
            <w:r>
              <w:rPr>
                <w:rFonts w:hint="eastAsia" w:ascii="宋体" w:hAnsi="宋体" w:eastAsia="宋体" w:cs="宋体"/>
                <w:color w:val="000000"/>
                <w:kern w:val="0"/>
                <w:sz w:val="24"/>
                <w:szCs w:val="24"/>
                <w:lang w:bidi="ar"/>
              </w:rPr>
              <w:t>承重能力</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≥35kg</w:t>
            </w:r>
          </w:p>
          <w:p w14:paraId="5DD3EA59">
            <w:pPr>
              <w:widowControl/>
              <w:numPr>
                <w:ilvl w:val="0"/>
                <w:numId w:val="54"/>
              </w:numPr>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长度：≥1.5米</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.晾杆材质：铝合金，抗拉强度高、耐腐蚀</w:t>
            </w:r>
          </w:p>
        </w:tc>
      </w:tr>
      <w:tr w14:paraId="1262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441D65AC">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18</w:t>
            </w:r>
          </w:p>
        </w:tc>
        <w:tc>
          <w:tcPr>
            <w:tcW w:w="1284" w:type="dxa"/>
            <w:shd w:val="clear" w:color="auto" w:fill="auto"/>
            <w:vAlign w:val="center"/>
          </w:tcPr>
          <w:p w14:paraId="661F1798">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电源时序器</w:t>
            </w:r>
          </w:p>
        </w:tc>
        <w:tc>
          <w:tcPr>
            <w:tcW w:w="1296" w:type="dxa"/>
            <w:shd w:val="clear" w:color="auto" w:fill="auto"/>
            <w:vAlign w:val="center"/>
          </w:tcPr>
          <w:p w14:paraId="0D276418">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电源时序器</w:t>
            </w:r>
          </w:p>
        </w:tc>
        <w:tc>
          <w:tcPr>
            <w:tcW w:w="792" w:type="dxa"/>
            <w:shd w:val="clear" w:color="auto" w:fill="auto"/>
            <w:vAlign w:val="center"/>
          </w:tcPr>
          <w:p w14:paraId="5BB11E41">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台</w:t>
            </w:r>
          </w:p>
        </w:tc>
        <w:tc>
          <w:tcPr>
            <w:tcW w:w="792" w:type="dxa"/>
            <w:shd w:val="clear" w:color="auto" w:fill="auto"/>
            <w:vAlign w:val="center"/>
          </w:tcPr>
          <w:p w14:paraId="693FF6D5">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147" w:type="dxa"/>
            <w:shd w:val="clear" w:color="auto" w:fill="auto"/>
            <w:vAlign w:val="center"/>
          </w:tcPr>
          <w:p w14:paraId="3ABC4D18">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1.定时开关机功能，内置时钟芯片，可根据日期时间设定，无需人为操作，让设备管理更简单；</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2.≥8路通道输出，每路延时开启和关闭时间可自由设置（范围0~999S）；</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3.配置RS232接口，支持外部中央控制设备控制；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4.可实现远程集中控制，每台设备自带设备编码ID检测和设置；</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5.≥10组设备开关场景数据保存/调用，场景管理应用简单便捷；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6.支持多台设备级联控制，级联状态可自动检测及设置；</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7.可实现远程集中控制，每台设备自带设备编码ID检测和设置；</w:t>
            </w:r>
          </w:p>
        </w:tc>
      </w:tr>
      <w:tr w14:paraId="5530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35CAECC2">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19</w:t>
            </w:r>
          </w:p>
        </w:tc>
        <w:tc>
          <w:tcPr>
            <w:tcW w:w="1284" w:type="dxa"/>
            <w:vAlign w:val="center"/>
          </w:tcPr>
          <w:p w14:paraId="048F931A">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散热系统（单位：套）</w:t>
            </w:r>
          </w:p>
        </w:tc>
        <w:tc>
          <w:tcPr>
            <w:tcW w:w="1296" w:type="dxa"/>
            <w:vAlign w:val="center"/>
          </w:tcPr>
          <w:p w14:paraId="22F71382">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散热系统（单位：套）</w:t>
            </w:r>
          </w:p>
        </w:tc>
        <w:tc>
          <w:tcPr>
            <w:tcW w:w="792" w:type="dxa"/>
            <w:vAlign w:val="center"/>
          </w:tcPr>
          <w:p w14:paraId="01FF14C8">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vAlign w:val="center"/>
          </w:tcPr>
          <w:p w14:paraId="54E4D91B">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vAlign w:val="center"/>
          </w:tcPr>
          <w:p w14:paraId="243D0428">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1.能效等级‌：≥一级能效</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‌2.制冷量（W）‌：≥3500W（适用于1.5P–2P机型）</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‌3.制热量（W）‌ ≥3800W（含电辅热）</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‌4.循环风量（m³/h）‌ ≥630 m³/h 保证气流覆盖均匀，避免局部温差过大</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‌5.噪音水平（dB(A)）‌ 室内机≤35dB，室外机≤55dB</w:t>
            </w:r>
          </w:p>
        </w:tc>
      </w:tr>
      <w:tr w14:paraId="7E2F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48DF216E">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20</w:t>
            </w:r>
          </w:p>
        </w:tc>
        <w:tc>
          <w:tcPr>
            <w:tcW w:w="1284" w:type="dxa"/>
            <w:shd w:val="clear" w:color="auto" w:fill="auto"/>
            <w:vAlign w:val="center"/>
          </w:tcPr>
          <w:p w14:paraId="6C16594A">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各类图书</w:t>
            </w:r>
          </w:p>
        </w:tc>
        <w:tc>
          <w:tcPr>
            <w:tcW w:w="1296" w:type="dxa"/>
            <w:shd w:val="clear" w:color="auto" w:fill="auto"/>
            <w:vAlign w:val="center"/>
          </w:tcPr>
          <w:p w14:paraId="34445626">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各类图书</w:t>
            </w:r>
          </w:p>
        </w:tc>
        <w:tc>
          <w:tcPr>
            <w:tcW w:w="792" w:type="dxa"/>
            <w:shd w:val="clear" w:color="auto" w:fill="auto"/>
            <w:vAlign w:val="center"/>
          </w:tcPr>
          <w:p w14:paraId="3A061E73">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批</w:t>
            </w:r>
          </w:p>
        </w:tc>
        <w:tc>
          <w:tcPr>
            <w:tcW w:w="792" w:type="dxa"/>
            <w:shd w:val="clear" w:color="auto" w:fill="auto"/>
            <w:vAlign w:val="center"/>
          </w:tcPr>
          <w:p w14:paraId="68BE8A1F">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0E81D4D4">
            <w:pPr>
              <w:widowControl/>
              <w:numPr>
                <w:ilvl w:val="0"/>
                <w:numId w:val="55"/>
              </w:numPr>
              <w:snapToGrid w:val="0"/>
              <w:ind w:left="0" w:leftChars="0" w:right="0" w:rightChars="0" w:firstLine="0" w:firstLineChars="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图书出版社为</w:t>
            </w:r>
            <w:r>
              <w:rPr>
                <w:rFonts w:hint="eastAsia" w:ascii="宋体" w:hAnsi="宋体" w:eastAsia="宋体" w:cs="宋体"/>
                <w:color w:val="000000"/>
                <w:kern w:val="0"/>
                <w:sz w:val="24"/>
                <w:szCs w:val="24"/>
                <w:lang w:bidi="ar"/>
              </w:rPr>
              <w:t>中国残疾人事业出版与大众出版相结合的综合性出版社</w:t>
            </w:r>
          </w:p>
          <w:p w14:paraId="1F4615FA">
            <w:pPr>
              <w:widowControl/>
              <w:numPr>
                <w:ilvl w:val="0"/>
                <w:numId w:val="55"/>
              </w:numPr>
              <w:snapToGrid w:val="0"/>
              <w:ind w:left="0" w:leftChars="0" w:right="0" w:rightChars="0" w:firstLine="0" w:firstLineChars="0"/>
              <w:jc w:val="left"/>
              <w:textAlignment w:val="center"/>
              <w:rPr>
                <w:rFonts w:hint="eastAsia" w:ascii="宋体" w:hAnsi="宋体" w:eastAsia="宋体" w:cs="宋体"/>
                <w:color w:val="000000"/>
                <w:kern w:val="0"/>
                <w:sz w:val="24"/>
                <w:szCs w:val="24"/>
                <w:lang w:val="en-US" w:bidi="ar"/>
              </w:rPr>
            </w:pPr>
            <w:r>
              <w:rPr>
                <w:rFonts w:hint="eastAsia" w:ascii="宋体" w:hAnsi="宋体" w:eastAsia="宋体" w:cs="宋体"/>
                <w:color w:val="000000"/>
                <w:kern w:val="0"/>
                <w:sz w:val="24"/>
                <w:szCs w:val="24"/>
                <w:lang w:val="en-US" w:eastAsia="zh-CN" w:bidi="ar"/>
              </w:rPr>
              <w:t>包括残疾人事业与康复类1000余本（政策法规与理论研究类型、康复服务与技能培训类型、特殊群体生活指导类型）</w:t>
            </w:r>
          </w:p>
          <w:p w14:paraId="72E2286D">
            <w:pPr>
              <w:widowControl/>
              <w:numPr>
                <w:ilvl w:val="0"/>
                <w:numId w:val="55"/>
              </w:numPr>
              <w:snapToGrid w:val="0"/>
              <w:ind w:left="0" w:leftChars="0" w:right="0" w:rightChars="0" w:firstLine="0" w:firstLineChars="0"/>
              <w:jc w:val="left"/>
              <w:textAlignment w:val="center"/>
              <w:rPr>
                <w:rFonts w:hint="eastAsia" w:ascii="宋体" w:hAnsi="宋体" w:eastAsia="宋体" w:cs="宋体"/>
                <w:color w:val="000000"/>
                <w:kern w:val="0"/>
                <w:sz w:val="24"/>
                <w:szCs w:val="24"/>
                <w:lang w:val="en-US" w:bidi="ar"/>
              </w:rPr>
            </w:pPr>
            <w:r>
              <w:rPr>
                <w:rFonts w:hint="eastAsia" w:ascii="宋体" w:hAnsi="宋体" w:eastAsia="宋体" w:cs="宋体"/>
                <w:color w:val="000000"/>
                <w:kern w:val="0"/>
                <w:sz w:val="24"/>
                <w:szCs w:val="24"/>
                <w:lang w:val="en-US" w:eastAsia="zh-CN" w:bidi="ar"/>
              </w:rPr>
              <w:t>包括国学与传统文化类500余本（经典解读与哲学研究类型）</w:t>
            </w:r>
          </w:p>
        </w:tc>
      </w:tr>
      <w:tr w14:paraId="1780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4F0C2D4E">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21</w:t>
            </w:r>
          </w:p>
        </w:tc>
        <w:tc>
          <w:tcPr>
            <w:tcW w:w="1284" w:type="dxa"/>
            <w:shd w:val="clear" w:color="auto" w:fill="auto"/>
            <w:vAlign w:val="center"/>
          </w:tcPr>
          <w:p w14:paraId="34522091">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直播设备套装</w:t>
            </w:r>
          </w:p>
        </w:tc>
        <w:tc>
          <w:tcPr>
            <w:tcW w:w="1296" w:type="dxa"/>
            <w:shd w:val="clear" w:color="auto" w:fill="auto"/>
            <w:vAlign w:val="center"/>
          </w:tcPr>
          <w:p w14:paraId="4806F67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直播设备套装</w:t>
            </w:r>
          </w:p>
        </w:tc>
        <w:tc>
          <w:tcPr>
            <w:tcW w:w="792" w:type="dxa"/>
            <w:shd w:val="clear" w:color="auto" w:fill="auto"/>
            <w:vAlign w:val="center"/>
          </w:tcPr>
          <w:p w14:paraId="001BD09C">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7BEB7F6F">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24D99C7F">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1.包含：</w:t>
            </w:r>
            <w:r>
              <w:rPr>
                <w:rFonts w:hint="eastAsia" w:ascii="宋体" w:hAnsi="宋体" w:eastAsia="宋体" w:cs="宋体"/>
                <w:color w:val="000000"/>
                <w:kern w:val="0"/>
                <w:sz w:val="24"/>
                <w:szCs w:val="24"/>
                <w:lang w:val="en-US" w:eastAsia="zh-CN" w:bidi="ar"/>
              </w:rPr>
              <w:t>≥21.5寸</w:t>
            </w:r>
            <w:r>
              <w:rPr>
                <w:rFonts w:hint="eastAsia" w:ascii="宋体" w:hAnsi="宋体" w:eastAsia="宋体" w:cs="宋体"/>
                <w:color w:val="000000"/>
                <w:kern w:val="0"/>
                <w:sz w:val="24"/>
                <w:szCs w:val="24"/>
                <w:lang w:bidi="ar"/>
              </w:rPr>
              <w:t>显示器</w:t>
            </w:r>
            <w:r>
              <w:rPr>
                <w:rFonts w:hint="eastAsia" w:ascii="宋体" w:hAnsi="宋体" w:eastAsia="宋体" w:cs="宋体"/>
                <w:color w:val="000000"/>
                <w:kern w:val="0"/>
                <w:sz w:val="24"/>
                <w:szCs w:val="24"/>
                <w:lang w:val="en-US" w:eastAsia="zh-CN" w:bidi="ar"/>
              </w:rPr>
              <w:t>1套</w:t>
            </w: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直播</w:t>
            </w:r>
            <w:r>
              <w:rPr>
                <w:rFonts w:hint="eastAsia" w:ascii="宋体" w:hAnsi="宋体" w:eastAsia="宋体" w:cs="宋体"/>
                <w:color w:val="000000"/>
                <w:kern w:val="0"/>
                <w:sz w:val="24"/>
                <w:szCs w:val="24"/>
                <w:lang w:bidi="ar"/>
              </w:rPr>
              <w:t>麦克风</w:t>
            </w:r>
            <w:r>
              <w:rPr>
                <w:rFonts w:hint="eastAsia" w:ascii="宋体" w:hAnsi="宋体" w:eastAsia="宋体" w:cs="宋体"/>
                <w:color w:val="000000"/>
                <w:kern w:val="0"/>
                <w:sz w:val="24"/>
                <w:szCs w:val="24"/>
                <w:lang w:val="en-US" w:eastAsia="zh-CN" w:bidi="ar"/>
              </w:rPr>
              <w:t>1套</w:t>
            </w: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直播</w:t>
            </w:r>
            <w:r>
              <w:rPr>
                <w:rFonts w:hint="eastAsia" w:ascii="宋体" w:hAnsi="宋体" w:eastAsia="宋体" w:cs="宋体"/>
                <w:color w:val="000000"/>
                <w:kern w:val="0"/>
                <w:sz w:val="24"/>
                <w:szCs w:val="24"/>
                <w:lang w:bidi="ar"/>
              </w:rPr>
              <w:t>摄像头</w:t>
            </w:r>
            <w:r>
              <w:rPr>
                <w:rFonts w:hint="eastAsia" w:ascii="宋体" w:hAnsi="宋体" w:eastAsia="宋体" w:cs="宋体"/>
                <w:color w:val="000000"/>
                <w:kern w:val="0"/>
                <w:sz w:val="24"/>
                <w:szCs w:val="24"/>
                <w:lang w:val="en-US" w:eastAsia="zh-CN" w:bidi="ar"/>
              </w:rPr>
              <w:t>1套</w:t>
            </w:r>
            <w:r>
              <w:rPr>
                <w:rFonts w:hint="eastAsia" w:ascii="宋体" w:hAnsi="宋体" w:eastAsia="宋体" w:cs="宋体"/>
                <w:color w:val="000000"/>
                <w:kern w:val="0"/>
                <w:sz w:val="24"/>
                <w:szCs w:val="24"/>
                <w:lang w:bidi="ar"/>
              </w:rPr>
              <w:t>、补光灯等设备</w:t>
            </w:r>
          </w:p>
        </w:tc>
      </w:tr>
      <w:tr w14:paraId="1FC1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629EDF1D">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22</w:t>
            </w:r>
          </w:p>
        </w:tc>
        <w:tc>
          <w:tcPr>
            <w:tcW w:w="1284" w:type="dxa"/>
            <w:shd w:val="clear" w:color="auto" w:fill="auto"/>
            <w:vAlign w:val="center"/>
          </w:tcPr>
          <w:p w14:paraId="2A9F7450">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专业相机套装</w:t>
            </w:r>
          </w:p>
        </w:tc>
        <w:tc>
          <w:tcPr>
            <w:tcW w:w="1296" w:type="dxa"/>
            <w:shd w:val="clear" w:color="auto" w:fill="auto"/>
            <w:vAlign w:val="center"/>
          </w:tcPr>
          <w:p w14:paraId="25280043">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专业相机套装</w:t>
            </w:r>
          </w:p>
        </w:tc>
        <w:tc>
          <w:tcPr>
            <w:tcW w:w="792" w:type="dxa"/>
            <w:shd w:val="clear" w:color="auto" w:fill="auto"/>
            <w:vAlign w:val="center"/>
          </w:tcPr>
          <w:p w14:paraId="09C5AE1E">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3C7B405E">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6539368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1.类型：数码单反相机或微单相机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2.传感器类型：CMOS</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3.画幅：APS - C或全画幅</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4.有效像素：≥2400万像素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5.拍摄性能：连拍速度≥5张/秒，支持全像素双核CMOS AF，支持WiFi和蓝牙连接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6.视频拍摄：支持4K视频录制，分辨率≥3840×2160，帧率≥30fps</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7.存储：支持SD、SDHC、SDXC存储卡，兼容UHS - I</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8.电池续航：单次充电可拍摄≥500张照片</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9.镜头类型：标准变焦镜头</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10.焦距范围：24 - 70mm（全画幅）或18 - 135mm（APS - C）</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11.光圈：≥F4</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12.功能：支持光学防抖，自动对焦马达</w:t>
            </w:r>
          </w:p>
        </w:tc>
      </w:tr>
      <w:tr w14:paraId="4886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11F49074">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23</w:t>
            </w:r>
          </w:p>
        </w:tc>
        <w:tc>
          <w:tcPr>
            <w:tcW w:w="1284" w:type="dxa"/>
            <w:vAlign w:val="center"/>
          </w:tcPr>
          <w:p w14:paraId="06EDCDD5">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晾衣架</w:t>
            </w:r>
          </w:p>
        </w:tc>
        <w:tc>
          <w:tcPr>
            <w:tcW w:w="1296" w:type="dxa"/>
            <w:vAlign w:val="center"/>
          </w:tcPr>
          <w:p w14:paraId="31CC70F0">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晾衣架</w:t>
            </w:r>
          </w:p>
        </w:tc>
        <w:tc>
          <w:tcPr>
            <w:tcW w:w="792" w:type="dxa"/>
            <w:vAlign w:val="center"/>
          </w:tcPr>
          <w:p w14:paraId="5ABCFF66">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vAlign w:val="center"/>
          </w:tcPr>
          <w:p w14:paraId="16F6408E">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147" w:type="dxa"/>
            <w:vAlign w:val="center"/>
          </w:tcPr>
          <w:p w14:paraId="50C33F85">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1.承重能力≥50kg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2.晾杆材质：铝合金，抗拉强度高、耐腐蚀</w:t>
            </w:r>
          </w:p>
        </w:tc>
      </w:tr>
      <w:tr w14:paraId="1976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368A6129">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24</w:t>
            </w:r>
          </w:p>
        </w:tc>
        <w:tc>
          <w:tcPr>
            <w:tcW w:w="1284" w:type="dxa"/>
            <w:shd w:val="clear" w:color="auto" w:fill="auto"/>
            <w:noWrap/>
            <w:vAlign w:val="center"/>
          </w:tcPr>
          <w:p w14:paraId="47219EAE">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控制系统</w:t>
            </w:r>
          </w:p>
        </w:tc>
        <w:tc>
          <w:tcPr>
            <w:tcW w:w="1296" w:type="dxa"/>
            <w:shd w:val="clear" w:color="auto" w:fill="auto"/>
            <w:noWrap/>
            <w:vAlign w:val="center"/>
          </w:tcPr>
          <w:p w14:paraId="4FF01C62">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视频会议电视75英寸</w:t>
            </w:r>
          </w:p>
        </w:tc>
        <w:tc>
          <w:tcPr>
            <w:tcW w:w="792" w:type="dxa"/>
            <w:shd w:val="clear" w:color="auto" w:fill="auto"/>
            <w:noWrap/>
            <w:vAlign w:val="center"/>
          </w:tcPr>
          <w:p w14:paraId="031758FD">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noWrap/>
            <w:vAlign w:val="center"/>
          </w:tcPr>
          <w:p w14:paraId="049AF5BD">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69BB0D29">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1.屏幕尺寸</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：≥75英寸（对角线）实际可视区域不得小于190.5cm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2.分辨率</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：≥3840×2160（4K UHD）不接受1080P或插值4K</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3.屏幕比例</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：16:9 标准宽屏格式</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4.面板类型</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：优先</w:t>
            </w:r>
            <w:r>
              <w:rPr>
                <w:rStyle w:val="262"/>
                <w:rFonts w:hint="eastAsia" w:ascii="宋体" w:hAnsi="宋体" w:eastAsia="宋体" w:cs="宋体"/>
                <w:sz w:val="24"/>
                <w:szCs w:val="24"/>
                <w:lang w:val="en-US" w:eastAsia="zh-CN" w:bidi="ar"/>
              </w:rPr>
              <w:t>选择</w:t>
            </w:r>
            <w:r>
              <w:rPr>
                <w:rStyle w:val="262"/>
                <w:rFonts w:hint="eastAsia" w:ascii="宋体" w:hAnsi="宋体" w:eastAsia="宋体" w:cs="宋体"/>
                <w:sz w:val="24"/>
                <w:szCs w:val="24"/>
                <w:lang w:bidi="ar"/>
              </w:rPr>
              <w:t>VA或IGZO，，适合暗光环境</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5.亮度</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：≥450 nit（参考值）室内明亮环境下仍能清晰显示</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6.对比度</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：≥1200:1（静态）确保画面层次感与黑色表现力</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7.可视角度</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：≥178°（水平/垂直）多人观看时边缘不失真</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8.色域覆盖率</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：≥DCI-P3 90% 或 NTSC 85%以上 | 色彩还原真实，适合图文展示与视频播放</w:t>
            </w:r>
          </w:p>
        </w:tc>
      </w:tr>
      <w:tr w14:paraId="18AA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6302DB1C">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25</w:t>
            </w:r>
          </w:p>
        </w:tc>
        <w:tc>
          <w:tcPr>
            <w:tcW w:w="1284" w:type="dxa"/>
            <w:vAlign w:val="center"/>
          </w:tcPr>
          <w:p w14:paraId="61A10497">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液晶显示器</w:t>
            </w:r>
          </w:p>
        </w:tc>
        <w:tc>
          <w:tcPr>
            <w:tcW w:w="1296" w:type="dxa"/>
            <w:vAlign w:val="center"/>
          </w:tcPr>
          <w:p w14:paraId="598BA99C">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信息发布显示屏</w:t>
            </w:r>
          </w:p>
        </w:tc>
        <w:tc>
          <w:tcPr>
            <w:tcW w:w="792" w:type="dxa"/>
            <w:vAlign w:val="center"/>
          </w:tcPr>
          <w:p w14:paraId="71F01398">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vAlign w:val="center"/>
          </w:tcPr>
          <w:p w14:paraId="434FFA5F">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5147" w:type="dxa"/>
            <w:vAlign w:val="center"/>
          </w:tcPr>
          <w:p w14:paraId="4919607A">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1.触摸功能 10点触摸，支持多点手势；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2.显示 1920*1080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3.尺寸 15.6英寸(16:9)</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4.视频解码  支持4K 60fps H.265/H.264/VP9视频解码等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5.结构设计 铝合金一体中框，无锐利边缘，耐磨防腐喷砂氧化工艺</w:t>
            </w:r>
          </w:p>
        </w:tc>
      </w:tr>
      <w:tr w14:paraId="444E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1A4ABEA9">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26</w:t>
            </w:r>
          </w:p>
        </w:tc>
        <w:tc>
          <w:tcPr>
            <w:tcW w:w="1284" w:type="dxa"/>
            <w:shd w:val="clear" w:color="auto" w:fill="auto"/>
            <w:vAlign w:val="center"/>
          </w:tcPr>
          <w:p w14:paraId="1EBE06F8">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电子显示屏</w:t>
            </w:r>
          </w:p>
        </w:tc>
        <w:tc>
          <w:tcPr>
            <w:tcW w:w="1296" w:type="dxa"/>
            <w:shd w:val="clear" w:color="auto" w:fill="auto"/>
            <w:noWrap/>
            <w:vAlign w:val="center"/>
          </w:tcPr>
          <w:p w14:paraId="46CB4C39">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大显示屏</w:t>
            </w:r>
          </w:p>
        </w:tc>
        <w:tc>
          <w:tcPr>
            <w:tcW w:w="792" w:type="dxa"/>
            <w:shd w:val="clear" w:color="auto" w:fill="auto"/>
            <w:vAlign w:val="center"/>
          </w:tcPr>
          <w:p w14:paraId="46E4806D">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1B468EE3">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139107DF">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1.像素点间距</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≤1.53mm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2.像素密度</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≥422,500点/㎡</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3.亮度</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≥600cd/m²，支持0–100%无极调节</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4.灰度等级</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≥14bit（低亮高灰）</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5.交流输入电压（ V） AC110~240±10%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6.交流输入频率（ Hz） 50/60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 xml:space="preserve">7.显示尺寸 </w:t>
            </w:r>
            <w:r>
              <w:rPr>
                <w:rStyle w:val="262"/>
                <w:rFonts w:hint="eastAsia" w:ascii="宋体" w:hAnsi="宋体" w:eastAsia="宋体" w:cs="宋体"/>
                <w:sz w:val="24"/>
                <w:szCs w:val="24"/>
                <w:lang w:val="en-US" w:eastAsia="zh-CN" w:bidi="ar"/>
              </w:rPr>
              <w:t>≥</w:t>
            </w:r>
            <w:r>
              <w:rPr>
                <w:rStyle w:val="262"/>
                <w:rFonts w:hint="eastAsia" w:ascii="宋体" w:hAnsi="宋体" w:eastAsia="宋体" w:cs="宋体"/>
                <w:sz w:val="24"/>
                <w:szCs w:val="24"/>
                <w:lang w:bidi="ar"/>
              </w:rPr>
              <w:t>宽3840mm*高1920mm</w:t>
            </w:r>
          </w:p>
        </w:tc>
      </w:tr>
      <w:tr w14:paraId="40AC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060A9ACD">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27</w:t>
            </w:r>
          </w:p>
        </w:tc>
        <w:tc>
          <w:tcPr>
            <w:tcW w:w="1284" w:type="dxa"/>
            <w:vAlign w:val="center"/>
          </w:tcPr>
          <w:p w14:paraId="50937F0F">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显示屏</w:t>
            </w:r>
          </w:p>
        </w:tc>
        <w:tc>
          <w:tcPr>
            <w:tcW w:w="1296" w:type="dxa"/>
            <w:vAlign w:val="center"/>
          </w:tcPr>
          <w:p w14:paraId="450B19FA">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显示屏</w:t>
            </w:r>
          </w:p>
        </w:tc>
        <w:tc>
          <w:tcPr>
            <w:tcW w:w="792" w:type="dxa"/>
            <w:vAlign w:val="center"/>
          </w:tcPr>
          <w:p w14:paraId="0B3947FA">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vAlign w:val="center"/>
          </w:tcPr>
          <w:p w14:paraId="1C1D2EAF">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13.8</w:t>
            </w:r>
          </w:p>
        </w:tc>
        <w:tc>
          <w:tcPr>
            <w:tcW w:w="5147" w:type="dxa"/>
            <w:vAlign w:val="center"/>
          </w:tcPr>
          <w:p w14:paraId="738E0F8D">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1.像素点间距</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≤1.25mm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2.像素密度</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≥422,500点/㎡</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3.亮度</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≥600cd/m²，支持0–100%无极调节</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4.灰度等级</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≥14bit（低亮高灰）</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5.交流输入电压（ V） AC110~240±10%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6.交流输入频率（ Hz） 50/60</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 xml:space="preserve">7.显示尺寸 </w:t>
            </w:r>
            <w:r>
              <w:rPr>
                <w:rStyle w:val="262"/>
                <w:rFonts w:hint="eastAsia" w:ascii="宋体" w:hAnsi="宋体" w:eastAsia="宋体" w:cs="宋体"/>
                <w:sz w:val="24"/>
                <w:szCs w:val="24"/>
                <w:lang w:val="en-US" w:eastAsia="zh-CN" w:bidi="ar"/>
              </w:rPr>
              <w:t>≥</w:t>
            </w:r>
            <w:r>
              <w:rPr>
                <w:rStyle w:val="262"/>
                <w:rFonts w:hint="eastAsia" w:ascii="宋体" w:hAnsi="宋体" w:eastAsia="宋体" w:cs="宋体"/>
                <w:sz w:val="24"/>
                <w:szCs w:val="24"/>
                <w:lang w:bidi="ar"/>
              </w:rPr>
              <w:t>宽5760mm*高2400mm</w:t>
            </w:r>
          </w:p>
        </w:tc>
      </w:tr>
      <w:tr w14:paraId="40E8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56C06D8B">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28</w:t>
            </w:r>
          </w:p>
        </w:tc>
        <w:tc>
          <w:tcPr>
            <w:tcW w:w="1284" w:type="dxa"/>
            <w:shd w:val="clear" w:color="auto" w:fill="auto"/>
            <w:vAlign w:val="center"/>
          </w:tcPr>
          <w:p w14:paraId="1FC035A5">
            <w:pPr>
              <w:widowControl/>
              <w:snapToGrid w:val="0"/>
              <w:ind w:left="0" w:leftChars="0" w:right="0" w:righ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控制系统</w:t>
            </w:r>
          </w:p>
        </w:tc>
        <w:tc>
          <w:tcPr>
            <w:tcW w:w="1296" w:type="dxa"/>
            <w:shd w:val="clear" w:color="auto" w:fill="auto"/>
            <w:vAlign w:val="center"/>
          </w:tcPr>
          <w:p w14:paraId="71A291A2">
            <w:pPr>
              <w:widowControl/>
              <w:snapToGrid w:val="0"/>
              <w:ind w:left="0" w:leftChars="0" w:right="0" w:rightChars="0" w:firstLine="0" w:firstLineChars="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控制系统</w:t>
            </w:r>
          </w:p>
        </w:tc>
        <w:tc>
          <w:tcPr>
            <w:tcW w:w="792" w:type="dxa"/>
            <w:shd w:val="clear" w:color="auto" w:fill="auto"/>
            <w:vAlign w:val="center"/>
          </w:tcPr>
          <w:p w14:paraId="05DFC726">
            <w:pPr>
              <w:widowControl/>
              <w:snapToGrid w:val="0"/>
              <w:ind w:left="0" w:leftChars="0" w:right="0" w:rightChars="0" w:firstLine="0" w:firstLineChars="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套</w:t>
            </w:r>
          </w:p>
        </w:tc>
        <w:tc>
          <w:tcPr>
            <w:tcW w:w="792" w:type="dxa"/>
            <w:shd w:val="clear" w:color="auto" w:fill="auto"/>
            <w:vAlign w:val="center"/>
          </w:tcPr>
          <w:p w14:paraId="5E819125">
            <w:pPr>
              <w:widowControl/>
              <w:snapToGrid w:val="0"/>
              <w:ind w:left="0" w:leftChars="0" w:right="0" w:righ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5147" w:type="dxa"/>
            <w:shd w:val="clear" w:color="auto" w:fill="auto"/>
            <w:vAlign w:val="center"/>
          </w:tcPr>
          <w:p w14:paraId="43156ED6">
            <w:pPr>
              <w:widowControl/>
              <w:snapToGrid w:val="0"/>
              <w:ind w:left="0" w:leftChars="0" w:right="0" w:rightChars="0" w:firstLine="0" w:firstLineChars="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1.支持≥8路视频信号输入输出切换，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2.模块化设计，插卡式结构；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3.支持HDMI、DVI-I、SD/HD/3G-SDI、VGA、AV、YPBPR信号输入；                                                                                     4.支持最高分辨率3840*1920@60hz,1920*1080p@60hz；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5.提供多种控制端口：RS232，网络控制端口和前面板按键；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6.支持至少10种场景记忆及调用；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7.对于HDMI信号支持HDCP，也可解析HDCP；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8.对于VGA信号源及VISA标准的分辨率在HDTV标准的显示设备上显示，可调节水平分辨率、垂直分辨率、行率和场频，以及亮度对比度；                                                                                  9.当矩阵在运行过程中突然断电后重启，矩阵对应的每路输入输出状态将保持记忆，不需要重新设备；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10.DVI/HDMI输入板卡支持EDID可编程；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11.自动对输入DVI/HDMI数字信号进行线缆均衡，延长信号源设备到矩阵的传输距离；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12.每路信号具有独立4级增益调节功能，解决信号衰减或画面发白问题；</w:t>
            </w:r>
          </w:p>
        </w:tc>
      </w:tr>
      <w:tr w14:paraId="63F4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1C1A6B7D">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29</w:t>
            </w:r>
          </w:p>
        </w:tc>
        <w:tc>
          <w:tcPr>
            <w:tcW w:w="1284" w:type="dxa"/>
            <w:vAlign w:val="center"/>
          </w:tcPr>
          <w:p w14:paraId="129821B1">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LED屏配电柜</w:t>
            </w:r>
          </w:p>
        </w:tc>
        <w:tc>
          <w:tcPr>
            <w:tcW w:w="1296" w:type="dxa"/>
            <w:vAlign w:val="center"/>
          </w:tcPr>
          <w:p w14:paraId="222FC858">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LED屏配电柜</w:t>
            </w:r>
          </w:p>
        </w:tc>
        <w:tc>
          <w:tcPr>
            <w:tcW w:w="792" w:type="dxa"/>
            <w:vAlign w:val="center"/>
          </w:tcPr>
          <w:p w14:paraId="0847983F">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vAlign w:val="center"/>
          </w:tcPr>
          <w:p w14:paraId="30FA9D4B">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vAlign w:val="center"/>
          </w:tcPr>
          <w:p w14:paraId="5CFA3864">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1.30KW分时上电 智能PLC控制，多路分列控制，平衡负载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2.提供380V电压</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3.要求智能远程上电，软件控制强电的开关</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4.温度过高等保护措施，以及相应的故障指示装置</w:t>
            </w:r>
          </w:p>
        </w:tc>
      </w:tr>
      <w:tr w14:paraId="1B49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auto"/>
            <w:vAlign w:val="center"/>
          </w:tcPr>
          <w:p w14:paraId="05DC12A7">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30</w:t>
            </w:r>
          </w:p>
        </w:tc>
        <w:tc>
          <w:tcPr>
            <w:tcW w:w="1284" w:type="dxa"/>
            <w:shd w:val="clear" w:color="auto" w:fill="auto"/>
            <w:vAlign w:val="center"/>
          </w:tcPr>
          <w:p w14:paraId="284E5843">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外框结构</w:t>
            </w:r>
          </w:p>
        </w:tc>
        <w:tc>
          <w:tcPr>
            <w:tcW w:w="1296" w:type="dxa"/>
            <w:shd w:val="clear" w:color="auto" w:fill="auto"/>
            <w:vAlign w:val="center"/>
          </w:tcPr>
          <w:p w14:paraId="76D9BD29">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外框结构</w:t>
            </w:r>
          </w:p>
        </w:tc>
        <w:tc>
          <w:tcPr>
            <w:tcW w:w="792" w:type="dxa"/>
            <w:shd w:val="clear" w:color="auto" w:fill="auto"/>
            <w:vAlign w:val="center"/>
          </w:tcPr>
          <w:p w14:paraId="02440C9C">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平米</w:t>
            </w:r>
          </w:p>
        </w:tc>
        <w:tc>
          <w:tcPr>
            <w:tcW w:w="792" w:type="dxa"/>
            <w:shd w:val="clear" w:color="auto" w:fill="auto"/>
            <w:vAlign w:val="center"/>
          </w:tcPr>
          <w:p w14:paraId="485DEE15">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13.8</w:t>
            </w:r>
          </w:p>
        </w:tc>
        <w:tc>
          <w:tcPr>
            <w:tcW w:w="5147" w:type="dxa"/>
            <w:shd w:val="clear" w:color="auto" w:fill="auto"/>
            <w:vAlign w:val="center"/>
          </w:tcPr>
          <w:p w14:paraId="2FFF9399">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1.壁挂安装</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2.不锈钢包边</w:t>
            </w:r>
          </w:p>
        </w:tc>
      </w:tr>
      <w:tr w14:paraId="35F5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auto"/>
            <w:vAlign w:val="center"/>
          </w:tcPr>
          <w:p w14:paraId="469DA792">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31</w:t>
            </w:r>
          </w:p>
        </w:tc>
        <w:tc>
          <w:tcPr>
            <w:tcW w:w="1284" w:type="dxa"/>
            <w:shd w:val="clear" w:color="auto" w:fill="auto"/>
            <w:vAlign w:val="center"/>
          </w:tcPr>
          <w:p w14:paraId="6705C7AB">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电源线</w:t>
            </w:r>
          </w:p>
        </w:tc>
        <w:tc>
          <w:tcPr>
            <w:tcW w:w="1296" w:type="dxa"/>
            <w:shd w:val="clear" w:color="auto" w:fill="auto"/>
            <w:vAlign w:val="center"/>
          </w:tcPr>
          <w:p w14:paraId="62938FD0">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电源线</w:t>
            </w:r>
          </w:p>
        </w:tc>
        <w:tc>
          <w:tcPr>
            <w:tcW w:w="792" w:type="dxa"/>
            <w:shd w:val="clear" w:color="auto" w:fill="auto"/>
            <w:vAlign w:val="center"/>
          </w:tcPr>
          <w:p w14:paraId="244207CD">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米</w:t>
            </w:r>
          </w:p>
        </w:tc>
        <w:tc>
          <w:tcPr>
            <w:tcW w:w="792" w:type="dxa"/>
            <w:shd w:val="clear" w:color="auto" w:fill="auto"/>
            <w:vAlign w:val="center"/>
          </w:tcPr>
          <w:p w14:paraId="08DE6BC5">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500</w:t>
            </w:r>
          </w:p>
        </w:tc>
        <w:tc>
          <w:tcPr>
            <w:tcW w:w="5147" w:type="dxa"/>
            <w:shd w:val="clear" w:color="auto" w:fill="auto"/>
            <w:vAlign w:val="center"/>
          </w:tcPr>
          <w:p w14:paraId="6AB22CC3">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1.ZR-RVV 3×2.5</w:t>
            </w:r>
            <w:r>
              <w:rPr>
                <w:rStyle w:val="285"/>
                <w:rFonts w:hint="eastAsia" w:ascii="宋体" w:hAnsi="宋体" w:eastAsia="宋体" w:cs="宋体"/>
                <w:sz w:val="24"/>
                <w:szCs w:val="24"/>
                <w:lang w:bidi="ar"/>
              </w:rPr>
              <w:t>‌</w:t>
            </w:r>
          </w:p>
        </w:tc>
      </w:tr>
      <w:tr w14:paraId="00EE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auto"/>
            <w:vAlign w:val="center"/>
          </w:tcPr>
          <w:p w14:paraId="514D8407">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32</w:t>
            </w:r>
          </w:p>
        </w:tc>
        <w:tc>
          <w:tcPr>
            <w:tcW w:w="1284" w:type="dxa"/>
            <w:shd w:val="clear" w:color="auto" w:fill="auto"/>
            <w:vAlign w:val="center"/>
          </w:tcPr>
          <w:p w14:paraId="35CCC4E9">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控制系统</w:t>
            </w:r>
          </w:p>
        </w:tc>
        <w:tc>
          <w:tcPr>
            <w:tcW w:w="1296" w:type="dxa"/>
            <w:shd w:val="clear" w:color="auto" w:fill="auto"/>
            <w:vAlign w:val="center"/>
          </w:tcPr>
          <w:p w14:paraId="6C418218">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无线投屏器</w:t>
            </w:r>
          </w:p>
        </w:tc>
        <w:tc>
          <w:tcPr>
            <w:tcW w:w="792" w:type="dxa"/>
            <w:shd w:val="clear" w:color="auto" w:fill="auto"/>
            <w:vAlign w:val="center"/>
          </w:tcPr>
          <w:p w14:paraId="24399BB8">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72012EE0">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06F1F79A">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1.HDMI高清信号投屏器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2.屏蔽类型：支持双屏蔽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3.支持即插即用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4.支持无感延迟</w:t>
            </w:r>
          </w:p>
        </w:tc>
      </w:tr>
      <w:tr w14:paraId="435F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05AB355B">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33</w:t>
            </w:r>
          </w:p>
        </w:tc>
        <w:tc>
          <w:tcPr>
            <w:tcW w:w="1284" w:type="dxa"/>
            <w:vAlign w:val="center"/>
          </w:tcPr>
          <w:p w14:paraId="66E8C25E">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LED屏</w:t>
            </w:r>
          </w:p>
        </w:tc>
        <w:tc>
          <w:tcPr>
            <w:tcW w:w="1296" w:type="dxa"/>
            <w:vAlign w:val="center"/>
          </w:tcPr>
          <w:p w14:paraId="6EF22DF8">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电子横幅（单位：平米）</w:t>
            </w:r>
          </w:p>
        </w:tc>
        <w:tc>
          <w:tcPr>
            <w:tcW w:w="792" w:type="dxa"/>
            <w:vAlign w:val="center"/>
          </w:tcPr>
          <w:p w14:paraId="3A4B8F30">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平米</w:t>
            </w:r>
          </w:p>
        </w:tc>
        <w:tc>
          <w:tcPr>
            <w:tcW w:w="792" w:type="dxa"/>
            <w:vAlign w:val="center"/>
          </w:tcPr>
          <w:p w14:paraId="22F91390">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147" w:type="dxa"/>
            <w:vAlign w:val="center"/>
          </w:tcPr>
          <w:p w14:paraId="13FDC745">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1.室内表贴节能全彩LED屏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2.像数点间距2.5mm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3.像素构成1R1G1B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4.像素密度160000点/㎡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5.单元板320mm*160mm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6.屏体拼接平整度≤0.05mm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7.亮度≥1000CD/㎡</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8.色温3200K-9300K</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9.水平视角≥175</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10.垂直视角≥175</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11.最佳可视距离≥4米</w:t>
            </w:r>
          </w:p>
        </w:tc>
      </w:tr>
      <w:tr w14:paraId="6C4F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2606385A">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34</w:t>
            </w:r>
          </w:p>
        </w:tc>
        <w:tc>
          <w:tcPr>
            <w:tcW w:w="1284" w:type="dxa"/>
            <w:shd w:val="clear" w:color="auto" w:fill="auto"/>
            <w:vAlign w:val="center"/>
          </w:tcPr>
          <w:p w14:paraId="3AD7617F">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变频调速电动对开大幕机</w:t>
            </w:r>
          </w:p>
        </w:tc>
        <w:tc>
          <w:tcPr>
            <w:tcW w:w="1296" w:type="dxa"/>
            <w:shd w:val="clear" w:color="auto" w:fill="auto"/>
            <w:vAlign w:val="center"/>
          </w:tcPr>
          <w:p w14:paraId="6682C389">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大幕</w:t>
            </w:r>
          </w:p>
        </w:tc>
        <w:tc>
          <w:tcPr>
            <w:tcW w:w="792" w:type="dxa"/>
            <w:shd w:val="clear" w:color="auto" w:fill="auto"/>
            <w:vAlign w:val="center"/>
          </w:tcPr>
          <w:p w14:paraId="7FBE4960">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台</w:t>
            </w:r>
          </w:p>
        </w:tc>
        <w:tc>
          <w:tcPr>
            <w:tcW w:w="792" w:type="dxa"/>
            <w:shd w:val="clear" w:color="auto" w:fill="auto"/>
            <w:vAlign w:val="center"/>
          </w:tcPr>
          <w:p w14:paraId="03DF8713">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2D21592E">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1.名称：对开大幕机械系统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2.技术参数 电动对开；</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3.可承载幕布重量：最大250KG；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4.速度：V=0.25m/s;</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5.电机功率：0.5Kw,交流电机；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6.安全措施：开闭限位保护装置；</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7.快速起闭时噪声：≤50db ，含航空钢丝绳.、轨道杆、幕布轨道、开合幕轨道车、开合幕轨道头车及所需配件</w:t>
            </w:r>
          </w:p>
        </w:tc>
      </w:tr>
      <w:tr w14:paraId="1B42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09B79B2F">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35</w:t>
            </w:r>
          </w:p>
        </w:tc>
        <w:tc>
          <w:tcPr>
            <w:tcW w:w="1284" w:type="dxa"/>
            <w:shd w:val="clear" w:color="auto" w:fill="auto"/>
            <w:vAlign w:val="center"/>
          </w:tcPr>
          <w:p w14:paraId="1BB1C4E5">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电动对开幕机</w:t>
            </w:r>
          </w:p>
        </w:tc>
        <w:tc>
          <w:tcPr>
            <w:tcW w:w="1296" w:type="dxa"/>
            <w:shd w:val="clear" w:color="auto" w:fill="auto"/>
            <w:vAlign w:val="center"/>
          </w:tcPr>
          <w:p w14:paraId="587C298E">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二幕</w:t>
            </w:r>
          </w:p>
        </w:tc>
        <w:tc>
          <w:tcPr>
            <w:tcW w:w="792" w:type="dxa"/>
            <w:shd w:val="clear" w:color="auto" w:fill="auto"/>
            <w:vAlign w:val="center"/>
          </w:tcPr>
          <w:p w14:paraId="47D673E4">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台</w:t>
            </w:r>
          </w:p>
        </w:tc>
        <w:tc>
          <w:tcPr>
            <w:tcW w:w="792" w:type="dxa"/>
            <w:shd w:val="clear" w:color="auto" w:fill="auto"/>
            <w:vAlign w:val="center"/>
          </w:tcPr>
          <w:p w14:paraId="4FD9CFBE">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5B9A6A00">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1.名称：对开大幕机械系统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2.技术参数 电动对开；</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3.可承载幕布重量：最大200KG；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4.速度：V=0.25m/s;</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5.电机功率：0.5Kw,交流电机；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6.安全措施：开闭限位保护装置；</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7.快速起闭时噪声：≤50db ，含航空钢丝绳.、轨道杆、幕布轨道、开合幕轨道车、开合幕轨道头车及所需配件</w:t>
            </w:r>
          </w:p>
        </w:tc>
      </w:tr>
      <w:tr w14:paraId="41A1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79F08BC8">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36</w:t>
            </w:r>
          </w:p>
        </w:tc>
        <w:tc>
          <w:tcPr>
            <w:tcW w:w="1284" w:type="dxa"/>
            <w:shd w:val="clear" w:color="auto" w:fill="auto"/>
            <w:noWrap/>
            <w:vAlign w:val="center"/>
          </w:tcPr>
          <w:p w14:paraId="16774619">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舞台机械控制设备</w:t>
            </w:r>
          </w:p>
        </w:tc>
        <w:tc>
          <w:tcPr>
            <w:tcW w:w="1296" w:type="dxa"/>
            <w:shd w:val="clear" w:color="auto" w:fill="auto"/>
            <w:noWrap/>
            <w:vAlign w:val="center"/>
          </w:tcPr>
          <w:p w14:paraId="713714AF">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舞台机械控制设备</w:t>
            </w:r>
          </w:p>
        </w:tc>
        <w:tc>
          <w:tcPr>
            <w:tcW w:w="792" w:type="dxa"/>
            <w:shd w:val="clear" w:color="auto" w:fill="auto"/>
            <w:vAlign w:val="center"/>
          </w:tcPr>
          <w:p w14:paraId="6D21958C">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43673709">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25DD5F52">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1.名称:控制柜</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2.参数:舞台机械设备供电电源为50HZ、三相380V.AC、单相220V AC，电压波动范围为-10%~+10%、相序保护</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3.规格:2回路以内</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4.其他:控制电动幕布对开、指示灯,点控，过流保护</w:t>
            </w:r>
          </w:p>
        </w:tc>
      </w:tr>
      <w:tr w14:paraId="7E09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60C5D4E0">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37</w:t>
            </w:r>
          </w:p>
        </w:tc>
        <w:tc>
          <w:tcPr>
            <w:tcW w:w="1284" w:type="dxa"/>
            <w:noWrap/>
            <w:vAlign w:val="center"/>
          </w:tcPr>
          <w:p w14:paraId="7F7B7539">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阻燃丝绒幕布</w:t>
            </w:r>
          </w:p>
        </w:tc>
        <w:tc>
          <w:tcPr>
            <w:tcW w:w="1296" w:type="dxa"/>
            <w:vAlign w:val="center"/>
          </w:tcPr>
          <w:p w14:paraId="70A96A2A">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大幕</w:t>
            </w:r>
          </w:p>
        </w:tc>
        <w:tc>
          <w:tcPr>
            <w:tcW w:w="792" w:type="dxa"/>
            <w:vAlign w:val="center"/>
          </w:tcPr>
          <w:p w14:paraId="3BA18028">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平方</w:t>
            </w:r>
          </w:p>
        </w:tc>
        <w:tc>
          <w:tcPr>
            <w:tcW w:w="792" w:type="dxa"/>
            <w:vAlign w:val="center"/>
          </w:tcPr>
          <w:p w14:paraId="4FD2FAE7">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125.8</w:t>
            </w:r>
          </w:p>
        </w:tc>
        <w:tc>
          <w:tcPr>
            <w:tcW w:w="5147" w:type="dxa"/>
            <w:vAlign w:val="center"/>
          </w:tcPr>
          <w:p w14:paraId="4845A56E">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1.采用防火阻燃处理，达到防火B1级；</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2.缝纫轨迹要均、直、牢固，缝纫接针要套正，缝到边口处必须打加针。</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3.针迹密度：(11～13)针/3cm。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4.幕布整体倒顺光顺向一致。</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5.褶间距应≥1：3。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6.舞台幕布防火要求达到B1级。</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7.幕布280g/平方米。</w:t>
            </w:r>
          </w:p>
        </w:tc>
      </w:tr>
      <w:tr w14:paraId="65F5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34348A2E">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38</w:t>
            </w:r>
          </w:p>
        </w:tc>
        <w:tc>
          <w:tcPr>
            <w:tcW w:w="1284" w:type="dxa"/>
            <w:shd w:val="clear" w:color="auto" w:fill="auto"/>
            <w:noWrap/>
            <w:vAlign w:val="center"/>
          </w:tcPr>
          <w:p w14:paraId="7381B221">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阻燃丝绒幕布</w:t>
            </w:r>
          </w:p>
        </w:tc>
        <w:tc>
          <w:tcPr>
            <w:tcW w:w="1296" w:type="dxa"/>
            <w:shd w:val="clear" w:color="auto" w:fill="auto"/>
            <w:vAlign w:val="center"/>
          </w:tcPr>
          <w:p w14:paraId="1B8BAE69">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二幕</w:t>
            </w:r>
          </w:p>
        </w:tc>
        <w:tc>
          <w:tcPr>
            <w:tcW w:w="792" w:type="dxa"/>
            <w:shd w:val="clear" w:color="auto" w:fill="auto"/>
            <w:vAlign w:val="center"/>
          </w:tcPr>
          <w:p w14:paraId="4771D5C5">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平方</w:t>
            </w:r>
          </w:p>
        </w:tc>
        <w:tc>
          <w:tcPr>
            <w:tcW w:w="792" w:type="dxa"/>
            <w:shd w:val="clear" w:color="auto" w:fill="auto"/>
            <w:vAlign w:val="center"/>
          </w:tcPr>
          <w:p w14:paraId="76A6E1F6">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125.8</w:t>
            </w:r>
          </w:p>
        </w:tc>
        <w:tc>
          <w:tcPr>
            <w:tcW w:w="5147" w:type="dxa"/>
            <w:shd w:val="clear" w:color="auto" w:fill="auto"/>
            <w:vAlign w:val="center"/>
          </w:tcPr>
          <w:p w14:paraId="51EFC301">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1.采用防火阻燃处理，达到防火B1级；</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2.缝纫轨迹要均、直、牢固，缝纫接针要套正，缝到边口处必须打加针。</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3.针迹密度：(11～13)针/3cm。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4.幕布整体倒顺光顺向一致。</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5.褶间距应≥1：3。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6.舞台幕布防火要求达到B1级。</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7.幕布</w:t>
            </w:r>
            <w:r>
              <w:rPr>
                <w:rStyle w:val="262"/>
                <w:rFonts w:hint="eastAsia" w:ascii="宋体" w:hAnsi="宋体" w:eastAsia="宋体" w:cs="宋体"/>
                <w:sz w:val="24"/>
                <w:szCs w:val="24"/>
                <w:lang w:val="en-US" w:eastAsia="zh-CN" w:bidi="ar"/>
              </w:rPr>
              <w:t>≥</w:t>
            </w:r>
            <w:r>
              <w:rPr>
                <w:rFonts w:hint="eastAsia" w:ascii="宋体" w:hAnsi="宋体" w:eastAsia="宋体" w:cs="宋体"/>
                <w:color w:val="000000"/>
                <w:kern w:val="0"/>
                <w:sz w:val="24"/>
                <w:szCs w:val="24"/>
                <w:lang w:bidi="ar"/>
              </w:rPr>
              <w:t>280g/平方米。</w:t>
            </w:r>
          </w:p>
        </w:tc>
      </w:tr>
      <w:tr w14:paraId="78B9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67FB3238">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39</w:t>
            </w:r>
          </w:p>
        </w:tc>
        <w:tc>
          <w:tcPr>
            <w:tcW w:w="1284" w:type="dxa"/>
            <w:shd w:val="clear" w:color="auto" w:fill="auto"/>
            <w:noWrap/>
            <w:vAlign w:val="center"/>
          </w:tcPr>
          <w:p w14:paraId="5D4E5A47">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阻燃丝绒沿幕</w:t>
            </w:r>
          </w:p>
        </w:tc>
        <w:tc>
          <w:tcPr>
            <w:tcW w:w="1296" w:type="dxa"/>
            <w:shd w:val="clear" w:color="auto" w:fill="auto"/>
            <w:noWrap/>
            <w:vAlign w:val="center"/>
          </w:tcPr>
          <w:p w14:paraId="0B60F280">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阻燃丝绒沿幕</w:t>
            </w:r>
          </w:p>
        </w:tc>
        <w:tc>
          <w:tcPr>
            <w:tcW w:w="792" w:type="dxa"/>
            <w:shd w:val="clear" w:color="auto" w:fill="auto"/>
            <w:vAlign w:val="center"/>
          </w:tcPr>
          <w:p w14:paraId="3F1A630F">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平方</w:t>
            </w:r>
          </w:p>
        </w:tc>
        <w:tc>
          <w:tcPr>
            <w:tcW w:w="792" w:type="dxa"/>
            <w:shd w:val="clear" w:color="auto" w:fill="auto"/>
            <w:vAlign w:val="center"/>
          </w:tcPr>
          <w:p w14:paraId="13F746EF">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15.5</w:t>
            </w:r>
          </w:p>
        </w:tc>
        <w:tc>
          <w:tcPr>
            <w:tcW w:w="5147" w:type="dxa"/>
            <w:shd w:val="clear" w:color="auto" w:fill="auto"/>
            <w:vAlign w:val="center"/>
          </w:tcPr>
          <w:p w14:paraId="15361FF6">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1.采用防火阻燃处理，达到防火B1级；</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2.缝纫轨迹要均、直、牢固，缝纫接针要套正，缝到边口处必须打加针。</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3.针迹密度：(11～13)针/3cm。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4.幕布整体倒顺光顺向一致。</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5.褶间距应≥1：3。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6.舞台幕布防火要求达到B1级。</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7.幕布280g/平方米。</w:t>
            </w:r>
          </w:p>
        </w:tc>
      </w:tr>
      <w:tr w14:paraId="453F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4D771D85">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40</w:t>
            </w:r>
          </w:p>
        </w:tc>
        <w:tc>
          <w:tcPr>
            <w:tcW w:w="1284" w:type="dxa"/>
            <w:shd w:val="clear" w:color="auto" w:fill="auto"/>
            <w:vAlign w:val="center"/>
          </w:tcPr>
          <w:p w14:paraId="08A1FCA0">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专用线材</w:t>
            </w:r>
          </w:p>
        </w:tc>
        <w:tc>
          <w:tcPr>
            <w:tcW w:w="1296" w:type="dxa"/>
            <w:shd w:val="clear" w:color="auto" w:fill="auto"/>
            <w:vAlign w:val="center"/>
          </w:tcPr>
          <w:p w14:paraId="7041BA79">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HDMI</w:t>
            </w:r>
          </w:p>
        </w:tc>
        <w:tc>
          <w:tcPr>
            <w:tcW w:w="792" w:type="dxa"/>
            <w:shd w:val="clear" w:color="auto" w:fill="auto"/>
            <w:vAlign w:val="center"/>
          </w:tcPr>
          <w:p w14:paraId="30AEDA04">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批</w:t>
            </w:r>
          </w:p>
        </w:tc>
        <w:tc>
          <w:tcPr>
            <w:tcW w:w="792" w:type="dxa"/>
            <w:shd w:val="clear" w:color="auto" w:fill="auto"/>
            <w:vAlign w:val="center"/>
          </w:tcPr>
          <w:p w14:paraId="7E92A799">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48D10F11">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1.HDMI高清信号线</w:t>
            </w:r>
          </w:p>
        </w:tc>
      </w:tr>
      <w:tr w14:paraId="1BF8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0841B8BC">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41</w:t>
            </w:r>
          </w:p>
        </w:tc>
        <w:tc>
          <w:tcPr>
            <w:tcW w:w="1284" w:type="dxa"/>
            <w:vAlign w:val="center"/>
          </w:tcPr>
          <w:p w14:paraId="7846FC85">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接插件/吊挂件</w:t>
            </w:r>
          </w:p>
        </w:tc>
        <w:tc>
          <w:tcPr>
            <w:tcW w:w="1296" w:type="dxa"/>
            <w:vAlign w:val="center"/>
          </w:tcPr>
          <w:p w14:paraId="7731D524">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接插件/吊挂件</w:t>
            </w:r>
          </w:p>
        </w:tc>
        <w:tc>
          <w:tcPr>
            <w:tcW w:w="792" w:type="dxa"/>
            <w:vAlign w:val="center"/>
          </w:tcPr>
          <w:p w14:paraId="4A678B4E">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批</w:t>
            </w:r>
          </w:p>
        </w:tc>
        <w:tc>
          <w:tcPr>
            <w:tcW w:w="792" w:type="dxa"/>
            <w:vAlign w:val="center"/>
          </w:tcPr>
          <w:p w14:paraId="557BC802">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vAlign w:val="center"/>
          </w:tcPr>
          <w:p w14:paraId="3EF51E12">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设备接插</w:t>
            </w:r>
            <w:r>
              <w:rPr>
                <w:rFonts w:hint="eastAsia" w:ascii="宋体" w:hAnsi="宋体" w:eastAsia="宋体" w:cs="宋体"/>
                <w:color w:val="000000"/>
                <w:kern w:val="0"/>
                <w:sz w:val="24"/>
                <w:szCs w:val="24"/>
                <w:lang w:bidi="ar"/>
              </w:rPr>
              <w:t>欧姆头</w:t>
            </w:r>
            <w:r>
              <w:rPr>
                <w:rFonts w:hint="eastAsia" w:ascii="宋体" w:hAnsi="宋体" w:eastAsia="宋体" w:cs="宋体"/>
                <w:color w:val="000000"/>
                <w:kern w:val="0"/>
                <w:sz w:val="24"/>
                <w:szCs w:val="24"/>
                <w:lang w:val="en-US" w:eastAsia="zh-CN" w:bidi="ar"/>
              </w:rPr>
              <w:t>1批</w:t>
            </w: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音频链接</w:t>
            </w:r>
            <w:r>
              <w:rPr>
                <w:rFonts w:hint="eastAsia" w:ascii="宋体" w:hAnsi="宋体" w:eastAsia="宋体" w:cs="宋体"/>
                <w:color w:val="000000"/>
                <w:kern w:val="0"/>
                <w:sz w:val="24"/>
                <w:szCs w:val="24"/>
                <w:lang w:bidi="ar"/>
              </w:rPr>
              <w:t>卡农头</w:t>
            </w:r>
            <w:r>
              <w:rPr>
                <w:rFonts w:hint="eastAsia" w:ascii="宋体" w:hAnsi="宋体" w:eastAsia="宋体" w:cs="宋体"/>
                <w:color w:val="000000"/>
                <w:kern w:val="0"/>
                <w:sz w:val="24"/>
                <w:szCs w:val="24"/>
                <w:lang w:val="en-US" w:eastAsia="zh-CN" w:bidi="ar"/>
              </w:rPr>
              <w:t>1批</w:t>
            </w:r>
            <w:r>
              <w:rPr>
                <w:rFonts w:hint="eastAsia" w:ascii="宋体" w:hAnsi="宋体" w:eastAsia="宋体" w:cs="宋体"/>
                <w:color w:val="000000"/>
                <w:kern w:val="0"/>
                <w:sz w:val="24"/>
                <w:szCs w:val="24"/>
                <w:lang w:bidi="ar"/>
              </w:rPr>
              <w:t>、大二芯等</w:t>
            </w:r>
          </w:p>
        </w:tc>
      </w:tr>
      <w:tr w14:paraId="239E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2FA2732B">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42</w:t>
            </w:r>
          </w:p>
        </w:tc>
        <w:tc>
          <w:tcPr>
            <w:tcW w:w="1284" w:type="dxa"/>
            <w:shd w:val="clear" w:color="auto" w:fill="auto"/>
            <w:vAlign w:val="center"/>
          </w:tcPr>
          <w:p w14:paraId="182CCA7C">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控制系统</w:t>
            </w:r>
          </w:p>
        </w:tc>
        <w:tc>
          <w:tcPr>
            <w:tcW w:w="1296" w:type="dxa"/>
            <w:shd w:val="clear" w:color="auto" w:fill="auto"/>
            <w:vAlign w:val="center"/>
          </w:tcPr>
          <w:p w14:paraId="4CF0E7E5">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中控主机</w:t>
            </w:r>
          </w:p>
        </w:tc>
        <w:tc>
          <w:tcPr>
            <w:tcW w:w="792" w:type="dxa"/>
            <w:shd w:val="clear" w:color="auto" w:fill="auto"/>
            <w:vAlign w:val="center"/>
          </w:tcPr>
          <w:p w14:paraId="67EC5273">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0D2A82D1">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2EBAC5F1">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1.处理器：采用最低2颗嵌入式高速中央双处理器（CPU）并行运算；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2.内置红外学习器，支持超长码识别；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3.指令存储器：FLASH，大容量，可保存高达2048条指令，支持扩展；</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4.RS485/422串口：≥8路，可编程，232和485相互独立，可同时使用；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5.RS232串口：≥16路，可编程，和RS-485互不相联，可同时使用；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6.红外口：≥8路，8路独立可编程，支持控制DVD、投影机等设备；</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7.继电器（RELAY)：≥8路，用于窗帘，电动幕布等控制；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8.数字输入/输出(IO)接口：≥8路，支持外部高电平触发动作或输出高电平；</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9.支持摄像跟踪；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10.可操控会议系统、AV、VGA、RGB音视频矩阵切换器，拼接墙、灯光、摄像机、投影、窗帘、幕布、空调、电视、机顶盒等</w:t>
            </w:r>
          </w:p>
        </w:tc>
      </w:tr>
      <w:tr w14:paraId="619D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auto"/>
            <w:vAlign w:val="center"/>
          </w:tcPr>
          <w:p w14:paraId="7444453D">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43</w:t>
            </w:r>
          </w:p>
        </w:tc>
        <w:tc>
          <w:tcPr>
            <w:tcW w:w="1284" w:type="dxa"/>
            <w:shd w:val="clear" w:color="auto" w:fill="auto"/>
            <w:vAlign w:val="center"/>
          </w:tcPr>
          <w:p w14:paraId="26EDC796">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控制系统</w:t>
            </w:r>
          </w:p>
        </w:tc>
        <w:tc>
          <w:tcPr>
            <w:tcW w:w="1296" w:type="dxa"/>
            <w:shd w:val="clear" w:color="auto" w:fill="auto"/>
            <w:vAlign w:val="center"/>
          </w:tcPr>
          <w:p w14:paraId="707EAF96">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电源控制器</w:t>
            </w:r>
          </w:p>
        </w:tc>
        <w:tc>
          <w:tcPr>
            <w:tcW w:w="792" w:type="dxa"/>
            <w:shd w:val="clear" w:color="auto" w:fill="auto"/>
            <w:vAlign w:val="center"/>
          </w:tcPr>
          <w:p w14:paraId="09B75E07">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台</w:t>
            </w:r>
          </w:p>
        </w:tc>
        <w:tc>
          <w:tcPr>
            <w:tcW w:w="792" w:type="dxa"/>
            <w:shd w:val="clear" w:color="auto" w:fill="auto"/>
            <w:vAlign w:val="center"/>
          </w:tcPr>
          <w:p w14:paraId="47F6C790">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337B79E8">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1.通讯方式： RS-232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2.电源： DC 24V(外部电源适配器供电)</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3.继电器数量： ≥8个</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4.单路载入容量： ≥20A</w:t>
            </w:r>
          </w:p>
        </w:tc>
      </w:tr>
      <w:tr w14:paraId="78D8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auto"/>
            <w:vAlign w:val="center"/>
          </w:tcPr>
          <w:p w14:paraId="1D2A7C14">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44</w:t>
            </w:r>
          </w:p>
        </w:tc>
        <w:tc>
          <w:tcPr>
            <w:tcW w:w="1284" w:type="dxa"/>
            <w:shd w:val="clear" w:color="auto" w:fill="auto"/>
            <w:vAlign w:val="center"/>
          </w:tcPr>
          <w:p w14:paraId="33821D77">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控制系统</w:t>
            </w:r>
          </w:p>
        </w:tc>
        <w:tc>
          <w:tcPr>
            <w:tcW w:w="1296" w:type="dxa"/>
            <w:shd w:val="clear" w:color="auto" w:fill="auto"/>
            <w:vAlign w:val="center"/>
          </w:tcPr>
          <w:p w14:paraId="3A879C2D">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触摸控制平板</w:t>
            </w:r>
          </w:p>
        </w:tc>
        <w:tc>
          <w:tcPr>
            <w:tcW w:w="792" w:type="dxa"/>
            <w:shd w:val="clear" w:color="auto" w:fill="auto"/>
            <w:vAlign w:val="center"/>
          </w:tcPr>
          <w:p w14:paraId="2DD6E4F4">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1C6606D9">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5562C1B0">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1.屏幕：≥10.1寸显示屏；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2.存储容量：≥64G；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3.网络类型：WIFI</w:t>
            </w:r>
          </w:p>
        </w:tc>
      </w:tr>
      <w:tr w14:paraId="3C3C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48F1CC65">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45</w:t>
            </w:r>
          </w:p>
        </w:tc>
        <w:tc>
          <w:tcPr>
            <w:tcW w:w="1284" w:type="dxa"/>
            <w:vAlign w:val="center"/>
          </w:tcPr>
          <w:p w14:paraId="497C188A">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LED屏</w:t>
            </w:r>
          </w:p>
        </w:tc>
        <w:tc>
          <w:tcPr>
            <w:tcW w:w="1296" w:type="dxa"/>
            <w:vAlign w:val="center"/>
          </w:tcPr>
          <w:p w14:paraId="2DDC70C1">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电子横幅（单位：平米）</w:t>
            </w:r>
          </w:p>
        </w:tc>
        <w:tc>
          <w:tcPr>
            <w:tcW w:w="792" w:type="dxa"/>
            <w:noWrap/>
            <w:vAlign w:val="center"/>
          </w:tcPr>
          <w:p w14:paraId="4BBCC554">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平方</w:t>
            </w:r>
          </w:p>
        </w:tc>
        <w:tc>
          <w:tcPr>
            <w:tcW w:w="792" w:type="dxa"/>
            <w:noWrap/>
            <w:vAlign w:val="center"/>
          </w:tcPr>
          <w:p w14:paraId="0242397B">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5147" w:type="dxa"/>
            <w:vAlign w:val="center"/>
          </w:tcPr>
          <w:p w14:paraId="53C937C2">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1.室内表贴节能全彩LED屏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2.像数点间距2.5mm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3.像素构成1R1G1B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4.像素密度160000点/㎡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5.单元板320mm*160mm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6.屏体拼接平整度≤0.05mm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7.亮度≥1000CD/㎡</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8.色温3200K-9300K</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9.水平视角≥175</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10.垂直视角≥175</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11.最佳可视距离≥4米</w:t>
            </w:r>
          </w:p>
        </w:tc>
      </w:tr>
      <w:tr w14:paraId="7399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6D09A02F">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46</w:t>
            </w:r>
          </w:p>
        </w:tc>
        <w:tc>
          <w:tcPr>
            <w:tcW w:w="1284" w:type="dxa"/>
            <w:shd w:val="clear" w:color="auto" w:fill="auto"/>
            <w:noWrap/>
            <w:vAlign w:val="center"/>
          </w:tcPr>
          <w:p w14:paraId="256A07B1">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控制系统</w:t>
            </w:r>
          </w:p>
        </w:tc>
        <w:tc>
          <w:tcPr>
            <w:tcW w:w="1296" w:type="dxa"/>
            <w:shd w:val="clear" w:color="auto" w:fill="auto"/>
            <w:vAlign w:val="center"/>
          </w:tcPr>
          <w:p w14:paraId="7AB0A39A">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无线投屏器</w:t>
            </w:r>
          </w:p>
        </w:tc>
        <w:tc>
          <w:tcPr>
            <w:tcW w:w="792" w:type="dxa"/>
            <w:shd w:val="clear" w:color="auto" w:fill="auto"/>
            <w:noWrap/>
            <w:vAlign w:val="center"/>
          </w:tcPr>
          <w:p w14:paraId="2A4CEEF2">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noWrap/>
            <w:vAlign w:val="center"/>
          </w:tcPr>
          <w:p w14:paraId="0C557D45">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301F2F3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1.HDMI高清信号投屏器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2.屏蔽类型：支持双屏蔽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3.支持即插即用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4.支持无感延迟</w:t>
            </w:r>
          </w:p>
        </w:tc>
      </w:tr>
      <w:tr w14:paraId="248C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10D0534E">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47</w:t>
            </w:r>
          </w:p>
        </w:tc>
        <w:tc>
          <w:tcPr>
            <w:tcW w:w="1284" w:type="dxa"/>
            <w:shd w:val="clear" w:color="auto" w:fill="auto"/>
            <w:noWrap/>
            <w:vAlign w:val="center"/>
          </w:tcPr>
          <w:p w14:paraId="4C07A429">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控制系统</w:t>
            </w:r>
          </w:p>
        </w:tc>
        <w:tc>
          <w:tcPr>
            <w:tcW w:w="1296" w:type="dxa"/>
            <w:shd w:val="clear" w:color="auto" w:fill="auto"/>
            <w:noWrap/>
            <w:vAlign w:val="center"/>
          </w:tcPr>
          <w:p w14:paraId="2A65A74E">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影音控制系统</w:t>
            </w:r>
          </w:p>
        </w:tc>
        <w:tc>
          <w:tcPr>
            <w:tcW w:w="792" w:type="dxa"/>
            <w:shd w:val="clear" w:color="auto" w:fill="auto"/>
            <w:noWrap/>
            <w:vAlign w:val="center"/>
          </w:tcPr>
          <w:p w14:paraId="0B6D5666">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noWrap/>
            <w:vAlign w:val="center"/>
          </w:tcPr>
          <w:p w14:paraId="1671F180">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33AFF293">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 支持HDCP，支持蓝光DVD等；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 可选配内置中控模块，提供app，支持iphone、ipad、安卓平板及手机无线控制，提供设计平台，用户可对app软件的背景图片、颜色进行更换，按钮的大小、位置、外观可自由设计；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 支持EDID管理，现场可通过串口软件更改板卡EDID数据；</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 HDMI输入端带数字均衡调整电路，输出带信号预加重增强电路，使信号能进行更长距离传输，输入加输出都可超过40米距离（不需配带芯片的HDMI线）；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 所有板卡和主板，采用德国Erni原装进口专业高速连接器，非普通金手指连接；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 支持RS-232、红外、网口控制信号切换功能；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 一体化全铝拉丝面板、蓝光液晶显示屏，美观高档的外观设计；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 采用Contrex嵌入式ARM处理器控制，运行速度更快，系统更稳定；</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 支持一键快速查询功能，方便察看矩阵的切换状态；</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 具有掉电记忆功能带有断电现场保护，上电自动恢复关机前状态；</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11. 标准机架安装的金属机箱。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12. 采用国际通用的标准宽电压输入电源，电网电压在 100V—250V 之间波动，都能保证稳定的输出，极大提高了系统的可靠性和稳定性，16系列最大功耗55W，32系列最大功耗100W。</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13. 全贴片SMT工艺，特有ESD静电保护功能；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14. 数字信号运用了点对点无损传输方式，有力保证了图像信号的高保真输出；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15.核心数字交换芯片，具有超强的抗干扰及全天候工作能力；</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16. 机架安装：    标准3-12U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17. 带宽：5.25Gbps       增益：0dB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18. 位时钟抖动：</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0.15Tbit</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19. 位上升时间：</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0.3Tbit（20%--80%）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20. 位下降时间：</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0.3Tbit（20%--80%）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21. 最大传输延时：5nS</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22. 切换速度：200ns（最长时间）</w:t>
            </w:r>
          </w:p>
        </w:tc>
      </w:tr>
      <w:tr w14:paraId="2F3D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1EC3C0AF">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48</w:t>
            </w:r>
          </w:p>
        </w:tc>
        <w:tc>
          <w:tcPr>
            <w:tcW w:w="1284" w:type="dxa"/>
            <w:shd w:val="clear" w:color="auto" w:fill="auto"/>
            <w:vAlign w:val="center"/>
          </w:tcPr>
          <w:p w14:paraId="0E92FB94">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电动幕布</w:t>
            </w:r>
          </w:p>
        </w:tc>
        <w:tc>
          <w:tcPr>
            <w:tcW w:w="1296" w:type="dxa"/>
            <w:shd w:val="clear" w:color="auto" w:fill="auto"/>
            <w:vAlign w:val="center"/>
          </w:tcPr>
          <w:p w14:paraId="28444DF3">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电动幕布</w:t>
            </w:r>
          </w:p>
        </w:tc>
        <w:tc>
          <w:tcPr>
            <w:tcW w:w="792" w:type="dxa"/>
            <w:shd w:val="clear" w:color="auto" w:fill="auto"/>
            <w:noWrap/>
            <w:vAlign w:val="center"/>
          </w:tcPr>
          <w:p w14:paraId="4808C5F1">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noWrap/>
            <w:vAlign w:val="center"/>
          </w:tcPr>
          <w:p w14:paraId="54BCEFDC">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64EAA3DA">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1.对角线尺寸</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120英寸 </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2.幕布比例</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16:10 </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3.幕面尺寸</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≥2.58×1.61米</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4.安装方式</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壁挂式（支持吊顶）</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5.打开方式</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遥控电动升降</w:t>
            </w:r>
          </w:p>
        </w:tc>
      </w:tr>
      <w:tr w14:paraId="65FF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321AC5E6">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49</w:t>
            </w:r>
          </w:p>
        </w:tc>
        <w:tc>
          <w:tcPr>
            <w:tcW w:w="1284" w:type="dxa"/>
            <w:vAlign w:val="center"/>
          </w:tcPr>
          <w:p w14:paraId="47274171">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控制系统</w:t>
            </w:r>
          </w:p>
        </w:tc>
        <w:tc>
          <w:tcPr>
            <w:tcW w:w="1296" w:type="dxa"/>
            <w:vAlign w:val="center"/>
          </w:tcPr>
          <w:p w14:paraId="485CB3DE">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中控主机</w:t>
            </w:r>
          </w:p>
        </w:tc>
        <w:tc>
          <w:tcPr>
            <w:tcW w:w="792" w:type="dxa"/>
            <w:vAlign w:val="center"/>
          </w:tcPr>
          <w:p w14:paraId="4DA3082F">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vAlign w:val="center"/>
          </w:tcPr>
          <w:p w14:paraId="561D429B">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vAlign w:val="center"/>
          </w:tcPr>
          <w:p w14:paraId="4953E3E8">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1.处理器：采用最低2颗嵌入式高速中央双处理器（CPU）并行运算；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2.内置红外学习器，支持超长码识别；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3.指令存储器：FLASH，大容量，可保存高达2048条指令，支持扩展；</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4.RS485/422串口：≥8路，可编程，232和485相互独立，可同时使用；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5.RS232串口：≥16路，可编程，和RS-485互不相联，可同时使用；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6.红外口：≥8路，8路独立可编程，支持控制DVD、投影机等设备；</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7.继电器（RELAY)：≥8路，用于窗帘，电动幕布等控制；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8.数字输入/输出(IO)接口：≥8路，支持外部高电平触发动作或输出高电平；</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9.支持摄像跟踪；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10.可操控会议系统、AV、VGA、RGB音视频矩阵切换器，拼接墙、灯光、摄像机、投影、窗帘、幕布、空调、电视、机顶盒等</w:t>
            </w:r>
          </w:p>
        </w:tc>
      </w:tr>
      <w:tr w14:paraId="75FD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0DDB88EE">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50</w:t>
            </w:r>
          </w:p>
        </w:tc>
        <w:tc>
          <w:tcPr>
            <w:tcW w:w="1284" w:type="dxa"/>
            <w:shd w:val="clear" w:color="auto" w:fill="auto"/>
            <w:vAlign w:val="center"/>
          </w:tcPr>
          <w:p w14:paraId="1B9A53C3">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控制系统</w:t>
            </w:r>
          </w:p>
        </w:tc>
        <w:tc>
          <w:tcPr>
            <w:tcW w:w="1296" w:type="dxa"/>
            <w:shd w:val="clear" w:color="auto" w:fill="auto"/>
            <w:vAlign w:val="center"/>
          </w:tcPr>
          <w:p w14:paraId="0F491E7C">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电源控制器</w:t>
            </w:r>
          </w:p>
        </w:tc>
        <w:tc>
          <w:tcPr>
            <w:tcW w:w="792" w:type="dxa"/>
            <w:shd w:val="clear" w:color="auto" w:fill="auto"/>
            <w:vAlign w:val="center"/>
          </w:tcPr>
          <w:p w14:paraId="7EC06D5C">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台</w:t>
            </w:r>
          </w:p>
        </w:tc>
        <w:tc>
          <w:tcPr>
            <w:tcW w:w="792" w:type="dxa"/>
            <w:shd w:val="clear" w:color="auto" w:fill="auto"/>
            <w:vAlign w:val="center"/>
          </w:tcPr>
          <w:p w14:paraId="0FCB7390">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7C59C838">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1.通讯方式： RS-232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2.电源： DC 24V(外部电源适配器供电)</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3.继电器数量： ≥8个</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4.单路载入容量： ≥20A</w:t>
            </w:r>
          </w:p>
        </w:tc>
      </w:tr>
      <w:tr w14:paraId="5BCE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1ADF5D0A">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51</w:t>
            </w:r>
          </w:p>
        </w:tc>
        <w:tc>
          <w:tcPr>
            <w:tcW w:w="1284" w:type="dxa"/>
            <w:shd w:val="clear" w:color="auto" w:fill="auto"/>
            <w:vAlign w:val="center"/>
          </w:tcPr>
          <w:p w14:paraId="6AEB80ED">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控制系统</w:t>
            </w:r>
          </w:p>
        </w:tc>
        <w:tc>
          <w:tcPr>
            <w:tcW w:w="1296" w:type="dxa"/>
            <w:shd w:val="clear" w:color="auto" w:fill="auto"/>
            <w:vAlign w:val="center"/>
          </w:tcPr>
          <w:p w14:paraId="3BFE3068">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触摸控制平板</w:t>
            </w:r>
          </w:p>
        </w:tc>
        <w:tc>
          <w:tcPr>
            <w:tcW w:w="792" w:type="dxa"/>
            <w:shd w:val="clear" w:color="auto" w:fill="auto"/>
            <w:vAlign w:val="center"/>
          </w:tcPr>
          <w:p w14:paraId="1CC03CC4">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69C40597">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4E7850D1">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1.屏幕：≥10.1寸显示屏；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2.存储容量：≥64G；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3.网络类型：WIFI</w:t>
            </w:r>
          </w:p>
        </w:tc>
      </w:tr>
      <w:tr w14:paraId="06C1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0D297195">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52</w:t>
            </w:r>
          </w:p>
        </w:tc>
        <w:tc>
          <w:tcPr>
            <w:tcW w:w="1284" w:type="dxa"/>
            <w:shd w:val="clear" w:color="auto" w:fill="auto"/>
            <w:noWrap/>
            <w:vAlign w:val="center"/>
          </w:tcPr>
          <w:p w14:paraId="061E0285">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控制系统</w:t>
            </w:r>
          </w:p>
        </w:tc>
        <w:tc>
          <w:tcPr>
            <w:tcW w:w="1296" w:type="dxa"/>
            <w:shd w:val="clear" w:color="auto" w:fill="auto"/>
            <w:noWrap/>
            <w:vAlign w:val="center"/>
          </w:tcPr>
          <w:p w14:paraId="06B01246">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控制系统</w:t>
            </w:r>
          </w:p>
        </w:tc>
        <w:tc>
          <w:tcPr>
            <w:tcW w:w="792" w:type="dxa"/>
            <w:shd w:val="clear" w:color="auto" w:fill="auto"/>
            <w:noWrap/>
            <w:vAlign w:val="center"/>
          </w:tcPr>
          <w:p w14:paraId="45D61CF0">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noWrap/>
            <w:vAlign w:val="center"/>
          </w:tcPr>
          <w:p w14:paraId="112128CF">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3240479D">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1.支持≥16路视频信号输入输出切换，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2.模块化设计，插卡式结构；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3.支持HDMI、DVI-I、SD/HD/3G-SDI、VGA、AV、YPBPR信号输入；                                                                                     4.支持最高分辨率3840*1920@60hz,1920*1080p@60hz；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5.提供多种控制端口：RS232，网络控制端口和前面板按键；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6.支持至少10种场景记忆及调用；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7.对于HDMI信号支持HDCP，也可解析HDCP；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8.对于VGA信号源及VISA标准的分辨率在HDTV标准的显示设备上显示，可调节水平分辨率、垂直分辨率、行率和场频，以及亮度对比度；                                                                                  9.当矩阵在运行过程中突然断电后重启，矩阵对应的每路输入输出状态将保持记忆，不需要重新设备；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10.DVI/HDMI输入板卡支持EDID可编程；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11.自动对输入DVI/HDMI数字信号进行线缆均衡，延长信号源设备到矩阵的传输距离；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12.每路信号具有独立4级增益调节功能，解决信号衰减或画面发白问题；</w:t>
            </w:r>
          </w:p>
        </w:tc>
      </w:tr>
      <w:tr w14:paraId="6F5D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5CD2A883">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53</w:t>
            </w:r>
          </w:p>
        </w:tc>
        <w:tc>
          <w:tcPr>
            <w:tcW w:w="1284" w:type="dxa"/>
            <w:vAlign w:val="center"/>
          </w:tcPr>
          <w:p w14:paraId="335CB3B6">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电动幕布</w:t>
            </w:r>
          </w:p>
        </w:tc>
        <w:tc>
          <w:tcPr>
            <w:tcW w:w="1296" w:type="dxa"/>
            <w:vAlign w:val="center"/>
          </w:tcPr>
          <w:p w14:paraId="278B8C4E">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电动幕布</w:t>
            </w:r>
          </w:p>
        </w:tc>
        <w:tc>
          <w:tcPr>
            <w:tcW w:w="792" w:type="dxa"/>
            <w:vAlign w:val="center"/>
          </w:tcPr>
          <w:p w14:paraId="62EFFA29">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vAlign w:val="center"/>
          </w:tcPr>
          <w:p w14:paraId="0C57CAD4">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vAlign w:val="center"/>
          </w:tcPr>
          <w:p w14:paraId="696C1A79">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1.对角线尺寸</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120英寸 </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2.幕布比例</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16:10 </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3.幕面尺寸</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≥2.58×1.61米</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4.安装方式</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壁挂式（支持吊顶）</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5.打开方式</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遥控电动升降</w:t>
            </w:r>
          </w:p>
        </w:tc>
      </w:tr>
      <w:tr w14:paraId="26BD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675F25A7">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54</w:t>
            </w:r>
          </w:p>
        </w:tc>
        <w:tc>
          <w:tcPr>
            <w:tcW w:w="1284" w:type="dxa"/>
            <w:shd w:val="clear" w:color="auto" w:fill="auto"/>
            <w:vAlign w:val="center"/>
          </w:tcPr>
          <w:p w14:paraId="65E634F1">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控制系统</w:t>
            </w:r>
          </w:p>
        </w:tc>
        <w:tc>
          <w:tcPr>
            <w:tcW w:w="1296" w:type="dxa"/>
            <w:shd w:val="clear" w:color="auto" w:fill="auto"/>
            <w:noWrap/>
            <w:vAlign w:val="center"/>
          </w:tcPr>
          <w:p w14:paraId="5195FC25">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控制系统</w:t>
            </w:r>
          </w:p>
        </w:tc>
        <w:tc>
          <w:tcPr>
            <w:tcW w:w="792" w:type="dxa"/>
            <w:shd w:val="clear" w:color="auto" w:fill="auto"/>
            <w:vAlign w:val="center"/>
          </w:tcPr>
          <w:p w14:paraId="317A5A91">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273186D6">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666A3C6D">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1.支持≥16路视频信号输入输出切换，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2.模块化设计，插卡式结构；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3.支持HDMI、DVI-I、SD/HD/3G-SDI、VGA、AV、YPBPR信号输入；                                                                                     4.支持最高分辨率3840*1920@60hz,1920*1080p@60hz；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5.提供多种控制端口：RS232，网络控制端口和前面板按键；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6.支持至少10种场景记忆及调用；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7.对于HDMI信号支持HDCP，也可解析HDCP；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8.对于VGA信号源及VISA标准的分辨率在HDTV标准的显示设备上显示，可调节水平分辨率、垂直分辨率、行率和场频，以及亮度对比度；                                                                                  9.当矩阵在运行过程中突然断电后重启，矩阵对应的每路输入输出状态将保持记忆，不需要重新设备；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10.DVI/HDMI输入板卡支持EDID可编程；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11.自动对输入DVI/HDMI数字信号进行线缆均衡，延长信号源设备到矩阵的传输距离；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12.每路信号具有独立4级增益调节功能，解决信号衰减或画面发白问题；</w:t>
            </w:r>
          </w:p>
        </w:tc>
      </w:tr>
      <w:tr w14:paraId="7E23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5203FAFC">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55</w:t>
            </w:r>
          </w:p>
        </w:tc>
        <w:tc>
          <w:tcPr>
            <w:tcW w:w="1284" w:type="dxa"/>
            <w:vAlign w:val="center"/>
          </w:tcPr>
          <w:p w14:paraId="35EB610B">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电视机</w:t>
            </w:r>
          </w:p>
        </w:tc>
        <w:tc>
          <w:tcPr>
            <w:tcW w:w="1296" w:type="dxa"/>
            <w:vAlign w:val="center"/>
          </w:tcPr>
          <w:p w14:paraId="073C90B1">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辅助显示电视+可移动（含配件）</w:t>
            </w:r>
          </w:p>
        </w:tc>
        <w:tc>
          <w:tcPr>
            <w:tcW w:w="792" w:type="dxa"/>
            <w:vAlign w:val="center"/>
          </w:tcPr>
          <w:p w14:paraId="529B401A">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vAlign w:val="center"/>
          </w:tcPr>
          <w:p w14:paraId="14A11295">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147" w:type="dxa"/>
            <w:vAlign w:val="center"/>
          </w:tcPr>
          <w:p w14:paraId="409FE928">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1.屏幕尺寸</w:t>
            </w:r>
            <w:r>
              <w:rPr>
                <w:rStyle w:val="285"/>
                <w:rFonts w:hint="eastAsia" w:ascii="宋体" w:hAnsi="宋体" w:eastAsia="宋体" w:cs="宋体"/>
                <w:sz w:val="24"/>
                <w:szCs w:val="24"/>
                <w:lang w:bidi="ar"/>
              </w:rPr>
              <w:t>‌</w:t>
            </w:r>
            <w:r>
              <w:rPr>
                <w:rStyle w:val="266"/>
                <w:rFonts w:hint="eastAsia" w:ascii="宋体" w:hAnsi="宋体" w:eastAsia="宋体" w:cs="宋体"/>
                <w:sz w:val="24"/>
                <w:szCs w:val="24"/>
                <w:lang w:bidi="ar"/>
              </w:rPr>
              <w:t xml:space="preserve"> 55英寸（对角线约139.7厘米）</w:t>
            </w:r>
            <w:r>
              <w:rPr>
                <w:rStyle w:val="266"/>
                <w:rFonts w:hint="eastAsia" w:ascii="宋体" w:hAnsi="宋体" w:eastAsia="宋体" w:cs="宋体"/>
                <w:sz w:val="24"/>
                <w:szCs w:val="24"/>
                <w:lang w:bidi="ar"/>
              </w:rPr>
              <w:br w:type="textWrapping"/>
            </w:r>
            <w:r>
              <w:rPr>
                <w:rStyle w:val="285"/>
                <w:rFonts w:hint="eastAsia" w:ascii="宋体" w:hAnsi="宋体" w:eastAsia="宋体" w:cs="宋体"/>
                <w:sz w:val="24"/>
                <w:szCs w:val="24"/>
                <w:lang w:bidi="ar"/>
              </w:rPr>
              <w:t>‌</w:t>
            </w:r>
            <w:r>
              <w:rPr>
                <w:rStyle w:val="266"/>
                <w:rFonts w:hint="eastAsia" w:ascii="宋体" w:hAnsi="宋体" w:eastAsia="宋体" w:cs="宋体"/>
                <w:sz w:val="24"/>
                <w:szCs w:val="24"/>
                <w:lang w:bidi="ar"/>
              </w:rPr>
              <w:t>2.分辨率</w:t>
            </w:r>
            <w:r>
              <w:rPr>
                <w:rStyle w:val="285"/>
                <w:rFonts w:hint="eastAsia" w:ascii="宋体" w:hAnsi="宋体" w:eastAsia="宋体" w:cs="宋体"/>
                <w:sz w:val="24"/>
                <w:szCs w:val="24"/>
                <w:lang w:bidi="ar"/>
              </w:rPr>
              <w:t>‌</w:t>
            </w:r>
            <w:r>
              <w:rPr>
                <w:rStyle w:val="266"/>
                <w:rFonts w:hint="eastAsia" w:ascii="宋体" w:hAnsi="宋体" w:eastAsia="宋体" w:cs="宋体"/>
                <w:sz w:val="24"/>
                <w:szCs w:val="24"/>
                <w:lang w:bidi="ar"/>
              </w:rPr>
              <w:t xml:space="preserve"> 3840×2160（4K超高清）</w:t>
            </w:r>
            <w:r>
              <w:rPr>
                <w:rStyle w:val="266"/>
                <w:rFonts w:hint="eastAsia" w:ascii="宋体" w:hAnsi="宋体" w:eastAsia="宋体" w:cs="宋体"/>
                <w:sz w:val="24"/>
                <w:szCs w:val="24"/>
                <w:lang w:bidi="ar"/>
              </w:rPr>
              <w:br w:type="textWrapping"/>
            </w:r>
            <w:r>
              <w:rPr>
                <w:rStyle w:val="285"/>
                <w:rFonts w:hint="eastAsia" w:ascii="宋体" w:hAnsi="宋体" w:eastAsia="宋体" w:cs="宋体"/>
                <w:sz w:val="24"/>
                <w:szCs w:val="24"/>
                <w:lang w:bidi="ar"/>
              </w:rPr>
              <w:t>‌</w:t>
            </w:r>
            <w:r>
              <w:rPr>
                <w:rStyle w:val="266"/>
                <w:rFonts w:hint="eastAsia" w:ascii="宋体" w:hAnsi="宋体" w:eastAsia="宋体" w:cs="宋体"/>
                <w:sz w:val="24"/>
                <w:szCs w:val="24"/>
                <w:lang w:bidi="ar"/>
              </w:rPr>
              <w:t>3.屏幕比例</w:t>
            </w:r>
            <w:r>
              <w:rPr>
                <w:rStyle w:val="285"/>
                <w:rFonts w:hint="eastAsia" w:ascii="宋体" w:hAnsi="宋体" w:eastAsia="宋体" w:cs="宋体"/>
                <w:sz w:val="24"/>
                <w:szCs w:val="24"/>
                <w:lang w:bidi="ar"/>
              </w:rPr>
              <w:t>‌</w:t>
            </w:r>
            <w:r>
              <w:rPr>
                <w:rStyle w:val="266"/>
                <w:rFonts w:hint="eastAsia" w:ascii="宋体" w:hAnsi="宋体" w:eastAsia="宋体" w:cs="宋体"/>
                <w:sz w:val="24"/>
                <w:szCs w:val="24"/>
                <w:lang w:bidi="ar"/>
              </w:rPr>
              <w:t xml:space="preserve"> 16:9 主流标准，适配绝大多数影视内容与会议演示</w:t>
            </w:r>
            <w:r>
              <w:rPr>
                <w:rStyle w:val="266"/>
                <w:rFonts w:hint="eastAsia" w:ascii="宋体" w:hAnsi="宋体" w:eastAsia="宋体" w:cs="宋体"/>
                <w:sz w:val="24"/>
                <w:szCs w:val="24"/>
                <w:lang w:bidi="ar"/>
              </w:rPr>
              <w:br w:type="textWrapping"/>
            </w:r>
            <w:r>
              <w:rPr>
                <w:rStyle w:val="285"/>
                <w:rFonts w:hint="eastAsia" w:ascii="宋体" w:hAnsi="宋体" w:eastAsia="宋体" w:cs="宋体"/>
                <w:sz w:val="24"/>
                <w:szCs w:val="24"/>
                <w:lang w:bidi="ar"/>
              </w:rPr>
              <w:t>‌</w:t>
            </w:r>
            <w:r>
              <w:rPr>
                <w:rStyle w:val="266"/>
                <w:rFonts w:hint="eastAsia" w:ascii="宋体" w:hAnsi="宋体" w:eastAsia="宋体" w:cs="宋体"/>
                <w:sz w:val="24"/>
                <w:szCs w:val="24"/>
                <w:lang w:bidi="ar"/>
              </w:rPr>
              <w:t>4.面板类型</w:t>
            </w:r>
            <w:r>
              <w:rPr>
                <w:rStyle w:val="285"/>
                <w:rFonts w:hint="eastAsia" w:ascii="宋体" w:hAnsi="宋体" w:eastAsia="宋体" w:cs="宋体"/>
                <w:sz w:val="24"/>
                <w:szCs w:val="24"/>
                <w:lang w:bidi="ar"/>
              </w:rPr>
              <w:t>‌</w:t>
            </w:r>
            <w:r>
              <w:rPr>
                <w:rStyle w:val="266"/>
                <w:rFonts w:hint="eastAsia" w:ascii="宋体" w:hAnsi="宋体" w:eastAsia="宋体" w:cs="宋体"/>
                <w:sz w:val="24"/>
                <w:szCs w:val="24"/>
                <w:lang w:bidi="ar"/>
              </w:rPr>
              <w:t xml:space="preserve"> Mini LED / LED / LCD Mini LED支持更高对比度与分区控光，画质更优</w:t>
            </w:r>
            <w:r>
              <w:rPr>
                <w:rStyle w:val="266"/>
                <w:rFonts w:hint="eastAsia" w:ascii="宋体" w:hAnsi="宋体" w:eastAsia="宋体" w:cs="宋体"/>
                <w:sz w:val="24"/>
                <w:szCs w:val="24"/>
                <w:lang w:bidi="ar"/>
              </w:rPr>
              <w:br w:type="textWrapping"/>
            </w:r>
            <w:r>
              <w:rPr>
                <w:rStyle w:val="266"/>
                <w:rFonts w:hint="eastAsia" w:ascii="宋体" w:hAnsi="宋体" w:eastAsia="宋体" w:cs="宋体"/>
                <w:sz w:val="24"/>
                <w:szCs w:val="24"/>
                <w:lang w:bidi="ar"/>
              </w:rPr>
              <w:t>5.配套落地可移动电视支架</w:t>
            </w:r>
          </w:p>
        </w:tc>
      </w:tr>
      <w:tr w14:paraId="742F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68E2B5A1">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56</w:t>
            </w:r>
          </w:p>
        </w:tc>
        <w:tc>
          <w:tcPr>
            <w:tcW w:w="1284" w:type="dxa"/>
            <w:shd w:val="clear" w:color="auto" w:fill="auto"/>
            <w:vAlign w:val="center"/>
          </w:tcPr>
          <w:p w14:paraId="7CBEDD16">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电视机</w:t>
            </w:r>
          </w:p>
        </w:tc>
        <w:tc>
          <w:tcPr>
            <w:tcW w:w="1296" w:type="dxa"/>
            <w:shd w:val="clear" w:color="auto" w:fill="auto"/>
            <w:vAlign w:val="center"/>
          </w:tcPr>
          <w:p w14:paraId="0155A384">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辅助显示电视+挂墙上（含配件）</w:t>
            </w:r>
          </w:p>
        </w:tc>
        <w:tc>
          <w:tcPr>
            <w:tcW w:w="792" w:type="dxa"/>
            <w:shd w:val="clear" w:color="auto" w:fill="auto"/>
            <w:vAlign w:val="center"/>
          </w:tcPr>
          <w:p w14:paraId="2B5B57EF">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7FEEEB8C">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147" w:type="dxa"/>
            <w:shd w:val="clear" w:color="auto" w:fill="auto"/>
            <w:vAlign w:val="center"/>
          </w:tcPr>
          <w:p w14:paraId="071DE5D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1.屏幕尺寸</w:t>
            </w:r>
            <w:r>
              <w:rPr>
                <w:rStyle w:val="285"/>
                <w:rFonts w:hint="eastAsia" w:ascii="宋体" w:hAnsi="宋体" w:eastAsia="宋体" w:cs="宋体"/>
                <w:sz w:val="24"/>
                <w:szCs w:val="24"/>
                <w:lang w:bidi="ar"/>
              </w:rPr>
              <w:t>‌</w:t>
            </w:r>
            <w:r>
              <w:rPr>
                <w:rStyle w:val="266"/>
                <w:rFonts w:hint="eastAsia" w:ascii="宋体" w:hAnsi="宋体" w:eastAsia="宋体" w:cs="宋体"/>
                <w:sz w:val="24"/>
                <w:szCs w:val="24"/>
                <w:lang w:bidi="ar"/>
              </w:rPr>
              <w:t xml:space="preserve"> 55英寸（对角线约139.7厘米）</w:t>
            </w:r>
            <w:r>
              <w:rPr>
                <w:rStyle w:val="266"/>
                <w:rFonts w:hint="eastAsia" w:ascii="宋体" w:hAnsi="宋体" w:eastAsia="宋体" w:cs="宋体"/>
                <w:sz w:val="24"/>
                <w:szCs w:val="24"/>
                <w:lang w:bidi="ar"/>
              </w:rPr>
              <w:br w:type="textWrapping"/>
            </w:r>
            <w:r>
              <w:rPr>
                <w:rStyle w:val="285"/>
                <w:rFonts w:hint="eastAsia" w:ascii="宋体" w:hAnsi="宋体" w:eastAsia="宋体" w:cs="宋体"/>
                <w:sz w:val="24"/>
                <w:szCs w:val="24"/>
                <w:lang w:bidi="ar"/>
              </w:rPr>
              <w:t>‌</w:t>
            </w:r>
            <w:r>
              <w:rPr>
                <w:rStyle w:val="266"/>
                <w:rFonts w:hint="eastAsia" w:ascii="宋体" w:hAnsi="宋体" w:eastAsia="宋体" w:cs="宋体"/>
                <w:sz w:val="24"/>
                <w:szCs w:val="24"/>
                <w:lang w:bidi="ar"/>
              </w:rPr>
              <w:t>2.分辨率</w:t>
            </w:r>
            <w:r>
              <w:rPr>
                <w:rStyle w:val="285"/>
                <w:rFonts w:hint="eastAsia" w:ascii="宋体" w:hAnsi="宋体" w:eastAsia="宋体" w:cs="宋体"/>
                <w:sz w:val="24"/>
                <w:szCs w:val="24"/>
                <w:lang w:bidi="ar"/>
              </w:rPr>
              <w:t>‌</w:t>
            </w:r>
            <w:r>
              <w:rPr>
                <w:rStyle w:val="266"/>
                <w:rFonts w:hint="eastAsia" w:ascii="宋体" w:hAnsi="宋体" w:eastAsia="宋体" w:cs="宋体"/>
                <w:sz w:val="24"/>
                <w:szCs w:val="24"/>
                <w:lang w:bidi="ar"/>
              </w:rPr>
              <w:t xml:space="preserve"> 3840×2160（4K超高清）</w:t>
            </w:r>
            <w:r>
              <w:rPr>
                <w:rStyle w:val="266"/>
                <w:rFonts w:hint="eastAsia" w:ascii="宋体" w:hAnsi="宋体" w:eastAsia="宋体" w:cs="宋体"/>
                <w:sz w:val="24"/>
                <w:szCs w:val="24"/>
                <w:lang w:bidi="ar"/>
              </w:rPr>
              <w:br w:type="textWrapping"/>
            </w:r>
            <w:r>
              <w:rPr>
                <w:rStyle w:val="285"/>
                <w:rFonts w:hint="eastAsia" w:ascii="宋体" w:hAnsi="宋体" w:eastAsia="宋体" w:cs="宋体"/>
                <w:sz w:val="24"/>
                <w:szCs w:val="24"/>
                <w:lang w:bidi="ar"/>
              </w:rPr>
              <w:t>‌</w:t>
            </w:r>
            <w:r>
              <w:rPr>
                <w:rStyle w:val="266"/>
                <w:rFonts w:hint="eastAsia" w:ascii="宋体" w:hAnsi="宋体" w:eastAsia="宋体" w:cs="宋体"/>
                <w:sz w:val="24"/>
                <w:szCs w:val="24"/>
                <w:lang w:bidi="ar"/>
              </w:rPr>
              <w:t>3.屏幕比例</w:t>
            </w:r>
            <w:r>
              <w:rPr>
                <w:rStyle w:val="285"/>
                <w:rFonts w:hint="eastAsia" w:ascii="宋体" w:hAnsi="宋体" w:eastAsia="宋体" w:cs="宋体"/>
                <w:sz w:val="24"/>
                <w:szCs w:val="24"/>
                <w:lang w:bidi="ar"/>
              </w:rPr>
              <w:t>‌</w:t>
            </w:r>
            <w:r>
              <w:rPr>
                <w:rStyle w:val="266"/>
                <w:rFonts w:hint="eastAsia" w:ascii="宋体" w:hAnsi="宋体" w:eastAsia="宋体" w:cs="宋体"/>
                <w:sz w:val="24"/>
                <w:szCs w:val="24"/>
                <w:lang w:bidi="ar"/>
              </w:rPr>
              <w:t xml:space="preserve"> 16:9 主流标准，适配绝大多数影视内容与会议演示</w:t>
            </w:r>
            <w:r>
              <w:rPr>
                <w:rStyle w:val="266"/>
                <w:rFonts w:hint="eastAsia" w:ascii="宋体" w:hAnsi="宋体" w:eastAsia="宋体" w:cs="宋体"/>
                <w:sz w:val="24"/>
                <w:szCs w:val="24"/>
                <w:lang w:bidi="ar"/>
              </w:rPr>
              <w:br w:type="textWrapping"/>
            </w:r>
            <w:r>
              <w:rPr>
                <w:rStyle w:val="285"/>
                <w:rFonts w:hint="eastAsia" w:ascii="宋体" w:hAnsi="宋体" w:eastAsia="宋体" w:cs="宋体"/>
                <w:sz w:val="24"/>
                <w:szCs w:val="24"/>
                <w:lang w:bidi="ar"/>
              </w:rPr>
              <w:t>‌</w:t>
            </w:r>
            <w:r>
              <w:rPr>
                <w:rStyle w:val="266"/>
                <w:rFonts w:hint="eastAsia" w:ascii="宋体" w:hAnsi="宋体" w:eastAsia="宋体" w:cs="宋体"/>
                <w:sz w:val="24"/>
                <w:szCs w:val="24"/>
                <w:lang w:bidi="ar"/>
              </w:rPr>
              <w:t>4.面板类型</w:t>
            </w:r>
            <w:r>
              <w:rPr>
                <w:rStyle w:val="285"/>
                <w:rFonts w:hint="eastAsia" w:ascii="宋体" w:hAnsi="宋体" w:eastAsia="宋体" w:cs="宋体"/>
                <w:sz w:val="24"/>
                <w:szCs w:val="24"/>
                <w:lang w:bidi="ar"/>
              </w:rPr>
              <w:t>‌</w:t>
            </w:r>
            <w:r>
              <w:rPr>
                <w:rStyle w:val="266"/>
                <w:rFonts w:hint="eastAsia" w:ascii="宋体" w:hAnsi="宋体" w:eastAsia="宋体" w:cs="宋体"/>
                <w:sz w:val="24"/>
                <w:szCs w:val="24"/>
                <w:lang w:bidi="ar"/>
              </w:rPr>
              <w:t xml:space="preserve"> Mini LED / LED / LCD Mini LED支持更高对比度与分区控光，画质更优</w:t>
            </w:r>
            <w:r>
              <w:rPr>
                <w:rStyle w:val="266"/>
                <w:rFonts w:hint="eastAsia" w:ascii="宋体" w:hAnsi="宋体" w:eastAsia="宋体" w:cs="宋体"/>
                <w:sz w:val="24"/>
                <w:szCs w:val="24"/>
                <w:lang w:bidi="ar"/>
              </w:rPr>
              <w:br w:type="textWrapping"/>
            </w:r>
            <w:r>
              <w:rPr>
                <w:rStyle w:val="266"/>
                <w:rFonts w:hint="eastAsia" w:ascii="宋体" w:hAnsi="宋体" w:eastAsia="宋体" w:cs="宋体"/>
                <w:sz w:val="24"/>
                <w:szCs w:val="24"/>
                <w:lang w:bidi="ar"/>
              </w:rPr>
              <w:t>5.配套墙面壁挂支架</w:t>
            </w:r>
          </w:p>
        </w:tc>
      </w:tr>
      <w:tr w14:paraId="730D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23F920AB">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57</w:t>
            </w:r>
          </w:p>
        </w:tc>
        <w:tc>
          <w:tcPr>
            <w:tcW w:w="1284" w:type="dxa"/>
            <w:vAlign w:val="center"/>
          </w:tcPr>
          <w:p w14:paraId="7E107719">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LED屏</w:t>
            </w:r>
          </w:p>
        </w:tc>
        <w:tc>
          <w:tcPr>
            <w:tcW w:w="1296" w:type="dxa"/>
            <w:vAlign w:val="center"/>
          </w:tcPr>
          <w:p w14:paraId="6D6AB234">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电子横幅（单位：平米）</w:t>
            </w:r>
          </w:p>
        </w:tc>
        <w:tc>
          <w:tcPr>
            <w:tcW w:w="792" w:type="dxa"/>
            <w:vAlign w:val="center"/>
          </w:tcPr>
          <w:p w14:paraId="24F4DB74">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平方</w:t>
            </w:r>
          </w:p>
        </w:tc>
        <w:tc>
          <w:tcPr>
            <w:tcW w:w="792" w:type="dxa"/>
            <w:vAlign w:val="center"/>
          </w:tcPr>
          <w:p w14:paraId="6DA34B84">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5147" w:type="dxa"/>
            <w:vAlign w:val="center"/>
          </w:tcPr>
          <w:p w14:paraId="32A84A78">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1.室内表贴节能全彩LED屏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2.像数点间距2.5mm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3.像素构成1R1G1B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4.像素密度160000点/㎡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5.单元板320mm*160mm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6.屏体拼接平整度≤0.05mm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7.亮度≥1000CD/㎡</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8.色温3200K-9300K</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9.水平视角≥175</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10.垂直视角≥175</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11.最佳可视距离≥4米</w:t>
            </w:r>
          </w:p>
        </w:tc>
      </w:tr>
      <w:tr w14:paraId="3669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6F3660DD">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58</w:t>
            </w:r>
          </w:p>
        </w:tc>
        <w:tc>
          <w:tcPr>
            <w:tcW w:w="1284" w:type="dxa"/>
            <w:shd w:val="clear" w:color="auto" w:fill="auto"/>
            <w:vAlign w:val="center"/>
          </w:tcPr>
          <w:p w14:paraId="6685634C">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控制系统</w:t>
            </w:r>
          </w:p>
        </w:tc>
        <w:tc>
          <w:tcPr>
            <w:tcW w:w="1296" w:type="dxa"/>
            <w:shd w:val="clear" w:color="auto" w:fill="auto"/>
            <w:vAlign w:val="center"/>
          </w:tcPr>
          <w:p w14:paraId="2065BF57">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无线投屏器</w:t>
            </w:r>
          </w:p>
        </w:tc>
        <w:tc>
          <w:tcPr>
            <w:tcW w:w="792" w:type="dxa"/>
            <w:shd w:val="clear" w:color="auto" w:fill="auto"/>
            <w:vAlign w:val="center"/>
          </w:tcPr>
          <w:p w14:paraId="7B945D60">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1F9B200B">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477043D1">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1.HDMI高清信号投屏器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2.屏蔽类型：支持双屏蔽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3.支持即插即用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4.支持无感延迟</w:t>
            </w:r>
          </w:p>
        </w:tc>
      </w:tr>
      <w:tr w14:paraId="67F3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32CCCC0B">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59</w:t>
            </w:r>
          </w:p>
        </w:tc>
        <w:tc>
          <w:tcPr>
            <w:tcW w:w="1284" w:type="dxa"/>
            <w:vAlign w:val="center"/>
          </w:tcPr>
          <w:p w14:paraId="7D1A0426">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调音台</w:t>
            </w:r>
          </w:p>
        </w:tc>
        <w:tc>
          <w:tcPr>
            <w:tcW w:w="1296" w:type="dxa"/>
            <w:vAlign w:val="center"/>
          </w:tcPr>
          <w:p w14:paraId="0458FB1E">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数字调音台</w:t>
            </w:r>
          </w:p>
        </w:tc>
        <w:tc>
          <w:tcPr>
            <w:tcW w:w="792" w:type="dxa"/>
            <w:vAlign w:val="center"/>
          </w:tcPr>
          <w:p w14:paraId="2DA4A906">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台</w:t>
            </w:r>
          </w:p>
        </w:tc>
        <w:tc>
          <w:tcPr>
            <w:tcW w:w="792" w:type="dxa"/>
            <w:vAlign w:val="center"/>
          </w:tcPr>
          <w:p w14:paraId="4A877450">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 </w:t>
            </w:r>
          </w:p>
        </w:tc>
        <w:tc>
          <w:tcPr>
            <w:tcW w:w="5147" w:type="dxa"/>
            <w:vAlign w:val="center"/>
          </w:tcPr>
          <w:p w14:paraId="70446902">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1.≥10.1寸1280*800高清触控显示，中英文操作界面，自由切换，更易上手</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2.关机参数自动保存，不用担心数据丢失</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3.本地输入/输出：≥42路信号输入（38模拟+4数字）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（32路MIC/Line输入,2组3.5莲花立体声输入, 1组3.5立体声耳机输入接口，2组数字输入：声卡，MP3，AES数字输入）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≥20路信号输出（主输出L,R,  14路AUX1-14辅助输出，1路立体声耳机监听输出，AES输出）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4.最大支持74路信号输入，36路信号输出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5.支持Dante: 选配32x32 Dante版卡，实现Dante信号的输入输出，支持多轨录音</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6.支持MIDI接口输入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7.AUX输出（推子前/后）可设置</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8.输出通道处理:高低通滤波，15段参量均衡,主输出31段（GEQ支持通过在推子上操控），压缩器，延时，相位</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9.USB 8*8多轨录音功能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10.内置声卡（手机、IPAD、MP3、PC直接播放、录音）</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11.不少于8个快捷场景调用模式，100个场景存储, 可自定义场景名字，支持中文输入，场景无缝切换，不会断音，支持U盘导入导出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12.本地内置至少4个独立的DSP效果器，预设多种效果模式供用户直接使用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13.FX脚踏开关接口</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14.12V输出接口，可外接照明设备</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15.可一键恢复出厂设置</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16.支持232中控控制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17.多操作系统操控软件（IOS系统、Android系统、WINDOWS系统）</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18.支持有线网口调节（或外接路由器无线调节）</w:t>
            </w:r>
          </w:p>
        </w:tc>
      </w:tr>
      <w:tr w14:paraId="7EC3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109FEE47">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60</w:t>
            </w:r>
          </w:p>
        </w:tc>
        <w:tc>
          <w:tcPr>
            <w:tcW w:w="1284" w:type="dxa"/>
            <w:shd w:val="clear" w:color="auto" w:fill="auto"/>
            <w:vAlign w:val="center"/>
          </w:tcPr>
          <w:p w14:paraId="69426016">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棋牌</w:t>
            </w:r>
          </w:p>
        </w:tc>
        <w:tc>
          <w:tcPr>
            <w:tcW w:w="1296" w:type="dxa"/>
            <w:shd w:val="clear" w:color="auto" w:fill="auto"/>
            <w:vAlign w:val="center"/>
          </w:tcPr>
          <w:p w14:paraId="1959692F">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普通象棋</w:t>
            </w:r>
          </w:p>
        </w:tc>
        <w:tc>
          <w:tcPr>
            <w:tcW w:w="792" w:type="dxa"/>
            <w:shd w:val="clear" w:color="auto" w:fill="auto"/>
            <w:vAlign w:val="center"/>
          </w:tcPr>
          <w:p w14:paraId="35C68B77">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365F8EAB">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5147" w:type="dxa"/>
            <w:shd w:val="clear" w:color="auto" w:fill="auto"/>
            <w:vAlign w:val="center"/>
          </w:tcPr>
          <w:p w14:paraId="5F6DAD28">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1.棋子收纳‌ 配备木质或布质收纳盒/袋，分类存放，防止丢失</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‌2.整套配置‌ 含32枚棋子（红黑各16枚）、1张棋盘</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3.‌适用场景‌ 明确用于学校教学、群众赛事或社区活动推广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‌4.环保与安全‌ 材料无毒无害，符合国家环保标准，儿童可安全使用</w:t>
            </w:r>
          </w:p>
        </w:tc>
      </w:tr>
      <w:tr w14:paraId="2444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11329E64">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61</w:t>
            </w:r>
          </w:p>
        </w:tc>
        <w:tc>
          <w:tcPr>
            <w:tcW w:w="1284" w:type="dxa"/>
            <w:vAlign w:val="center"/>
          </w:tcPr>
          <w:p w14:paraId="5EA0F20F">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棋牌</w:t>
            </w:r>
          </w:p>
        </w:tc>
        <w:tc>
          <w:tcPr>
            <w:tcW w:w="1296" w:type="dxa"/>
            <w:vAlign w:val="center"/>
          </w:tcPr>
          <w:p w14:paraId="5A13183C">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围棋</w:t>
            </w:r>
          </w:p>
        </w:tc>
        <w:tc>
          <w:tcPr>
            <w:tcW w:w="792" w:type="dxa"/>
            <w:vAlign w:val="center"/>
          </w:tcPr>
          <w:p w14:paraId="30E52830">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套</w:t>
            </w:r>
          </w:p>
        </w:tc>
        <w:tc>
          <w:tcPr>
            <w:tcW w:w="792" w:type="dxa"/>
            <w:vAlign w:val="center"/>
          </w:tcPr>
          <w:p w14:paraId="1CBD6841">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5147" w:type="dxa"/>
            <w:vAlign w:val="center"/>
          </w:tcPr>
          <w:p w14:paraId="0FEBC627">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1.适用场景‌ 明确用于学校围棋课程、社区活动、少儿培训或正式赛事</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‌2.环保安全‌ 材料符合GB 28481-2012《儿童用品安全技术规范》，无毒无害</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‌3.数量与配置‌ 单套含棋盘1张、棋子361枚、棋盒2个</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w:t>
            </w:r>
          </w:p>
        </w:tc>
      </w:tr>
      <w:tr w14:paraId="0906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4D75A04A">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62</w:t>
            </w:r>
          </w:p>
        </w:tc>
        <w:tc>
          <w:tcPr>
            <w:tcW w:w="1284" w:type="dxa"/>
            <w:shd w:val="clear" w:color="auto" w:fill="auto"/>
            <w:vAlign w:val="center"/>
          </w:tcPr>
          <w:p w14:paraId="0D3FE571">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棋牌</w:t>
            </w:r>
          </w:p>
        </w:tc>
        <w:tc>
          <w:tcPr>
            <w:tcW w:w="1296" w:type="dxa"/>
            <w:shd w:val="clear" w:color="auto" w:fill="auto"/>
            <w:vAlign w:val="center"/>
          </w:tcPr>
          <w:p w14:paraId="79B5046D">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国际象棋</w:t>
            </w:r>
          </w:p>
        </w:tc>
        <w:tc>
          <w:tcPr>
            <w:tcW w:w="792" w:type="dxa"/>
            <w:shd w:val="clear" w:color="auto" w:fill="auto"/>
            <w:vAlign w:val="center"/>
          </w:tcPr>
          <w:p w14:paraId="129E06B8">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5A8ECAEB">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5147" w:type="dxa"/>
            <w:shd w:val="clear" w:color="auto" w:fill="auto"/>
            <w:vAlign w:val="center"/>
          </w:tcPr>
          <w:p w14:paraId="5CB79275">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‌1.适用场景‌ 明确用于中小学智力课程、社区活动中心、青少年赛事或政府采购项目</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‌2.环保安全‌ 材料符合GB 28481-2012《儿童用品安全技术规范》，无毒无害，边角圆润处理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‌3.数量配置‌ 单套含棋盘1张、棋子32枚、收纳袋/盒1个</w:t>
            </w:r>
          </w:p>
        </w:tc>
      </w:tr>
      <w:tr w14:paraId="146A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78413E36">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63</w:t>
            </w:r>
          </w:p>
        </w:tc>
        <w:tc>
          <w:tcPr>
            <w:tcW w:w="1284" w:type="dxa"/>
            <w:vAlign w:val="center"/>
          </w:tcPr>
          <w:p w14:paraId="2F527469">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球类运动器材</w:t>
            </w:r>
          </w:p>
        </w:tc>
        <w:tc>
          <w:tcPr>
            <w:tcW w:w="1296" w:type="dxa"/>
            <w:noWrap/>
            <w:vAlign w:val="center"/>
          </w:tcPr>
          <w:p w14:paraId="22417B85">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乒乓球专用轮椅</w:t>
            </w:r>
          </w:p>
        </w:tc>
        <w:tc>
          <w:tcPr>
            <w:tcW w:w="792" w:type="dxa"/>
            <w:noWrap/>
            <w:vAlign w:val="center"/>
          </w:tcPr>
          <w:p w14:paraId="61370EFD">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套</w:t>
            </w:r>
          </w:p>
        </w:tc>
        <w:tc>
          <w:tcPr>
            <w:tcW w:w="792" w:type="dxa"/>
            <w:noWrap/>
            <w:vAlign w:val="center"/>
          </w:tcPr>
          <w:p w14:paraId="743A9751">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147" w:type="dxa"/>
            <w:vAlign w:val="center"/>
          </w:tcPr>
          <w:p w14:paraId="39899FBC">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1.适用对象‌：脑瘫、脊髓损伤、躯干平衡功能障碍或肢体功能障碍者，按GB/T 15493—2009分级为TT1～TT5级，体重不超过100 kg的运动员</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‌2.整车质量‌：总质量（含附件）不超过100 kg，确保轻便与强度平衡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3.总宽度 ≤ 700 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4.总长度 ≤ 1100 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5.座高范围：400–550 mm，适配不同体型与击球姿势</w:t>
            </w:r>
          </w:p>
        </w:tc>
      </w:tr>
      <w:tr w14:paraId="05F7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396D904E">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64</w:t>
            </w:r>
          </w:p>
        </w:tc>
        <w:tc>
          <w:tcPr>
            <w:tcW w:w="1284" w:type="dxa"/>
            <w:shd w:val="clear" w:color="auto" w:fill="auto"/>
            <w:vAlign w:val="center"/>
          </w:tcPr>
          <w:p w14:paraId="1ED5BA2E">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球类运动器材</w:t>
            </w:r>
          </w:p>
        </w:tc>
        <w:tc>
          <w:tcPr>
            <w:tcW w:w="1296" w:type="dxa"/>
            <w:shd w:val="clear" w:color="auto" w:fill="auto"/>
            <w:vAlign w:val="center"/>
          </w:tcPr>
          <w:p w14:paraId="196247DA">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乒乓球拍（套装）</w:t>
            </w:r>
          </w:p>
        </w:tc>
        <w:tc>
          <w:tcPr>
            <w:tcW w:w="792" w:type="dxa"/>
            <w:shd w:val="clear" w:color="auto" w:fill="auto"/>
            <w:vAlign w:val="center"/>
          </w:tcPr>
          <w:p w14:paraId="76F3F307">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34E7AE63">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147" w:type="dxa"/>
            <w:shd w:val="clear" w:color="auto" w:fill="auto"/>
            <w:vAlign w:val="center"/>
          </w:tcPr>
          <w:p w14:paraId="3BCEE786">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1.底板材质‌ 实木或7层杨木结构，可含碳纤维增强层（如7+6结构）</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‌2.底板厚度‌ 6.5cm±1cm，总球拍厚度12cm±2cm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‌3.胶皮类型‌ 双面反胶或双面正反胶带海绵，符合训练/比赛需求</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‌4.海绵厚度‌ 2.0mm±0.5mm，颗粒胶连同粘合剂总厚度≤4mm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‌5.颗粒密度‌ 每平方厘米10–50颗，均匀分布整个拍面</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‌6.总重量‌ 单只球拍≤100g，整副≤200g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‌7.外形尺寸‌ 拍总长度≤670mm，宽度≤195mm，弦面长度≤250mm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‌8.表面处理‌ 贴标清晰、印刷图案平整，无翘边、脱落现象</w:t>
            </w:r>
          </w:p>
        </w:tc>
      </w:tr>
      <w:tr w14:paraId="59B9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217C3094">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65</w:t>
            </w:r>
          </w:p>
        </w:tc>
        <w:tc>
          <w:tcPr>
            <w:tcW w:w="1284" w:type="dxa"/>
            <w:vAlign w:val="center"/>
          </w:tcPr>
          <w:p w14:paraId="05C69B51">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球类运动器材</w:t>
            </w:r>
          </w:p>
        </w:tc>
        <w:tc>
          <w:tcPr>
            <w:tcW w:w="1296" w:type="dxa"/>
            <w:vAlign w:val="center"/>
          </w:tcPr>
          <w:p w14:paraId="2A64CF35">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折叠乒乓球台（单位：张）</w:t>
            </w:r>
          </w:p>
        </w:tc>
        <w:tc>
          <w:tcPr>
            <w:tcW w:w="792" w:type="dxa"/>
            <w:vAlign w:val="center"/>
          </w:tcPr>
          <w:p w14:paraId="4AA4BF80">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张</w:t>
            </w:r>
          </w:p>
        </w:tc>
        <w:tc>
          <w:tcPr>
            <w:tcW w:w="792" w:type="dxa"/>
            <w:vAlign w:val="center"/>
          </w:tcPr>
          <w:p w14:paraId="71CEC713">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147" w:type="dxa"/>
            <w:vAlign w:val="center"/>
          </w:tcPr>
          <w:p w14:paraId="7F356E9E">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‌1.台面尺寸‌：长2740mm ± 5mm，宽1525mm ± 5mm，高760mm ± 3mm（成人标准）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‌2.台面厚度‌：≥18mm（室内用高密度纤维板/MDF），室外型建议采用25mm SMC模压板以增强耐候性</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‌3.台面颜色‌：蓝色或绿色，无反光哑光处理，符合ITTF视觉标准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‌4.四周设2cm宽白色端线与边线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5.中线为3mm宽白色细线，分隔双打区域</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6.采用双折或单折设计，支持一人操作</w:t>
            </w:r>
          </w:p>
        </w:tc>
      </w:tr>
      <w:tr w14:paraId="5D90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595DBC58">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66</w:t>
            </w:r>
          </w:p>
        </w:tc>
        <w:tc>
          <w:tcPr>
            <w:tcW w:w="1284" w:type="dxa"/>
            <w:shd w:val="clear" w:color="auto" w:fill="auto"/>
            <w:vAlign w:val="center"/>
          </w:tcPr>
          <w:p w14:paraId="6A492E6F">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球类运动器材</w:t>
            </w:r>
          </w:p>
        </w:tc>
        <w:tc>
          <w:tcPr>
            <w:tcW w:w="1296" w:type="dxa"/>
            <w:shd w:val="clear" w:color="auto" w:fill="auto"/>
            <w:vAlign w:val="center"/>
          </w:tcPr>
          <w:p w14:paraId="2406E39D">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自动发球机</w:t>
            </w:r>
          </w:p>
        </w:tc>
        <w:tc>
          <w:tcPr>
            <w:tcW w:w="792" w:type="dxa"/>
            <w:shd w:val="clear" w:color="auto" w:fill="auto"/>
            <w:vAlign w:val="center"/>
          </w:tcPr>
          <w:p w14:paraId="7F991C21">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台</w:t>
            </w:r>
          </w:p>
        </w:tc>
        <w:tc>
          <w:tcPr>
            <w:tcW w:w="792" w:type="dxa"/>
            <w:shd w:val="clear" w:color="auto" w:fill="auto"/>
            <w:vAlign w:val="center"/>
          </w:tcPr>
          <w:p w14:paraId="3B198A48">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147" w:type="dxa"/>
            <w:shd w:val="clear" w:color="auto" w:fill="auto"/>
            <w:vAlign w:val="center"/>
          </w:tcPr>
          <w:p w14:paraId="6BFF3B17">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1.出球频率‌ 30–95球/分钟，可调，适用于不同训练强度需求</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2.出球速度‌ 4–50米/秒（约14.4–180公里/小时），满足初学者至专业级训练</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3.旋转类型‌ 支持八种以上旋转：上旋、下旋、左侧旋、右侧旋、左侧上旋、左侧下旋、右侧上旋、右侧下旋，部分型号可支持“不转球”</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4.旋转速度‌ 最高可达100转/秒，提升实战模拟精度</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5.出球角度‌ 可调范围±40°，实现左右开角精准控制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6.落点控制‌ 支持定点发球、全台不定点发球，覆盖11个落点，可编程设置</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7.发球模式‌ 支持手动微调、预设模式、自编程存储（至少99套程序）</w:t>
            </w:r>
          </w:p>
        </w:tc>
      </w:tr>
      <w:tr w14:paraId="224D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534C3C2F">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67</w:t>
            </w:r>
          </w:p>
        </w:tc>
        <w:tc>
          <w:tcPr>
            <w:tcW w:w="1284" w:type="dxa"/>
            <w:vAlign w:val="center"/>
          </w:tcPr>
          <w:p w14:paraId="505906E5">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球类运动器材</w:t>
            </w:r>
          </w:p>
        </w:tc>
        <w:tc>
          <w:tcPr>
            <w:tcW w:w="1296" w:type="dxa"/>
            <w:vAlign w:val="center"/>
          </w:tcPr>
          <w:p w14:paraId="797DC61E">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乒乓球收球器</w:t>
            </w:r>
          </w:p>
        </w:tc>
        <w:tc>
          <w:tcPr>
            <w:tcW w:w="792" w:type="dxa"/>
            <w:vAlign w:val="center"/>
          </w:tcPr>
          <w:p w14:paraId="515B15AE">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台</w:t>
            </w:r>
          </w:p>
        </w:tc>
        <w:tc>
          <w:tcPr>
            <w:tcW w:w="792" w:type="dxa"/>
            <w:vAlign w:val="center"/>
          </w:tcPr>
          <w:p w14:paraId="3EFB71A7">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147" w:type="dxa"/>
            <w:vAlign w:val="center"/>
          </w:tcPr>
          <w:p w14:paraId="28A3DC3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1.集球容量‌ ≥80个乒乓球，满足单次训练高频使用需求</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‌2.操作方式‌ 手动推行式或半自动滚动式，支持单人操作</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‌3.集球效率‌ 单次可连续收集散落球体，无需频繁清空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‌4.适用球型‌ 兼容40+mm ABS/赛璐珞乒乓球，直径误差适应范围±0.5mm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‌5.地面适配性‌ 适用于木地板、PVC塑胶地、水泥地等常见场地，不损伤地面</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‌6.移动性能‌ 配备静音万向轮（≥4个），转向灵活，推动阻力小，适合长时间作业</w:t>
            </w:r>
          </w:p>
        </w:tc>
      </w:tr>
      <w:tr w14:paraId="56BA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7B821892">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68</w:t>
            </w:r>
          </w:p>
        </w:tc>
        <w:tc>
          <w:tcPr>
            <w:tcW w:w="1284" w:type="dxa"/>
            <w:shd w:val="clear" w:color="auto" w:fill="auto"/>
            <w:vAlign w:val="center"/>
          </w:tcPr>
          <w:p w14:paraId="439B1595">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球类运动器材</w:t>
            </w:r>
          </w:p>
        </w:tc>
        <w:tc>
          <w:tcPr>
            <w:tcW w:w="1296" w:type="dxa"/>
            <w:shd w:val="clear" w:color="auto" w:fill="auto"/>
            <w:vAlign w:val="center"/>
          </w:tcPr>
          <w:p w14:paraId="4AAE2A7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乒乓球围挡（单位：个）</w:t>
            </w:r>
          </w:p>
        </w:tc>
        <w:tc>
          <w:tcPr>
            <w:tcW w:w="792" w:type="dxa"/>
            <w:shd w:val="clear" w:color="auto" w:fill="auto"/>
            <w:vAlign w:val="center"/>
          </w:tcPr>
          <w:p w14:paraId="6CFABC29">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个</w:t>
            </w:r>
          </w:p>
        </w:tc>
        <w:tc>
          <w:tcPr>
            <w:tcW w:w="792" w:type="dxa"/>
            <w:shd w:val="clear" w:color="auto" w:fill="auto"/>
            <w:vAlign w:val="center"/>
          </w:tcPr>
          <w:p w14:paraId="3EFC1C1E">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90</w:t>
            </w:r>
          </w:p>
        </w:tc>
        <w:tc>
          <w:tcPr>
            <w:tcW w:w="5147" w:type="dxa"/>
            <w:shd w:val="clear" w:color="auto" w:fill="auto"/>
            <w:vAlign w:val="center"/>
          </w:tcPr>
          <w:p w14:paraId="3DA7491E">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‌1.单片尺寸 ≥1400mm × 720mm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2.抗冲击性‌ 能承受乒乓球高速撞击（≥20m/s）无破损、不变形</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‌3.缓冲设计‌ 边缘采用圆角处理（R≥50mm），减少碰撞伤害风险</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‌4.噪音控制‌ 球体反弹噪音≤65dB，避免影响相邻场地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‌5.防火等级‌ 室内用围挡布料需达B1级阻燃标准</w:t>
            </w:r>
          </w:p>
        </w:tc>
      </w:tr>
      <w:tr w14:paraId="3678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36C0139E">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69</w:t>
            </w:r>
          </w:p>
        </w:tc>
        <w:tc>
          <w:tcPr>
            <w:tcW w:w="1284" w:type="dxa"/>
            <w:vAlign w:val="center"/>
          </w:tcPr>
          <w:p w14:paraId="1E5FD5BE">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球类运动器材</w:t>
            </w:r>
          </w:p>
        </w:tc>
        <w:tc>
          <w:tcPr>
            <w:tcW w:w="1296" w:type="dxa"/>
            <w:vAlign w:val="center"/>
          </w:tcPr>
          <w:p w14:paraId="16418170">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乒乓球网</w:t>
            </w:r>
          </w:p>
        </w:tc>
        <w:tc>
          <w:tcPr>
            <w:tcW w:w="792" w:type="dxa"/>
            <w:vAlign w:val="center"/>
          </w:tcPr>
          <w:p w14:paraId="274CB567">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vAlign w:val="center"/>
          </w:tcPr>
          <w:p w14:paraId="44B3760B">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147" w:type="dxa"/>
            <w:vAlign w:val="center"/>
          </w:tcPr>
          <w:p w14:paraId="7F8B235C">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‌1.网高‌ 从台面顶部起算，净高为 ‌15.25厘米‌，全程保持水平，误差不得超过±0.1cm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‌2.网宽/长度‌ 标准为 ‌1.83米‌，横跨整个球台宽度（152.5cm），两端与网柱紧密贴合</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‌3.网柱高度‌ 垂直高度为 ‌15.25厘米‌，顶端距台面15.25厘米，支撑球网张力系统</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‌4.网柱位置‌ 网柱外缘距离球台边线外缘 ‌15.25厘米‌，确保双打区域边界清晰</w:t>
            </w:r>
          </w:p>
        </w:tc>
      </w:tr>
      <w:tr w14:paraId="6416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694856A8">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70</w:t>
            </w:r>
          </w:p>
        </w:tc>
        <w:tc>
          <w:tcPr>
            <w:tcW w:w="1284" w:type="dxa"/>
            <w:shd w:val="clear" w:color="auto" w:fill="auto"/>
            <w:vAlign w:val="center"/>
          </w:tcPr>
          <w:p w14:paraId="103FE744">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飞镖</w:t>
            </w:r>
          </w:p>
        </w:tc>
        <w:tc>
          <w:tcPr>
            <w:tcW w:w="1296" w:type="dxa"/>
            <w:shd w:val="clear" w:color="auto" w:fill="auto"/>
            <w:vAlign w:val="center"/>
          </w:tcPr>
          <w:p w14:paraId="5482D3D0">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飞镖</w:t>
            </w:r>
          </w:p>
        </w:tc>
        <w:tc>
          <w:tcPr>
            <w:tcW w:w="792" w:type="dxa"/>
            <w:shd w:val="clear" w:color="auto" w:fill="auto"/>
            <w:vAlign w:val="center"/>
          </w:tcPr>
          <w:p w14:paraId="63C4680D">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65F6D35E">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5147" w:type="dxa"/>
            <w:shd w:val="clear" w:color="auto" w:fill="auto"/>
            <w:vAlign w:val="center"/>
          </w:tcPr>
          <w:p w14:paraId="0D5F7F5C">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‌1.镖身材质‌ 高密度钨合金（含量≥80%），提升重心集中度与飞行稳定性</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‌2.镖身长度‌ ≤50.4mm，符合竞赛标准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‌3.镖身直径‌ ≤9.5mm，避免影响投掷流畅性</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‌4.总重量‌ 单支飞镖重量≤50克（常见规格为20–26克），满足不同用户手感需求</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‌5.镖尖类型‌ 软式电子镖尖（塑料材质），适用于电子记分飞镖机；硬式金属镖尖仅限传统木靶使用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‌6.镖翼材质‌ 尼龙或聚酯材料，具备抗撕裂、耐弯折性能，支持快速更换</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‌7.尾杆类型‌ 不锈钢或铝合金螺纹杆，长度可调，连接牢固无松动</w:t>
            </w:r>
          </w:p>
        </w:tc>
      </w:tr>
      <w:tr w14:paraId="2E8E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2FD86B79">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71</w:t>
            </w:r>
          </w:p>
        </w:tc>
        <w:tc>
          <w:tcPr>
            <w:tcW w:w="1284" w:type="dxa"/>
            <w:vAlign w:val="center"/>
          </w:tcPr>
          <w:p w14:paraId="0EAE8952">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飞镖配件套装</w:t>
            </w:r>
          </w:p>
        </w:tc>
        <w:tc>
          <w:tcPr>
            <w:tcW w:w="1296" w:type="dxa"/>
            <w:vAlign w:val="center"/>
          </w:tcPr>
          <w:p w14:paraId="2DE2D4D5">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飞镖配件套装</w:t>
            </w:r>
          </w:p>
        </w:tc>
        <w:tc>
          <w:tcPr>
            <w:tcW w:w="792" w:type="dxa"/>
            <w:vAlign w:val="center"/>
          </w:tcPr>
          <w:p w14:paraId="3344DDF2">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vAlign w:val="center"/>
          </w:tcPr>
          <w:p w14:paraId="5197DACF">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5147" w:type="dxa"/>
            <w:vAlign w:val="center"/>
          </w:tcPr>
          <w:p w14:paraId="7D614782">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‌1.镖杆 材质为高强度尼龙或轻质铝合金，长度为中等（2英寸）或短款（1-1/2英寸）；螺纹规格统一为2BA标准，确保与主流镖筒兼容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‌2.镖翼 聚酯或尼龙材质，标准形状（如标准型、泪滴型），厚度适中，抗撕裂且可重复使用；支持快速拆装设计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‌3.O型圈 橡胶材质，用于固定镖杆与镖筒连接处，防止松动脱落；具备良好弹性与耐磨性</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‌4.备用镖尖‌ 软式塑料镖尖为主，长度3.2–4.5cm，质地柔韧安全，适用于家庭及教学场景；若含硬式金属镖尖，须单独封装并标注警示信息</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‌5.收纳方式‌ 配备专用收纳盒或分格塑料盒，组件分类存放，避免运输损坏</w:t>
            </w:r>
          </w:p>
        </w:tc>
      </w:tr>
      <w:tr w14:paraId="34D7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1A56663C">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72</w:t>
            </w:r>
          </w:p>
        </w:tc>
        <w:tc>
          <w:tcPr>
            <w:tcW w:w="1284" w:type="dxa"/>
            <w:shd w:val="clear" w:color="auto" w:fill="auto"/>
            <w:vAlign w:val="center"/>
          </w:tcPr>
          <w:p w14:paraId="7839F797">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旱地冰壶</w:t>
            </w:r>
          </w:p>
        </w:tc>
        <w:tc>
          <w:tcPr>
            <w:tcW w:w="1296" w:type="dxa"/>
            <w:shd w:val="clear" w:color="auto" w:fill="auto"/>
            <w:vAlign w:val="center"/>
          </w:tcPr>
          <w:p w14:paraId="28D952EC">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旱地冰壶</w:t>
            </w:r>
          </w:p>
        </w:tc>
        <w:tc>
          <w:tcPr>
            <w:tcW w:w="792" w:type="dxa"/>
            <w:shd w:val="clear" w:color="auto" w:fill="auto"/>
            <w:vAlign w:val="center"/>
          </w:tcPr>
          <w:p w14:paraId="0756DFE4">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146DE800">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5147" w:type="dxa"/>
            <w:shd w:val="clear" w:color="auto" w:fill="auto"/>
            <w:vAlign w:val="center"/>
          </w:tcPr>
          <w:p w14:paraId="29B92E52">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‌1.长度‌ ≥ ‌13米‌（部分标准为10米或20.5米，建议根据场地选择）</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‌2.宽度‌ ≥ ‌1.8米‌（常见规格为1.65米–2.0米）</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‌3.厚度‌ ≥ ‌2.0mm‌，确保耐磨与抗压性能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4.壶体直径‌ 不小于 ‌200mm‌（常见规格为170–200mm）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‌5.壶体总高度‌ ≥ ‌110mm‌（壶体高≥40mm）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‌6.壶体重量‌ 单球重量 ‌1.2–1.8kg‌，推荐标准为 ‌1.5kg‌（便于青少年与成人通用）</w:t>
            </w:r>
          </w:p>
        </w:tc>
      </w:tr>
      <w:tr w14:paraId="052D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331E2169">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73</w:t>
            </w:r>
          </w:p>
        </w:tc>
        <w:tc>
          <w:tcPr>
            <w:tcW w:w="1284" w:type="dxa"/>
            <w:vAlign w:val="center"/>
          </w:tcPr>
          <w:p w14:paraId="1D2E1B60">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音响设备</w:t>
            </w:r>
          </w:p>
        </w:tc>
        <w:tc>
          <w:tcPr>
            <w:tcW w:w="1296" w:type="dxa"/>
            <w:vAlign w:val="center"/>
          </w:tcPr>
          <w:p w14:paraId="5C312C5D">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音响--线阵列主扩</w:t>
            </w:r>
          </w:p>
        </w:tc>
        <w:tc>
          <w:tcPr>
            <w:tcW w:w="792" w:type="dxa"/>
            <w:vAlign w:val="center"/>
          </w:tcPr>
          <w:p w14:paraId="000BB213">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只</w:t>
            </w:r>
          </w:p>
        </w:tc>
        <w:tc>
          <w:tcPr>
            <w:tcW w:w="792" w:type="dxa"/>
            <w:vAlign w:val="center"/>
          </w:tcPr>
          <w:p w14:paraId="6AD9CA0A">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5147" w:type="dxa"/>
            <w:vAlign w:val="center"/>
          </w:tcPr>
          <w:p w14:paraId="2C832AD5">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1.频率响应≥45Hz-18KHz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2.低音单元≥10″×2高音单元≥ 3″×1</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3.灵敏度≥97db SPL</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4.扬声器额定功率≥600W峰值功率≥2400W</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5.最大声压级≥131db SPL</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6.覆盖角度≥100°×15°</w:t>
            </w:r>
          </w:p>
        </w:tc>
      </w:tr>
      <w:tr w14:paraId="7A58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58E95E48">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74</w:t>
            </w:r>
          </w:p>
        </w:tc>
        <w:tc>
          <w:tcPr>
            <w:tcW w:w="1284" w:type="dxa"/>
            <w:shd w:val="clear" w:color="auto" w:fill="auto"/>
            <w:vAlign w:val="center"/>
          </w:tcPr>
          <w:p w14:paraId="4D8C8457">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音响设备</w:t>
            </w:r>
          </w:p>
        </w:tc>
        <w:tc>
          <w:tcPr>
            <w:tcW w:w="1296" w:type="dxa"/>
            <w:shd w:val="clear" w:color="auto" w:fill="auto"/>
            <w:vAlign w:val="center"/>
          </w:tcPr>
          <w:p w14:paraId="28AEA018">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音响--线阵列低音</w:t>
            </w:r>
          </w:p>
        </w:tc>
        <w:tc>
          <w:tcPr>
            <w:tcW w:w="792" w:type="dxa"/>
            <w:shd w:val="clear" w:color="auto" w:fill="auto"/>
            <w:vAlign w:val="center"/>
          </w:tcPr>
          <w:p w14:paraId="21F86FED">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只</w:t>
            </w:r>
          </w:p>
        </w:tc>
        <w:tc>
          <w:tcPr>
            <w:tcW w:w="792" w:type="dxa"/>
            <w:shd w:val="clear" w:color="auto" w:fill="auto"/>
            <w:vAlign w:val="center"/>
          </w:tcPr>
          <w:p w14:paraId="34F18B43">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147" w:type="dxa"/>
            <w:shd w:val="clear" w:color="auto" w:fill="auto"/>
            <w:vAlign w:val="center"/>
          </w:tcPr>
          <w:p w14:paraId="56E832B5">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1.频率响应≥40Hz-400Hz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2.低音单元≥2 x 15″</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3.灵敏度≥105db SPL</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5.扬声器额定功率≥800W峰值功率≥3200W</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7.最大声压级1W/1M： 140db SPL</w:t>
            </w:r>
          </w:p>
        </w:tc>
      </w:tr>
      <w:tr w14:paraId="2343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4CA2BE88">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75</w:t>
            </w:r>
          </w:p>
        </w:tc>
        <w:tc>
          <w:tcPr>
            <w:tcW w:w="1284" w:type="dxa"/>
            <w:vAlign w:val="center"/>
          </w:tcPr>
          <w:p w14:paraId="160432D4">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功放（单位：台）</w:t>
            </w:r>
          </w:p>
        </w:tc>
        <w:tc>
          <w:tcPr>
            <w:tcW w:w="1296" w:type="dxa"/>
            <w:vAlign w:val="center"/>
          </w:tcPr>
          <w:p w14:paraId="7424D0C1">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音响--专业功放</w:t>
            </w:r>
          </w:p>
        </w:tc>
        <w:tc>
          <w:tcPr>
            <w:tcW w:w="792" w:type="dxa"/>
            <w:vAlign w:val="center"/>
          </w:tcPr>
          <w:p w14:paraId="4C235622">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台</w:t>
            </w:r>
          </w:p>
        </w:tc>
        <w:tc>
          <w:tcPr>
            <w:tcW w:w="792" w:type="dxa"/>
            <w:vAlign w:val="center"/>
          </w:tcPr>
          <w:p w14:paraId="7E018386">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147" w:type="dxa"/>
            <w:vAlign w:val="center"/>
          </w:tcPr>
          <w:p w14:paraId="53B811EF">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1.输出功率8Ω≥2×1200W，4Ω≥2×2350W</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2.频率范围≥20Hz-20KHz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3.灵敏度：≥0.775V/1.0V/1.4V</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4.信噪比：≥106dB</w:t>
            </w:r>
          </w:p>
        </w:tc>
      </w:tr>
      <w:tr w14:paraId="1909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5C024B3F">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76</w:t>
            </w:r>
          </w:p>
        </w:tc>
        <w:tc>
          <w:tcPr>
            <w:tcW w:w="1284" w:type="dxa"/>
            <w:shd w:val="clear" w:color="auto" w:fill="auto"/>
            <w:vAlign w:val="center"/>
          </w:tcPr>
          <w:p w14:paraId="03A678B2">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音频处理矩阵（单位：台）</w:t>
            </w:r>
          </w:p>
        </w:tc>
        <w:tc>
          <w:tcPr>
            <w:tcW w:w="1296" w:type="dxa"/>
            <w:shd w:val="clear" w:color="auto" w:fill="auto"/>
            <w:vAlign w:val="center"/>
          </w:tcPr>
          <w:p w14:paraId="79809D88">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音响--数字音频矩阵</w:t>
            </w:r>
          </w:p>
        </w:tc>
        <w:tc>
          <w:tcPr>
            <w:tcW w:w="792" w:type="dxa"/>
            <w:shd w:val="clear" w:color="auto" w:fill="auto"/>
            <w:vAlign w:val="center"/>
          </w:tcPr>
          <w:p w14:paraId="4DA17997">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台</w:t>
            </w:r>
          </w:p>
        </w:tc>
        <w:tc>
          <w:tcPr>
            <w:tcW w:w="792" w:type="dxa"/>
            <w:shd w:val="clear" w:color="auto" w:fill="auto"/>
            <w:vAlign w:val="center"/>
          </w:tcPr>
          <w:p w14:paraId="081AD2F8">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7500F459">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1.凤凰端子输入通道≥8路，凤凰端子输出通道≥8路</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2.内置≥16个独立的反馈消除模块，轻松解决啸叫问题；</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3.≥8x8全矩阵混音，实现任意输入通道的自由混音。</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4.支持+48 VDC幻象电源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8.频率响应≥20Hz-20kHz, ±0.5dB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9.总谐波失真≤0.01%；20Hz～20kHz@+4dBu</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10.信道间串扰 ≥-80 dB @ 1 kHz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11.内置≥16个独立的反馈消除模块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12.输出通道均有独立的≥16段PEQ、压限器、48dB斜率高通-低通、2秒延时器。内置正弦波、粉红噪声、白噪声信号发生器。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13.支持≥32组场景预设功能，预设可导出到电脑保存，也可从电脑导入</w:t>
            </w:r>
          </w:p>
        </w:tc>
      </w:tr>
      <w:tr w14:paraId="2F07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5E58015D">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77</w:t>
            </w:r>
          </w:p>
        </w:tc>
        <w:tc>
          <w:tcPr>
            <w:tcW w:w="1284" w:type="dxa"/>
            <w:shd w:val="clear" w:color="auto" w:fill="auto"/>
            <w:vAlign w:val="center"/>
          </w:tcPr>
          <w:p w14:paraId="4AD6576D">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调音台（单位：台）</w:t>
            </w:r>
          </w:p>
        </w:tc>
        <w:tc>
          <w:tcPr>
            <w:tcW w:w="1296" w:type="dxa"/>
            <w:shd w:val="clear" w:color="auto" w:fill="auto"/>
            <w:vAlign w:val="center"/>
          </w:tcPr>
          <w:p w14:paraId="4C80648A">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音响--调音台</w:t>
            </w:r>
          </w:p>
        </w:tc>
        <w:tc>
          <w:tcPr>
            <w:tcW w:w="792" w:type="dxa"/>
            <w:shd w:val="clear" w:color="auto" w:fill="auto"/>
            <w:vAlign w:val="center"/>
          </w:tcPr>
          <w:p w14:paraId="5C740862">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台</w:t>
            </w:r>
          </w:p>
        </w:tc>
        <w:tc>
          <w:tcPr>
            <w:tcW w:w="792" w:type="dxa"/>
            <w:shd w:val="clear" w:color="auto" w:fill="auto"/>
            <w:vAlign w:val="center"/>
          </w:tcPr>
          <w:p w14:paraId="5A85D767">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178B8549">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1.≥12路单声输入，2路线路输入通道</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2.≥3组辅助输出，≥1组返回通道</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3.主控均衡不少于7段，</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4.≥1路立体声输出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5.≥2路编组输出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6.支持USB播放</w:t>
            </w:r>
          </w:p>
        </w:tc>
      </w:tr>
      <w:tr w14:paraId="5CF4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62FDDCC0">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78</w:t>
            </w:r>
          </w:p>
        </w:tc>
        <w:tc>
          <w:tcPr>
            <w:tcW w:w="1284" w:type="dxa"/>
            <w:shd w:val="clear" w:color="auto" w:fill="auto"/>
            <w:vAlign w:val="center"/>
          </w:tcPr>
          <w:p w14:paraId="1AF071F7">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话筒（单位：套）</w:t>
            </w:r>
          </w:p>
        </w:tc>
        <w:tc>
          <w:tcPr>
            <w:tcW w:w="1296" w:type="dxa"/>
            <w:shd w:val="clear" w:color="auto" w:fill="auto"/>
            <w:vAlign w:val="center"/>
          </w:tcPr>
          <w:p w14:paraId="3875A11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音响--话筒</w:t>
            </w:r>
          </w:p>
        </w:tc>
        <w:tc>
          <w:tcPr>
            <w:tcW w:w="792" w:type="dxa"/>
            <w:shd w:val="clear" w:color="auto" w:fill="auto"/>
            <w:vAlign w:val="center"/>
          </w:tcPr>
          <w:p w14:paraId="652C6E73">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47E30CAA">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27BD1656">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1.频率范围：≥500MHz-900MHz；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2.音频输出电压：≥0.3V</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3.邻频干扰抑制：≥60dB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4.拾音灵敏度：≥20dBM（1V）</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5.发射功率：≥+10dBM(10MW)</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6.背面设有≥2个平衡输出和1个混合非平衡输出，适合连接各种外置设备；</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7.接收有效距离：空旷环境：≥80-100米      复杂环境：≥50-80米</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8.音频响应：≥50HZ—15KHZ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9.使用1.5V电池（2粒）供电，可连续使用12小时；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10.信噪比：S/N：≥100DB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11.失真度THD：≤0.01%</w:t>
            </w:r>
          </w:p>
        </w:tc>
      </w:tr>
      <w:tr w14:paraId="2CF5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7D7C84C1">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79</w:t>
            </w:r>
          </w:p>
        </w:tc>
        <w:tc>
          <w:tcPr>
            <w:tcW w:w="1284" w:type="dxa"/>
            <w:vAlign w:val="center"/>
          </w:tcPr>
          <w:p w14:paraId="7A9FFE41">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自动混音台（单位：只）</w:t>
            </w:r>
          </w:p>
        </w:tc>
        <w:tc>
          <w:tcPr>
            <w:tcW w:w="1296" w:type="dxa"/>
            <w:vAlign w:val="center"/>
          </w:tcPr>
          <w:p w14:paraId="2504B6FD">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音响--反馈抑制器</w:t>
            </w:r>
          </w:p>
        </w:tc>
        <w:tc>
          <w:tcPr>
            <w:tcW w:w="792" w:type="dxa"/>
            <w:vAlign w:val="center"/>
          </w:tcPr>
          <w:p w14:paraId="04A6817E">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只</w:t>
            </w:r>
          </w:p>
        </w:tc>
        <w:tc>
          <w:tcPr>
            <w:tcW w:w="792" w:type="dxa"/>
            <w:vAlign w:val="center"/>
          </w:tcPr>
          <w:p w14:paraId="6DF70282">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vAlign w:val="center"/>
          </w:tcPr>
          <w:p w14:paraId="0482A33C">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1.输出阻抗平衡≥120Ω，不平衡≥60Ω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2.最大输出电平≥+20dBμ</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3.频率响应≥20Hz-20KHz，±0.3dB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4.信噪比≥105dB(A)</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5.动态范围≥103dB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6.总谐波失真+噪声 0.005％,1KHz；20Hz-10KHz，&lt;0.01％；10KHz-20KHz，&lt;0.025％</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7.会议系统中防啸叫的完美解决方案；</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8.≥2寸TFT彩屏，中英文可选；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9.反馈加移频设计方案，移频≥4档可选；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10.每通道设8个陷波器,工作频率20-20KHZ，自动扫描啸叫点并抑制；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11.独特的噪声门功能可抑制系统微弱噪声干扰；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12.输入压缩功能，消除反馈同时更可扩展人声动态；</w:t>
            </w:r>
          </w:p>
        </w:tc>
      </w:tr>
      <w:tr w14:paraId="3881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016B9314">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80</w:t>
            </w:r>
          </w:p>
        </w:tc>
        <w:tc>
          <w:tcPr>
            <w:tcW w:w="1284" w:type="dxa"/>
            <w:shd w:val="clear" w:color="auto" w:fill="auto"/>
            <w:vAlign w:val="center"/>
          </w:tcPr>
          <w:p w14:paraId="7B04C261">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机柜（单位：套）</w:t>
            </w:r>
          </w:p>
        </w:tc>
        <w:tc>
          <w:tcPr>
            <w:tcW w:w="1296" w:type="dxa"/>
            <w:shd w:val="clear" w:color="auto" w:fill="auto"/>
            <w:vAlign w:val="center"/>
          </w:tcPr>
          <w:p w14:paraId="76AD969D">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音响--航空箱</w:t>
            </w:r>
          </w:p>
        </w:tc>
        <w:tc>
          <w:tcPr>
            <w:tcW w:w="792" w:type="dxa"/>
            <w:shd w:val="clear" w:color="auto" w:fill="auto"/>
            <w:vAlign w:val="center"/>
          </w:tcPr>
          <w:p w14:paraId="7CC0F99F">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344AAE67">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41B0ED6F">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1.两个音箱航空箱</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2.一个机柜航空箱</w:t>
            </w:r>
          </w:p>
        </w:tc>
      </w:tr>
      <w:tr w14:paraId="612B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6CFCA321">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81</w:t>
            </w:r>
          </w:p>
        </w:tc>
        <w:tc>
          <w:tcPr>
            <w:tcW w:w="1284" w:type="dxa"/>
            <w:shd w:val="clear" w:color="auto" w:fill="auto"/>
            <w:noWrap/>
            <w:vAlign w:val="center"/>
          </w:tcPr>
          <w:p w14:paraId="65357534">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专用线材（单位：项）</w:t>
            </w:r>
          </w:p>
        </w:tc>
        <w:tc>
          <w:tcPr>
            <w:tcW w:w="1296" w:type="dxa"/>
            <w:shd w:val="clear" w:color="auto" w:fill="auto"/>
            <w:noWrap/>
            <w:vAlign w:val="center"/>
          </w:tcPr>
          <w:p w14:paraId="12BC5E56">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专用线材</w:t>
            </w:r>
          </w:p>
        </w:tc>
        <w:tc>
          <w:tcPr>
            <w:tcW w:w="792" w:type="dxa"/>
            <w:shd w:val="clear" w:color="auto" w:fill="auto"/>
            <w:vAlign w:val="center"/>
          </w:tcPr>
          <w:p w14:paraId="12A0A503">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w:t>
            </w:r>
          </w:p>
        </w:tc>
        <w:tc>
          <w:tcPr>
            <w:tcW w:w="792" w:type="dxa"/>
            <w:shd w:val="clear" w:color="auto" w:fill="auto"/>
            <w:vAlign w:val="center"/>
          </w:tcPr>
          <w:p w14:paraId="7E586A97">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735C4F76">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1.音频跳线、支架、欧姆头、卡农头、音响线缆、音频线等</w:t>
            </w:r>
          </w:p>
        </w:tc>
      </w:tr>
      <w:tr w14:paraId="494C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47C9B8FE">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82</w:t>
            </w:r>
          </w:p>
        </w:tc>
        <w:tc>
          <w:tcPr>
            <w:tcW w:w="1284" w:type="dxa"/>
            <w:shd w:val="clear" w:color="auto" w:fill="auto"/>
            <w:noWrap/>
            <w:vAlign w:val="center"/>
          </w:tcPr>
          <w:p w14:paraId="216ACC6C">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音响</w:t>
            </w:r>
          </w:p>
        </w:tc>
        <w:tc>
          <w:tcPr>
            <w:tcW w:w="1296" w:type="dxa"/>
            <w:shd w:val="clear" w:color="auto" w:fill="auto"/>
            <w:noWrap/>
            <w:vAlign w:val="center"/>
          </w:tcPr>
          <w:p w14:paraId="3E204D8E">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手提蓝牙音响</w:t>
            </w:r>
          </w:p>
        </w:tc>
        <w:tc>
          <w:tcPr>
            <w:tcW w:w="792" w:type="dxa"/>
            <w:shd w:val="clear" w:color="auto" w:fill="auto"/>
            <w:vAlign w:val="center"/>
          </w:tcPr>
          <w:p w14:paraId="7E0E208A">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1EC5C97A">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147" w:type="dxa"/>
            <w:shd w:val="clear" w:color="auto" w:fill="auto"/>
            <w:vAlign w:val="center"/>
          </w:tcPr>
          <w:p w14:paraId="5FA63143">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r>
              <w:rPr>
                <w:rStyle w:val="262"/>
                <w:rFonts w:hint="eastAsia" w:ascii="宋体" w:hAnsi="宋体" w:eastAsia="宋体" w:cs="宋体"/>
                <w:sz w:val="24"/>
                <w:szCs w:val="24"/>
                <w:lang w:bidi="ar"/>
              </w:rPr>
              <w:t>1.音响类型</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：手提式/便携式蓝牙音响</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2.声道系统</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：≥2.0声道，支持立体声或360°环绕音效</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3.输出功率</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：≥10W（峰值可达30W以上）</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4.最大声压级（SPL）</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：≥85 dB @ 1m</w:t>
            </w:r>
            <w:r>
              <w:rPr>
                <w:rStyle w:val="262"/>
                <w:rFonts w:hint="eastAsia" w:ascii="宋体" w:hAnsi="宋体" w:eastAsia="宋体" w:cs="宋体"/>
                <w:sz w:val="24"/>
                <w:szCs w:val="24"/>
                <w:lang w:bidi="ar"/>
              </w:rPr>
              <w:br w:type="textWrapping"/>
            </w:r>
            <w:r>
              <w:rPr>
                <w:rStyle w:val="262"/>
                <w:rFonts w:hint="eastAsia" w:ascii="宋体" w:hAnsi="宋体" w:eastAsia="宋体" w:cs="宋体"/>
                <w:sz w:val="24"/>
                <w:szCs w:val="24"/>
                <w:lang w:bidi="ar"/>
              </w:rPr>
              <w:t>5.</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频响范围</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：60Hz – 20,000Hz</w:t>
            </w:r>
          </w:p>
        </w:tc>
      </w:tr>
      <w:tr w14:paraId="2009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24544249">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83</w:t>
            </w:r>
          </w:p>
        </w:tc>
        <w:tc>
          <w:tcPr>
            <w:tcW w:w="1284" w:type="dxa"/>
            <w:shd w:val="clear" w:color="auto" w:fill="auto"/>
            <w:vAlign w:val="center"/>
          </w:tcPr>
          <w:p w14:paraId="16722657">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功放</w:t>
            </w:r>
          </w:p>
        </w:tc>
        <w:tc>
          <w:tcPr>
            <w:tcW w:w="1296" w:type="dxa"/>
            <w:shd w:val="clear" w:color="auto" w:fill="auto"/>
            <w:vAlign w:val="center"/>
          </w:tcPr>
          <w:p w14:paraId="7D84F7F1">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合并一体式功放机（含音箱线、连接线）</w:t>
            </w:r>
          </w:p>
        </w:tc>
        <w:tc>
          <w:tcPr>
            <w:tcW w:w="792" w:type="dxa"/>
            <w:shd w:val="clear" w:color="auto" w:fill="auto"/>
            <w:vAlign w:val="center"/>
          </w:tcPr>
          <w:p w14:paraId="2DC01E09">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235A46E9">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 </w:t>
            </w:r>
          </w:p>
        </w:tc>
        <w:tc>
          <w:tcPr>
            <w:tcW w:w="5147" w:type="dxa"/>
            <w:shd w:val="clear" w:color="auto" w:fill="auto"/>
            <w:vAlign w:val="center"/>
          </w:tcPr>
          <w:p w14:paraId="4F9D0206">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1.功率≥2*250W/8☊，支持不少于五路话筒输入，设有48V幻象电源。</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2.支持蓝牙，遥控器内置防啸叫处理模块，带DSP功能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3.总谐波失真：0.2%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4.频率响应：≥35HZ-20KHZ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5.信噪比：≥82DB</w:t>
            </w:r>
          </w:p>
        </w:tc>
      </w:tr>
      <w:tr w14:paraId="6382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0B563CB6">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84</w:t>
            </w:r>
          </w:p>
        </w:tc>
        <w:tc>
          <w:tcPr>
            <w:tcW w:w="1284" w:type="dxa"/>
            <w:shd w:val="clear" w:color="auto" w:fill="auto"/>
            <w:vAlign w:val="center"/>
          </w:tcPr>
          <w:p w14:paraId="06663B76">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音箱</w:t>
            </w:r>
          </w:p>
        </w:tc>
        <w:tc>
          <w:tcPr>
            <w:tcW w:w="1296" w:type="dxa"/>
            <w:shd w:val="clear" w:color="auto" w:fill="auto"/>
            <w:vAlign w:val="center"/>
          </w:tcPr>
          <w:p w14:paraId="02C6B403">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室内专业音柱</w:t>
            </w:r>
          </w:p>
        </w:tc>
        <w:tc>
          <w:tcPr>
            <w:tcW w:w="792" w:type="dxa"/>
            <w:shd w:val="clear" w:color="auto" w:fill="auto"/>
            <w:vAlign w:val="center"/>
          </w:tcPr>
          <w:p w14:paraId="4FA57BEA">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只</w:t>
            </w:r>
          </w:p>
        </w:tc>
        <w:tc>
          <w:tcPr>
            <w:tcW w:w="792" w:type="dxa"/>
            <w:shd w:val="clear" w:color="auto" w:fill="auto"/>
            <w:vAlign w:val="center"/>
          </w:tcPr>
          <w:p w14:paraId="20B432BD">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 </w:t>
            </w:r>
          </w:p>
        </w:tc>
        <w:tc>
          <w:tcPr>
            <w:tcW w:w="5147" w:type="dxa"/>
            <w:shd w:val="clear" w:color="auto" w:fill="auto"/>
            <w:vAlign w:val="center"/>
          </w:tcPr>
          <w:p w14:paraId="5AD35259">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1.全频单元≥4*3″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2.额定功率≥120W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3.峰值功率≥240W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4.指向性：≥120°×120° （H×V）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5.最大声压级：≥115db SPL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6.频率响应：≥120Hz-20KHz（±3db）</w:t>
            </w:r>
          </w:p>
        </w:tc>
      </w:tr>
      <w:tr w14:paraId="10FC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49280838">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85</w:t>
            </w:r>
          </w:p>
        </w:tc>
        <w:tc>
          <w:tcPr>
            <w:tcW w:w="1284" w:type="dxa"/>
            <w:vAlign w:val="center"/>
          </w:tcPr>
          <w:p w14:paraId="5777432A">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话筒</w:t>
            </w:r>
          </w:p>
        </w:tc>
        <w:tc>
          <w:tcPr>
            <w:tcW w:w="1296" w:type="dxa"/>
            <w:vAlign w:val="center"/>
          </w:tcPr>
          <w:p w14:paraId="302F6103">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专用麦克风</w:t>
            </w:r>
          </w:p>
        </w:tc>
        <w:tc>
          <w:tcPr>
            <w:tcW w:w="792" w:type="dxa"/>
            <w:noWrap/>
            <w:vAlign w:val="center"/>
          </w:tcPr>
          <w:p w14:paraId="0C4ACE06">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noWrap/>
            <w:vAlign w:val="center"/>
          </w:tcPr>
          <w:p w14:paraId="340A5CE5">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147" w:type="dxa"/>
            <w:vAlign w:val="center"/>
          </w:tcPr>
          <w:p w14:paraId="72D57600">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1.接收灵敏度：≥—105dBM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2.音频输出电压：≥0.3V</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3.邻频干扰抑制：≥60dB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4.拾音灵敏度：≥20dBM（1V）</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5.发射功率：≥+10dBM(10MW)</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6.麦克风功耗：≤120MHA</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7.接收有效距离：无障碍直线≥60—80米</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8.音频响应：≥50HZ—15KHZ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9.频率稳定度：+-0.001%</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10.信噪比：S/N：≥100DB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11.失真度THD：≤0.01%</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12.谐波辐射：≤ -63dBm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13.频带宽度：≥80MHz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14.最大偏移度：   ± 45KHz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15.功率输出：  ≥ 30mW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16.频率响应：  ≥ 50Hz~18KHz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17.最大输入声压：   ≥130dB SPL</w:t>
            </w:r>
          </w:p>
        </w:tc>
      </w:tr>
      <w:tr w14:paraId="36B0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5B3F4AEF">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86</w:t>
            </w:r>
          </w:p>
        </w:tc>
        <w:tc>
          <w:tcPr>
            <w:tcW w:w="1284" w:type="dxa"/>
            <w:shd w:val="clear" w:color="auto" w:fill="auto"/>
            <w:vAlign w:val="center"/>
          </w:tcPr>
          <w:p w14:paraId="04C4286C">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话筒立架</w:t>
            </w:r>
          </w:p>
        </w:tc>
        <w:tc>
          <w:tcPr>
            <w:tcW w:w="1296" w:type="dxa"/>
            <w:shd w:val="clear" w:color="auto" w:fill="auto"/>
            <w:vAlign w:val="center"/>
          </w:tcPr>
          <w:p w14:paraId="0E51D0CF">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专用麦克风支架</w:t>
            </w:r>
          </w:p>
        </w:tc>
        <w:tc>
          <w:tcPr>
            <w:tcW w:w="792" w:type="dxa"/>
            <w:shd w:val="clear" w:color="auto" w:fill="auto"/>
            <w:noWrap/>
            <w:vAlign w:val="center"/>
          </w:tcPr>
          <w:p w14:paraId="236C38F2">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noWrap/>
            <w:vAlign w:val="center"/>
          </w:tcPr>
          <w:p w14:paraId="35A8EF9D">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147" w:type="dxa"/>
            <w:shd w:val="clear" w:color="auto" w:fill="auto"/>
            <w:vAlign w:val="center"/>
          </w:tcPr>
          <w:p w14:paraId="34C5AE77">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材质:铁管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三脚立体落地式支架,可调高低</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直杆最高长度:145cm(厘米)</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最低长度:80cm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三脚架直径:60cm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斜杆长度:70cm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可放一只话筒</w:t>
            </w:r>
          </w:p>
        </w:tc>
      </w:tr>
      <w:tr w14:paraId="44DF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7C4A7620">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87</w:t>
            </w:r>
          </w:p>
        </w:tc>
        <w:tc>
          <w:tcPr>
            <w:tcW w:w="1284" w:type="dxa"/>
            <w:vAlign w:val="center"/>
          </w:tcPr>
          <w:p w14:paraId="7D129B31">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监听耳机</w:t>
            </w:r>
          </w:p>
        </w:tc>
        <w:tc>
          <w:tcPr>
            <w:tcW w:w="1296" w:type="dxa"/>
            <w:vAlign w:val="center"/>
          </w:tcPr>
          <w:p w14:paraId="574447A9">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耳麦</w:t>
            </w:r>
          </w:p>
        </w:tc>
        <w:tc>
          <w:tcPr>
            <w:tcW w:w="792" w:type="dxa"/>
            <w:noWrap/>
            <w:vAlign w:val="center"/>
          </w:tcPr>
          <w:p w14:paraId="4BB1B47D">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套</w:t>
            </w:r>
          </w:p>
        </w:tc>
        <w:tc>
          <w:tcPr>
            <w:tcW w:w="792" w:type="dxa"/>
            <w:noWrap/>
            <w:vAlign w:val="center"/>
          </w:tcPr>
          <w:p w14:paraId="1DCE2C53">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147" w:type="dxa"/>
            <w:vAlign w:val="center"/>
          </w:tcPr>
          <w:p w14:paraId="1B46FFFE">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1.接收灵敏度：≥—105dBM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2.音频输出电压：≥0.3V</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3.邻频干扰抑制：≥60dB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4.拾音灵敏度：≥20dBM（1V）</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5.咪芯指向性：心形指向</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6.麦克风功耗：≤120MHA</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7.接收有效距离：无障碍直线≥60—80米</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8.音频响应：≥50HZ—15KHZ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9.频率稳定度：+-0.001%</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10.信噪比：S/N：≥100DB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11.失真度THD：≤0.01%</w:t>
            </w:r>
          </w:p>
        </w:tc>
      </w:tr>
      <w:tr w14:paraId="48EE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16521845">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88</w:t>
            </w:r>
          </w:p>
        </w:tc>
        <w:tc>
          <w:tcPr>
            <w:tcW w:w="1284" w:type="dxa"/>
            <w:shd w:val="clear" w:color="auto" w:fill="auto"/>
            <w:vAlign w:val="center"/>
          </w:tcPr>
          <w:p w14:paraId="0139B59F">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控制软件</w:t>
            </w:r>
          </w:p>
        </w:tc>
        <w:tc>
          <w:tcPr>
            <w:tcW w:w="1296" w:type="dxa"/>
            <w:shd w:val="clear" w:color="auto" w:fill="auto"/>
            <w:vAlign w:val="center"/>
          </w:tcPr>
          <w:p w14:paraId="7341B469">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sz w:val="24"/>
                <w:szCs w:val="24"/>
              </w:rPr>
              <w:t>专业音频编辑软件</w:t>
            </w:r>
            <w:r>
              <w:rPr>
                <w:rFonts w:hint="eastAsia" w:ascii="宋体" w:hAnsi="宋体" w:eastAsia="宋体" w:cs="宋体"/>
                <w:sz w:val="24"/>
                <w:szCs w:val="24"/>
                <w:lang w:val="en-US" w:eastAsia="zh-CN"/>
              </w:rPr>
              <w:t>套装</w:t>
            </w:r>
          </w:p>
        </w:tc>
        <w:tc>
          <w:tcPr>
            <w:tcW w:w="792" w:type="dxa"/>
            <w:shd w:val="clear" w:color="auto" w:fill="auto"/>
            <w:noWrap/>
            <w:vAlign w:val="center"/>
          </w:tcPr>
          <w:p w14:paraId="33EDE6A7">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noWrap/>
            <w:vAlign w:val="center"/>
          </w:tcPr>
          <w:p w14:paraId="07747226">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147" w:type="dxa"/>
            <w:shd w:val="clear" w:color="auto" w:fill="auto"/>
            <w:vAlign w:val="center"/>
          </w:tcPr>
          <w:p w14:paraId="335F5A13">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1.音频轨道支持</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最多支持128个声道混合，适用于复杂项目混音</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2.采样精度与频率</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支持32bit量化精度、最高192kHz采样率，确保高保真音质输出</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3.音频格式兼容性</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支持WAV、AIFF、MP3、AC3、APE、FLAC等多种格式，支持5.1与7.1环绕声混音</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4.效果处理能力</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内置45种以上数字信号处理效果，包括EQ、压缩、混响、降噪、咔嗒声消除等</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5.AI与智能修复</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提供自动语音对齐、噪声减少、音频增强模块，支持一键去除背景噪声与爆破音</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6.VST插件支持</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兼容VST、VSTi虚拟乐器及ASIO音频协议，支持第三方插件扩展</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7.视频同步编辑</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可导入主流视频格式（如MP4、MOV），实现音视频同步剪辑与环绕声处理</w:t>
            </w:r>
          </w:p>
        </w:tc>
      </w:tr>
      <w:tr w14:paraId="5066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21BF20F3">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89</w:t>
            </w:r>
          </w:p>
        </w:tc>
        <w:tc>
          <w:tcPr>
            <w:tcW w:w="1284" w:type="dxa"/>
            <w:vAlign w:val="center"/>
          </w:tcPr>
          <w:p w14:paraId="4E7CB434">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接插件</w:t>
            </w:r>
          </w:p>
        </w:tc>
        <w:tc>
          <w:tcPr>
            <w:tcW w:w="1296" w:type="dxa"/>
            <w:vAlign w:val="center"/>
          </w:tcPr>
          <w:p w14:paraId="7F95C63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声卡</w:t>
            </w:r>
          </w:p>
        </w:tc>
        <w:tc>
          <w:tcPr>
            <w:tcW w:w="792" w:type="dxa"/>
            <w:noWrap/>
            <w:vAlign w:val="center"/>
          </w:tcPr>
          <w:p w14:paraId="4DA49D19">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noWrap/>
            <w:vAlign w:val="center"/>
          </w:tcPr>
          <w:p w14:paraId="329BE873">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147" w:type="dxa"/>
            <w:vAlign w:val="center"/>
          </w:tcPr>
          <w:p w14:paraId="4ED0FAFD">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r>
              <w:rPr>
                <w:rStyle w:val="262"/>
                <w:rFonts w:hint="eastAsia" w:ascii="宋体" w:hAnsi="宋体" w:eastAsia="宋体" w:cs="宋体"/>
                <w:sz w:val="24"/>
                <w:szCs w:val="24"/>
                <w:lang w:bidi="ar"/>
              </w:rPr>
              <w:t>1.驱动协议</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支持 ASIO 协议</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2.采样率</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支持 44.1kHz – 192kHz </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3.位深度</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24-bit 或更高</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4.信噪比（SNR）</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≥110dB</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5.延迟表现</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ASIO模式下 ≤5ms</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6.输入通道数</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≥2进2出</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7.接口类型</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XLR + TRS 组合输入</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8.话放增益</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≥50dB（电容麦）</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9.连接方式</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USB-C / 雷电 / PCIe USB通用性强，雷电接口适合高端低延迟系统</w:t>
            </w:r>
          </w:p>
        </w:tc>
      </w:tr>
      <w:tr w14:paraId="3CCE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0789D00F">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90</w:t>
            </w:r>
          </w:p>
        </w:tc>
        <w:tc>
          <w:tcPr>
            <w:tcW w:w="1284" w:type="dxa"/>
            <w:shd w:val="clear" w:color="auto" w:fill="auto"/>
            <w:vAlign w:val="center"/>
          </w:tcPr>
          <w:p w14:paraId="0D97A963">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话筒</w:t>
            </w:r>
          </w:p>
        </w:tc>
        <w:tc>
          <w:tcPr>
            <w:tcW w:w="1296" w:type="dxa"/>
            <w:shd w:val="clear" w:color="auto" w:fill="auto"/>
            <w:vAlign w:val="center"/>
          </w:tcPr>
          <w:p w14:paraId="71361A92">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话筒套装</w:t>
            </w:r>
          </w:p>
        </w:tc>
        <w:tc>
          <w:tcPr>
            <w:tcW w:w="792" w:type="dxa"/>
            <w:shd w:val="clear" w:color="auto" w:fill="auto"/>
            <w:noWrap/>
            <w:vAlign w:val="center"/>
          </w:tcPr>
          <w:p w14:paraId="1D0ED379">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noWrap/>
            <w:vAlign w:val="center"/>
          </w:tcPr>
          <w:p w14:paraId="02A3B9B2">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03F9AE12">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1.拾音模式：固定心形指向</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2.灵敏度：-40dB ±3dB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3.频率响应：50Hz-15kHz（±3dB）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4.最大声压级：≥120dB SPL</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5.信噪比:≥80dB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6.输出阻抗:≤1000Ω</w:t>
            </w:r>
          </w:p>
        </w:tc>
      </w:tr>
      <w:tr w14:paraId="20D6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3F1D6997">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91</w:t>
            </w:r>
          </w:p>
        </w:tc>
        <w:tc>
          <w:tcPr>
            <w:tcW w:w="1284" w:type="dxa"/>
            <w:vAlign w:val="center"/>
          </w:tcPr>
          <w:p w14:paraId="027D0EA2">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外框结构</w:t>
            </w:r>
          </w:p>
        </w:tc>
        <w:tc>
          <w:tcPr>
            <w:tcW w:w="1296" w:type="dxa"/>
            <w:vAlign w:val="center"/>
          </w:tcPr>
          <w:p w14:paraId="6808B6DF">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移动电视支架</w:t>
            </w:r>
          </w:p>
        </w:tc>
        <w:tc>
          <w:tcPr>
            <w:tcW w:w="792" w:type="dxa"/>
            <w:noWrap/>
            <w:vAlign w:val="center"/>
          </w:tcPr>
          <w:p w14:paraId="1E3F5A78">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noWrap/>
            <w:vAlign w:val="center"/>
          </w:tcPr>
          <w:p w14:paraId="46B1842B">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vAlign w:val="center"/>
          </w:tcPr>
          <w:p w14:paraId="1928FF4F">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r>
              <w:rPr>
                <w:rStyle w:val="262"/>
                <w:rFonts w:hint="eastAsia" w:ascii="宋体" w:hAnsi="宋体" w:eastAsia="宋体" w:cs="宋体"/>
                <w:sz w:val="24"/>
                <w:szCs w:val="24"/>
                <w:lang w:bidi="ar"/>
              </w:rPr>
              <w:t>1.适配电视尺寸</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32–</w:t>
            </w:r>
            <w:r>
              <w:rPr>
                <w:rStyle w:val="262"/>
                <w:rFonts w:hint="eastAsia" w:ascii="宋体" w:hAnsi="宋体" w:eastAsia="宋体" w:cs="宋体"/>
                <w:sz w:val="24"/>
                <w:szCs w:val="24"/>
                <w:lang w:val="en-US" w:eastAsia="zh-CN" w:bidi="ar"/>
              </w:rPr>
              <w:t>85</w:t>
            </w:r>
            <w:r>
              <w:rPr>
                <w:rStyle w:val="262"/>
                <w:rFonts w:hint="eastAsia" w:ascii="宋体" w:hAnsi="宋体" w:eastAsia="宋体" w:cs="宋体"/>
                <w:sz w:val="24"/>
                <w:szCs w:val="24"/>
                <w:lang w:bidi="ar"/>
              </w:rPr>
              <w:t>英寸</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2.VESA孔距兼容性</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支持100×100mm 至 600×400mm 多档调节 确保与不同品牌电视</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3.最大承重能力</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≥60kg（推荐80–200kg）</w:t>
            </w:r>
            <w:r>
              <w:rPr>
                <w:rStyle w:val="268"/>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4.</w:t>
            </w:r>
            <w:r>
              <w:rPr>
                <w:rStyle w:val="262"/>
                <w:rFonts w:hint="eastAsia" w:ascii="宋体" w:hAnsi="宋体" w:eastAsia="宋体" w:cs="宋体"/>
                <w:sz w:val="24"/>
                <w:szCs w:val="24"/>
                <w:lang w:bidi="ar"/>
              </w:rPr>
              <w:t>万向轮</w:t>
            </w:r>
            <w:r>
              <w:rPr>
                <w:rStyle w:val="268"/>
                <w:rFonts w:hint="eastAsia" w:ascii="宋体" w:hAnsi="宋体" w:eastAsia="宋体" w:cs="宋体"/>
                <w:sz w:val="24"/>
                <w:szCs w:val="24"/>
                <w:lang w:bidi="ar"/>
              </w:rPr>
              <w:t>‌ 360°</w:t>
            </w:r>
            <w:r>
              <w:rPr>
                <w:rStyle w:val="262"/>
                <w:rFonts w:hint="eastAsia" w:ascii="宋体" w:hAnsi="宋体" w:eastAsia="宋体" w:cs="宋体"/>
                <w:sz w:val="24"/>
                <w:szCs w:val="24"/>
                <w:lang w:bidi="ar"/>
              </w:rPr>
              <w:t>旋转</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带刹车系统（</w:t>
            </w:r>
            <w:r>
              <w:rPr>
                <w:rStyle w:val="268"/>
                <w:rFonts w:hint="eastAsia" w:ascii="宋体" w:hAnsi="宋体" w:eastAsia="宋体" w:cs="宋体"/>
                <w:sz w:val="24"/>
                <w:szCs w:val="24"/>
                <w:lang w:bidi="ar"/>
              </w:rPr>
              <w:t>4</w:t>
            </w:r>
            <w:r>
              <w:rPr>
                <w:rStyle w:val="262"/>
                <w:rFonts w:hint="eastAsia" w:ascii="宋体" w:hAnsi="宋体" w:eastAsia="宋体" w:cs="宋体"/>
                <w:sz w:val="24"/>
                <w:szCs w:val="24"/>
                <w:lang w:bidi="ar"/>
              </w:rPr>
              <w:t>轮全锁）</w:t>
            </w:r>
          </w:p>
        </w:tc>
      </w:tr>
      <w:tr w14:paraId="79C0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14C44161">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92</w:t>
            </w:r>
          </w:p>
        </w:tc>
        <w:tc>
          <w:tcPr>
            <w:tcW w:w="1284" w:type="dxa"/>
            <w:shd w:val="clear" w:color="auto" w:fill="auto"/>
            <w:vAlign w:val="center"/>
          </w:tcPr>
          <w:p w14:paraId="147171EC">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吊挂件</w:t>
            </w:r>
          </w:p>
        </w:tc>
        <w:tc>
          <w:tcPr>
            <w:tcW w:w="1296" w:type="dxa"/>
            <w:shd w:val="clear" w:color="auto" w:fill="auto"/>
            <w:vAlign w:val="center"/>
          </w:tcPr>
          <w:p w14:paraId="4928A46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视频会议摄像头</w:t>
            </w:r>
          </w:p>
        </w:tc>
        <w:tc>
          <w:tcPr>
            <w:tcW w:w="792" w:type="dxa"/>
            <w:shd w:val="clear" w:color="auto" w:fill="auto"/>
            <w:noWrap/>
            <w:vAlign w:val="center"/>
          </w:tcPr>
          <w:p w14:paraId="2A873443">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noWrap/>
            <w:vAlign w:val="center"/>
          </w:tcPr>
          <w:p w14:paraId="629ADF2E">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441EF341">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1.1/2.8英寸214万像素高清CMOS 传感器；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2.12倍、20倍光学变焦，最高可输出1080P60的高清视频；</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3.同时支持HDMI、网络和USB3.0视频输出接口；</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4.USB3.0支持UVC、UAC协议；</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5.USB3.0支持YUY2非压缩视频格式，最高可达1080P60;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6.RS-232 IN/OUT，支持菊花链；</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7.支持双码流；</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8.网络支持H.264/H.265编码，最高可达1080P60;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9.支持两种供电方式，POE供电或适配器供电；</w:t>
            </w:r>
          </w:p>
        </w:tc>
      </w:tr>
      <w:tr w14:paraId="614B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6C9AA418">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93</w:t>
            </w:r>
          </w:p>
        </w:tc>
        <w:tc>
          <w:tcPr>
            <w:tcW w:w="1284" w:type="dxa"/>
            <w:vAlign w:val="center"/>
          </w:tcPr>
          <w:p w14:paraId="1032B4ED">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话筒</w:t>
            </w:r>
          </w:p>
        </w:tc>
        <w:tc>
          <w:tcPr>
            <w:tcW w:w="1296" w:type="dxa"/>
            <w:vAlign w:val="center"/>
          </w:tcPr>
          <w:p w14:paraId="37F2435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视频会议麦克风</w:t>
            </w:r>
          </w:p>
        </w:tc>
        <w:tc>
          <w:tcPr>
            <w:tcW w:w="792" w:type="dxa"/>
            <w:noWrap/>
            <w:vAlign w:val="center"/>
          </w:tcPr>
          <w:p w14:paraId="0FD8DF24">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noWrap/>
            <w:vAlign w:val="center"/>
          </w:tcPr>
          <w:p w14:paraId="1BDC929C">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vAlign w:val="center"/>
          </w:tcPr>
          <w:p w14:paraId="4BC099DF">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1.拾音模式：固定心形指向</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2.灵敏度：-40dB ±3dB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3.频率响应：50Hz-15kHz（±3dB）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4.最大声压级：≥120dB SPL</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5.信噪比:≥80dB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6.输出阻抗:≤1000Ω</w:t>
            </w:r>
          </w:p>
        </w:tc>
      </w:tr>
      <w:tr w14:paraId="1906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00FE3936">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94</w:t>
            </w:r>
          </w:p>
        </w:tc>
        <w:tc>
          <w:tcPr>
            <w:tcW w:w="1284" w:type="dxa"/>
            <w:shd w:val="clear" w:color="auto" w:fill="auto"/>
            <w:vAlign w:val="center"/>
          </w:tcPr>
          <w:p w14:paraId="1FDEB082">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盲文点显器</w:t>
            </w:r>
          </w:p>
        </w:tc>
        <w:tc>
          <w:tcPr>
            <w:tcW w:w="1296" w:type="dxa"/>
            <w:shd w:val="clear" w:color="auto" w:fill="auto"/>
            <w:vAlign w:val="center"/>
          </w:tcPr>
          <w:p w14:paraId="07E04157">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盲文点显器</w:t>
            </w:r>
          </w:p>
        </w:tc>
        <w:tc>
          <w:tcPr>
            <w:tcW w:w="792" w:type="dxa"/>
            <w:shd w:val="clear" w:color="auto" w:fill="auto"/>
            <w:vAlign w:val="center"/>
          </w:tcPr>
          <w:p w14:paraId="0D88D920">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台</w:t>
            </w:r>
          </w:p>
        </w:tc>
        <w:tc>
          <w:tcPr>
            <w:tcW w:w="792" w:type="dxa"/>
            <w:shd w:val="clear" w:color="auto" w:fill="auto"/>
            <w:vAlign w:val="center"/>
          </w:tcPr>
          <w:p w14:paraId="74C55A63">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147" w:type="dxa"/>
            <w:shd w:val="clear" w:color="auto" w:fill="auto"/>
            <w:vAlign w:val="center"/>
          </w:tcPr>
          <w:p w14:paraId="70DDCA81">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1.显示系统‌ 支持8点盲文显示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‌2.显示单元数‌ ≥40方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‌3.控制按键‌ ≥8个功能按键，支持导航、确认、返回等操作</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‌4.输入功能‌ 可选配带盲点输入键盘型号（如6指或8点输入键），支持盲文实时录入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‌5.处理器‌ 搭载ARM架构处理器，具备独立处理能力，可直接读取U盘内容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‌6.电源模式‌ 支持USB供电、电池供电、DC外接电源三种方式，确保移动使用便利性</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‌7.待机时间‌ 内置锂电池，无操作自动休眠（建议2–7分钟），续航≥10小时</w:t>
            </w:r>
          </w:p>
        </w:tc>
      </w:tr>
      <w:tr w14:paraId="16C0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2F09EB5E">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95</w:t>
            </w:r>
          </w:p>
        </w:tc>
        <w:tc>
          <w:tcPr>
            <w:tcW w:w="1284" w:type="dxa"/>
            <w:vAlign w:val="center"/>
          </w:tcPr>
          <w:p w14:paraId="75F50EF7">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鼠标式电子助视器(含屏)</w:t>
            </w:r>
          </w:p>
        </w:tc>
        <w:tc>
          <w:tcPr>
            <w:tcW w:w="1296" w:type="dxa"/>
            <w:vAlign w:val="center"/>
          </w:tcPr>
          <w:p w14:paraId="1FF8964A">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鼠标式电子助视器(含屏)</w:t>
            </w:r>
          </w:p>
        </w:tc>
        <w:tc>
          <w:tcPr>
            <w:tcW w:w="792" w:type="dxa"/>
            <w:vAlign w:val="center"/>
          </w:tcPr>
          <w:p w14:paraId="7FD80E6B">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vAlign w:val="center"/>
          </w:tcPr>
          <w:p w14:paraId="5DB0447D">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147" w:type="dxa"/>
            <w:vAlign w:val="center"/>
          </w:tcPr>
          <w:p w14:paraId="66B52883">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‌1.图像传感器‌ CMOS或VGA分辨率，支持实时高清成像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‌2.放大倍率‌ ≥45倍（具体倍数受显示器尺寸影响），支持无极变倍调节</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‌3.显示模式‌ 支持全彩色、黑底白字、白底黑字、黄底黑字等至少8种对比度模式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‌4.屏幕配置‌ 配备独立液晶显示屏，尺寸≥7英寸，分辨率≥1024×600，防炫目、高清显示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‌5.双摄像头设计‌ 具备近看与远看双摄像头，支持一键切换功能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‌6.景深范围‌ 近距离清晰成像距离为7cm–12cm，远距离为50cm–500cm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‌7.视野范围‌ 最小放大倍数下可显示范围≥59mm×27mm</w:t>
            </w:r>
          </w:p>
        </w:tc>
      </w:tr>
      <w:tr w14:paraId="398A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392CD8CC">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96</w:t>
            </w:r>
          </w:p>
        </w:tc>
        <w:tc>
          <w:tcPr>
            <w:tcW w:w="1284" w:type="dxa"/>
            <w:shd w:val="clear" w:color="auto" w:fill="auto"/>
            <w:vAlign w:val="center"/>
          </w:tcPr>
          <w:p w14:paraId="7FB2450E">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近用台式电子助视器</w:t>
            </w:r>
          </w:p>
        </w:tc>
        <w:tc>
          <w:tcPr>
            <w:tcW w:w="1296" w:type="dxa"/>
            <w:shd w:val="clear" w:color="auto" w:fill="auto"/>
            <w:vAlign w:val="center"/>
          </w:tcPr>
          <w:p w14:paraId="1E6620D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近用台式电子助视器</w:t>
            </w:r>
          </w:p>
        </w:tc>
        <w:tc>
          <w:tcPr>
            <w:tcW w:w="792" w:type="dxa"/>
            <w:shd w:val="clear" w:color="auto" w:fill="auto"/>
            <w:vAlign w:val="center"/>
          </w:tcPr>
          <w:p w14:paraId="18EA2F60">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台</w:t>
            </w:r>
          </w:p>
        </w:tc>
        <w:tc>
          <w:tcPr>
            <w:tcW w:w="792" w:type="dxa"/>
            <w:shd w:val="clear" w:color="auto" w:fill="auto"/>
            <w:vAlign w:val="center"/>
          </w:tcPr>
          <w:p w14:paraId="79324E7E">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147" w:type="dxa"/>
            <w:shd w:val="clear" w:color="auto" w:fill="auto"/>
            <w:vAlign w:val="center"/>
          </w:tcPr>
          <w:p w14:paraId="50931657">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‌1.显示器尺寸‌ ≥23英寸，推荐24英寸全高清IPS屏，分辨率1920×1080，防眩光处理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‌2.镜头配置‌ 高清自动对焦摄像头，支持光学变焦，输入分辨率≥1920×1080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‌3.放大倍率‌ 1.1倍–72倍无级放大，满足从整体页面到细小文字的清晰呈现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‌4.色彩模式‌ 提供≥17种显示模式，包括真彩、黑底白字、黄底黑字、蓝底白字等高对比度选项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‌5.亮度调节‌ 可手动调节屏幕亮度与补光灯强度，适应不同光照环境</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‌6.冻屏功能‌ 支持图像冻结，便于定格内容后进行放大、平移或模式切换</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‌7.定位辅助‌ 具备可切换的水平/垂直阅读线，辅助定位文字行</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‌8.遮屏功能‌ 可局部遮挡画面，减少视觉干扰，提升专注度</w:t>
            </w:r>
          </w:p>
        </w:tc>
      </w:tr>
      <w:tr w14:paraId="732C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67D45DE4">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97</w:t>
            </w:r>
          </w:p>
        </w:tc>
        <w:tc>
          <w:tcPr>
            <w:tcW w:w="1284" w:type="dxa"/>
            <w:vAlign w:val="center"/>
          </w:tcPr>
          <w:p w14:paraId="640E64ED">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语音报时器</w:t>
            </w:r>
          </w:p>
        </w:tc>
        <w:tc>
          <w:tcPr>
            <w:tcW w:w="1296" w:type="dxa"/>
            <w:vAlign w:val="center"/>
          </w:tcPr>
          <w:p w14:paraId="0C6A2E66">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语音报时器</w:t>
            </w:r>
          </w:p>
        </w:tc>
        <w:tc>
          <w:tcPr>
            <w:tcW w:w="792" w:type="dxa"/>
            <w:vAlign w:val="center"/>
          </w:tcPr>
          <w:p w14:paraId="4227FEC2">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vAlign w:val="center"/>
          </w:tcPr>
          <w:p w14:paraId="1C2AD4B9">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147" w:type="dxa"/>
            <w:vAlign w:val="center"/>
          </w:tcPr>
          <w:p w14:paraId="7ECC658A">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r>
              <w:rPr>
                <w:rStyle w:val="262"/>
                <w:rFonts w:hint="eastAsia" w:ascii="宋体" w:hAnsi="宋体" w:eastAsia="宋体" w:cs="宋体"/>
                <w:sz w:val="24"/>
                <w:szCs w:val="24"/>
                <w:lang w:bidi="ar"/>
              </w:rPr>
              <w:t>1.语音播报方式</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支持整点/半点自动报时、按键即时报时 </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2.播报内容</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清晰播报“小时+分钟”（可选带星期、日期） </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3.语音质量</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标准普通话，发音准确，无方言干扰 </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4.触发方式</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按键触发、摇动触发、自动整点触发，提升交互灵活性</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5.音量调节</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至少2档可调（高/低） 适应夜间静音与嘈杂环境需求</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6.报时模式设置</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可设定播报时段，支持夜间静音</w:t>
            </w:r>
          </w:p>
        </w:tc>
      </w:tr>
      <w:tr w14:paraId="266E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18293766">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98</w:t>
            </w:r>
          </w:p>
        </w:tc>
        <w:tc>
          <w:tcPr>
            <w:tcW w:w="1284" w:type="dxa"/>
            <w:shd w:val="clear" w:color="auto" w:fill="auto"/>
            <w:vAlign w:val="center"/>
          </w:tcPr>
          <w:p w14:paraId="6CF7DFED">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电子助视器</w:t>
            </w:r>
          </w:p>
        </w:tc>
        <w:tc>
          <w:tcPr>
            <w:tcW w:w="1296" w:type="dxa"/>
            <w:shd w:val="clear" w:color="auto" w:fill="auto"/>
            <w:vAlign w:val="center"/>
          </w:tcPr>
          <w:p w14:paraId="607A2043">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电子助视器(4.3寸)</w:t>
            </w:r>
          </w:p>
        </w:tc>
        <w:tc>
          <w:tcPr>
            <w:tcW w:w="792" w:type="dxa"/>
            <w:shd w:val="clear" w:color="auto" w:fill="auto"/>
            <w:vAlign w:val="center"/>
          </w:tcPr>
          <w:p w14:paraId="45CDF95E">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台</w:t>
            </w:r>
          </w:p>
        </w:tc>
        <w:tc>
          <w:tcPr>
            <w:tcW w:w="792" w:type="dxa"/>
            <w:shd w:val="clear" w:color="auto" w:fill="auto"/>
            <w:vAlign w:val="center"/>
          </w:tcPr>
          <w:p w14:paraId="4E97FBBC">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147" w:type="dxa"/>
            <w:shd w:val="clear" w:color="auto" w:fill="auto"/>
            <w:vAlign w:val="center"/>
          </w:tcPr>
          <w:p w14:paraId="413F20C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1.显示屏尺寸‌ 4.3英寸及以上高清液晶屏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‌2.放大倍率‌ 支持1–45倍无极放大，调节平滑，无画面延迟或拖影</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‌3.摄像头配置‌ 配备高清摄像头，支持自动对焦，确保快速移动时图像清晰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‌4.显示模式‌ 提供≥20种色彩对比模式（如黑底白字、黄底黑字、反色等），适应不同视觉障碍类型</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‌5.屏幕亮度调节‌ 支持多级亮度调节，适应室内、室外不同光照环境</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‌6.图像冻结功能‌ 支持一键冻屏，便于定格阅读内容并进行放大、平移操作</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‌7.阅读辅助线‌ 支持水平/垂直/关闭三档切换，辅助文字定位</w:t>
            </w:r>
          </w:p>
        </w:tc>
      </w:tr>
      <w:tr w14:paraId="3D94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33FE6DFC">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99</w:t>
            </w:r>
          </w:p>
        </w:tc>
        <w:tc>
          <w:tcPr>
            <w:tcW w:w="1284" w:type="dxa"/>
            <w:vAlign w:val="center"/>
          </w:tcPr>
          <w:p w14:paraId="17C3D938">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听书机</w:t>
            </w:r>
          </w:p>
        </w:tc>
        <w:tc>
          <w:tcPr>
            <w:tcW w:w="1296" w:type="dxa"/>
            <w:vAlign w:val="center"/>
          </w:tcPr>
          <w:p w14:paraId="6C9DB714">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听书机</w:t>
            </w:r>
          </w:p>
        </w:tc>
        <w:tc>
          <w:tcPr>
            <w:tcW w:w="792" w:type="dxa"/>
            <w:vAlign w:val="center"/>
          </w:tcPr>
          <w:p w14:paraId="72770A98">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台</w:t>
            </w:r>
          </w:p>
        </w:tc>
        <w:tc>
          <w:tcPr>
            <w:tcW w:w="792" w:type="dxa"/>
            <w:vAlign w:val="center"/>
          </w:tcPr>
          <w:p w14:paraId="223773A7">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147" w:type="dxa"/>
            <w:vAlign w:val="center"/>
          </w:tcPr>
          <w:p w14:paraId="382D5D90">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1.处理器‌ 搭载高性能主控芯片，确保系统运行流畅</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‌2.显示屏‌ ≥4.2英寸TFT彩屏，支持高对比度显示，具备背光调节功能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‌3.存储容量‌ 内置存储≥4GB，支持TF卡扩展至32GB及以上</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‌4.电池续航‌ 内置可充电锂电池，续航时间≥8小时，支持USB 5V充电</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‌5.音频输出‌ 支持耳机输出与外放扬声器，扬声器功率≥5W，声压级5–70dB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‌6.接口配置‌ 配备USB 2.0接口，支持数据传输与外接存储设备</w:t>
            </w:r>
          </w:p>
        </w:tc>
      </w:tr>
      <w:tr w14:paraId="1C05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68BFEC68">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100</w:t>
            </w:r>
          </w:p>
        </w:tc>
        <w:tc>
          <w:tcPr>
            <w:tcW w:w="1284" w:type="dxa"/>
            <w:shd w:val="clear" w:color="auto" w:fill="auto"/>
            <w:vAlign w:val="center"/>
          </w:tcPr>
          <w:p w14:paraId="6EB83DC4">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沟通板</w:t>
            </w:r>
          </w:p>
        </w:tc>
        <w:tc>
          <w:tcPr>
            <w:tcW w:w="1296" w:type="dxa"/>
            <w:shd w:val="clear" w:color="auto" w:fill="auto"/>
            <w:vAlign w:val="center"/>
          </w:tcPr>
          <w:p w14:paraId="689ED2D0">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沟通板</w:t>
            </w:r>
          </w:p>
        </w:tc>
        <w:tc>
          <w:tcPr>
            <w:tcW w:w="792" w:type="dxa"/>
            <w:shd w:val="clear" w:color="auto" w:fill="auto"/>
            <w:vAlign w:val="center"/>
          </w:tcPr>
          <w:p w14:paraId="4C58B60E">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7BB230EF">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147" w:type="dxa"/>
            <w:shd w:val="clear" w:color="auto" w:fill="auto"/>
            <w:vAlign w:val="center"/>
          </w:tcPr>
          <w:p w14:paraId="6AD51BF8">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1.屏幕尺寸‌ ≥8英寸，分辨率≥1920×1200DP</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‌2.处理器配置‌ 四核及以上，运行流畅无卡顿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‌3.存储空间‌ 内置存储≥16GB，支持MicroSD卡扩展</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‌4.电池续航‌ 连续播放时间≥200次，支持永久在线模式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‌5.触控响应‌ 响应时间≤0.5秒，防误触设计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‌6.按键寿命‌ 隐蔽式冗余按键通断寿命≥10⁶次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‌7.机械强度‌ 振动测试：振幅0.35mm@10-50Hz，持续30分钟无松动</w:t>
            </w:r>
          </w:p>
        </w:tc>
      </w:tr>
      <w:tr w14:paraId="170E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027ECD9C">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101</w:t>
            </w:r>
          </w:p>
        </w:tc>
        <w:tc>
          <w:tcPr>
            <w:tcW w:w="1284" w:type="dxa"/>
            <w:vAlign w:val="center"/>
          </w:tcPr>
          <w:p w14:paraId="04B25195">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无线闪光门铃</w:t>
            </w:r>
          </w:p>
        </w:tc>
        <w:tc>
          <w:tcPr>
            <w:tcW w:w="1296" w:type="dxa"/>
            <w:vAlign w:val="center"/>
          </w:tcPr>
          <w:p w14:paraId="5715E4F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无线闪光门铃</w:t>
            </w:r>
          </w:p>
        </w:tc>
        <w:tc>
          <w:tcPr>
            <w:tcW w:w="792" w:type="dxa"/>
            <w:vAlign w:val="center"/>
          </w:tcPr>
          <w:p w14:paraId="145F0E3D">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vAlign w:val="center"/>
          </w:tcPr>
          <w:p w14:paraId="779D953A">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vAlign w:val="center"/>
          </w:tcPr>
          <w:p w14:paraId="30FF9B08">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none"/>
                <w:lang w:bidi="ar"/>
              </w:rPr>
              <w:t>1.提醒方式</w:t>
            </w:r>
            <w:r>
              <w:rPr>
                <w:rStyle w:val="268"/>
                <w:rFonts w:hint="eastAsia" w:ascii="宋体" w:hAnsi="宋体" w:eastAsia="宋体" w:cs="宋体"/>
                <w:sz w:val="24"/>
                <w:szCs w:val="24"/>
                <w:highlight w:val="none"/>
                <w:lang w:bidi="ar"/>
              </w:rPr>
              <w:t>‌</w:t>
            </w:r>
            <w:r>
              <w:rPr>
                <w:rStyle w:val="262"/>
                <w:rFonts w:hint="eastAsia" w:ascii="宋体" w:hAnsi="宋体" w:eastAsia="宋体" w:cs="宋体"/>
                <w:sz w:val="24"/>
                <w:szCs w:val="24"/>
                <w:highlight w:val="none"/>
                <w:lang w:bidi="ar"/>
              </w:rPr>
              <w:t xml:space="preserve">:支持闪光、语音、音乐、震动（可选）四种模式，支持组合切换 </w:t>
            </w:r>
            <w:r>
              <w:rPr>
                <w:rStyle w:val="262"/>
                <w:rFonts w:hint="eastAsia" w:ascii="宋体" w:hAnsi="宋体" w:eastAsia="宋体" w:cs="宋体"/>
                <w:sz w:val="24"/>
                <w:szCs w:val="24"/>
                <w:highlight w:val="none"/>
                <w:lang w:bidi="ar"/>
              </w:rPr>
              <w:br w:type="textWrapping"/>
            </w:r>
            <w:r>
              <w:rPr>
                <w:rStyle w:val="268"/>
                <w:rFonts w:hint="eastAsia" w:ascii="宋体" w:hAnsi="宋体" w:eastAsia="宋体" w:cs="宋体"/>
                <w:sz w:val="24"/>
                <w:szCs w:val="24"/>
                <w:highlight w:val="none"/>
                <w:lang w:bidi="ar"/>
              </w:rPr>
              <w:t>‌</w:t>
            </w:r>
            <w:r>
              <w:rPr>
                <w:rStyle w:val="262"/>
                <w:rFonts w:hint="eastAsia" w:ascii="宋体" w:hAnsi="宋体" w:eastAsia="宋体" w:cs="宋体"/>
                <w:sz w:val="24"/>
                <w:szCs w:val="24"/>
                <w:highlight w:val="none"/>
                <w:lang w:bidi="ar"/>
              </w:rPr>
              <w:t>2.闪光灯配置</w:t>
            </w:r>
            <w:r>
              <w:rPr>
                <w:rStyle w:val="268"/>
                <w:rFonts w:hint="eastAsia" w:ascii="宋体" w:hAnsi="宋体" w:eastAsia="宋体" w:cs="宋体"/>
                <w:sz w:val="24"/>
                <w:szCs w:val="24"/>
                <w:highlight w:val="none"/>
                <w:lang w:bidi="ar"/>
              </w:rPr>
              <w:t>‌</w:t>
            </w:r>
            <w:r>
              <w:rPr>
                <w:rStyle w:val="262"/>
                <w:rFonts w:hint="eastAsia" w:ascii="宋体" w:hAnsi="宋体" w:eastAsia="宋体" w:cs="宋体"/>
                <w:sz w:val="24"/>
                <w:szCs w:val="24"/>
                <w:highlight w:val="none"/>
                <w:lang w:bidi="ar"/>
              </w:rPr>
              <w:t xml:space="preserve">:高亮LED灯（红、绿、蓝、黄），支持流水闪烁+爆闪10秒 </w:t>
            </w:r>
            <w:r>
              <w:rPr>
                <w:rStyle w:val="262"/>
                <w:rFonts w:hint="eastAsia" w:ascii="宋体" w:hAnsi="宋体" w:eastAsia="宋体" w:cs="宋体"/>
                <w:sz w:val="24"/>
                <w:szCs w:val="24"/>
                <w:highlight w:val="none"/>
                <w:lang w:bidi="ar"/>
              </w:rPr>
              <w:br w:type="textWrapping"/>
            </w:r>
            <w:r>
              <w:rPr>
                <w:rStyle w:val="268"/>
                <w:rFonts w:hint="eastAsia" w:ascii="宋体" w:hAnsi="宋体" w:eastAsia="宋体" w:cs="宋体"/>
                <w:sz w:val="24"/>
                <w:szCs w:val="24"/>
                <w:highlight w:val="none"/>
                <w:lang w:bidi="ar"/>
              </w:rPr>
              <w:t>‌</w:t>
            </w:r>
            <w:r>
              <w:rPr>
                <w:rStyle w:val="262"/>
                <w:rFonts w:hint="eastAsia" w:ascii="宋体" w:hAnsi="宋体" w:eastAsia="宋体" w:cs="宋体"/>
                <w:sz w:val="24"/>
                <w:szCs w:val="24"/>
                <w:highlight w:val="none"/>
                <w:lang w:bidi="ar"/>
              </w:rPr>
              <w:t>3.语音提示内容</w:t>
            </w:r>
            <w:r>
              <w:rPr>
                <w:rStyle w:val="268"/>
                <w:rFonts w:hint="eastAsia" w:ascii="宋体" w:hAnsi="宋体" w:eastAsia="宋体" w:cs="宋体"/>
                <w:sz w:val="24"/>
                <w:szCs w:val="24"/>
                <w:highlight w:val="none"/>
                <w:lang w:bidi="ar"/>
              </w:rPr>
              <w:t>‌</w:t>
            </w:r>
            <w:r>
              <w:rPr>
                <w:rStyle w:val="262"/>
                <w:rFonts w:hint="eastAsia" w:ascii="宋体" w:hAnsi="宋体" w:eastAsia="宋体" w:cs="宋体"/>
                <w:sz w:val="24"/>
                <w:szCs w:val="24"/>
                <w:highlight w:val="none"/>
                <w:lang w:bidi="ar"/>
              </w:rPr>
              <w:t>:可播放预设语音</w:t>
            </w:r>
            <w:r>
              <w:rPr>
                <w:rStyle w:val="262"/>
                <w:rFonts w:hint="eastAsia" w:ascii="宋体" w:hAnsi="宋体" w:eastAsia="宋体" w:cs="宋体"/>
                <w:sz w:val="24"/>
                <w:szCs w:val="24"/>
                <w:highlight w:val="none"/>
                <w:lang w:bidi="ar"/>
              </w:rPr>
              <w:br w:type="textWrapping"/>
            </w:r>
            <w:r>
              <w:rPr>
                <w:rStyle w:val="268"/>
                <w:rFonts w:hint="eastAsia" w:ascii="宋体" w:hAnsi="宋体" w:eastAsia="宋体" w:cs="宋体"/>
                <w:sz w:val="24"/>
                <w:szCs w:val="24"/>
                <w:highlight w:val="none"/>
                <w:lang w:bidi="ar"/>
              </w:rPr>
              <w:t>‌</w:t>
            </w:r>
            <w:r>
              <w:rPr>
                <w:rStyle w:val="262"/>
                <w:rFonts w:hint="eastAsia" w:ascii="宋体" w:hAnsi="宋体" w:eastAsia="宋体" w:cs="宋体"/>
                <w:sz w:val="24"/>
                <w:szCs w:val="24"/>
                <w:highlight w:val="none"/>
                <w:lang w:bidi="ar"/>
              </w:rPr>
              <w:t>4.音乐铃声</w:t>
            </w:r>
            <w:r>
              <w:rPr>
                <w:rStyle w:val="268"/>
                <w:rFonts w:hint="eastAsia" w:ascii="宋体" w:hAnsi="宋体" w:eastAsia="宋体" w:cs="宋体"/>
                <w:sz w:val="24"/>
                <w:szCs w:val="24"/>
                <w:highlight w:val="none"/>
                <w:lang w:bidi="ar"/>
              </w:rPr>
              <w:t>‌</w:t>
            </w:r>
            <w:r>
              <w:rPr>
                <w:rStyle w:val="262"/>
                <w:rFonts w:hint="eastAsia" w:ascii="宋体" w:hAnsi="宋体" w:eastAsia="宋体" w:cs="宋体"/>
                <w:sz w:val="24"/>
                <w:szCs w:val="24"/>
                <w:highlight w:val="none"/>
                <w:lang w:bidi="ar"/>
              </w:rPr>
              <w:t xml:space="preserve">:可选铃声，支持音量8级调节 </w:t>
            </w:r>
            <w:r>
              <w:rPr>
                <w:rStyle w:val="262"/>
                <w:rFonts w:hint="eastAsia" w:ascii="宋体" w:hAnsi="宋体" w:eastAsia="宋体" w:cs="宋体"/>
                <w:sz w:val="24"/>
                <w:szCs w:val="24"/>
                <w:highlight w:val="none"/>
                <w:lang w:bidi="ar"/>
              </w:rPr>
              <w:br w:type="textWrapping"/>
            </w:r>
            <w:r>
              <w:rPr>
                <w:rStyle w:val="268"/>
                <w:rFonts w:hint="eastAsia" w:ascii="宋体" w:hAnsi="宋体" w:eastAsia="宋体" w:cs="宋体"/>
                <w:sz w:val="24"/>
                <w:szCs w:val="24"/>
                <w:highlight w:val="none"/>
                <w:lang w:bidi="ar"/>
              </w:rPr>
              <w:t>‌</w:t>
            </w:r>
            <w:r>
              <w:rPr>
                <w:rStyle w:val="262"/>
                <w:rFonts w:hint="eastAsia" w:ascii="宋体" w:hAnsi="宋体" w:eastAsia="宋体" w:cs="宋体"/>
                <w:sz w:val="24"/>
                <w:szCs w:val="24"/>
                <w:highlight w:val="none"/>
                <w:lang w:bidi="ar"/>
              </w:rPr>
              <w:t>5.震动提示</w:t>
            </w:r>
            <w:r>
              <w:rPr>
                <w:rStyle w:val="268"/>
                <w:rFonts w:hint="eastAsia" w:ascii="宋体" w:hAnsi="宋体" w:eastAsia="宋体" w:cs="宋体"/>
                <w:sz w:val="24"/>
                <w:szCs w:val="24"/>
                <w:highlight w:val="none"/>
                <w:lang w:bidi="ar"/>
              </w:rPr>
              <w:t>‌</w:t>
            </w:r>
            <w:r>
              <w:rPr>
                <w:rStyle w:val="262"/>
                <w:rFonts w:hint="eastAsia" w:ascii="宋体" w:hAnsi="宋体" w:eastAsia="宋体" w:cs="宋体"/>
                <w:sz w:val="24"/>
                <w:szCs w:val="24"/>
                <w:highlight w:val="none"/>
                <w:lang w:bidi="ar"/>
              </w:rPr>
              <w:t>:可选配震动模块，适用于深度听障或睡眠状态提醒  需支持独立开关控制</w:t>
            </w:r>
          </w:p>
        </w:tc>
      </w:tr>
      <w:tr w14:paraId="1569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17FE8474">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102</w:t>
            </w:r>
          </w:p>
        </w:tc>
        <w:tc>
          <w:tcPr>
            <w:tcW w:w="1284" w:type="dxa"/>
            <w:shd w:val="clear" w:color="auto" w:fill="auto"/>
            <w:noWrap/>
            <w:vAlign w:val="center"/>
          </w:tcPr>
          <w:p w14:paraId="74E41558">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电动幕布</w:t>
            </w:r>
          </w:p>
        </w:tc>
        <w:tc>
          <w:tcPr>
            <w:tcW w:w="1296" w:type="dxa"/>
            <w:shd w:val="clear" w:color="auto" w:fill="auto"/>
            <w:noWrap/>
            <w:vAlign w:val="center"/>
          </w:tcPr>
          <w:p w14:paraId="1627702F">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电动幕布</w:t>
            </w:r>
          </w:p>
        </w:tc>
        <w:tc>
          <w:tcPr>
            <w:tcW w:w="792" w:type="dxa"/>
            <w:shd w:val="clear" w:color="auto" w:fill="auto"/>
            <w:noWrap/>
            <w:vAlign w:val="center"/>
          </w:tcPr>
          <w:p w14:paraId="447190C4">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noWrap/>
            <w:vAlign w:val="center"/>
          </w:tcPr>
          <w:p w14:paraId="1864DEBF">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555209A4">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1.对角线尺</w:t>
            </w:r>
            <w:r>
              <w:rPr>
                <w:rFonts w:hint="eastAsia" w:ascii="宋体" w:hAnsi="宋体" w:eastAsia="宋体" w:cs="宋体"/>
                <w:b w:val="0"/>
                <w:bCs w:val="0"/>
                <w:color w:val="000000"/>
                <w:kern w:val="0"/>
                <w:sz w:val="24"/>
                <w:szCs w:val="24"/>
                <w:lang w:bidi="ar"/>
              </w:rPr>
              <w:t>寸</w:t>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 xml:space="preserve"> 120英寸 </w:t>
            </w:r>
            <w:r>
              <w:rPr>
                <w:rStyle w:val="265"/>
                <w:rFonts w:hint="eastAsia" w:ascii="宋体" w:hAnsi="宋体" w:eastAsia="宋体" w:cs="宋体"/>
                <w:b w:val="0"/>
                <w:bCs w:val="0"/>
                <w:sz w:val="24"/>
                <w:szCs w:val="24"/>
                <w:lang w:bidi="ar"/>
              </w:rPr>
              <w:br w:type="textWrapping"/>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2.幕布比例</w:t>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 xml:space="preserve"> 16:10 </w:t>
            </w:r>
            <w:r>
              <w:rPr>
                <w:rStyle w:val="265"/>
                <w:rFonts w:hint="eastAsia" w:ascii="宋体" w:hAnsi="宋体" w:eastAsia="宋体" w:cs="宋体"/>
                <w:b w:val="0"/>
                <w:bCs w:val="0"/>
                <w:sz w:val="24"/>
                <w:szCs w:val="24"/>
                <w:lang w:bidi="ar"/>
              </w:rPr>
              <w:br w:type="textWrapping"/>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3.幕面尺寸</w:t>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 xml:space="preserve"> ≥2.58×1.61米</w:t>
            </w:r>
            <w:r>
              <w:rPr>
                <w:rStyle w:val="265"/>
                <w:rFonts w:hint="eastAsia" w:ascii="宋体" w:hAnsi="宋体" w:eastAsia="宋体" w:cs="宋体"/>
                <w:b w:val="0"/>
                <w:bCs w:val="0"/>
                <w:sz w:val="24"/>
                <w:szCs w:val="24"/>
                <w:lang w:bidi="ar"/>
              </w:rPr>
              <w:br w:type="textWrapping"/>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4.安装方式</w:t>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 xml:space="preserve"> 壁挂式（支持吊顶）</w:t>
            </w:r>
            <w:r>
              <w:rPr>
                <w:rStyle w:val="265"/>
                <w:rFonts w:hint="eastAsia" w:ascii="宋体" w:hAnsi="宋体" w:eastAsia="宋体" w:cs="宋体"/>
                <w:b w:val="0"/>
                <w:bCs w:val="0"/>
                <w:sz w:val="24"/>
                <w:szCs w:val="24"/>
                <w:lang w:bidi="ar"/>
              </w:rPr>
              <w:br w:type="textWrapping"/>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5.打开方式</w:t>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 xml:space="preserve"> 遥控电动升降</w:t>
            </w:r>
          </w:p>
        </w:tc>
      </w:tr>
      <w:tr w14:paraId="1286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3B7DBA42">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103</w:t>
            </w:r>
          </w:p>
        </w:tc>
        <w:tc>
          <w:tcPr>
            <w:tcW w:w="1284" w:type="dxa"/>
            <w:shd w:val="clear" w:color="auto" w:fill="auto"/>
            <w:vAlign w:val="center"/>
          </w:tcPr>
          <w:p w14:paraId="7BBB89C4">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常用急救设备</w:t>
            </w:r>
          </w:p>
        </w:tc>
        <w:tc>
          <w:tcPr>
            <w:tcW w:w="1296" w:type="dxa"/>
            <w:shd w:val="clear" w:color="auto" w:fill="auto"/>
            <w:vAlign w:val="center"/>
          </w:tcPr>
          <w:p w14:paraId="76EB6450">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消防逃生面罩</w:t>
            </w:r>
          </w:p>
        </w:tc>
        <w:tc>
          <w:tcPr>
            <w:tcW w:w="792" w:type="dxa"/>
            <w:shd w:val="clear" w:color="auto" w:fill="auto"/>
            <w:noWrap/>
            <w:vAlign w:val="center"/>
          </w:tcPr>
          <w:p w14:paraId="093B6C56">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个</w:t>
            </w:r>
          </w:p>
        </w:tc>
        <w:tc>
          <w:tcPr>
            <w:tcW w:w="792" w:type="dxa"/>
            <w:shd w:val="clear" w:color="auto" w:fill="auto"/>
            <w:noWrap/>
            <w:vAlign w:val="center"/>
          </w:tcPr>
          <w:p w14:paraId="2E313FC9">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5147" w:type="dxa"/>
            <w:shd w:val="clear" w:color="auto" w:fill="auto"/>
            <w:vAlign w:val="center"/>
          </w:tcPr>
          <w:p w14:paraId="1D7FCDA7">
            <w:pPr>
              <w:widowControl/>
              <w:snapToGrid w:val="0"/>
              <w:ind w:left="0" w:leftChars="0" w:right="0" w:rightChars="0" w:firstLine="0" w:firstLineChars="0"/>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w:t>
            </w:r>
            <w:r>
              <w:rPr>
                <w:rStyle w:val="265"/>
                <w:rFonts w:hint="eastAsia" w:ascii="宋体" w:hAnsi="宋体" w:eastAsia="宋体" w:cs="宋体"/>
                <w:b w:val="0"/>
                <w:bCs w:val="0"/>
                <w:sz w:val="24"/>
                <w:szCs w:val="24"/>
                <w:lang w:bidi="ar"/>
              </w:rPr>
              <w:t>1.防护时间</w:t>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 xml:space="preserve"> ≥30分钟</w:t>
            </w:r>
            <w:r>
              <w:rPr>
                <w:rStyle w:val="265"/>
                <w:rFonts w:hint="eastAsia" w:ascii="宋体" w:hAnsi="宋体" w:eastAsia="宋体" w:cs="宋体"/>
                <w:b w:val="0"/>
                <w:bCs w:val="0"/>
                <w:sz w:val="24"/>
                <w:szCs w:val="24"/>
                <w:lang w:bidi="ar"/>
              </w:rPr>
              <w:br w:type="textWrapping"/>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2.滤烟效率</w:t>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 xml:space="preserve"> ≥95%</w:t>
            </w:r>
            <w:r>
              <w:rPr>
                <w:rStyle w:val="265"/>
                <w:rFonts w:hint="eastAsia" w:ascii="宋体" w:hAnsi="宋体" w:eastAsia="宋体" w:cs="宋体"/>
                <w:b w:val="0"/>
                <w:bCs w:val="0"/>
                <w:sz w:val="24"/>
                <w:szCs w:val="24"/>
                <w:lang w:bidi="ar"/>
              </w:rPr>
              <w:br w:type="textWrapping"/>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3.吸气阻力</w:t>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 xml:space="preserve"> ≤800Pa</w:t>
            </w:r>
            <w:r>
              <w:rPr>
                <w:rStyle w:val="265"/>
                <w:rFonts w:hint="eastAsia" w:ascii="宋体" w:hAnsi="宋体" w:eastAsia="宋体" w:cs="宋体"/>
                <w:b w:val="0"/>
                <w:bCs w:val="0"/>
                <w:sz w:val="24"/>
                <w:szCs w:val="24"/>
                <w:lang w:bidi="ar"/>
              </w:rPr>
              <w:br w:type="textWrapping"/>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4.漏气系数</w:t>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 xml:space="preserve"> 呼吸区≤5%，眼区≤20% 密封性指标，防止有毒气体从缝隙侵入</w:t>
            </w:r>
          </w:p>
        </w:tc>
      </w:tr>
      <w:tr w14:paraId="35A8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633DCD11">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104</w:t>
            </w:r>
          </w:p>
        </w:tc>
        <w:tc>
          <w:tcPr>
            <w:tcW w:w="1284" w:type="dxa"/>
            <w:shd w:val="clear" w:color="auto" w:fill="auto"/>
            <w:vAlign w:val="center"/>
          </w:tcPr>
          <w:p w14:paraId="647B2155">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常用急救设备</w:t>
            </w:r>
          </w:p>
        </w:tc>
        <w:tc>
          <w:tcPr>
            <w:tcW w:w="1296" w:type="dxa"/>
            <w:shd w:val="clear" w:color="auto" w:fill="auto"/>
            <w:vAlign w:val="center"/>
          </w:tcPr>
          <w:p w14:paraId="0E752D37">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手电筒</w:t>
            </w:r>
          </w:p>
        </w:tc>
        <w:tc>
          <w:tcPr>
            <w:tcW w:w="792" w:type="dxa"/>
            <w:shd w:val="clear" w:color="auto" w:fill="auto"/>
            <w:noWrap/>
            <w:vAlign w:val="center"/>
          </w:tcPr>
          <w:p w14:paraId="2E465D36">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个</w:t>
            </w:r>
          </w:p>
        </w:tc>
        <w:tc>
          <w:tcPr>
            <w:tcW w:w="792" w:type="dxa"/>
            <w:shd w:val="clear" w:color="auto" w:fill="auto"/>
            <w:noWrap/>
            <w:vAlign w:val="center"/>
          </w:tcPr>
          <w:p w14:paraId="279853E7">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5147" w:type="dxa"/>
            <w:shd w:val="clear" w:color="auto" w:fill="auto"/>
            <w:vAlign w:val="center"/>
          </w:tcPr>
          <w:p w14:paraId="061AB8D0">
            <w:pPr>
              <w:widowControl/>
              <w:snapToGrid w:val="0"/>
              <w:ind w:left="0" w:leftChars="0" w:right="0" w:rightChars="0" w:firstLine="0" w:firstLineChars="0"/>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w:t>
            </w:r>
            <w:r>
              <w:rPr>
                <w:rStyle w:val="265"/>
                <w:rFonts w:hint="eastAsia" w:ascii="宋体" w:hAnsi="宋体" w:eastAsia="宋体" w:cs="宋体"/>
                <w:b w:val="0"/>
                <w:bCs w:val="0"/>
                <w:sz w:val="24"/>
                <w:szCs w:val="24"/>
                <w:lang w:bidi="ar"/>
              </w:rPr>
              <w:t>1.18650锂电池</w:t>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 xml:space="preserve"> 容量大、可充电、续航强</w:t>
            </w:r>
            <w:r>
              <w:rPr>
                <w:rStyle w:val="265"/>
                <w:rFonts w:hint="eastAsia" w:ascii="宋体" w:hAnsi="宋体" w:eastAsia="宋体" w:cs="宋体"/>
                <w:b w:val="0"/>
                <w:bCs w:val="0"/>
                <w:sz w:val="24"/>
                <w:szCs w:val="24"/>
                <w:lang w:bidi="ar"/>
              </w:rPr>
              <w:br w:type="textWrapping"/>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2.AA/AAA干电池</w:t>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 xml:space="preserve"> 易购买、稳定性高 应急备用</w:t>
            </w:r>
            <w:r>
              <w:rPr>
                <w:rStyle w:val="265"/>
                <w:rFonts w:hint="eastAsia" w:ascii="宋体" w:hAnsi="宋体" w:eastAsia="宋体" w:cs="宋体"/>
                <w:b w:val="0"/>
                <w:bCs w:val="0"/>
                <w:sz w:val="24"/>
                <w:szCs w:val="24"/>
                <w:lang w:bidi="ar"/>
              </w:rPr>
              <w:br w:type="textWrapping"/>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3.内置Type-C直充</w:t>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 xml:space="preserve"> 充电方便，无需拆电池</w:t>
            </w:r>
          </w:p>
        </w:tc>
      </w:tr>
      <w:tr w14:paraId="1D9B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7CD7133C">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105</w:t>
            </w:r>
          </w:p>
        </w:tc>
        <w:tc>
          <w:tcPr>
            <w:tcW w:w="1284" w:type="dxa"/>
            <w:shd w:val="clear" w:color="auto" w:fill="auto"/>
            <w:vAlign w:val="center"/>
          </w:tcPr>
          <w:p w14:paraId="57D949EF">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常用急救设备</w:t>
            </w:r>
          </w:p>
        </w:tc>
        <w:tc>
          <w:tcPr>
            <w:tcW w:w="1296" w:type="dxa"/>
            <w:shd w:val="clear" w:color="auto" w:fill="auto"/>
            <w:vAlign w:val="center"/>
          </w:tcPr>
          <w:p w14:paraId="0628CF3A">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应急包</w:t>
            </w:r>
          </w:p>
        </w:tc>
        <w:tc>
          <w:tcPr>
            <w:tcW w:w="792" w:type="dxa"/>
            <w:shd w:val="clear" w:color="auto" w:fill="auto"/>
            <w:noWrap/>
            <w:vAlign w:val="center"/>
          </w:tcPr>
          <w:p w14:paraId="2D66F6F6">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个</w:t>
            </w:r>
          </w:p>
        </w:tc>
        <w:tc>
          <w:tcPr>
            <w:tcW w:w="792" w:type="dxa"/>
            <w:shd w:val="clear" w:color="auto" w:fill="auto"/>
            <w:noWrap/>
            <w:vAlign w:val="center"/>
          </w:tcPr>
          <w:p w14:paraId="7A1C1E84">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5147" w:type="dxa"/>
            <w:shd w:val="clear" w:color="auto" w:fill="auto"/>
            <w:vAlign w:val="center"/>
          </w:tcPr>
          <w:p w14:paraId="1F92102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1.急救毯（防寒保温，反射体温）</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2.止血带、三角巾、绷带、消毒棉片</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3.一次性医用手套、烧伤敷料</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4.个人药品收纳区（建议自备慢性病药、婴儿用品等）</w:t>
            </w:r>
          </w:p>
        </w:tc>
      </w:tr>
      <w:tr w14:paraId="143F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040492D0">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106</w:t>
            </w:r>
          </w:p>
        </w:tc>
        <w:tc>
          <w:tcPr>
            <w:tcW w:w="1284" w:type="dxa"/>
            <w:shd w:val="clear" w:color="auto" w:fill="auto"/>
            <w:vAlign w:val="center"/>
          </w:tcPr>
          <w:p w14:paraId="429559F2">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常用急救设备</w:t>
            </w:r>
          </w:p>
        </w:tc>
        <w:tc>
          <w:tcPr>
            <w:tcW w:w="1296" w:type="dxa"/>
            <w:shd w:val="clear" w:color="auto" w:fill="auto"/>
            <w:vAlign w:val="center"/>
          </w:tcPr>
          <w:p w14:paraId="16CFD6C3">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防滑垫</w:t>
            </w:r>
          </w:p>
        </w:tc>
        <w:tc>
          <w:tcPr>
            <w:tcW w:w="792" w:type="dxa"/>
            <w:shd w:val="clear" w:color="auto" w:fill="auto"/>
            <w:noWrap/>
            <w:vAlign w:val="center"/>
          </w:tcPr>
          <w:p w14:paraId="3AA2D14B">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个</w:t>
            </w:r>
          </w:p>
        </w:tc>
        <w:tc>
          <w:tcPr>
            <w:tcW w:w="792" w:type="dxa"/>
            <w:shd w:val="clear" w:color="auto" w:fill="auto"/>
            <w:noWrap/>
            <w:vAlign w:val="center"/>
          </w:tcPr>
          <w:p w14:paraId="69266DF9">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147" w:type="dxa"/>
            <w:shd w:val="clear" w:color="auto" w:fill="auto"/>
            <w:vAlign w:val="center"/>
          </w:tcPr>
          <w:p w14:paraId="6BBC21A2">
            <w:pPr>
              <w:widowControl/>
              <w:snapToGrid w:val="0"/>
              <w:ind w:left="0" w:leftChars="0" w:right="0" w:rightChars="0" w:firstLine="0" w:firstLineChars="0"/>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1.尺寸：≥60cm×80cm</w:t>
            </w:r>
            <w:r>
              <w:rPr>
                <w:rFonts w:hint="eastAsia" w:ascii="宋体" w:hAnsi="宋体" w:eastAsia="宋体" w:cs="宋体"/>
                <w:b w:val="0"/>
                <w:bCs w:val="0"/>
                <w:color w:val="000000"/>
                <w:kern w:val="0"/>
                <w:sz w:val="24"/>
                <w:szCs w:val="24"/>
                <w:lang w:bidi="ar"/>
              </w:rPr>
              <w:br w:type="textWrapping"/>
            </w:r>
            <w:r>
              <w:rPr>
                <w:rFonts w:hint="eastAsia" w:ascii="宋体" w:hAnsi="宋体" w:eastAsia="宋体" w:cs="宋体"/>
                <w:b w:val="0"/>
                <w:bCs w:val="0"/>
                <w:color w:val="000000"/>
                <w:kern w:val="0"/>
                <w:sz w:val="24"/>
                <w:szCs w:val="24"/>
                <w:lang w:bidi="ar"/>
              </w:rPr>
              <w:t>2.材质：</w:t>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硅胶</w:t>
            </w:r>
          </w:p>
        </w:tc>
      </w:tr>
      <w:tr w14:paraId="0FDF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02EFF577">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107</w:t>
            </w:r>
          </w:p>
        </w:tc>
        <w:tc>
          <w:tcPr>
            <w:tcW w:w="1284" w:type="dxa"/>
            <w:vAlign w:val="center"/>
          </w:tcPr>
          <w:p w14:paraId="0B6CE9D4">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常用急救设备</w:t>
            </w:r>
          </w:p>
        </w:tc>
        <w:tc>
          <w:tcPr>
            <w:tcW w:w="1296" w:type="dxa"/>
            <w:vAlign w:val="center"/>
          </w:tcPr>
          <w:p w14:paraId="36DA2346">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手电筒</w:t>
            </w:r>
          </w:p>
        </w:tc>
        <w:tc>
          <w:tcPr>
            <w:tcW w:w="792" w:type="dxa"/>
            <w:noWrap/>
            <w:vAlign w:val="center"/>
          </w:tcPr>
          <w:p w14:paraId="58D09123">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个</w:t>
            </w:r>
          </w:p>
        </w:tc>
        <w:tc>
          <w:tcPr>
            <w:tcW w:w="792" w:type="dxa"/>
            <w:noWrap/>
            <w:vAlign w:val="center"/>
          </w:tcPr>
          <w:p w14:paraId="3EF47DD0">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147" w:type="dxa"/>
            <w:vAlign w:val="center"/>
          </w:tcPr>
          <w:p w14:paraId="79319253">
            <w:pPr>
              <w:widowControl/>
              <w:snapToGrid w:val="0"/>
              <w:ind w:left="0" w:leftChars="0" w:right="0" w:rightChars="0" w:firstLine="0" w:firstLineChars="0"/>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w:t>
            </w:r>
            <w:r>
              <w:rPr>
                <w:rStyle w:val="265"/>
                <w:rFonts w:hint="eastAsia" w:ascii="宋体" w:hAnsi="宋体" w:eastAsia="宋体" w:cs="宋体"/>
                <w:b w:val="0"/>
                <w:bCs w:val="0"/>
                <w:sz w:val="24"/>
                <w:szCs w:val="24"/>
                <w:lang w:bidi="ar"/>
              </w:rPr>
              <w:t>1.18650锂电池</w:t>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 xml:space="preserve"> 容量大、可充电、续航强</w:t>
            </w:r>
            <w:r>
              <w:rPr>
                <w:rStyle w:val="265"/>
                <w:rFonts w:hint="eastAsia" w:ascii="宋体" w:hAnsi="宋体" w:eastAsia="宋体" w:cs="宋体"/>
                <w:b w:val="0"/>
                <w:bCs w:val="0"/>
                <w:sz w:val="24"/>
                <w:szCs w:val="24"/>
                <w:lang w:bidi="ar"/>
              </w:rPr>
              <w:br w:type="textWrapping"/>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2.AA/AAA干电池</w:t>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 xml:space="preserve"> 易购买、稳定性高 应急备用</w:t>
            </w:r>
            <w:r>
              <w:rPr>
                <w:rStyle w:val="265"/>
                <w:rFonts w:hint="eastAsia" w:ascii="宋体" w:hAnsi="宋体" w:eastAsia="宋体" w:cs="宋体"/>
                <w:b w:val="0"/>
                <w:bCs w:val="0"/>
                <w:sz w:val="24"/>
                <w:szCs w:val="24"/>
                <w:lang w:bidi="ar"/>
              </w:rPr>
              <w:br w:type="textWrapping"/>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3.内置Type-C直充</w:t>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 xml:space="preserve"> 充电方便，无需拆电池</w:t>
            </w:r>
          </w:p>
        </w:tc>
      </w:tr>
      <w:tr w14:paraId="219A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4D51A872">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108</w:t>
            </w:r>
          </w:p>
        </w:tc>
        <w:tc>
          <w:tcPr>
            <w:tcW w:w="1284" w:type="dxa"/>
            <w:shd w:val="clear" w:color="auto" w:fill="auto"/>
            <w:vAlign w:val="center"/>
          </w:tcPr>
          <w:p w14:paraId="2A06703C">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常用急救设备</w:t>
            </w:r>
          </w:p>
        </w:tc>
        <w:tc>
          <w:tcPr>
            <w:tcW w:w="1296" w:type="dxa"/>
            <w:shd w:val="clear" w:color="auto" w:fill="auto"/>
            <w:vAlign w:val="center"/>
          </w:tcPr>
          <w:p w14:paraId="7A5E49F6">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消防逃生面罩</w:t>
            </w:r>
          </w:p>
        </w:tc>
        <w:tc>
          <w:tcPr>
            <w:tcW w:w="792" w:type="dxa"/>
            <w:shd w:val="clear" w:color="auto" w:fill="auto"/>
            <w:noWrap/>
            <w:vAlign w:val="center"/>
          </w:tcPr>
          <w:p w14:paraId="28920E8A">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个</w:t>
            </w:r>
          </w:p>
        </w:tc>
        <w:tc>
          <w:tcPr>
            <w:tcW w:w="792" w:type="dxa"/>
            <w:shd w:val="clear" w:color="auto" w:fill="auto"/>
            <w:noWrap/>
            <w:vAlign w:val="center"/>
          </w:tcPr>
          <w:p w14:paraId="56AB37BC">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147" w:type="dxa"/>
            <w:shd w:val="clear" w:color="auto" w:fill="auto"/>
            <w:vAlign w:val="center"/>
          </w:tcPr>
          <w:p w14:paraId="41F2E9AD">
            <w:pPr>
              <w:widowControl/>
              <w:snapToGrid w:val="0"/>
              <w:ind w:left="0" w:leftChars="0" w:right="0" w:rightChars="0" w:firstLine="0" w:firstLineChars="0"/>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w:t>
            </w:r>
            <w:r>
              <w:rPr>
                <w:rStyle w:val="265"/>
                <w:rFonts w:hint="eastAsia" w:ascii="宋体" w:hAnsi="宋体" w:eastAsia="宋体" w:cs="宋体"/>
                <w:b w:val="0"/>
                <w:bCs w:val="0"/>
                <w:sz w:val="24"/>
                <w:szCs w:val="24"/>
                <w:lang w:bidi="ar"/>
              </w:rPr>
              <w:t>1.防护时间</w:t>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 xml:space="preserve"> ≥30分钟</w:t>
            </w:r>
            <w:r>
              <w:rPr>
                <w:rStyle w:val="265"/>
                <w:rFonts w:hint="eastAsia" w:ascii="宋体" w:hAnsi="宋体" w:eastAsia="宋体" w:cs="宋体"/>
                <w:b w:val="0"/>
                <w:bCs w:val="0"/>
                <w:sz w:val="24"/>
                <w:szCs w:val="24"/>
                <w:lang w:bidi="ar"/>
              </w:rPr>
              <w:br w:type="textWrapping"/>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2.滤烟效率</w:t>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 xml:space="preserve"> ≥95%</w:t>
            </w:r>
            <w:r>
              <w:rPr>
                <w:rStyle w:val="265"/>
                <w:rFonts w:hint="eastAsia" w:ascii="宋体" w:hAnsi="宋体" w:eastAsia="宋体" w:cs="宋体"/>
                <w:b w:val="0"/>
                <w:bCs w:val="0"/>
                <w:sz w:val="24"/>
                <w:szCs w:val="24"/>
                <w:lang w:bidi="ar"/>
              </w:rPr>
              <w:br w:type="textWrapping"/>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3.吸气阻力</w:t>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 xml:space="preserve"> ≤800Pa</w:t>
            </w:r>
            <w:r>
              <w:rPr>
                <w:rStyle w:val="265"/>
                <w:rFonts w:hint="eastAsia" w:ascii="宋体" w:hAnsi="宋体" w:eastAsia="宋体" w:cs="宋体"/>
                <w:b w:val="0"/>
                <w:bCs w:val="0"/>
                <w:sz w:val="24"/>
                <w:szCs w:val="24"/>
                <w:lang w:bidi="ar"/>
              </w:rPr>
              <w:br w:type="textWrapping"/>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4.漏气系数</w:t>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 xml:space="preserve"> 呼吸区≤5%，眼区≤20% 密封性指标，防止有毒气体从缝隙侵入</w:t>
            </w:r>
          </w:p>
        </w:tc>
      </w:tr>
      <w:tr w14:paraId="4D89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70603B68">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109</w:t>
            </w:r>
          </w:p>
        </w:tc>
        <w:tc>
          <w:tcPr>
            <w:tcW w:w="1284" w:type="dxa"/>
            <w:shd w:val="clear" w:color="auto" w:fill="auto"/>
            <w:vAlign w:val="center"/>
          </w:tcPr>
          <w:p w14:paraId="47CA840F">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常用急救设备</w:t>
            </w:r>
          </w:p>
        </w:tc>
        <w:tc>
          <w:tcPr>
            <w:tcW w:w="1296" w:type="dxa"/>
            <w:shd w:val="clear" w:color="auto" w:fill="auto"/>
            <w:vAlign w:val="center"/>
          </w:tcPr>
          <w:p w14:paraId="665D3E0A">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手电筒</w:t>
            </w:r>
          </w:p>
        </w:tc>
        <w:tc>
          <w:tcPr>
            <w:tcW w:w="792" w:type="dxa"/>
            <w:shd w:val="clear" w:color="auto" w:fill="auto"/>
            <w:vAlign w:val="center"/>
          </w:tcPr>
          <w:p w14:paraId="2F593F21">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个</w:t>
            </w:r>
          </w:p>
        </w:tc>
        <w:tc>
          <w:tcPr>
            <w:tcW w:w="792" w:type="dxa"/>
            <w:shd w:val="clear" w:color="auto" w:fill="auto"/>
            <w:vAlign w:val="center"/>
          </w:tcPr>
          <w:p w14:paraId="217CDE62">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662A798A">
            <w:pPr>
              <w:widowControl/>
              <w:snapToGrid w:val="0"/>
              <w:ind w:left="0" w:leftChars="0" w:right="0" w:rightChars="0" w:firstLine="0" w:firstLineChars="0"/>
              <w:jc w:val="left"/>
              <w:textAlignment w:val="center"/>
              <w:rPr>
                <w:rStyle w:val="55"/>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bidi="ar"/>
              </w:rPr>
              <w:t>‌</w:t>
            </w:r>
            <w:r>
              <w:rPr>
                <w:rStyle w:val="265"/>
                <w:rFonts w:hint="eastAsia" w:ascii="宋体" w:hAnsi="宋体" w:eastAsia="宋体" w:cs="宋体"/>
                <w:b w:val="0"/>
                <w:bCs w:val="0"/>
                <w:sz w:val="24"/>
                <w:szCs w:val="24"/>
                <w:lang w:bidi="ar"/>
              </w:rPr>
              <w:t>1.18650锂电池</w:t>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 xml:space="preserve"> 容量</w:t>
            </w:r>
            <w:r>
              <w:rPr>
                <w:rStyle w:val="265"/>
                <w:rFonts w:hint="eastAsia" w:ascii="宋体" w:hAnsi="宋体" w:eastAsia="宋体" w:cs="宋体"/>
                <w:b w:val="0"/>
                <w:bCs w:val="0"/>
                <w:sz w:val="24"/>
                <w:szCs w:val="24"/>
                <w:lang w:val="en-US" w:eastAsia="zh-CN" w:bidi="ar"/>
              </w:rPr>
              <w:t>≥5000mAh</w:t>
            </w:r>
            <w:r>
              <w:rPr>
                <w:rStyle w:val="265"/>
                <w:rFonts w:hint="eastAsia" w:ascii="宋体" w:hAnsi="宋体" w:eastAsia="宋体" w:cs="宋体"/>
                <w:b w:val="0"/>
                <w:bCs w:val="0"/>
                <w:sz w:val="24"/>
                <w:szCs w:val="24"/>
                <w:lang w:bidi="ar"/>
              </w:rPr>
              <w:t>、可充电、续航强</w:t>
            </w:r>
            <w:r>
              <w:rPr>
                <w:rStyle w:val="265"/>
                <w:rFonts w:hint="eastAsia" w:ascii="宋体" w:hAnsi="宋体" w:eastAsia="宋体" w:cs="宋体"/>
                <w:b w:val="0"/>
                <w:bCs w:val="0"/>
                <w:sz w:val="24"/>
                <w:szCs w:val="24"/>
                <w:lang w:bidi="ar"/>
              </w:rPr>
              <w:br w:type="textWrapping"/>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2.AA/AAA干电池</w:t>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 xml:space="preserve"> 易购买、稳定性高 应急备用</w:t>
            </w:r>
            <w:r>
              <w:rPr>
                <w:rStyle w:val="265"/>
                <w:rFonts w:hint="eastAsia" w:ascii="宋体" w:hAnsi="宋体" w:eastAsia="宋体" w:cs="宋体"/>
                <w:b w:val="0"/>
                <w:bCs w:val="0"/>
                <w:sz w:val="24"/>
                <w:szCs w:val="24"/>
                <w:lang w:bidi="ar"/>
              </w:rPr>
              <w:br w:type="textWrapping"/>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3.内置Type-C直充</w:t>
            </w:r>
            <w:r>
              <w:rPr>
                <w:rStyle w:val="286"/>
                <w:rFonts w:hint="eastAsia" w:ascii="宋体" w:hAnsi="宋体" w:eastAsia="宋体" w:cs="宋体"/>
                <w:b w:val="0"/>
                <w:bCs w:val="0"/>
                <w:sz w:val="24"/>
                <w:szCs w:val="24"/>
                <w:lang w:bidi="ar"/>
              </w:rPr>
              <w:t>‌</w:t>
            </w:r>
            <w:r>
              <w:rPr>
                <w:rStyle w:val="265"/>
                <w:rFonts w:hint="eastAsia" w:ascii="宋体" w:hAnsi="宋体" w:eastAsia="宋体" w:cs="宋体"/>
                <w:b w:val="0"/>
                <w:bCs w:val="0"/>
                <w:sz w:val="24"/>
                <w:szCs w:val="24"/>
                <w:lang w:bidi="ar"/>
              </w:rPr>
              <w:t xml:space="preserve"> 充电方便，无需拆电池</w:t>
            </w:r>
          </w:p>
          <w:p w14:paraId="557BD6DC">
            <w:pPr>
              <w:widowControl/>
              <w:numPr>
                <w:ilvl w:val="0"/>
                <w:numId w:val="54"/>
              </w:numPr>
              <w:snapToGrid w:val="0"/>
              <w:ind w:left="0" w:leftChars="0" w:right="0" w:rightChars="0" w:firstLine="0" w:firstLineChars="0"/>
              <w:jc w:val="left"/>
              <w:textAlignment w:val="center"/>
              <w:rPr>
                <w:rStyle w:val="55"/>
                <w:rFonts w:hint="eastAsia" w:ascii="宋体" w:hAnsi="宋体" w:eastAsia="宋体" w:cs="宋体"/>
                <w:b w:val="0"/>
                <w:bCs w:val="0"/>
                <w:sz w:val="24"/>
                <w:szCs w:val="24"/>
                <w:lang w:val="en-US" w:eastAsia="zh-CN"/>
              </w:rPr>
            </w:pPr>
            <w:r>
              <w:rPr>
                <w:rStyle w:val="55"/>
                <w:rFonts w:hint="eastAsia" w:ascii="宋体" w:hAnsi="宋体" w:eastAsia="宋体" w:cs="宋体"/>
                <w:b w:val="0"/>
                <w:bCs w:val="0"/>
                <w:sz w:val="24"/>
                <w:szCs w:val="24"/>
                <w:lang w:val="en-US" w:eastAsia="zh-CN"/>
              </w:rPr>
              <w:t>亮度（流明）≥800流明</w:t>
            </w:r>
          </w:p>
          <w:p w14:paraId="6AB311E1">
            <w:pPr>
              <w:widowControl/>
              <w:numPr>
                <w:ilvl w:val="0"/>
                <w:numId w:val="54"/>
              </w:numPr>
              <w:snapToGrid w:val="0"/>
              <w:ind w:left="0" w:leftChars="0" w:right="0" w:rightChars="0" w:firstLine="0" w:firstLineChars="0"/>
              <w:jc w:val="left"/>
              <w:textAlignment w:val="center"/>
              <w:rPr>
                <w:rStyle w:val="55"/>
                <w:rFonts w:hint="eastAsia" w:ascii="宋体" w:hAnsi="宋体" w:eastAsia="宋体" w:cs="宋体"/>
                <w:b w:val="0"/>
                <w:bCs w:val="0"/>
                <w:sz w:val="24"/>
                <w:szCs w:val="24"/>
                <w:lang w:val="en-US" w:eastAsia="zh-CN"/>
              </w:rPr>
            </w:pPr>
            <w:r>
              <w:rPr>
                <w:rStyle w:val="55"/>
                <w:rFonts w:hint="eastAsia" w:ascii="宋体" w:hAnsi="宋体" w:eastAsia="宋体" w:cs="宋体"/>
                <w:b w:val="0"/>
                <w:bCs w:val="0"/>
                <w:sz w:val="24"/>
                <w:szCs w:val="24"/>
                <w:lang w:val="en-US" w:eastAsia="zh-CN"/>
              </w:rPr>
              <w:t>多档位模式支持强光、弱光、爆闪、SOS求救信号等功能‌</w:t>
            </w:r>
          </w:p>
        </w:tc>
      </w:tr>
      <w:tr w14:paraId="6948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0912579B">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110</w:t>
            </w:r>
          </w:p>
        </w:tc>
        <w:tc>
          <w:tcPr>
            <w:tcW w:w="1284" w:type="dxa"/>
            <w:shd w:val="clear" w:color="auto" w:fill="auto"/>
            <w:vAlign w:val="center"/>
          </w:tcPr>
          <w:p w14:paraId="63927D4B">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常用急救设备</w:t>
            </w:r>
          </w:p>
        </w:tc>
        <w:tc>
          <w:tcPr>
            <w:tcW w:w="1296" w:type="dxa"/>
            <w:shd w:val="clear" w:color="auto" w:fill="auto"/>
            <w:vAlign w:val="center"/>
          </w:tcPr>
          <w:p w14:paraId="2E918D8F">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消防逃生面罩</w:t>
            </w:r>
          </w:p>
        </w:tc>
        <w:tc>
          <w:tcPr>
            <w:tcW w:w="792" w:type="dxa"/>
            <w:shd w:val="clear" w:color="auto" w:fill="auto"/>
            <w:vAlign w:val="center"/>
          </w:tcPr>
          <w:p w14:paraId="509E66B0">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个</w:t>
            </w:r>
          </w:p>
        </w:tc>
        <w:tc>
          <w:tcPr>
            <w:tcW w:w="792" w:type="dxa"/>
            <w:shd w:val="clear" w:color="auto" w:fill="auto"/>
            <w:vAlign w:val="center"/>
          </w:tcPr>
          <w:p w14:paraId="5C0914AE">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shd w:val="clear" w:color="auto" w:fill="auto"/>
            <w:vAlign w:val="center"/>
          </w:tcPr>
          <w:p w14:paraId="4E8FE9F6">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r>
              <w:rPr>
                <w:rStyle w:val="262"/>
                <w:rFonts w:hint="eastAsia" w:ascii="宋体" w:hAnsi="宋体" w:eastAsia="宋体" w:cs="宋体"/>
                <w:sz w:val="24"/>
                <w:szCs w:val="24"/>
                <w:lang w:bidi="ar"/>
              </w:rPr>
              <w:t>1.防护时间</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≥30分钟</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2.滤烟效率</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≥95%</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3.吸气阻力</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≤800Pa</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4.漏气系数</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呼吸区≤5%，眼区≤20% 密封性指标，防止有毒气体从缝隙侵入</w:t>
            </w:r>
          </w:p>
        </w:tc>
      </w:tr>
      <w:tr w14:paraId="33E1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31BDCE30">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111</w:t>
            </w:r>
          </w:p>
        </w:tc>
        <w:tc>
          <w:tcPr>
            <w:tcW w:w="1284" w:type="dxa"/>
            <w:vAlign w:val="center"/>
          </w:tcPr>
          <w:p w14:paraId="337E93A9">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消毒灭菌设备</w:t>
            </w:r>
          </w:p>
        </w:tc>
        <w:tc>
          <w:tcPr>
            <w:tcW w:w="1296" w:type="dxa"/>
            <w:vAlign w:val="center"/>
          </w:tcPr>
          <w:p w14:paraId="05DD186D">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水杯消毒柜</w:t>
            </w:r>
          </w:p>
        </w:tc>
        <w:tc>
          <w:tcPr>
            <w:tcW w:w="792" w:type="dxa"/>
            <w:noWrap/>
            <w:vAlign w:val="center"/>
          </w:tcPr>
          <w:p w14:paraId="09863A7D">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台</w:t>
            </w:r>
          </w:p>
        </w:tc>
        <w:tc>
          <w:tcPr>
            <w:tcW w:w="792" w:type="dxa"/>
            <w:noWrap/>
            <w:vAlign w:val="center"/>
          </w:tcPr>
          <w:p w14:paraId="1853E7A7">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147" w:type="dxa"/>
            <w:vAlign w:val="center"/>
          </w:tcPr>
          <w:p w14:paraId="591E1FF6">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‌1.消毒方式‌ 采用臭氧+红外线双重高效杀菌技术，确保病毒与细菌杀灭率≥99.99%</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‌2.消毒温度‌ 红外加热温度可达90°C以上，有效灭活常见致病菌（如大肠杆菌、金黄色葡萄球菌）</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‌3.臭氧浓度‌ 臭氧发生量≥40mg/h，具备自动分解功能，避免残留超标</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‌4.内胆材质‌ 采用食品级不锈钢（如304不锈钢），耐腐蚀、易清洁，符合卫生标准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‌5.门体设计‌ 加厚钢化玻璃门，耐高温、防爆裂，具备良好密封性</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‌6.容量规格‌ 单台有效容积≥220L，可同时容纳100个以上标准水杯</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‌7.外形尺寸‌ 约720×280×1100mm（宽×深×高），适配常规茶水间空间</w:t>
            </w:r>
          </w:p>
        </w:tc>
      </w:tr>
      <w:tr w14:paraId="1892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08A68F0A">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112</w:t>
            </w:r>
          </w:p>
        </w:tc>
        <w:tc>
          <w:tcPr>
            <w:tcW w:w="1284" w:type="dxa"/>
            <w:shd w:val="clear" w:color="auto" w:fill="auto"/>
            <w:vAlign w:val="center"/>
          </w:tcPr>
          <w:p w14:paraId="66CB0DCA">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多肉栽培种植箱（2个装）</w:t>
            </w:r>
          </w:p>
        </w:tc>
        <w:tc>
          <w:tcPr>
            <w:tcW w:w="1296" w:type="dxa"/>
            <w:shd w:val="clear" w:color="auto" w:fill="auto"/>
            <w:vAlign w:val="center"/>
          </w:tcPr>
          <w:p w14:paraId="55423D3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多肉栽培种植箱（2个装）</w:t>
            </w:r>
          </w:p>
        </w:tc>
        <w:tc>
          <w:tcPr>
            <w:tcW w:w="792" w:type="dxa"/>
            <w:shd w:val="clear" w:color="auto" w:fill="auto"/>
            <w:vAlign w:val="center"/>
          </w:tcPr>
          <w:p w14:paraId="141F3E14">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652DDF6B">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147" w:type="dxa"/>
            <w:shd w:val="clear" w:color="auto" w:fill="auto"/>
            <w:vAlign w:val="center"/>
          </w:tcPr>
          <w:p w14:paraId="4DCAE84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1.单箱尺寸‌ 边长≥40cm，深度≥18cm，确保多肉根系舒展</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‌2.组合配置‌ 提供2个独立种植箱，支持横向拼接或独立摆放，便于空间布局</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‌3.种植面积‌ 单箱有效种植面积≥0.16㎡，适合种植6-10株中小型多肉植物</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‌4.承重能力‌ 箱体满载土壤与水分后，整体结构不变形，承重≥15kg</w:t>
            </w:r>
          </w:p>
        </w:tc>
      </w:tr>
      <w:tr w14:paraId="3B1E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6C777667">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113</w:t>
            </w:r>
          </w:p>
        </w:tc>
        <w:tc>
          <w:tcPr>
            <w:tcW w:w="1284" w:type="dxa"/>
            <w:shd w:val="clear" w:color="auto" w:fill="auto"/>
            <w:vAlign w:val="center"/>
          </w:tcPr>
          <w:p w14:paraId="2BF43373">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植物栽培土</w:t>
            </w:r>
          </w:p>
        </w:tc>
        <w:tc>
          <w:tcPr>
            <w:tcW w:w="1296" w:type="dxa"/>
            <w:shd w:val="clear" w:color="auto" w:fill="auto"/>
            <w:vAlign w:val="center"/>
          </w:tcPr>
          <w:p w14:paraId="13516981">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植物栽培土</w:t>
            </w:r>
          </w:p>
        </w:tc>
        <w:tc>
          <w:tcPr>
            <w:tcW w:w="792" w:type="dxa"/>
            <w:shd w:val="clear" w:color="auto" w:fill="auto"/>
            <w:vAlign w:val="center"/>
          </w:tcPr>
          <w:p w14:paraId="00363A2F">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升</w:t>
            </w:r>
          </w:p>
        </w:tc>
        <w:tc>
          <w:tcPr>
            <w:tcW w:w="792" w:type="dxa"/>
            <w:shd w:val="clear" w:color="auto" w:fill="auto"/>
            <w:vAlign w:val="center"/>
          </w:tcPr>
          <w:p w14:paraId="5A206803">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147" w:type="dxa"/>
            <w:shd w:val="clear" w:color="auto" w:fill="auto"/>
            <w:vAlign w:val="center"/>
          </w:tcPr>
          <w:p w14:paraId="4E5A732C">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1.粒径范围‌ 主要颗粒粒径3-6mm，无明显粉尘（过筛后≤0.2mm尘土占比＜5%）</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‌2.排水性‌ 浇水后30秒内多余水分可完全渗出，避免积水烂根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‌3.透气性‌ 空隙度＞25%，保障根系呼吸需求</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‌4.保水性‌ 具备适度持水能力，避免频繁浇水导致养护负担</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‌5.pH值‌ 微酸性至中性，pH 6.0-7.0，适合绝大多数多肉品种</w:t>
            </w:r>
          </w:p>
        </w:tc>
      </w:tr>
      <w:tr w14:paraId="5575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269304F3">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114</w:t>
            </w:r>
          </w:p>
        </w:tc>
        <w:tc>
          <w:tcPr>
            <w:tcW w:w="1284" w:type="dxa"/>
            <w:shd w:val="clear" w:color="auto" w:fill="auto"/>
            <w:vAlign w:val="center"/>
          </w:tcPr>
          <w:p w14:paraId="18610688">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园艺工具三件套</w:t>
            </w:r>
          </w:p>
        </w:tc>
        <w:tc>
          <w:tcPr>
            <w:tcW w:w="1296" w:type="dxa"/>
            <w:shd w:val="clear" w:color="auto" w:fill="auto"/>
            <w:vAlign w:val="center"/>
          </w:tcPr>
          <w:p w14:paraId="33434FC5">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园艺工具三件套</w:t>
            </w:r>
          </w:p>
        </w:tc>
        <w:tc>
          <w:tcPr>
            <w:tcW w:w="792" w:type="dxa"/>
            <w:shd w:val="clear" w:color="auto" w:fill="auto"/>
            <w:vAlign w:val="center"/>
          </w:tcPr>
          <w:p w14:paraId="55807BDD">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78EBEF4F">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147" w:type="dxa"/>
            <w:shd w:val="clear" w:color="auto" w:fill="auto"/>
            <w:vAlign w:val="center"/>
          </w:tcPr>
          <w:p w14:paraId="6F96C04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1.小铲子‌ 弧形铲头设计，适用于挖土、移栽、松土、施肥；刃口锋利但边缘磨圆，避免划伤手部或植物根系</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‌2.小耙子‌ 三齿或五齿钉耙结构，用于平整土壤、清理落叶、疏松表层土，齿距适中不卡土</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‌3.种植叉/小锄头‌ 双尖齿或扁平锄头设计，适用于硬土开垦、除草、分株操作，提升作业效率</w:t>
            </w:r>
          </w:p>
        </w:tc>
      </w:tr>
      <w:tr w14:paraId="6D95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649673FD">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115</w:t>
            </w:r>
          </w:p>
        </w:tc>
        <w:tc>
          <w:tcPr>
            <w:tcW w:w="1284" w:type="dxa"/>
            <w:vAlign w:val="center"/>
          </w:tcPr>
          <w:p w14:paraId="29D5A005">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自动加湿器</w:t>
            </w:r>
          </w:p>
        </w:tc>
        <w:tc>
          <w:tcPr>
            <w:tcW w:w="1296" w:type="dxa"/>
            <w:vAlign w:val="center"/>
          </w:tcPr>
          <w:p w14:paraId="7BD67FE5">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自动加湿器</w:t>
            </w:r>
          </w:p>
        </w:tc>
        <w:tc>
          <w:tcPr>
            <w:tcW w:w="792" w:type="dxa"/>
            <w:vAlign w:val="center"/>
          </w:tcPr>
          <w:p w14:paraId="2D98F28C">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台</w:t>
            </w:r>
          </w:p>
        </w:tc>
        <w:tc>
          <w:tcPr>
            <w:tcW w:w="792" w:type="dxa"/>
            <w:vAlign w:val="center"/>
          </w:tcPr>
          <w:p w14:paraId="0EE3662B">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147" w:type="dxa"/>
            <w:vAlign w:val="center"/>
          </w:tcPr>
          <w:p w14:paraId="3A99D513">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1.加湿方式</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蒸发式/无雾型优先 避免产生白粉，适合有孕妇、婴幼儿或敏感人群环境</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2.额定加湿量（mL/h）</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≥500 mL/h（单台） 根据适用面积匹配</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3.适用面积（㎡）</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≥30㎡ 明确标注测试条件（温度23℃，相对湿度30%RH）</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4.水箱容积（L）</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≥3.5L 支持连续运行≥8小时，减少频繁加水</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5.噪声水平（dB(A)）</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≤30 dB（睡眠档） 办公、医疗等静音场景关键指标</w:t>
            </w:r>
            <w:r>
              <w:rPr>
                <w:rStyle w:val="262"/>
                <w:rFonts w:hint="eastAsia" w:ascii="宋体" w:hAnsi="宋体" w:eastAsia="宋体" w:cs="宋体"/>
                <w:sz w:val="24"/>
                <w:szCs w:val="24"/>
                <w:lang w:bidi="ar"/>
              </w:rPr>
              <w:br w:type="textWrapping"/>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6.功率（W）</w:t>
            </w:r>
            <w:r>
              <w:rPr>
                <w:rStyle w:val="268"/>
                <w:rFonts w:hint="eastAsia" w:ascii="宋体" w:hAnsi="宋体" w:eastAsia="宋体" w:cs="宋体"/>
                <w:sz w:val="24"/>
                <w:szCs w:val="24"/>
                <w:lang w:bidi="ar"/>
              </w:rPr>
              <w:t>‌</w:t>
            </w:r>
            <w:r>
              <w:rPr>
                <w:rStyle w:val="262"/>
                <w:rFonts w:hint="eastAsia" w:ascii="宋体" w:hAnsi="宋体" w:eastAsia="宋体" w:cs="宋体"/>
                <w:sz w:val="24"/>
                <w:szCs w:val="24"/>
                <w:lang w:bidi="ar"/>
              </w:rPr>
              <w:t xml:space="preserve"> ≤330W 节能设计，避免电路负荷过高</w:t>
            </w:r>
          </w:p>
        </w:tc>
      </w:tr>
      <w:tr w14:paraId="401E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64F41AD4">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116</w:t>
            </w:r>
          </w:p>
        </w:tc>
        <w:tc>
          <w:tcPr>
            <w:tcW w:w="1284" w:type="dxa"/>
            <w:shd w:val="clear" w:color="auto" w:fill="auto"/>
            <w:vAlign w:val="center"/>
          </w:tcPr>
          <w:p w14:paraId="39009878">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床单</w:t>
            </w:r>
          </w:p>
        </w:tc>
        <w:tc>
          <w:tcPr>
            <w:tcW w:w="1296" w:type="dxa"/>
            <w:shd w:val="clear" w:color="auto" w:fill="auto"/>
            <w:vAlign w:val="center"/>
          </w:tcPr>
          <w:p w14:paraId="375B56D3">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床单</w:t>
            </w:r>
          </w:p>
        </w:tc>
        <w:tc>
          <w:tcPr>
            <w:tcW w:w="792" w:type="dxa"/>
            <w:shd w:val="clear" w:color="auto" w:fill="auto"/>
            <w:vAlign w:val="center"/>
          </w:tcPr>
          <w:p w14:paraId="036CE23E">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36197868">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5147" w:type="dxa"/>
            <w:shd w:val="clear" w:color="auto" w:fill="auto"/>
            <w:vAlign w:val="center"/>
          </w:tcPr>
          <w:p w14:paraId="3142CF6C">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1.尺寸‌：≥160cm×270cm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‌2.尺寸公差‌ ±2%，考虑洗涤后缩水率≤3%</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‌3.纱支密度‌ ≥30×30确保织物结实耐用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‌4.克重要求‌ ≥130g/㎡，提升耐磨性与使用寿命</w:t>
            </w:r>
          </w:p>
        </w:tc>
      </w:tr>
      <w:tr w14:paraId="13C1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7C3AA061">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117</w:t>
            </w:r>
          </w:p>
        </w:tc>
        <w:tc>
          <w:tcPr>
            <w:tcW w:w="1284" w:type="dxa"/>
            <w:shd w:val="clear" w:color="auto" w:fill="auto"/>
            <w:vAlign w:val="center"/>
          </w:tcPr>
          <w:p w14:paraId="4004A184">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书法毛毡 1.0*2.0</w:t>
            </w:r>
          </w:p>
        </w:tc>
        <w:tc>
          <w:tcPr>
            <w:tcW w:w="1296" w:type="dxa"/>
            <w:shd w:val="clear" w:color="auto" w:fill="auto"/>
            <w:vAlign w:val="center"/>
          </w:tcPr>
          <w:p w14:paraId="11BBB8C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书法毛毡 1.0*2.0</w:t>
            </w:r>
          </w:p>
        </w:tc>
        <w:tc>
          <w:tcPr>
            <w:tcW w:w="792" w:type="dxa"/>
            <w:shd w:val="clear" w:color="auto" w:fill="auto"/>
            <w:vAlign w:val="center"/>
          </w:tcPr>
          <w:p w14:paraId="546D9BAF">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张</w:t>
            </w:r>
          </w:p>
        </w:tc>
        <w:tc>
          <w:tcPr>
            <w:tcW w:w="792" w:type="dxa"/>
            <w:shd w:val="clear" w:color="auto" w:fill="auto"/>
            <w:vAlign w:val="center"/>
          </w:tcPr>
          <w:p w14:paraId="665DB126">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147" w:type="dxa"/>
            <w:shd w:val="clear" w:color="auto" w:fill="auto"/>
            <w:vAlign w:val="center"/>
          </w:tcPr>
          <w:p w14:paraId="58B97727">
            <w:pPr>
              <w:widowControl/>
              <w:numPr>
                <w:ilvl w:val="0"/>
                <w:numId w:val="56"/>
              </w:numPr>
              <w:snapToGrid w:val="0"/>
              <w:ind w:left="0" w:leftChars="0" w:right="0" w:rightChars="0" w:firstLine="0" w:firstLineChars="0"/>
              <w:jc w:val="left"/>
              <w:textAlignment w:val="center"/>
              <w:rPr>
                <w:rStyle w:val="55"/>
                <w:rFonts w:hint="eastAsia" w:ascii="宋体" w:hAnsi="宋体" w:eastAsia="宋体" w:cs="宋体"/>
                <w:sz w:val="24"/>
                <w:szCs w:val="24"/>
              </w:rPr>
            </w:pPr>
            <w:r>
              <w:rPr>
                <w:rFonts w:hint="eastAsia" w:ascii="宋体" w:hAnsi="宋体" w:eastAsia="宋体" w:cs="宋体"/>
                <w:color w:val="000000"/>
                <w:kern w:val="0"/>
                <w:sz w:val="24"/>
                <w:szCs w:val="24"/>
                <w:lang w:bidi="ar"/>
              </w:rPr>
              <w:t>纤维成分‌ 100%优质纯羊毛，不得掺杂化纤、再生毛或劣质动物毛</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‌2.毛毡密度‌ 表观密度≥0.35g/cm³，保障书写时笔锋稳定、不打滑</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‌3.厚度要求‌ 厚度≥3mm，具备良好缓冲性与吸墨控制能力</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‌4.克重指标‌ ≥800g/㎡，确保质地厚实、耐用性强</w:t>
            </w:r>
          </w:p>
          <w:p w14:paraId="65A78FEC">
            <w:pPr>
              <w:widowControl/>
              <w:numPr>
                <w:ilvl w:val="0"/>
                <w:numId w:val="0"/>
              </w:numPr>
              <w:snapToGrid w:val="0"/>
              <w:ind w:leftChars="0" w:right="0" w:rightChars="0"/>
              <w:jc w:val="left"/>
              <w:textAlignment w:val="center"/>
              <w:rPr>
                <w:rStyle w:val="55"/>
                <w:rFonts w:hint="eastAsia" w:ascii="宋体" w:hAnsi="宋体" w:eastAsia="宋体" w:cs="宋体"/>
                <w:sz w:val="24"/>
                <w:szCs w:val="24"/>
                <w:lang w:val="en-US" w:eastAsia="zh-CN"/>
              </w:rPr>
            </w:pPr>
            <w:r>
              <w:rPr>
                <w:rStyle w:val="55"/>
                <w:rFonts w:hint="eastAsia" w:ascii="宋体" w:hAnsi="宋体" w:eastAsia="宋体" w:cs="宋体"/>
                <w:sz w:val="24"/>
                <w:szCs w:val="24"/>
                <w:lang w:val="en-US" w:eastAsia="zh-CN"/>
              </w:rPr>
              <w:t>5.尺寸≥100cm*200cm</w:t>
            </w:r>
          </w:p>
        </w:tc>
      </w:tr>
      <w:tr w14:paraId="6505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1A2DF145">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118</w:t>
            </w:r>
          </w:p>
        </w:tc>
        <w:tc>
          <w:tcPr>
            <w:tcW w:w="1284" w:type="dxa"/>
            <w:shd w:val="clear" w:color="auto" w:fill="auto"/>
            <w:vAlign w:val="center"/>
          </w:tcPr>
          <w:p w14:paraId="1E474BA8">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围裙+套袖</w:t>
            </w:r>
          </w:p>
        </w:tc>
        <w:tc>
          <w:tcPr>
            <w:tcW w:w="1296" w:type="dxa"/>
            <w:shd w:val="clear" w:color="auto" w:fill="auto"/>
            <w:vAlign w:val="center"/>
          </w:tcPr>
          <w:p w14:paraId="14FFE24D">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围裙+套袖</w:t>
            </w:r>
          </w:p>
        </w:tc>
        <w:tc>
          <w:tcPr>
            <w:tcW w:w="792" w:type="dxa"/>
            <w:shd w:val="clear" w:color="auto" w:fill="auto"/>
            <w:vAlign w:val="center"/>
          </w:tcPr>
          <w:p w14:paraId="2BBDD906">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2E6D47A4">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147" w:type="dxa"/>
            <w:shd w:val="clear" w:color="auto" w:fill="auto"/>
            <w:vAlign w:val="center"/>
          </w:tcPr>
          <w:p w14:paraId="3FAA4551">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1.成人围裙 常规尺寸：70cm×90cm（允许公差±2%）；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2.成人套袖 长度≥30cm，袖口可调节，适配不同臂围；</w:t>
            </w:r>
          </w:p>
        </w:tc>
      </w:tr>
      <w:tr w14:paraId="73C6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3BA7BC24">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119</w:t>
            </w:r>
          </w:p>
        </w:tc>
        <w:tc>
          <w:tcPr>
            <w:tcW w:w="1284" w:type="dxa"/>
            <w:vAlign w:val="center"/>
          </w:tcPr>
          <w:p w14:paraId="64FC93B6">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挂杆轨道+配件（2套）</w:t>
            </w:r>
          </w:p>
        </w:tc>
        <w:tc>
          <w:tcPr>
            <w:tcW w:w="1296" w:type="dxa"/>
            <w:vAlign w:val="center"/>
          </w:tcPr>
          <w:p w14:paraId="42FE6390">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挂杆轨道+配件（2套）</w:t>
            </w:r>
          </w:p>
        </w:tc>
        <w:tc>
          <w:tcPr>
            <w:tcW w:w="792" w:type="dxa"/>
            <w:vAlign w:val="center"/>
          </w:tcPr>
          <w:p w14:paraId="00D7EB86">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vAlign w:val="center"/>
          </w:tcPr>
          <w:p w14:paraId="387A8816">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5147" w:type="dxa"/>
            <w:vAlign w:val="center"/>
          </w:tcPr>
          <w:p w14:paraId="04A50F2D">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1.天轨规格 U型结构，定制尺寸适配单病床布局，轨道长度≥1800mm，整体尺寸误差≤±1cm；采用铝合金材质，壁厚≥1mm，表面经静电喷塑抗氧化处理，无毛刺、锈迹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2.输液吊杆 采用无级伸缩结构，可单手操作调节高度，适配2.2-3.2m房间层高；吊杆为铝合金或优质不锈钢材质，壁厚≥1mm，表面光滑无划伤</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3.挂钩配置 顶钩额定承重≥6kg，侧钩、底钩额定承重≥2kg，采用不锈钢镀铬材质，无尖锐棱角；吊杆配备≥4个可折叠式输液挂钩+1个固定式挂钩，挂钩为圆凸型设计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4.滑车系统 采用ABS或尼龙66材质滑车，内置阻尼刹车装置，悬挂输液瓶时自动锁止防止移位；每米轨道配置≥5个滑车，滑动顺畅无卡顿</w:t>
            </w:r>
          </w:p>
        </w:tc>
      </w:tr>
      <w:tr w14:paraId="1765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3BD969BF">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120</w:t>
            </w:r>
          </w:p>
        </w:tc>
        <w:tc>
          <w:tcPr>
            <w:tcW w:w="1284" w:type="dxa"/>
            <w:shd w:val="clear" w:color="auto" w:fill="auto"/>
            <w:vAlign w:val="center"/>
          </w:tcPr>
          <w:p w14:paraId="43B1BCF6">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挂杆配件</w:t>
            </w:r>
          </w:p>
        </w:tc>
        <w:tc>
          <w:tcPr>
            <w:tcW w:w="1296" w:type="dxa"/>
            <w:shd w:val="clear" w:color="auto" w:fill="auto"/>
            <w:vAlign w:val="center"/>
          </w:tcPr>
          <w:p w14:paraId="4CBA7E69">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挂杆配件</w:t>
            </w:r>
          </w:p>
        </w:tc>
        <w:tc>
          <w:tcPr>
            <w:tcW w:w="792" w:type="dxa"/>
            <w:shd w:val="clear" w:color="auto" w:fill="auto"/>
            <w:vAlign w:val="center"/>
          </w:tcPr>
          <w:p w14:paraId="7E6778B9">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shd w:val="clear" w:color="auto" w:fill="auto"/>
            <w:vAlign w:val="center"/>
          </w:tcPr>
          <w:p w14:paraId="7D5FD3C8">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5147" w:type="dxa"/>
            <w:shd w:val="clear" w:color="auto" w:fill="auto"/>
            <w:vAlign w:val="center"/>
          </w:tcPr>
          <w:p w14:paraId="40779A8F">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1.滑轮系统 采用PA66尼龙滑轮或不锈钢滑轮，单个滑轮最大承重≥5kg，每米轨道配置≥6个滑轮，滑动顺畅无卡顿，静音效果优异，滑动噪音≤30分贝</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2.挂钩/挂杆 搭配不锈钢S型挂钩或可调节挂杆，挂钩额定承重≥3kg，挂杆可适配不同宽度悬挂物，表面光滑无尖锐棱角，避免划伤悬挂物品</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3.固定配件 配套膨胀螺丝、固定卡扣等安装配件，膨胀螺丝采用304不锈钢材质，适配混凝土、木质等多种墙面，固定卡扣与轨道贴合紧密，无松动位移风险</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4.连接配件 轨道拼接处采用专用连接器，拼接缝隙≤1mm，确保滑轮顺畅通过，弯轨转角处采用一体成型工艺，无折角卡顿现象</w:t>
            </w:r>
          </w:p>
        </w:tc>
      </w:tr>
      <w:tr w14:paraId="0100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019FA094">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121</w:t>
            </w:r>
          </w:p>
        </w:tc>
        <w:tc>
          <w:tcPr>
            <w:tcW w:w="1284" w:type="dxa"/>
            <w:vAlign w:val="center"/>
          </w:tcPr>
          <w:p w14:paraId="79496629">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转台</w:t>
            </w:r>
          </w:p>
        </w:tc>
        <w:tc>
          <w:tcPr>
            <w:tcW w:w="1296" w:type="dxa"/>
            <w:vAlign w:val="center"/>
          </w:tcPr>
          <w:p w14:paraId="5C7CB02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转台</w:t>
            </w:r>
          </w:p>
        </w:tc>
        <w:tc>
          <w:tcPr>
            <w:tcW w:w="792" w:type="dxa"/>
            <w:vAlign w:val="center"/>
          </w:tcPr>
          <w:p w14:paraId="5D5A71B6">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vAlign w:val="center"/>
          </w:tcPr>
          <w:p w14:paraId="1261DAE1">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147" w:type="dxa"/>
            <w:vAlign w:val="center"/>
          </w:tcPr>
          <w:p w14:paraId="5C6C8A7B">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1.转动范围 水平方向支持N×360°连续旋转，俯仰范围-90°～+90°，特殊场景可定制转角限制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2.定位精度 常规场景≤0.01°，精密测试场景≤0.005°，工业改装场景≤1.5°</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3.速度性能 最大水平转适应速≥200°/s，最大俯仰转速≥100°/s，支持智能变速与焦距自</w:t>
            </w:r>
          </w:p>
        </w:tc>
      </w:tr>
      <w:tr w14:paraId="541D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147731BE">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122</w:t>
            </w:r>
          </w:p>
        </w:tc>
        <w:tc>
          <w:tcPr>
            <w:tcW w:w="1284" w:type="dxa"/>
            <w:shd w:val="clear" w:color="auto" w:fill="auto"/>
            <w:vAlign w:val="center"/>
          </w:tcPr>
          <w:p w14:paraId="28CF6969">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陶艺黏土</w:t>
            </w:r>
          </w:p>
        </w:tc>
        <w:tc>
          <w:tcPr>
            <w:tcW w:w="1296" w:type="dxa"/>
            <w:shd w:val="clear" w:color="auto" w:fill="auto"/>
            <w:vAlign w:val="center"/>
          </w:tcPr>
          <w:p w14:paraId="30181C29">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陶艺黏土</w:t>
            </w:r>
          </w:p>
        </w:tc>
        <w:tc>
          <w:tcPr>
            <w:tcW w:w="792" w:type="dxa"/>
            <w:shd w:val="clear" w:color="auto" w:fill="auto"/>
            <w:vAlign w:val="center"/>
          </w:tcPr>
          <w:p w14:paraId="4A9F0990">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公斤</w:t>
            </w:r>
          </w:p>
        </w:tc>
        <w:tc>
          <w:tcPr>
            <w:tcW w:w="792" w:type="dxa"/>
            <w:shd w:val="clear" w:color="auto" w:fill="auto"/>
            <w:vAlign w:val="center"/>
          </w:tcPr>
          <w:p w14:paraId="6123B8FD">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147" w:type="dxa"/>
            <w:shd w:val="clear" w:color="auto" w:fill="auto"/>
            <w:vAlign w:val="center"/>
          </w:tcPr>
          <w:p w14:paraId="0EB056BF">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1.物理性能 水分≤10.0%，粒度合格率≥90.0%，无大于0.3mm颗粒 ；可塑性指数≥12，满足拉坯、捏塑等成型工艺的可塑性需求</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2.烧成性能 烧成温度范围：1000℃-1300℃，可适配不同窑炉类型；烧成收缩率：线收缩率≤8%，体收缩率≤15%，确保成型后坯体尺寸稳定性 ；生球抗压强度≥180N（针对批量成型工艺）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3.烧后效果 烧后颜色均匀，无杂色斑点：白陶烧后呈纯白色，普通陶可呈黄白色、浅黄色，粗陶可呈红色、暗红色等，颜色可根据需求定制 ；烧后坯体无开裂、气泡、针孔等缺陷，吸水率：细陶≤3%，普通陶≤8%，粗陶≤15%</w:t>
            </w:r>
          </w:p>
        </w:tc>
      </w:tr>
      <w:tr w14:paraId="6DEE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7E8E09FC">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123</w:t>
            </w:r>
          </w:p>
        </w:tc>
        <w:tc>
          <w:tcPr>
            <w:tcW w:w="1284" w:type="dxa"/>
            <w:vAlign w:val="center"/>
          </w:tcPr>
          <w:p w14:paraId="6CCD3527">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整墙镜子 7.5*2</w:t>
            </w:r>
          </w:p>
        </w:tc>
        <w:tc>
          <w:tcPr>
            <w:tcW w:w="1296" w:type="dxa"/>
            <w:vAlign w:val="center"/>
          </w:tcPr>
          <w:p w14:paraId="6EB7E1D1">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整墙镜子 7.5*2</w:t>
            </w:r>
          </w:p>
        </w:tc>
        <w:tc>
          <w:tcPr>
            <w:tcW w:w="792" w:type="dxa"/>
            <w:vAlign w:val="center"/>
          </w:tcPr>
          <w:p w14:paraId="7C1995D4">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套</w:t>
            </w:r>
          </w:p>
        </w:tc>
        <w:tc>
          <w:tcPr>
            <w:tcW w:w="792" w:type="dxa"/>
            <w:vAlign w:val="center"/>
          </w:tcPr>
          <w:p w14:paraId="79AC0402">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147" w:type="dxa"/>
            <w:vAlign w:val="center"/>
          </w:tcPr>
          <w:p w14:paraId="01E3A365">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1.镜面尺寸‌ 定制尺寸：长7.5米 × 高2米，整体拼接缝隙≤1mm，确保视觉连贯无断层；允许尺寸误差±5mm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‌2.玻璃厚度‌ 采用6mm厚浮法银镜玻璃，原片无波纹、无色差、无划痕，透光率≥90%，反射清晰不失真</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‌3.镜面类型‌ 无铜环保镜，采用先进真空溅射镀银工艺，抗氧化、抗腐蚀性强，耐潮湿环境，使用寿命≥8年</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‌4.背漆处理‌ 双层防水背漆+保护膜，经500小时盐雾测试无起泡、脱落现象，适用于高湿度场所</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‌5.边部加工‌ 四边精磨抛光，无毛刺、崩边，边缘平整光滑；可选黑边/透明PVC封边条加固，提升安全性与美观度</w:t>
            </w:r>
          </w:p>
        </w:tc>
      </w:tr>
      <w:tr w14:paraId="69FC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6" w:type="dxa"/>
            <w:tcBorders>
              <w:insideV w:val="single" w:sz="4" w:space="0"/>
            </w:tcBorders>
            <w:shd w:val="clear" w:color="auto" w:fill="FFFFFF" w:themeFill="background1"/>
            <w:vAlign w:val="center"/>
          </w:tcPr>
          <w:p w14:paraId="03DDD515">
            <w:pPr>
              <w:widowControl/>
              <w:snapToGrid w:val="0"/>
              <w:ind w:left="0" w:leftChars="0" w:right="0" w:rightChars="0" w:firstLine="0" w:firstLineChars="0"/>
              <w:jc w:val="center"/>
              <w:textAlignment w:val="center"/>
              <w:rPr>
                <w:rFonts w:hint="eastAsia" w:ascii="宋体" w:hAnsi="宋体" w:eastAsia="宋体" w:cs="宋体"/>
                <w:i/>
                <w:iCs/>
                <w:color w:val="000000"/>
                <w:sz w:val="24"/>
                <w:szCs w:val="24"/>
              </w:rPr>
            </w:pPr>
            <w:r>
              <w:rPr>
                <w:rFonts w:hint="eastAsia" w:ascii="宋体" w:hAnsi="宋体" w:eastAsia="宋体" w:cs="宋体"/>
                <w:i w:val="0"/>
                <w:iCs w:val="0"/>
                <w:color w:val="000000"/>
                <w:kern w:val="0"/>
                <w:sz w:val="24"/>
                <w:szCs w:val="24"/>
                <w:lang w:bidi="ar"/>
              </w:rPr>
              <w:t>124</w:t>
            </w:r>
          </w:p>
        </w:tc>
        <w:tc>
          <w:tcPr>
            <w:tcW w:w="1284" w:type="dxa"/>
            <w:shd w:val="clear" w:color="auto" w:fill="auto"/>
            <w:vAlign w:val="center"/>
          </w:tcPr>
          <w:p w14:paraId="3C1E6A83">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手把杆</w:t>
            </w:r>
          </w:p>
        </w:tc>
        <w:tc>
          <w:tcPr>
            <w:tcW w:w="1296" w:type="dxa"/>
            <w:shd w:val="clear" w:color="auto" w:fill="auto"/>
            <w:vAlign w:val="center"/>
          </w:tcPr>
          <w:p w14:paraId="02316B05">
            <w:pPr>
              <w:widowControl/>
              <w:snapToGrid w:val="0"/>
              <w:ind w:left="0" w:leftChars="0" w:right="0" w:rightChars="0"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手把杆</w:t>
            </w:r>
          </w:p>
        </w:tc>
        <w:tc>
          <w:tcPr>
            <w:tcW w:w="792" w:type="dxa"/>
            <w:shd w:val="clear" w:color="auto" w:fill="auto"/>
            <w:vAlign w:val="center"/>
          </w:tcPr>
          <w:p w14:paraId="028A3796">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个</w:t>
            </w:r>
          </w:p>
        </w:tc>
        <w:tc>
          <w:tcPr>
            <w:tcW w:w="792" w:type="dxa"/>
            <w:shd w:val="clear" w:color="auto" w:fill="auto"/>
            <w:vAlign w:val="center"/>
          </w:tcPr>
          <w:p w14:paraId="18E50C48">
            <w:pPr>
              <w:widowControl/>
              <w:snapToGrid w:val="0"/>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147" w:type="dxa"/>
            <w:shd w:val="clear" w:color="auto" w:fill="auto"/>
            <w:vAlign w:val="center"/>
          </w:tcPr>
          <w:p w14:paraId="1F25675B">
            <w:pPr>
              <w:widowControl/>
              <w:snapToGrid w:val="0"/>
              <w:ind w:left="0" w:leftChars="0" w:right="0" w:rightChars="0" w:firstLine="0" w:firstLineChars="0"/>
              <w:jc w:val="left"/>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bidi="ar"/>
              </w:rPr>
              <w:t>1.支持伸缩</w:t>
            </w:r>
            <w:r>
              <w:rPr>
                <w:rFonts w:hint="eastAsia" w:ascii="宋体" w:hAnsi="宋体" w:eastAsia="宋体" w:cs="宋体"/>
                <w:color w:val="000000"/>
                <w:kern w:val="0"/>
                <w:sz w:val="24"/>
                <w:szCs w:val="24"/>
                <w:lang w:val="en-US" w:eastAsia="zh-CN" w:bidi="ar"/>
              </w:rPr>
              <w:t>调节高度≥70cm-90cm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2.材质：碳纤维</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3.适用范围：</w:t>
            </w:r>
            <w:r>
              <w:rPr>
                <w:rFonts w:hint="eastAsia" w:ascii="宋体" w:hAnsi="宋体" w:eastAsia="宋体" w:cs="宋体"/>
                <w:color w:val="000000"/>
                <w:kern w:val="0"/>
                <w:sz w:val="24"/>
                <w:szCs w:val="24"/>
                <w:lang w:val="en-US" w:eastAsia="zh-CN" w:bidi="ar"/>
              </w:rPr>
              <w:t>适用高度≥1.4-1.9米</w:t>
            </w:r>
            <w:r>
              <w:rPr>
                <w:rFonts w:hint="eastAsia" w:ascii="宋体" w:hAnsi="宋体" w:eastAsia="宋体" w:cs="宋体"/>
                <w:color w:val="000000"/>
                <w:kern w:val="0"/>
                <w:sz w:val="24"/>
                <w:szCs w:val="24"/>
                <w:lang w:bidi="ar"/>
              </w:rPr>
              <w:t>用于行动障碍患者的辅助行走或站立，进行康复训练</w:t>
            </w:r>
          </w:p>
        </w:tc>
      </w:tr>
    </w:tbl>
    <w:p w14:paraId="7EEAE863">
      <w:pPr>
        <w:pStyle w:val="4"/>
        <w:numPr>
          <w:ilvl w:val="2"/>
          <w:numId w:val="0"/>
        </w:numPr>
        <w:bidi w:val="0"/>
        <w:ind w:left="567" w:leftChars="0"/>
        <w:rPr>
          <w:rFonts w:hint="eastAsia" w:ascii="宋体" w:hAnsi="宋体" w:eastAsia="宋体" w:cs="宋体"/>
          <w:lang w:val="en-US" w:eastAsia="zh-CN"/>
        </w:rPr>
      </w:pPr>
      <w:r>
        <w:rPr>
          <w:rFonts w:hint="eastAsia" w:ascii="宋体" w:hAnsi="宋体" w:eastAsia="宋体" w:cs="宋体"/>
          <w:lang w:val="en-US" w:eastAsia="zh-CN"/>
        </w:rPr>
        <w:br w:type="textWrapping"/>
      </w:r>
      <w:r>
        <w:rPr>
          <w:rFonts w:hint="eastAsia" w:ascii="宋体" w:hAnsi="宋体" w:eastAsia="宋体" w:cs="宋体"/>
          <w:b/>
          <w:bCs/>
          <w:lang w:val="en-US" w:eastAsia="zh-CN"/>
        </w:rPr>
        <w:t>2、医疗</w:t>
      </w:r>
    </w:p>
    <w:tbl>
      <w:tblPr>
        <w:tblStyle w:val="46"/>
        <w:tblW w:w="10068" w:type="dxa"/>
        <w:tblInd w:w="-55" w:type="dxa"/>
        <w:tblLayout w:type="fixed"/>
        <w:tblCellMar>
          <w:top w:w="0" w:type="dxa"/>
          <w:left w:w="108" w:type="dxa"/>
          <w:bottom w:w="0" w:type="dxa"/>
          <w:right w:w="108" w:type="dxa"/>
        </w:tblCellMar>
      </w:tblPr>
      <w:tblGrid>
        <w:gridCol w:w="624"/>
        <w:gridCol w:w="1596"/>
        <w:gridCol w:w="1440"/>
        <w:gridCol w:w="708"/>
        <w:gridCol w:w="5700"/>
      </w:tblGrid>
      <w:tr w14:paraId="4742FEA9">
        <w:tblPrEx>
          <w:tblCellMar>
            <w:top w:w="0" w:type="dxa"/>
            <w:left w:w="108" w:type="dxa"/>
            <w:bottom w:w="0" w:type="dxa"/>
            <w:right w:w="108" w:type="dxa"/>
          </w:tblCellMar>
        </w:tblPrEx>
        <w:trPr>
          <w:trHeight w:val="65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ADAD">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B603">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产品</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9F03">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数量</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4226">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单位</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3AB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规格参数</w:t>
            </w:r>
          </w:p>
        </w:tc>
      </w:tr>
      <w:tr w14:paraId="52BDAB4A">
        <w:tblPrEx>
          <w:tblCellMar>
            <w:top w:w="0" w:type="dxa"/>
            <w:left w:w="108" w:type="dxa"/>
            <w:bottom w:w="0" w:type="dxa"/>
            <w:right w:w="108" w:type="dxa"/>
          </w:tblCellMar>
        </w:tblPrEx>
        <w:trPr>
          <w:trHeight w:val="2496"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E33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D0FD">
            <w:pPr>
              <w:widowControl/>
              <w:jc w:val="left"/>
              <w:textAlignment w:val="center"/>
              <w:rPr>
                <w:rFonts w:hint="eastAsia" w:ascii="宋体" w:hAnsi="宋体" w:eastAsia="宋体" w:cs="宋体"/>
                <w:color w:val="000000"/>
                <w:sz w:val="24"/>
              </w:rPr>
            </w:pPr>
            <w:r>
              <w:rPr>
                <w:rFonts w:hint="eastAsia" w:ascii="宋体" w:hAnsi="宋体" w:eastAsia="宋体" w:cs="宋体"/>
                <w:b/>
                <w:bCs/>
                <w:sz w:val="28"/>
                <w:szCs w:val="28"/>
              </w:rPr>
              <w:t>认知学习平台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C83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ED6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套</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C78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 一、硬件（材质）：</w:t>
            </w:r>
          </w:p>
          <w:p w14:paraId="5346392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1、采用LED液晶显示屏；屏幕比例：16:9；显示屏保护面板为透明钢化保护玻璃厚度不低于4mm；有效屏幕尺寸：≥60英寸；</w:t>
            </w:r>
          </w:p>
          <w:p w14:paraId="0FB69C9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2.无锐角安全设计，边角采用圆弧设计，按键板前置，方便使用、显示区域：全屏显示，显示区域无黑边，无盲区 </w:t>
            </w:r>
          </w:p>
          <w:p w14:paraId="55371C5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3.控制主机配置：CPU频率≥2.8GHz，内存≥4G，硬盘≥120G，独立显卡，显存≥1GB。</w:t>
            </w:r>
          </w:p>
          <w:p w14:paraId="17B208F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4.采用接触式红外触控技术 安装方式：必须内置一体式； 触摸分辨率：≥4096（W）×4096（D）、红外触摸屏供电系统：USB供电，统自动识别，无需安装触摸模组驱动 红外触摸屏系统</w:t>
            </w:r>
          </w:p>
          <w:p w14:paraId="77A74DA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二、软件：</w:t>
            </w:r>
          </w:p>
          <w:p w14:paraId="1BB6887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模块一：成人认知评估与训练模块</w:t>
            </w:r>
          </w:p>
          <w:p w14:paraId="5AF48D5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认知能力评估与训练系统是采用国际通用认知评估量表对认知障碍患者进行认知评估的系统，评估过程采用“全自动－患者人机对话”模式，评估量表里的指令声音，文字，图片等均由系统发出及显示，有效解决传统评估过程中评估用具繁多难以整理，评估过程用具切换繁琐的弊病,患者的响应及反应均由系统自动记录，最后进行分析统计，显著降低治疗师的工作量，提高认知评定工作的效率。   </w:t>
            </w:r>
          </w:p>
          <w:p w14:paraId="4BFA1D6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系统功能部分参数：</w:t>
            </w:r>
          </w:p>
          <w:p w14:paraId="40F92EB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训练项包括：结构组织能力（空间理解、空间综合、方位判断）、定向能力（时间定向、地点定向、人物定向）、专注能力（视觉专注、听觉专注、连线游戏）、语言能力（复述、命名、判断、理解、阅读、组句、选择、匹配）、记忆能力（形象记忆、逻辑记忆、运动记忆）、计算能力（直接运算、间接运算、创造性运算）、推理能力（次序推理、图像推理、事件推理）等。</w:t>
            </w:r>
          </w:p>
          <w:p w14:paraId="417B4AA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2、设计了与评估相匹配的七种能力康复训练，每一种能力的训练分为初级、中级和高级三个难度等级，根据个人差异将每个难度又分成了更细的训练内容。</w:t>
            </w:r>
          </w:p>
          <w:p w14:paraId="3A1A99E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其中注意力训练包含保持训练、选择训练、转移训练、分配训练、综合训练等不少于六种模式训练，总共包含不少于18种训练内容；</w:t>
            </w:r>
          </w:p>
          <w:p w14:paraId="326EB29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记忆力训练包含人名、相貌、五官、位置、视听觉等不少于15种训练内容；</w:t>
            </w:r>
          </w:p>
          <w:p w14:paraId="159C5EE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计算训练包含不少于六种训练内容；思维心理包含不少于四种训练内容；知觉训练包含不少于五种训练内容</w:t>
            </w:r>
          </w:p>
          <w:p w14:paraId="1B1F430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3、治疗过程中，所有训练项目都可以自动反馈，帮助用户了解自身的错误情况，及时纠正错误的训练方式；个性化治疗，系统根据用户治疗的完成情况，自动分析用户需要进行的下一步治疗的难度与参数；</w:t>
            </w:r>
          </w:p>
          <w:p w14:paraId="29C57D3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4、每次治疗结束后，系统自动对患者当日的整体治疗表现以数值和符号的方式予以反馈，并自动结束当次（日）的治疗，可自动生成单个或多位患者的治疗报告，并可打印报告。</w:t>
            </w:r>
          </w:p>
          <w:p w14:paraId="15428E6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5、训练端：每个训练都有自动演示功能，无需指导，全程治疗根据治疗方案自动进行，无需人为干预，根据不同的疾病在认知不同功能的损伤程度，给予标准的方案式治疗；</w:t>
            </w:r>
          </w:p>
          <w:p w14:paraId="4F7F028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6、采用人机互动模式，趣味性和可选择性强，包括多媒体、动画、语音识别和触屏技术，能充分调动儿童参与的积极性。</w:t>
            </w:r>
          </w:p>
          <w:p w14:paraId="50C011D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7、治疗过程中实时动态监测，服务器端实时监控每位患者的治疗进展。</w:t>
            </w:r>
          </w:p>
          <w:p w14:paraId="491CB610">
            <w:pP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8、电子化临床量表评估不少于19种(包括但不限于)：</w:t>
            </w:r>
          </w:p>
          <w:p w14:paraId="1D3C2D6A">
            <w:pP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Blessed 痴呆量表(BDS)</w:t>
            </w:r>
          </w:p>
          <w:p w14:paraId="009F8374">
            <w:pP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认知功能筛选检查表</w:t>
            </w:r>
          </w:p>
          <w:p w14:paraId="585D487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Rivermead 行为记忆试验(RBMT)</w:t>
            </w:r>
          </w:p>
          <w:p w14:paraId="1868D87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长谷川痴呆量表(HDS)</w:t>
            </w:r>
          </w:p>
          <w:p w14:paraId="38D52D6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汉密尔顿焦虑表(HAMA)</w:t>
            </w:r>
          </w:p>
          <w:p w14:paraId="5DC2E12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汉密尔顿抑郁量表(HAMD)</w:t>
            </w:r>
          </w:p>
          <w:p w14:paraId="2E5B0B0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记忆功能障碍筛查</w:t>
            </w:r>
          </w:p>
          <w:p w14:paraId="352129B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简易智能状态检查(MMSE)</w:t>
            </w:r>
          </w:p>
          <w:p w14:paraId="74C0FE2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蒙特利尔认知评估中文版(MoCA)</w:t>
            </w:r>
          </w:p>
          <w:p w14:paraId="4EC7309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认知功能筛选检查表</w:t>
            </w:r>
          </w:p>
          <w:p w14:paraId="5FB097B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瑞文测验彩色版(CPM)</w:t>
            </w:r>
          </w:p>
          <w:p w14:paraId="32CBCAB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失认证评定</w:t>
            </w:r>
          </w:p>
          <w:p w14:paraId="45DD4C4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失算症评定(EC301)</w:t>
            </w:r>
          </w:p>
          <w:p w14:paraId="6A0AA5A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威斯康星卡片分类测验(WCST-64)</w:t>
            </w:r>
          </w:p>
          <w:p w14:paraId="244CF69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韦氏成人智力量表城市版(WAIS-RC)</w:t>
            </w:r>
          </w:p>
          <w:p w14:paraId="1AAFB17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韦氏记忆量表(WMS)(甲式)</w:t>
            </w:r>
          </w:p>
          <w:p w14:paraId="2428644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韦氏记忆量表(WMS)(乙式)</w:t>
            </w:r>
          </w:p>
          <w:p w14:paraId="17AE4DA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症状自评量表(SCL-90)</w:t>
            </w:r>
          </w:p>
          <w:p w14:paraId="39B5CC8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注意力评定</w:t>
            </w:r>
          </w:p>
          <w:p w14:paraId="1069D86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8、认知评估采用人机对话方式，可极大减少治疗师的工作量，提高整体的工作效率。</w:t>
            </w:r>
          </w:p>
          <w:p w14:paraId="2448B67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9、病历管理：患者信息登记，为患者建立病历档案。</w:t>
            </w:r>
          </w:p>
          <w:p w14:paraId="3456596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10、认知能力评估：包含定向能力、注意能力、语言能力、执行能力、记忆能力、计算能力、日常知识、推理能力8个方面，其中，语言能力又包括表达、听理解、视理解和命名，其中分为甄别试和等级试测试。</w:t>
            </w:r>
          </w:p>
          <w:p w14:paraId="201EEDB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11、认知康复训练：康复训练与评估有机地结合，对每个患者的每项评估，通过康复建议实现康复个性化，为每个患者量身订制康复训练方案。</w:t>
            </w:r>
          </w:p>
          <w:p w14:paraId="18CBFB3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模块二：认知闪卡训练模块</w:t>
            </w:r>
          </w:p>
          <w:p w14:paraId="047638B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针对五项认知能力：感知觉、注意、观察、记忆、思维（推理）能力训练，根据患者的不同认知能力，可采用阶梯式康复训练横式，同一种认知能力项训练均有不同的难度。</w:t>
            </w:r>
          </w:p>
          <w:p w14:paraId="3C65B1C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（1）、包含语言，基础，食物，生活，自然，日常，动作，识字、常用等8大类的认知图片训练，每个大板块，48个小版块，不低于1400个内容；</w:t>
            </w:r>
          </w:p>
          <w:p w14:paraId="3E04BFC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1.1、语言板块包括：声母、韵母、动词、汉字、英语字母、量词、礼貌用语。</w:t>
            </w:r>
          </w:p>
          <w:p w14:paraId="760DB91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1.2、基础板块包括：颜色、形状、数字、身体部位、时间、钱币、人称。</w:t>
            </w:r>
          </w:p>
          <w:p w14:paraId="0952E24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1.3、食物板块：水果、蔬菜、零食、快餐、菜肴。</w:t>
            </w:r>
          </w:p>
          <w:p w14:paraId="30D8E96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1.4、生活版块：家电、服饰、生活用品、文具、家具、乐器、玩具、日常标识、饰品。</w:t>
            </w:r>
          </w:p>
          <w:p w14:paraId="0929085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1.5、自然板块:常见动物、陆地动物、海洋动物、植物、鸟类、昆虫类、自然现象、自然景观。</w:t>
            </w:r>
          </w:p>
          <w:p w14:paraId="4A2BDCB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1.6、日常板块：职业、交通工具、公共场所、家庭场所、特定场所。</w:t>
            </w:r>
          </w:p>
          <w:p w14:paraId="7EB3945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1.7、动作板块：身体动作、情绪、家庭活动、日常活动。</w:t>
            </w:r>
          </w:p>
          <w:p w14:paraId="3E612CB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1.8、识字板块：拼音类、基础类、认知类。</w:t>
            </w:r>
          </w:p>
          <w:p w14:paraId="7169DBB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（2）、可通过闪卡模式，翻阅模式，测试模式进行认知训练；</w:t>
            </w:r>
          </w:p>
          <w:p w14:paraId="1362080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（3）、每个小版块可通过图片匹配、听音匹配、图集测试进行针对内容认知评估，每个大板块带有整个板块内容评估可选内容。</w:t>
            </w:r>
          </w:p>
          <w:p w14:paraId="12F39A8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（4）、闪卡模式和翻阅模式下，包含语音和图形双重认知训练，可进行自动播放和翻阅播放，可进行跟读认知和重复认知；</w:t>
            </w:r>
          </w:p>
          <w:p w14:paraId="38DD8C7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（5）、可设置单位课程的认知卡片数量；</w:t>
            </w:r>
          </w:p>
          <w:p w14:paraId="3C15243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（6）、测试模式可进行难度设置，包含听音匹配测试和图片匹配测试；</w:t>
            </w:r>
          </w:p>
          <w:p w14:paraId="1EF09E4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（7）、设置板块：带有误触防护保护功能、可进行闪卡播放时间设置、图片文字显示设置、配对图片数量设置、选择图片设置、锁设置、音量调节。</w:t>
            </w:r>
          </w:p>
          <w:p w14:paraId="0428554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（8）目录预览功能可快速查阅板块类目</w:t>
            </w:r>
          </w:p>
          <w:p w14:paraId="3101533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（9）搜索功能方便快捷找到需要学习的内容。</w:t>
            </w:r>
          </w:p>
          <w:p w14:paraId="4A7C362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（10）评估完带基础评估报告。</w:t>
            </w:r>
          </w:p>
          <w:p w14:paraId="43CD059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模块三：智力训练模块</w:t>
            </w:r>
          </w:p>
          <w:p w14:paraId="3C03BEE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软件丰富多样，将益智游戏、棋牌竞技、轻松休闲集于一体。专项互动训练软件针对注意力、观察力、记忆力等能力进行训练；</w:t>
            </w:r>
          </w:p>
          <w:p w14:paraId="173CD67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软件康复含10多种互动项目，500种音频资源。</w:t>
            </w:r>
          </w:p>
          <w:p w14:paraId="3531034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益智游戏模块包含连连看、记忆灯、记忆喂鱼、记忆围棋等不少于9款益智游戏。</w:t>
            </w:r>
          </w:p>
          <w:p w14:paraId="2BD13DF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棋牌竞技模块包含象棋、五子棋、军旗、跳棋等不少于6款棋类运动。</w:t>
            </w:r>
          </w:p>
          <w:p w14:paraId="6D11537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轻松一刻模块包含500种以上音视频资源。</w:t>
            </w:r>
          </w:p>
          <w:p w14:paraId="63A37A5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模块四：早老干预模块</w:t>
            </w:r>
          </w:p>
          <w:p w14:paraId="322068E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1.身体状况自测：包含亚健康状态、大便指数、女性更年期指数、心脑功能、患病征兆、患老年痴呆征兆、男性更年期指数、血管老化程度等不少于八种疾病自测</w:t>
            </w:r>
          </w:p>
          <w:p w14:paraId="5048F2D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2.癌症自测：包含乳腺癌、前列腺癌、咽喉癌、子宫癌、卵巢癌、白血病、结肠癌、肝癌、肺癌、胃癌、胰腺癌、脑肿瘤、膀胱癌、食管癌等十三种疾病程度自测。</w:t>
            </w:r>
          </w:p>
          <w:p w14:paraId="49E2A18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中老年常见疾病自测：包含冠心病、前列腺增生、尿毒症、尿路感染、帕金森病、心功能不全、心机梗死、慢性肝炎、支气管哮喘、糖尿病、老年性白内障、老年痴呆、肺结核、肝硬化、脑血栓、高血压、青光眼、骨质疏松症等不少于二十六种疾病程度自测</w:t>
            </w:r>
          </w:p>
          <w:p w14:paraId="0ECF31D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4.生活方式病自测：包含心脏病、甲状腺疾病、肥胖指数、患肾脏疾病、高尿酸血症程度、胃炎、胃溃疡、患脂肪肝、动脉粥样硬化、过敏性疾病等不少于二十种疾病自测。</w:t>
            </w:r>
          </w:p>
          <w:p w14:paraId="14B8B1CB">
            <w:pPr>
              <w:rPr>
                <w:rFonts w:hint="eastAsia" w:ascii="宋体" w:hAnsi="宋体" w:eastAsia="宋体" w:cs="宋体"/>
                <w:color w:val="000000"/>
                <w:sz w:val="24"/>
              </w:rPr>
            </w:pPr>
            <w:r>
              <w:rPr>
                <w:rFonts w:hint="eastAsia" w:ascii="宋体" w:hAnsi="宋体" w:eastAsia="宋体" w:cs="宋体"/>
                <w:color w:val="000000"/>
                <w:kern w:val="0"/>
                <w:sz w:val="24"/>
                <w:lang w:bidi="ar"/>
              </w:rPr>
              <w:t>5.包含身体状况自测、生活方式病自测、癌症自测、中老年常见疾病自测等不少于四种疾病测试模式，每一项测试内容种都针对不同的病症有不同的测试内容，使用者通过简单的自测可进行简单的病症评估，评估结束后系统会根据评估结果生成健康生活方式的建议。</w:t>
            </w:r>
          </w:p>
        </w:tc>
      </w:tr>
      <w:tr w14:paraId="31C37510">
        <w:tblPrEx>
          <w:tblCellMar>
            <w:top w:w="0" w:type="dxa"/>
            <w:left w:w="108" w:type="dxa"/>
            <w:bottom w:w="0" w:type="dxa"/>
            <w:right w:w="108" w:type="dxa"/>
          </w:tblCellMar>
        </w:tblPrEx>
        <w:trPr>
          <w:trHeight w:val="9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638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7F54">
            <w:pPr>
              <w:widowControl/>
              <w:jc w:val="left"/>
              <w:textAlignment w:val="center"/>
              <w:rPr>
                <w:rFonts w:hint="eastAsia" w:ascii="宋体" w:hAnsi="宋体" w:eastAsia="宋体" w:cs="宋体"/>
                <w:color w:val="000000"/>
                <w:sz w:val="24"/>
              </w:rPr>
            </w:pPr>
            <w:r>
              <w:rPr>
                <w:rFonts w:hint="eastAsia" w:ascii="宋体" w:hAnsi="宋体" w:eastAsia="宋体" w:cs="宋体"/>
                <w:b/>
                <w:bCs/>
                <w:sz w:val="28"/>
                <w:szCs w:val="28"/>
              </w:rPr>
              <w:t>认知学习平台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423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955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套</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001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  一、硬件（材质）：</w:t>
            </w:r>
          </w:p>
          <w:p w14:paraId="2DEAC05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1、采用LED液晶显示屏；屏幕比例：16:9；显示屏保护面板为透明钢化保护玻璃厚度不低于4mm；有效屏幕尺寸：≥60英寸；</w:t>
            </w:r>
          </w:p>
          <w:p w14:paraId="4219610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2.无锐角安全设计，边角采用圆弧设计，按键板前置，方便使用、显示区域：全屏显示，显示区域无黑边，无盲区 </w:t>
            </w:r>
          </w:p>
          <w:p w14:paraId="5AAC6F3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3.控制主机配置：CPU频率≥2.8GHz，内存≥4G，硬盘≥120G，独立显卡，显存≥1GB。</w:t>
            </w:r>
          </w:p>
          <w:p w14:paraId="1274332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4.采用接触式红外触控技术 安装方式：必须内置一体式； 触摸分辨率：≥4096（W）×4096（D）、红外触摸屏供电系统：USB供电，统自动识别，无需安装触摸模组驱动 红外触摸屏系统</w:t>
            </w:r>
          </w:p>
          <w:p w14:paraId="1A4DEAF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二、软件：</w:t>
            </w:r>
          </w:p>
          <w:p w14:paraId="17EB540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模块一：成人认知评估与训练模块</w:t>
            </w:r>
          </w:p>
          <w:p w14:paraId="3184DFA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认知能力评估与训练系统是采用国际通用认知评估量表对认知障碍患者进行认知评估的系统，评估过程采用“全自动－患者人机对话”模式，评估量表里的指令声音，文字，图片等均由系统发出及显示，有效解决传统评估过程中评估用具繁多难以整理，评估过程用具切换繁琐的弊病,患者的响应及反应均由系统自动记录，最后进行分析统计，显著降低治疗师的工作量，提高认知评定工作的效率。   </w:t>
            </w:r>
          </w:p>
          <w:p w14:paraId="408259C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系统功能部分参数：</w:t>
            </w:r>
          </w:p>
          <w:p w14:paraId="4CE0C01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训练项包括：结构组织能力（空间理解、空间综合、方位判断）、定向能力（时间定向、地点定向、人物定向）、专注能力（视觉专注、听觉专注、连线游戏）、语言能力（复述、命名、判断、理解、阅读、组句、选择、匹配）、记忆能力（形象记忆、逻辑记忆、运动记忆）、计算能力（直接运算、间接运算、创造性运算）、推理能力（次序推理、图像推理、事件推理）等。</w:t>
            </w:r>
          </w:p>
          <w:p w14:paraId="47BF98D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2、设计了与评估相匹配的七种能力康复训练，每一种能力的训练分为初级、中级和高级三个难度等级，根据个人差异将每个难度又分成了更细的训练内容。</w:t>
            </w:r>
          </w:p>
          <w:p w14:paraId="1A46107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其中注意力训练包含保持训练、选择训练、转移训练、分配训练、综合训练等不少于六种模式训练，总共包含不少于18种训练内容；</w:t>
            </w:r>
          </w:p>
          <w:p w14:paraId="7C04561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记忆力训练包含人名、相貌、五官、位置、视听觉等不少于15种训练内容；</w:t>
            </w:r>
          </w:p>
          <w:p w14:paraId="5EF1181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计算训练包含不少于六种训练内容；思维心理包含不少于四种训练内容；知觉训练包含不少于五种训练内容</w:t>
            </w:r>
          </w:p>
          <w:p w14:paraId="5CD5638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3、治疗过程中，所有训练项目都可以自动反馈，帮助用户了解自身的错误情况，及时纠正错误的训练方式；个性化治疗，系统根据用户治疗的完成情况，自动分析用户需要进行的下一步治疗的难度与参数；</w:t>
            </w:r>
          </w:p>
          <w:p w14:paraId="1A13206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4、每次治疗结束后，系统自动对患者当日的整体治疗表现以数值和符号的方式予以反馈，并自动结束当次（日）的治疗，可自动生成单个或多位患者的治疗报告，并可打印报告。</w:t>
            </w:r>
          </w:p>
          <w:p w14:paraId="4D4687F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5、训练端：每个训练都有自动演示功能，无需指导，全程治疗根据治疗方案自动进行，无需人为干预，根据不同的疾病在认知不同功能的损伤程度，给予标准的方案式治疗；</w:t>
            </w:r>
          </w:p>
          <w:p w14:paraId="0DBAFAB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6、采用人机互动模式，趣味性和可选择性强，包括多媒体、动画、语音识别和触屏技术，能充分调动儿童参与的积极性。</w:t>
            </w:r>
          </w:p>
          <w:p w14:paraId="2BD3E00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7、治疗过程中实时动态监测，服务器端实时监控每位患者的治疗进展。</w:t>
            </w:r>
          </w:p>
          <w:p w14:paraId="2F150F0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8、电子化临床量表评估不少于19种(包括但不限于)：</w:t>
            </w:r>
          </w:p>
          <w:p w14:paraId="71CAE33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Blessed 痴呆量表(BDS)</w:t>
            </w:r>
          </w:p>
          <w:p w14:paraId="7BDE9E1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认知功能筛选检查表</w:t>
            </w:r>
          </w:p>
          <w:p w14:paraId="7A51899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Rivermead 行为记忆试验(RBMT)</w:t>
            </w:r>
          </w:p>
          <w:p w14:paraId="689553F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长谷川痴呆量表(HDS)</w:t>
            </w:r>
          </w:p>
          <w:p w14:paraId="343B82D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汉密尔顿焦虑表(HAMA)</w:t>
            </w:r>
          </w:p>
          <w:p w14:paraId="0606588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汉密尔顿抑郁量表(HAMD)</w:t>
            </w:r>
          </w:p>
          <w:p w14:paraId="6093A1C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记忆功能障碍筛查</w:t>
            </w:r>
          </w:p>
          <w:p w14:paraId="56F1641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简易智能状态检查(MMSE)</w:t>
            </w:r>
          </w:p>
          <w:p w14:paraId="056185F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蒙特利尔认知评估中文版(MoCA)</w:t>
            </w:r>
          </w:p>
          <w:p w14:paraId="24895BE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认知功能筛选检查表</w:t>
            </w:r>
          </w:p>
          <w:p w14:paraId="7D222AF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瑞文测验彩色版(CPM)</w:t>
            </w:r>
          </w:p>
          <w:p w14:paraId="0501077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失认证评定</w:t>
            </w:r>
          </w:p>
          <w:p w14:paraId="2530EE4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失算症评定(EC301)</w:t>
            </w:r>
          </w:p>
          <w:p w14:paraId="33D5DF7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威斯康星卡片分类测验(WCST-64)</w:t>
            </w:r>
          </w:p>
          <w:p w14:paraId="59BFA59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韦氏成人智力量表城市版(WAIS-RC)</w:t>
            </w:r>
          </w:p>
          <w:p w14:paraId="53386CE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韦氏记忆量表(WMS)(甲式)</w:t>
            </w:r>
          </w:p>
          <w:p w14:paraId="0A46029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韦氏记忆量表(WMS)(乙式)</w:t>
            </w:r>
          </w:p>
          <w:p w14:paraId="65ED7BF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症状自评量表(SCL-90)</w:t>
            </w:r>
          </w:p>
          <w:p w14:paraId="0286636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注意力评定</w:t>
            </w:r>
          </w:p>
          <w:p w14:paraId="33466F1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8、认知评估采用人机对话方式，可极大减少治疗师的工作量，提高整体的工作效率。</w:t>
            </w:r>
          </w:p>
          <w:p w14:paraId="0F6F8CA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9、病历管理：患者信息登记，为患者建立病历档案。</w:t>
            </w:r>
          </w:p>
          <w:p w14:paraId="4C7EFB5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10、认知能力评估：包含定向能力、注意能力、语言能力、执行能力、记忆能力、计算能力、日常知识、推理能力8个方面，其中，语言能力又包括表达、听理解、视理解和命名，其中分为甄别试和等级试测试。</w:t>
            </w:r>
          </w:p>
          <w:p w14:paraId="5FC9420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11、认知康复训练：康复训练与评估有机地结合，对每个患者的每项评估，通过康复建议实现康复个性化，为每个患者量身订制康复训练方案。</w:t>
            </w:r>
          </w:p>
          <w:p w14:paraId="52A15CC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模块二：认知闪卡训练模块</w:t>
            </w:r>
          </w:p>
          <w:p w14:paraId="775F689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针对五项认知能力：感知觉、注意、观察、记忆、思维（推理）能力训练，根据患者的不同认知能力，可采用阶梯式康复训练横式，同一种认知能力项训练均有不同的难度。</w:t>
            </w:r>
          </w:p>
          <w:p w14:paraId="66A2863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（1）、包含语言，基础，食物，生活，自然，日常，动作，识字、常用等8大类的认知图片训练，每个大板块，48个小版块，不低于1400个内容；</w:t>
            </w:r>
          </w:p>
          <w:p w14:paraId="40D4358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1.1、语言板块包括：声母、韵母、动词、汉字、英语字母、量词、礼貌用语。</w:t>
            </w:r>
          </w:p>
          <w:p w14:paraId="2E87375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1.2、基础板块包括：颜色、形状、数字、身体部位、时间、钱币、人称。</w:t>
            </w:r>
          </w:p>
          <w:p w14:paraId="5216D9A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1.3、食物板块：水果、蔬菜、零食、快餐、菜肴。</w:t>
            </w:r>
          </w:p>
          <w:p w14:paraId="4A8F9B2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1.4、生活版块：家电、服饰、生活用品、文具、家具、乐器、玩具、日常标识、饰品。</w:t>
            </w:r>
          </w:p>
          <w:p w14:paraId="6E2B725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1.5、自然板块:常见动物、陆地动物、海洋动物、植物、鸟类、昆虫类、自然现象、自然景观。</w:t>
            </w:r>
          </w:p>
          <w:p w14:paraId="3592299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1.6、日常板块：职业、交通工具、公共场所、家庭场所、特定场所。</w:t>
            </w:r>
          </w:p>
          <w:p w14:paraId="14686BC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1.7、动作板块：身体动作、情绪、家庭活动、日常活动。</w:t>
            </w:r>
          </w:p>
          <w:p w14:paraId="362C3B8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1.8、识字板块：拼音类、基础类、认知类。</w:t>
            </w:r>
          </w:p>
          <w:p w14:paraId="2E9BAED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（2）、可通过闪卡模式，翻阅模式，测试模式进行认知训练；</w:t>
            </w:r>
          </w:p>
          <w:p w14:paraId="4B26070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（3）、每个小版块可通过图片匹配、听音匹配、图集测试进行针对内容认知评估，每个大板块带有整个板块内容评估可选内容。</w:t>
            </w:r>
          </w:p>
          <w:p w14:paraId="029B544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（4）、闪卡模式和翻阅模式下，包含语音和图形双重认知训练，可进行自动播放和翻阅播放，可进行跟读认知和重复认知；</w:t>
            </w:r>
          </w:p>
          <w:p w14:paraId="0189A35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（5）、可设置单位课程的认知卡片数量；</w:t>
            </w:r>
          </w:p>
          <w:p w14:paraId="609FE10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（6）、测试模式可进行难度设置，包含听音匹配测试和图片匹配测试；</w:t>
            </w:r>
          </w:p>
          <w:p w14:paraId="34844A8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（7）、设置板块：带有误触防护保护功能、可进行闪卡播放时间设置、图片文字显示设置、配对图片数量设置、选择图片设置、锁设置、音量调节。</w:t>
            </w:r>
          </w:p>
          <w:p w14:paraId="7D5CC9E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（8）目录预览功能可快速查阅板块类目</w:t>
            </w:r>
          </w:p>
          <w:p w14:paraId="5428944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（9）搜索功能方便快捷找到需要学习的内容。</w:t>
            </w:r>
          </w:p>
          <w:p w14:paraId="0C91F44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（10）评估完带基础评估报告。</w:t>
            </w:r>
          </w:p>
          <w:p w14:paraId="259EAF3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模块三：智力训练模块</w:t>
            </w:r>
          </w:p>
          <w:p w14:paraId="4FD20FE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软件丰富多样，将益智游戏、棋牌竞技、轻松休闲集于一体。专项互动训练软件针对注意力、观察力、记忆力等能力进行训练；</w:t>
            </w:r>
          </w:p>
          <w:p w14:paraId="63428F8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软件康复含10多种互动项目，500种音频资源。</w:t>
            </w:r>
          </w:p>
          <w:p w14:paraId="0EE5F59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益智游戏模块包含连连看、记忆灯、记忆喂鱼、记忆围棋等不少于9款益智游戏。</w:t>
            </w:r>
          </w:p>
          <w:p w14:paraId="106AE74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棋牌竞技模块包含象棋、五子棋、军旗、跳棋等不少于6款棋类运动。</w:t>
            </w:r>
          </w:p>
          <w:p w14:paraId="26C8652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轻松一刻模块包含500种以上音视频资源。</w:t>
            </w:r>
          </w:p>
          <w:p w14:paraId="4F60560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模块四：早老干预模块</w:t>
            </w:r>
          </w:p>
          <w:p w14:paraId="09DA2A4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1.身体状况自测：包含亚健康状态、大便指数、女性更年期指数、心脑功能、患病征兆、患老年痴呆征兆、男性更年期指数、血管老化程度等不少于八种疾病自测</w:t>
            </w:r>
          </w:p>
          <w:p w14:paraId="0F112C1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2.癌症自测：包含乳腺癌、前列腺癌、咽喉癌、子宫癌、卵巢癌、白血病、结肠癌、肝癌、肺癌、胃癌、胰腺癌、脑肿瘤、膀胱癌、食管癌等十三种疾病程度自测。</w:t>
            </w:r>
          </w:p>
          <w:p w14:paraId="300031F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中老年常见疾病自测：包含冠心病、前列腺增生、尿毒症、尿路感染、帕金森病、心功能不全、心机梗死、慢性肝炎、支气管哮喘、糖尿病、老年性白内障、老年痴呆、肺结核、肝硬化、脑血栓、高血压、青光眼、骨质疏松症等不少于二十六种疾病程度自测</w:t>
            </w:r>
          </w:p>
          <w:p w14:paraId="0281E28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4.生活方式病自测：包含心脏病、甲状腺疾病、肥胖指数、患肾脏疾病、高尿酸血症程度、胃炎、胃溃疡、患脂肪肝、动脉粥样硬化、过敏性疾病等不少于二十种疾病自测。</w:t>
            </w:r>
          </w:p>
          <w:p w14:paraId="41A4B4CA">
            <w:pPr>
              <w:rPr>
                <w:rFonts w:hint="eastAsia" w:ascii="宋体" w:hAnsi="宋体" w:eastAsia="宋体" w:cs="宋体"/>
                <w:color w:val="000000"/>
                <w:sz w:val="24"/>
              </w:rPr>
            </w:pPr>
            <w:r>
              <w:rPr>
                <w:rFonts w:hint="eastAsia" w:ascii="宋体" w:hAnsi="宋体" w:eastAsia="宋体" w:cs="宋体"/>
                <w:color w:val="000000"/>
                <w:kern w:val="0"/>
                <w:sz w:val="24"/>
                <w:lang w:bidi="ar"/>
              </w:rPr>
              <w:t>5.包含身体状况自测、生活方式病自测、癌症自测、中老年常见疾病自测等不少于四种疾病测试模式，每一项测试内容种都针对不同的病症有不同的测试内容，使用者通过简单的自测可进行简单的病症评估，评估结束后系统会根据评估结果生成健康生活方式的建议。</w:t>
            </w:r>
          </w:p>
        </w:tc>
      </w:tr>
      <w:tr w14:paraId="784A8FDC">
        <w:tblPrEx>
          <w:tblCellMar>
            <w:top w:w="0" w:type="dxa"/>
            <w:left w:w="108" w:type="dxa"/>
            <w:bottom w:w="0" w:type="dxa"/>
            <w:right w:w="108" w:type="dxa"/>
          </w:tblCellMar>
        </w:tblPrEx>
        <w:trPr>
          <w:trHeight w:val="2184"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8C2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72F2">
            <w:pPr>
              <w:widowControl/>
              <w:jc w:val="left"/>
              <w:textAlignment w:val="center"/>
              <w:rPr>
                <w:rFonts w:hint="eastAsia" w:ascii="宋体" w:hAnsi="宋体" w:eastAsia="宋体" w:cs="宋体"/>
                <w:color w:val="000000"/>
                <w:sz w:val="24"/>
              </w:rPr>
            </w:pPr>
            <w:r>
              <w:rPr>
                <w:rFonts w:hint="eastAsia" w:ascii="宋体" w:hAnsi="宋体" w:eastAsia="宋体" w:cs="宋体"/>
                <w:b/>
                <w:bCs/>
                <w:sz w:val="28"/>
                <w:szCs w:val="28"/>
              </w:rPr>
              <w:t>认知学习平台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FB5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A53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套</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884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  一、硬件（材质）：</w:t>
            </w:r>
          </w:p>
          <w:p w14:paraId="42A4ABF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1、采用LED液晶显示屏；屏幕比例：16:9；显示屏保护面板为透明钢化保护玻璃厚度不低于4mm；有效屏幕尺寸：≥60英寸；</w:t>
            </w:r>
          </w:p>
          <w:p w14:paraId="70996F9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2.无锐角安全设计，边角采用圆弧设计，按键板前置，方便使用、显示区域：全屏显示，显示区域无黑边，无盲区 </w:t>
            </w:r>
          </w:p>
          <w:p w14:paraId="4E7BDD2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3.控制主机配置：CPU频率≥2.8GHz，内存≥4G，硬盘≥120G，独立显卡，显存≥1GB。</w:t>
            </w:r>
          </w:p>
          <w:p w14:paraId="6CAA791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4.采用接触式红外触控技术 安装方式：必须内置一体式； 触摸分辨率：≥4096（W）×4096（D）、红外触摸屏供电系统：USB供电，统自动识别，无需安装触摸模组驱动 红外触摸屏系统</w:t>
            </w:r>
          </w:p>
          <w:p w14:paraId="171C0BC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二、软件：</w:t>
            </w:r>
          </w:p>
          <w:p w14:paraId="18C93A8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模块一：成人认知评估与训练模块</w:t>
            </w:r>
          </w:p>
          <w:p w14:paraId="2C97661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认知能力评估与训练系统是采用国际通用认知评估量表对认知障碍患者进行认知评估的系统，评估过程采用“全自动－患者人机对话”模式，评估量表里的指令声音，文字，图片等均由系统发出及显示，有效解决传统评估过程中评估用具繁多难以整理，评估过程用具切换繁琐的弊病,患者的响应及反应均由系统自动记录，最后进行分析统计，显著降低治疗师的工作量，提高认知评定工作的效率。   </w:t>
            </w:r>
          </w:p>
          <w:p w14:paraId="36F9FEF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系统功能部分参数：</w:t>
            </w:r>
          </w:p>
          <w:p w14:paraId="0535BFA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训练项包括：结构组织能力（空间理解、空间综合、方位判断）、定向能力（时间定向、地点定向、人物定向）、专注能力（视觉专注、听觉专注、连线游戏）、语言能力（复述、命名、判断、理解、阅读、组句、选择、匹配）、记忆能力（形象记忆、逻辑记忆、运动记忆）、计算能力（直接运算、间接运算、创造性运算）、推理能力（次序推理、图像推理、事件推理）等。</w:t>
            </w:r>
          </w:p>
          <w:p w14:paraId="49AB18B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2、设计了与评估相匹配的七种能力康复训练，每一种能力的训练分为初级、中级和高级三个难度等级，根据个人差异将每个难度又分成了更细的训练内容。</w:t>
            </w:r>
          </w:p>
          <w:p w14:paraId="2AA6902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其中注意力训练包含保持训练、选择训练、转移训练、分配训练、综合训练等不少于六种模式训练，总共包含不少于18种训练内容；</w:t>
            </w:r>
          </w:p>
          <w:p w14:paraId="7ACEF3B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记忆力训练包含人名、相貌、五官、位置、视听觉等不少于15种训练内容；</w:t>
            </w:r>
          </w:p>
          <w:p w14:paraId="1B46BFE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计算训练包含不少于六种训练内容；思维心理包含不少于四种训练内容；知觉训练包含不少于五种训练内容</w:t>
            </w:r>
          </w:p>
          <w:p w14:paraId="7282DE7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3、治疗过程中，所有训练项目都可以自动反馈，帮助用户了解自身的错误情况，及时纠正错误的训练方式；个性化治疗，系统根据用户治疗的完成情况，自动分析用户需要进行的下一步治疗的难度与参数；</w:t>
            </w:r>
          </w:p>
          <w:p w14:paraId="602843C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4、每次治疗结束后，系统自动对患者当日的整体治疗表现以数值和符号的方式予以反馈，并自动结束当次（日）的治疗，可自动生成单个或多位患者的治疗报告，并可打印报告。</w:t>
            </w:r>
          </w:p>
          <w:p w14:paraId="10EE96C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5、训练端：每个训练都有自动演示功能，无需指导，全程治疗根据治疗方案自动进行，无需人为干预，根据不同的疾病在认知不同功能的损伤程度，给予标准的方案式治疗；</w:t>
            </w:r>
          </w:p>
          <w:p w14:paraId="1C160EC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6、采用人机互动模式，趣味性和可选择性强，包括多媒体、动画、语音识别和触屏技术，能充分调动儿童参与的积极性。</w:t>
            </w:r>
          </w:p>
          <w:p w14:paraId="32574F6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7、治疗过程中实时动态监测，服务器端实时监控每位患者的治疗进展。</w:t>
            </w:r>
          </w:p>
          <w:p w14:paraId="7ABC00C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8、电子化临床量表评估不少于19种(包括但不限于)：</w:t>
            </w:r>
          </w:p>
          <w:p w14:paraId="7BC6EA5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Blessed 痴呆量表(BDS)</w:t>
            </w:r>
          </w:p>
          <w:p w14:paraId="7E1B1EC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认知功能筛选检查表</w:t>
            </w:r>
          </w:p>
          <w:p w14:paraId="5E79663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Rivermead 行为记忆试验(RBMT)</w:t>
            </w:r>
          </w:p>
          <w:p w14:paraId="7CCCDC5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长谷川痴呆量表(HDS)</w:t>
            </w:r>
          </w:p>
          <w:p w14:paraId="071011B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汉密尔顿焦虑表(HAMA)</w:t>
            </w:r>
          </w:p>
          <w:p w14:paraId="2F133C7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汉密尔顿抑郁量表(HAMD)</w:t>
            </w:r>
          </w:p>
          <w:p w14:paraId="1FAF6D4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记忆功能障碍筛查</w:t>
            </w:r>
          </w:p>
          <w:p w14:paraId="59AB59A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简易智能状态检查(MMSE)</w:t>
            </w:r>
          </w:p>
          <w:p w14:paraId="37CDB1C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蒙特利尔认知评估中文版(MoCA)</w:t>
            </w:r>
          </w:p>
          <w:p w14:paraId="7E6ED40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认知功能筛选检查表</w:t>
            </w:r>
          </w:p>
          <w:p w14:paraId="73154DC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瑞文测验彩色版(CPM)</w:t>
            </w:r>
          </w:p>
          <w:p w14:paraId="392E1F1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失认证评定</w:t>
            </w:r>
          </w:p>
          <w:p w14:paraId="460D7E0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失算症评定(EC301)</w:t>
            </w:r>
          </w:p>
          <w:p w14:paraId="19459F1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威斯康星卡片分类测验(WCST-64)</w:t>
            </w:r>
          </w:p>
          <w:p w14:paraId="7DA14FB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韦氏成人智力量表城市版(WAIS-RC)</w:t>
            </w:r>
          </w:p>
          <w:p w14:paraId="6BCD92A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韦氏记忆量表(WMS)(甲式)</w:t>
            </w:r>
          </w:p>
          <w:p w14:paraId="5618467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韦氏记忆量表(WMS)(乙式)</w:t>
            </w:r>
          </w:p>
          <w:p w14:paraId="0ECDD73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症状自评量表(SCL-90)</w:t>
            </w:r>
          </w:p>
          <w:p w14:paraId="7545DCC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注意力评定</w:t>
            </w:r>
          </w:p>
          <w:p w14:paraId="1F0D23A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8、认知评估采用人机对话方式，可极大减少治疗师的工作量，提高整体的工作效率。</w:t>
            </w:r>
          </w:p>
          <w:p w14:paraId="7629BDD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9、病历管理：患者信息登记，为患者建立病历档案。</w:t>
            </w:r>
          </w:p>
          <w:p w14:paraId="41927F4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10、认知能力评估：包含定向能力、注意能力、语言能力、执行能力、记忆能力、计算能力、日常知识、推理能力8个方面，其中，语言能力又包括表达、听理解、视理解和命名，其中分为甄别试和等级试测试。</w:t>
            </w:r>
          </w:p>
          <w:p w14:paraId="0AA437B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11、认知康复训练：康复训练与评估有机地结合，对每个患者的每项评估，通过康复建议实现康复个性化，为每个患者量身订制康复训练方案。</w:t>
            </w:r>
          </w:p>
          <w:p w14:paraId="545C0A4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模块二：认知闪卡训练模块</w:t>
            </w:r>
          </w:p>
          <w:p w14:paraId="5D0274D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针对五项认知能力：感知觉、注意、观察、记忆、思维（推理）能力训练，根据患者的不同认知能力，可采用阶梯式康复训练横式，同一种认知能力项训练均有不同的难度。</w:t>
            </w:r>
          </w:p>
          <w:p w14:paraId="7865092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（1）、包含语言，基础，食物，生活，自然，日常，动作，识字、常用等8大类的认知图片训练，每个大板块，48个小版块，不低于1400个内容；</w:t>
            </w:r>
          </w:p>
          <w:p w14:paraId="24D3707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1.1、语言板块包括：声母、韵母、动词、汉字、英语字母、量词、礼貌用语。</w:t>
            </w:r>
          </w:p>
          <w:p w14:paraId="460A50E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1.2、基础板块包括：颜色、形状、数字、身体部位、时间、钱币、人称。</w:t>
            </w:r>
          </w:p>
          <w:p w14:paraId="5596272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1.3、食物板块：水果、蔬菜、零食、快餐、菜肴。</w:t>
            </w:r>
          </w:p>
          <w:p w14:paraId="1D38313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1.4、生活版块：家电、服饰、生活用品、文具、家具、乐器、玩具、日常标识、饰品。</w:t>
            </w:r>
          </w:p>
          <w:p w14:paraId="50B4208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1.5、自然板块:常见动物、陆地动物、海洋动物、植物、鸟类、昆虫类、自然现象、自然景观。</w:t>
            </w:r>
          </w:p>
          <w:p w14:paraId="224D4FB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1.6、日常板块：职业、交通工具、公共场所、家庭场所、特定场所。</w:t>
            </w:r>
          </w:p>
          <w:p w14:paraId="535E145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1.7、动作板块：身体动作、情绪、家庭活动、日常活动。</w:t>
            </w:r>
          </w:p>
          <w:p w14:paraId="30357B6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1.8、识字板块：拼音类、基础类、认知类。</w:t>
            </w:r>
          </w:p>
          <w:p w14:paraId="7BC6D27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（2）、可通过闪卡模式，翻阅模式，测试模式进行认知训练；</w:t>
            </w:r>
          </w:p>
          <w:p w14:paraId="7C97BF5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（3）、每个小版块可通过图片匹配、听音匹配、图集测试进行针对内容认知评估，每个大板块带有整个板块内容评估可选内容。</w:t>
            </w:r>
          </w:p>
          <w:p w14:paraId="27FCA25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（4）、闪卡模式和翻阅模式下，包含语音和图形双重认知训练，可进行自动播放和翻阅播放，可进行跟读认知和重复认知；</w:t>
            </w:r>
          </w:p>
          <w:p w14:paraId="7BEC52F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（5）、可设置单位课程的认知卡片数量；</w:t>
            </w:r>
          </w:p>
          <w:p w14:paraId="4844834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（6）、测试模式可进行难度设置，包含听音匹配测试和图片匹配测试；</w:t>
            </w:r>
          </w:p>
          <w:p w14:paraId="5CD6FDE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（7）、设置板块：带有误触防护保护功能、可进行闪卡播放时间设置、图片文字显示设置、配对图片数量设置、选择图片设置、锁设置、音量调节。</w:t>
            </w:r>
          </w:p>
          <w:p w14:paraId="471196D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（8）目录预览功能可快速查阅板块类目</w:t>
            </w:r>
          </w:p>
          <w:p w14:paraId="3FB1336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（9）搜索功能方便快捷找到需要学习的内容。</w:t>
            </w:r>
          </w:p>
          <w:p w14:paraId="6E3256F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（10）评估完带基础评估报告。</w:t>
            </w:r>
          </w:p>
          <w:p w14:paraId="7EB9D9A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模块三：智力训练模块</w:t>
            </w:r>
          </w:p>
          <w:p w14:paraId="22D5AFE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软件丰富多样，将益智游戏、棋牌竞技、轻松休闲集于一体。专项互动训练软件针对注意力、观察力、记忆力等能力进行训练；</w:t>
            </w:r>
          </w:p>
          <w:p w14:paraId="08C3D56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软件康复含10多种互动项目，500种音频资源。</w:t>
            </w:r>
          </w:p>
          <w:p w14:paraId="41173D2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益智游戏模块包含连连看、记忆灯、记忆喂鱼、记忆围棋等不少于9款益智游戏。</w:t>
            </w:r>
          </w:p>
          <w:p w14:paraId="2BE9948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棋牌竞技模块包含象棋、五子棋、军旗、跳棋等不少于6款棋类运动。</w:t>
            </w:r>
          </w:p>
          <w:p w14:paraId="73B0134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轻松一刻模块包含500种以上音视频资源。</w:t>
            </w:r>
          </w:p>
          <w:p w14:paraId="7B888ED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模块四：早老干预模块</w:t>
            </w:r>
          </w:p>
          <w:p w14:paraId="2B15FDD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1.身体状况自测：包含亚健康状态、大便指数、女性更年期指数、心脑功能、患病征兆、患老年痴呆征兆、男性更年期指数、血管老化程度等不少于八种疾病自测</w:t>
            </w:r>
          </w:p>
          <w:p w14:paraId="1D84CD1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2.癌症自测：包含乳腺癌、前列腺癌、咽喉癌、子宫癌、卵巢癌、白血病、结肠癌、肝癌、肺癌、胃癌、胰腺癌、脑肿瘤、膀胱癌、食管癌等十三种疾病程度自测。</w:t>
            </w:r>
          </w:p>
          <w:p w14:paraId="138D316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中老年常见疾病自测：包含冠心病、前列腺增生、尿毒症、尿路感染、帕金森病、心功能不全、心机梗死、慢性肝炎、支气管哮喘、糖尿病、老年性白内障、老年痴呆、肺结核、肝硬化、脑血栓、高血压、青光眼、骨质疏松症等不少于二十六种疾病程度自测</w:t>
            </w:r>
          </w:p>
          <w:p w14:paraId="5C81FEF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4.生活方式病自测：包含心脏病、甲状腺疾病、肥胖指数、患肾脏疾病、高尿酸血症程度、胃炎、胃溃疡、患脂肪肝、动脉粥样硬化、过敏性疾病等不少于二十种疾病自测。</w:t>
            </w:r>
          </w:p>
          <w:p w14:paraId="7DDBAEB2">
            <w:pPr>
              <w:rPr>
                <w:rFonts w:hint="eastAsia" w:ascii="宋体" w:hAnsi="宋体" w:eastAsia="宋体" w:cs="宋体"/>
                <w:color w:val="000000"/>
                <w:sz w:val="24"/>
              </w:rPr>
            </w:pPr>
            <w:r>
              <w:rPr>
                <w:rFonts w:hint="eastAsia" w:ascii="宋体" w:hAnsi="宋体" w:eastAsia="宋体" w:cs="宋体"/>
                <w:color w:val="000000"/>
                <w:kern w:val="0"/>
                <w:sz w:val="24"/>
                <w:lang w:bidi="ar"/>
              </w:rPr>
              <w:t>5.包含身体状况自测、生活方式病自测、癌症自测、中老年常见疾病自测等不少于四种疾病测试模式，每一项测试内容种都针对不同的病症有不同的测试内容，使用者通过简单的自测可进行简单的病症评估，评估结束后系统会根据评估结果生成健康生活方式的建议。</w:t>
            </w:r>
          </w:p>
        </w:tc>
      </w:tr>
      <w:tr w14:paraId="2C87DD1A">
        <w:tblPrEx>
          <w:tblCellMar>
            <w:top w:w="0" w:type="dxa"/>
            <w:left w:w="108" w:type="dxa"/>
            <w:bottom w:w="0" w:type="dxa"/>
            <w:right w:w="108" w:type="dxa"/>
          </w:tblCellMar>
        </w:tblPrEx>
        <w:trPr>
          <w:trHeight w:val="31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21C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7458">
            <w:pPr>
              <w:rPr>
                <w:rFonts w:hint="eastAsia" w:ascii="宋体" w:hAnsi="宋体" w:eastAsia="宋体" w:cs="宋体"/>
                <w:color w:val="000000"/>
                <w:sz w:val="28"/>
                <w:szCs w:val="28"/>
                <w:shd w:val="clear" w:color="auto" w:fill="FFFFFF"/>
              </w:rPr>
            </w:pPr>
            <w:r>
              <w:rPr>
                <w:rFonts w:hint="eastAsia" w:ascii="宋体" w:hAnsi="宋体" w:eastAsia="宋体" w:cs="宋体"/>
                <w:b/>
                <w:bCs/>
                <w:sz w:val="28"/>
                <w:szCs w:val="28"/>
              </w:rPr>
              <w:t>认知学习平台</w:t>
            </w:r>
          </w:p>
          <w:p w14:paraId="54632839">
            <w:pPr>
              <w:widowControl/>
              <w:jc w:val="left"/>
              <w:textAlignment w:val="center"/>
              <w:rPr>
                <w:rFonts w:hint="eastAsia" w:ascii="宋体" w:hAnsi="宋体" w:eastAsia="宋体" w:cs="宋体"/>
                <w:color w:val="000000"/>
                <w:sz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8F9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481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套</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7EA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  一、硬件（材质）：</w:t>
            </w:r>
          </w:p>
          <w:p w14:paraId="250B368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1、采用LED液晶显示屏；屏幕比例：16:9；显示屏保护面板为透明钢化保护玻璃厚度不低于4mm；有效屏幕尺寸：≥60英寸；</w:t>
            </w:r>
          </w:p>
          <w:p w14:paraId="7E34EA8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2.无锐角安全设计，边角采用圆弧设计，按键板前置，方便使用、显示区域：全屏显示，显示区域无黑边，无盲区 </w:t>
            </w:r>
          </w:p>
          <w:p w14:paraId="4D01E18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3.控制主机配置：CPU频率≥2.8GHz，内存≥4G，硬盘≥120G，独立显卡，显存≥1GB。</w:t>
            </w:r>
          </w:p>
          <w:p w14:paraId="1C84084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4.采用接触式红外触控技术 安装方式：必须内置一体式； 触摸分辨率：≥4096（W）×4096（D）、红外触摸屏供电系统：USB供电，统自动识别，无需安装触摸模组驱动 红外触摸屏系统</w:t>
            </w:r>
          </w:p>
          <w:p w14:paraId="22B26AB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二、软件：</w:t>
            </w:r>
          </w:p>
          <w:p w14:paraId="33F6696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模块一：成人认知评估与训练模块</w:t>
            </w:r>
          </w:p>
          <w:p w14:paraId="53749B3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认知能力评估与训练系统是采用国际通用认知评估量表对认知障碍患者进行认知评估的系统，评估过程采用“全自动－患者人机对话”模式，评估量表里的指令声音，文字，图片等均由系统发出及显示，有效解决传统评估过程中评估用具繁多难以整理，评估过程用具切换繁琐的弊病,患者的响应及反应均由系统自动记录，最后进行分析统计，显著降低治疗师的工作量，提高认知评定工作的效率。   </w:t>
            </w:r>
          </w:p>
          <w:p w14:paraId="16F75A4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系统功能部分参数：</w:t>
            </w:r>
          </w:p>
          <w:p w14:paraId="51AA0A7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训练项包括：结构组织能力（空间理解、空间综合、方位判断）、定向能力（时间定向、地点定向、人物定向）、专注能力（视觉专注、听觉专注、连线游戏）、语言能力（复述、命名、判断、理解、阅读、组句、选择、匹配）、记忆能力（形象记忆、逻辑记忆、运动记忆）、计算能力（直接运算、间接运算、创造性运算）、推理能力（次序推理、图像推理、事件推理）等。</w:t>
            </w:r>
          </w:p>
          <w:p w14:paraId="5D34C13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2、设计了与评估相匹配的七种能力康复训练，每一种能力的训练分为初级、中级和高级三个难度等级，根据个人差异将每个难度又分成了更细的训练内容。</w:t>
            </w:r>
          </w:p>
          <w:p w14:paraId="16A94D2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其中注意力训练包含保持训练、选择训练、转移训练、分配训练、综合训练等不少于六种模式训练，总共包含不少于18种训练内容；</w:t>
            </w:r>
          </w:p>
          <w:p w14:paraId="086E20E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记忆力训练包含人名、相貌、五官、位置、视听觉等不少于15种训练内容；</w:t>
            </w:r>
          </w:p>
          <w:p w14:paraId="1B8CC89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计算训练包含不少于六种训练内容；思维心理包含不少于四种训练内容；知觉训练包含不少于五种训练内容</w:t>
            </w:r>
          </w:p>
          <w:p w14:paraId="7F90D7E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3、治疗过程中，所有训练项目都可以自动反馈，帮助用户了解自身的错误情况，及时纠正错误的训练方式；个性化治疗，系统根据用户治疗的完成情况，自动分析用户需要进行的下一步治疗的难度与参数；</w:t>
            </w:r>
          </w:p>
          <w:p w14:paraId="0614A2F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4、每次治疗结束后，系统自动对患者当日的整体治疗表现以数值和符号的方式予以反馈，并自动结束当次（日）的治疗，可自动生成单个或多位患者的治疗报告，并可打印报告。</w:t>
            </w:r>
          </w:p>
          <w:p w14:paraId="570132D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5、训练端：每个训练都有自动演示功能，无需指导，全程治疗根据治疗方案自动进行，无需人为干预，根据不同的疾病在认知不同功能的损伤程度，给予标准的方案式治疗；</w:t>
            </w:r>
          </w:p>
          <w:p w14:paraId="66C4920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6、采用人机互动模式，趣味性和可选择性强，包括多媒体、动画、语音识别和触屏技术，能充分调动儿童参与的积极性。</w:t>
            </w:r>
          </w:p>
          <w:p w14:paraId="2D92EE7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7、治疗过程中实时动态监测，服务器端实时监控每位患者的治疗进展。</w:t>
            </w:r>
          </w:p>
          <w:p w14:paraId="667A9D1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8、电子化临床量表评估不少于19种(包括但不限于)：</w:t>
            </w:r>
          </w:p>
          <w:p w14:paraId="3D1A54F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Blessed 痴呆量表(BDS)</w:t>
            </w:r>
          </w:p>
          <w:p w14:paraId="0819FEC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认知功能筛选检查表</w:t>
            </w:r>
          </w:p>
          <w:p w14:paraId="63F2EAA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Rivermead 行为记忆试验(RBMT)</w:t>
            </w:r>
          </w:p>
          <w:p w14:paraId="4AED38D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长谷川痴呆量表(HDS)</w:t>
            </w:r>
          </w:p>
          <w:p w14:paraId="724DF04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汉密尔顿焦虑表(HAMA)</w:t>
            </w:r>
          </w:p>
          <w:p w14:paraId="16A013C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汉密尔顿抑郁量表(HAMD)</w:t>
            </w:r>
          </w:p>
          <w:p w14:paraId="3DD9B10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记忆功能障碍筛查</w:t>
            </w:r>
          </w:p>
          <w:p w14:paraId="2654F8E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简易智能状态检查(MMSE)</w:t>
            </w:r>
          </w:p>
          <w:p w14:paraId="101DAAB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蒙特利尔认知评估中文版(MoCA)</w:t>
            </w:r>
          </w:p>
          <w:p w14:paraId="1FB57BC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认知功能筛选检查表</w:t>
            </w:r>
          </w:p>
          <w:p w14:paraId="19D21D8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瑞文测验彩色版(CPM)</w:t>
            </w:r>
          </w:p>
          <w:p w14:paraId="62CC05C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失认证评定</w:t>
            </w:r>
          </w:p>
          <w:p w14:paraId="342DCF2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失算症评定(EC301)</w:t>
            </w:r>
          </w:p>
          <w:p w14:paraId="40DD1BE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威斯康星卡片分类测验(WCST-64)</w:t>
            </w:r>
          </w:p>
          <w:p w14:paraId="637C5DC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韦氏成人智力量表城市版(WAIS-RC)</w:t>
            </w:r>
          </w:p>
          <w:p w14:paraId="4FB3421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韦氏记忆量表(WMS)(甲式)</w:t>
            </w:r>
          </w:p>
          <w:p w14:paraId="0964542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韦氏记忆量表(WMS)(乙式)</w:t>
            </w:r>
          </w:p>
          <w:p w14:paraId="393496C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症状自评量表(SCL-90)</w:t>
            </w:r>
          </w:p>
          <w:p w14:paraId="3D62FBB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注意力评定</w:t>
            </w:r>
          </w:p>
          <w:p w14:paraId="7088A3C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8、认知评估采用人机对话方式，可极大减少治疗师的工作量，提高整体的工作效率。</w:t>
            </w:r>
          </w:p>
          <w:p w14:paraId="4E0E6C6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9、病历管理：患者信息登记，为患者建立病历档案。</w:t>
            </w:r>
          </w:p>
          <w:p w14:paraId="3D369A6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10、认知能力评估：包含定向能力、注意能力、语言能力、执行能力、记忆能力、计算能力、日常知识、推理能力8个方面，其中，语言能力又包括表达、听理解、视理解和命名，其中分为甄别试和等级试测试。</w:t>
            </w:r>
          </w:p>
          <w:p w14:paraId="2572B36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11、认知康复训练：康复训练与评估有机地结合，对每个患者的每项评估，通过康复建议实现康复个性化，为每个患者量身订制康复训练方案。</w:t>
            </w:r>
          </w:p>
          <w:p w14:paraId="6CCAB58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模块二：认知闪卡训练模块</w:t>
            </w:r>
          </w:p>
          <w:p w14:paraId="37F0255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针对五项认知能力：感知觉、注意、观察、记忆、思维（推理）能力训练，根据患者的不同认知能力，可采用阶梯式康复训练横式，同一种认知能力项训练均有不同的难度。</w:t>
            </w:r>
          </w:p>
          <w:p w14:paraId="3F6BC15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（1）、包含语言，基础，食物，生活，自然，日常，动作，识字、常用等8大类的认知图片训练，每个大板块，48个小版块，不低于1400个内容；</w:t>
            </w:r>
          </w:p>
          <w:p w14:paraId="6D230CF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1.1、语言板块包括：声母、韵母、动词、汉字、英语字母、量词、礼貌用语。</w:t>
            </w:r>
          </w:p>
          <w:p w14:paraId="4B9824B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1.2、基础板块包括：颜色、形状、数字、身体部位、时间、钱币、人称。</w:t>
            </w:r>
          </w:p>
          <w:p w14:paraId="00245F3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1.3、食物板块：水果、蔬菜、零食、快餐、菜肴。</w:t>
            </w:r>
          </w:p>
          <w:p w14:paraId="4635ED4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1.4、生活版块：家电、服饰、生活用品、文具、家具、乐器、玩具、日常标识、饰品。</w:t>
            </w:r>
          </w:p>
          <w:p w14:paraId="528E6F9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1.5、自然板块:常见动物、陆地动物、海洋动物、植物、鸟类、昆虫类、自然现象、自然景观。</w:t>
            </w:r>
          </w:p>
          <w:p w14:paraId="28C8316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1.6、日常板块：职业、交通工具、公共场所、家庭场所、特定场所。</w:t>
            </w:r>
          </w:p>
          <w:p w14:paraId="1B13958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1.7、动作板块：身体动作、情绪、家庭活动、日常活动。</w:t>
            </w:r>
          </w:p>
          <w:p w14:paraId="2522184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1.8、识字板块：拼音类、基础类、认知类。</w:t>
            </w:r>
          </w:p>
          <w:p w14:paraId="3354ED1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（2）、可通过闪卡模式，翻阅模式，测试模式进行认知训练；</w:t>
            </w:r>
          </w:p>
          <w:p w14:paraId="2354959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（3）、每个小版块可通过图片匹配、听音匹配、图集测试进行针对内容认知评估，每个大板块带有整个板块内容评估可选内容。</w:t>
            </w:r>
          </w:p>
          <w:p w14:paraId="658805A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（4）、闪卡模式和翻阅模式下，包含语音和图形双重认知训练，可进行自动播放和翻阅播放，可进行跟读认知和重复认知；</w:t>
            </w:r>
          </w:p>
          <w:p w14:paraId="6C0D2ED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（5）、可设置单位课程的认知卡片数量；</w:t>
            </w:r>
          </w:p>
          <w:p w14:paraId="5128507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（6）、测试模式可进行难度设置，包含听音匹配测试和图片匹配测试；</w:t>
            </w:r>
          </w:p>
          <w:p w14:paraId="70852CF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（7）、设置板块：带有误触防护保护功能、可进行闪卡播放时间设置、图片文字显示设置、配对图片数量设置、选择图片设置、锁设置、音量调节。</w:t>
            </w:r>
          </w:p>
          <w:p w14:paraId="7DA4B44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（8）目录预览功能可快速查阅板块类目</w:t>
            </w:r>
          </w:p>
          <w:p w14:paraId="4488655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（9）搜索功能方便快捷找到需要学习的内容。</w:t>
            </w:r>
          </w:p>
          <w:p w14:paraId="2F8F895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（10）评估完带基础评估报告。</w:t>
            </w:r>
          </w:p>
          <w:p w14:paraId="60D4E61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模块三：智力训练模块</w:t>
            </w:r>
          </w:p>
          <w:p w14:paraId="5DF9E78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软件丰富多样，将益智游戏、棋牌竞技、轻松休闲集于一体。专项互动训练软件针对注意力、观察力、记忆力等能力进行训练；</w:t>
            </w:r>
          </w:p>
          <w:p w14:paraId="0CA2FC3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软件康复含10多种互动项目，500种音频资源。</w:t>
            </w:r>
          </w:p>
          <w:p w14:paraId="3D3DCEA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益智游戏模块包含连连看、记忆灯、记忆喂鱼、记忆围棋等不少于9款益智游戏。</w:t>
            </w:r>
          </w:p>
          <w:p w14:paraId="1F18A33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棋牌竞技模块包含象棋、五子棋、军旗、跳棋等不少于6款棋类运动。</w:t>
            </w:r>
          </w:p>
          <w:p w14:paraId="7E59471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轻松一刻模块包含500种以上音视频资源。</w:t>
            </w:r>
          </w:p>
          <w:p w14:paraId="0DDD54F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模块四：早老干预模块</w:t>
            </w:r>
          </w:p>
          <w:p w14:paraId="5E02575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1.身体状况自测：包含亚健康状态、大便指数、女性更年期指数、心脑功能、患病征兆、患老年痴呆征兆、男性更年期指数、血管老化程度等不少于八种疾病自测</w:t>
            </w:r>
          </w:p>
          <w:p w14:paraId="03C2843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2.癌症自测：包含乳腺癌、前列腺癌、咽喉癌、子宫癌、卵巢癌、白血病、结肠癌、肝癌、肺癌、胃癌、胰腺癌、脑肿瘤、膀胱癌、食管癌等十三种疾病程度自测。</w:t>
            </w:r>
          </w:p>
          <w:p w14:paraId="1B8848D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中老年常见疾病自测：包含冠心病、前列腺增生、尿毒症、尿路感染、帕金森病、心功能不全、心机梗死、慢性肝炎、支气管哮喘、糖尿病、老年性白内障、老年痴呆、肺结核、肝硬化、脑血栓、高血压、青光眼、骨质疏松症等不少于二十六种疾病程度自测</w:t>
            </w:r>
          </w:p>
          <w:p w14:paraId="19274BE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4.生活方式病自测：包含心脏病、甲状腺疾病、肥胖指数、患肾脏疾病、高尿酸血症程度、胃炎、胃溃疡、患脂肪肝、动脉粥样硬化、过敏性疾病等不少于二十种疾病自测。</w:t>
            </w:r>
          </w:p>
          <w:p w14:paraId="399F7CE3">
            <w:pPr>
              <w:rPr>
                <w:rFonts w:hint="eastAsia" w:ascii="宋体" w:hAnsi="宋体" w:eastAsia="宋体" w:cs="宋体"/>
                <w:color w:val="000000"/>
                <w:sz w:val="24"/>
              </w:rPr>
            </w:pPr>
            <w:r>
              <w:rPr>
                <w:rFonts w:hint="eastAsia" w:ascii="宋体" w:hAnsi="宋体" w:eastAsia="宋体" w:cs="宋体"/>
                <w:color w:val="000000"/>
                <w:kern w:val="0"/>
                <w:sz w:val="24"/>
                <w:lang w:bidi="ar"/>
              </w:rPr>
              <w:t>5.包含身体状况自测、生活方式病自测、癌症自测、中老年常见疾病自测等不少于四种疾病测试模式，每一项测试内容种都针对不同的病症有不同的测试内容，使用者通过简单的自测可进行简单的病症评估，评估结束后系统会根据评估结果生成健康生活方式的建议。</w:t>
            </w:r>
          </w:p>
        </w:tc>
      </w:tr>
      <w:tr w14:paraId="5E676C33">
        <w:tblPrEx>
          <w:tblCellMar>
            <w:top w:w="0" w:type="dxa"/>
            <w:left w:w="108" w:type="dxa"/>
            <w:bottom w:w="0" w:type="dxa"/>
            <w:right w:w="108" w:type="dxa"/>
          </w:tblCellMar>
        </w:tblPrEx>
        <w:trPr>
          <w:trHeight w:val="9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62B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6EEE">
            <w:pPr>
              <w:widowControl/>
              <w:jc w:val="left"/>
              <w:textAlignment w:val="center"/>
              <w:rPr>
                <w:rFonts w:hint="eastAsia" w:ascii="宋体" w:hAnsi="宋体" w:eastAsia="宋体" w:cs="宋体"/>
                <w:color w:val="000000"/>
                <w:sz w:val="24"/>
              </w:rPr>
            </w:pPr>
            <w:r>
              <w:rPr>
                <w:rFonts w:hint="eastAsia" w:ascii="宋体" w:hAnsi="宋体" w:eastAsia="宋体" w:cs="宋体"/>
                <w:b/>
                <w:bCs/>
                <w:sz w:val="28"/>
                <w:szCs w:val="28"/>
              </w:rPr>
              <w:t>认知学习平台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073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C35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套</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6D5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 一、硬件（材质）：</w:t>
            </w:r>
          </w:p>
          <w:p w14:paraId="1C5FA1C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1、采用LED液晶显示屏；屏幕比例：16:9；显示屏保护面板为透明钢化保护玻璃厚度不低于4mm；有效屏幕尺寸：≥60英寸；</w:t>
            </w:r>
          </w:p>
          <w:p w14:paraId="3CC5B7F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2.无锐角安全设计，边角采用圆弧设计，按键板前置，方便使用、显示区域：全屏显示，显示区域无黑边，无盲区 </w:t>
            </w:r>
          </w:p>
          <w:p w14:paraId="239D82F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3.控制主机配置：CPU频率≥2.8GHz，内存≥4G，硬盘≥120G，独立显卡，显存≥1GB。</w:t>
            </w:r>
          </w:p>
          <w:p w14:paraId="5CC7F98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4.采用接触式红外触控技术 安装方式：必须内置一体式； 触摸分辨率：≥4096（W）×4096（D）、红外触摸屏供电系统：USB供电，统自动识别，无需安装触摸模组驱动 红外触摸屏系统</w:t>
            </w:r>
          </w:p>
          <w:p w14:paraId="2C79F46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二、软件：</w:t>
            </w:r>
          </w:p>
          <w:p w14:paraId="7B5ADA4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模块一：成人认知评估与训练模块</w:t>
            </w:r>
          </w:p>
          <w:p w14:paraId="4FF73FA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认知能力评估与训练系统是采用国际通用认知评估量表对认知障碍患者进行认知评估的系统，评估过程采用“全自动－患者人机对话”模式，评估量表里的指令声音，文字，图片等均由系统发出及显示，有效解决传统评估过程中评估用具繁多难以整理，评估过程用具切换繁琐的弊病,患者的响应及反应均由系统自动记录，最后进行分析统计，显著降低治疗师的工作量，提高认知评定工作的效率。   </w:t>
            </w:r>
          </w:p>
          <w:p w14:paraId="0999207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系统功能部分参数：</w:t>
            </w:r>
          </w:p>
          <w:p w14:paraId="6C162EC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训练项包括：结构组织能力（空间理解、空间综合、方位判断）、定向能力（时间定向、地点定向、人物定向）、专注能力（视觉专注、听觉专注、连线游戏）、语言能力（复述、命名、判断、理解、阅读、组句、选择、匹配）、记忆能力（形象记忆、逻辑记忆、运动记忆）、计算能力（直接运算、间接运算、创造性运算）、推理能力（次序推理、图像推理、事件推理）等。</w:t>
            </w:r>
          </w:p>
          <w:p w14:paraId="653D309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2、设计了与评估相匹配的七种能力康复训练，每一种能力的训练分为初级、中级和高级三个难度等级，根据个人差异将每个难度又分成了更细的训练内容。</w:t>
            </w:r>
          </w:p>
          <w:p w14:paraId="0E33D6F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其中注意力训练包含保持训练、选择训练、转移训练、分配训练、综合训练等不少于六种模式训练，总共包含不少于18种训练内容；</w:t>
            </w:r>
          </w:p>
          <w:p w14:paraId="7711882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记忆力训练包含人名、相貌、五官、位置、视听觉等不少于15种训练内容；</w:t>
            </w:r>
          </w:p>
          <w:p w14:paraId="674B1B9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计算训练包含不少于六种训练内容；思维心理包含不少于四种训练内容；知觉训练包含不少于五种训练内容</w:t>
            </w:r>
          </w:p>
          <w:p w14:paraId="603C2EA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3、治疗过程中，所有训练项目都可以自动反馈，帮助用户了解自身的错误情况，及时纠正错误的训练方式；个性化治疗，系统根据用户治疗的完成情况，自动分析用户需要进行的下一步治疗的难度与参数；</w:t>
            </w:r>
          </w:p>
          <w:p w14:paraId="57C35BA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4、每次治疗结束后，系统自动对患者当日的整体治疗表现以数值和符号的方式予以反馈，并自动结束当次（日）的治疗，可自动生成单个或多位患者的治疗报告，并可打印报告。</w:t>
            </w:r>
          </w:p>
          <w:p w14:paraId="331F92C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5、训练端：每个训练都有自动演示功能，无需指导，全程治疗根据治疗方案自动进行，无需人为干预，根据不同的疾病在认知不同功能的损伤程度，给予标准的方案式治疗；</w:t>
            </w:r>
          </w:p>
          <w:p w14:paraId="13347ED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6、采用人机互动模式，趣味性和可选择性强，包括多媒体、动画、语音识别和触屏技术，能充分调动儿童参与的积极性。</w:t>
            </w:r>
          </w:p>
          <w:p w14:paraId="03E1194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7、治疗过程中实时动态监测，服务器端实时监控每位患者的治疗进展。</w:t>
            </w:r>
          </w:p>
          <w:p w14:paraId="703C306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8、电子化临床量表评估不少于19种(包括但不限于)：</w:t>
            </w:r>
          </w:p>
          <w:p w14:paraId="4008A00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Blessed 痴呆量表(BDS)</w:t>
            </w:r>
          </w:p>
          <w:p w14:paraId="3A5D8C7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认知功能筛选检查表</w:t>
            </w:r>
          </w:p>
          <w:p w14:paraId="6D51E59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Rivermead 行为记忆试验(RBMT)</w:t>
            </w:r>
          </w:p>
          <w:p w14:paraId="428528F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长谷川痴呆量表(HDS)</w:t>
            </w:r>
          </w:p>
          <w:p w14:paraId="79CD1EB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汉密尔顿焦虑表(HAMA)</w:t>
            </w:r>
          </w:p>
          <w:p w14:paraId="5D2C5B9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汉密尔顿抑郁量表(HAMD)</w:t>
            </w:r>
          </w:p>
          <w:p w14:paraId="0AE6925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记忆功能障碍筛查</w:t>
            </w:r>
          </w:p>
          <w:p w14:paraId="569E844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简易智能状态检查(MMSE)</w:t>
            </w:r>
          </w:p>
          <w:p w14:paraId="0A0F3B6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蒙特利尔认知评估中文版(MoCA)</w:t>
            </w:r>
          </w:p>
          <w:p w14:paraId="2D671B0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认知功能筛选检查表</w:t>
            </w:r>
          </w:p>
          <w:p w14:paraId="544A129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瑞文测验彩色版(CPM)</w:t>
            </w:r>
          </w:p>
          <w:p w14:paraId="20CABCE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失认证评定</w:t>
            </w:r>
          </w:p>
          <w:p w14:paraId="137AD6F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失算症评定(EC301)</w:t>
            </w:r>
          </w:p>
          <w:p w14:paraId="549BD8B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威斯康星卡片分类测验(WCST-64)</w:t>
            </w:r>
          </w:p>
          <w:p w14:paraId="7BBF30E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韦氏成人智力量表城市版(WAIS-RC)</w:t>
            </w:r>
          </w:p>
          <w:p w14:paraId="4FB1255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韦氏记忆量表(WMS)(甲式)</w:t>
            </w:r>
          </w:p>
          <w:p w14:paraId="7A33DA6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韦氏记忆量表(WMS)(乙式)</w:t>
            </w:r>
          </w:p>
          <w:p w14:paraId="28E8C20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症状自评量表(SCL-90)</w:t>
            </w:r>
          </w:p>
          <w:p w14:paraId="5E87145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注意力评定</w:t>
            </w:r>
          </w:p>
          <w:p w14:paraId="35CF3DE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8、认知评估采用人机对话方式，可极大减少治疗师的工作量，提高整体的工作效率。</w:t>
            </w:r>
          </w:p>
          <w:p w14:paraId="34E019A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9、病历管理：患者信息登记，为患者建立病历档案。</w:t>
            </w:r>
          </w:p>
          <w:p w14:paraId="2DE2940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10、认知能力评估：包含定向能力、注意能力、语言能力、执行能力、记忆能力、计算能力、日常知识、推理能力8个方面，其中，语言能力又包括表达、听理解、视理解和命名，其中分为甄别试和等级试测试。</w:t>
            </w:r>
          </w:p>
          <w:p w14:paraId="3DFD77C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11、认知康复训练：康复训练与评估有机地结合，对每个患者的每项评估，通过康复建议实现康复个性化，为每个患者量身订制康复训练方案。</w:t>
            </w:r>
          </w:p>
          <w:p w14:paraId="3980B10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模块二：认知闪卡训练模块</w:t>
            </w:r>
          </w:p>
          <w:p w14:paraId="7481129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针对五项认知能力：感知觉、注意、观察、记忆、思维（推理）能力训练，根据患者的不同认知能力，可采用阶梯式康复训练横式，同一种认知能力项训练均有不同的难度。</w:t>
            </w:r>
          </w:p>
          <w:p w14:paraId="72244A7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（1）、包含语言，基础，食物，生活，自然，日常，动作，识字、常用等8大类的认知图片训练，每个大板块，48个小版块，不低于1400个内容；</w:t>
            </w:r>
          </w:p>
          <w:p w14:paraId="399326A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1.1、语言板块包括：声母、韵母、动词、汉字、英语字母、量词、礼貌用语。</w:t>
            </w:r>
          </w:p>
          <w:p w14:paraId="2AA26DA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1.2、基础板块包括：颜色、形状、数字、身体部位、时间、钱币、人称。</w:t>
            </w:r>
          </w:p>
          <w:p w14:paraId="3850F7D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1.3、食物板块：水果、蔬菜、零食、快餐、菜肴。</w:t>
            </w:r>
          </w:p>
          <w:p w14:paraId="2E188E2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1.4、生活版块：家电、服饰、生活用品、文具、家具、乐器、玩具、日常标识、饰品。</w:t>
            </w:r>
          </w:p>
          <w:p w14:paraId="5985963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1.5、自然板块:常见动物、陆地动物、海洋动物、植物、鸟类、昆虫类、自然现象、自然景观。</w:t>
            </w:r>
          </w:p>
          <w:p w14:paraId="4EC5A44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1.6、日常板块：职业、交通工具、公共场所、家庭场所、特定场所。</w:t>
            </w:r>
          </w:p>
          <w:p w14:paraId="6815924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1.7、动作板块：身体动作、情绪、家庭活动、日常活动。</w:t>
            </w:r>
          </w:p>
          <w:p w14:paraId="17A628B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1.8、识字板块：拼音类、基础类、认知类。</w:t>
            </w:r>
          </w:p>
          <w:p w14:paraId="5A0CA87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（2）、可通过闪卡模式，翻阅模式，测试模式进行认知训练；</w:t>
            </w:r>
          </w:p>
          <w:p w14:paraId="47BF956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（3）、每个小版块可通过图片匹配、听音匹配、图集测试进行针对内容认知评估，每个大板块带有整个板块内容评估可选内容。</w:t>
            </w:r>
          </w:p>
          <w:p w14:paraId="0B2633D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（4）、闪卡模式和翻阅模式下，包含语音和图形双重认知训练，可进行自动播放和翻阅播放，可进行跟读认知和重复认知；</w:t>
            </w:r>
          </w:p>
          <w:p w14:paraId="156F8DA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（5）、可设置单位课程的认知卡片数量；</w:t>
            </w:r>
          </w:p>
          <w:p w14:paraId="1761BED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（6）、测试模式可进行难度设置，包含听音匹配测试和图片匹配测试；</w:t>
            </w:r>
          </w:p>
          <w:p w14:paraId="36DF73F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（7）、设置板块：带有误触防护保护功能、可进行闪卡播放时间设置、图片文字显示设置、配对图片数量设置、选择图片设置、锁设置、音量调节。</w:t>
            </w:r>
          </w:p>
          <w:p w14:paraId="1AFAE20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（8）目录预览功能可快速查阅板块类目</w:t>
            </w:r>
          </w:p>
          <w:p w14:paraId="06A5A9D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（9）搜索功能方便快捷找到需要学习的内容。</w:t>
            </w:r>
          </w:p>
          <w:p w14:paraId="53AA60A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（10）评估完带基础评估报告。</w:t>
            </w:r>
          </w:p>
          <w:p w14:paraId="2EE39CF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模块三：智力训练模块</w:t>
            </w:r>
          </w:p>
          <w:p w14:paraId="3B5DDDC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软件丰富多样，将益智游戏、棋牌竞技、轻松休闲集于一体。专项互动训练软件针对注意力、观察力、记忆力等能力进行训练；</w:t>
            </w:r>
          </w:p>
          <w:p w14:paraId="6ACD4C0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软件康复含10多种互动项目，500种音频资源。</w:t>
            </w:r>
          </w:p>
          <w:p w14:paraId="1DD140F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益智游戏模块包含连连看、记忆灯、记忆喂鱼、记忆围棋等不少于9款益智游戏。</w:t>
            </w:r>
          </w:p>
          <w:p w14:paraId="550B95D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棋牌竞技模块包含象棋、五子棋、军旗、跳棋等不少于6款棋类运动。</w:t>
            </w:r>
          </w:p>
          <w:p w14:paraId="5637748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轻松一刻模块包含500种以上音视频资源。</w:t>
            </w:r>
          </w:p>
          <w:p w14:paraId="20EA7E0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模块四：早老干预模块</w:t>
            </w:r>
          </w:p>
          <w:p w14:paraId="3AB26B0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1.身体状况自测：包含亚健康状态、大便指数、女性更年期指数、心脑功能、患病征兆、患老年痴呆征兆、男性更年期指数、血管老化程度等不少于八种疾病自测</w:t>
            </w:r>
          </w:p>
          <w:p w14:paraId="1160D3B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2.癌症自测：包含乳腺癌、前列腺癌、咽喉癌、子宫癌、卵巢癌、白血病、结肠癌、肝癌、肺癌、胃癌、胰腺癌、脑肿瘤、膀胱癌、食管癌等十三种疾病程度自测。</w:t>
            </w:r>
          </w:p>
          <w:p w14:paraId="73AB342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中老年常见疾病自测：包含冠心病、前列腺增生、尿毒症、尿路感染、帕金森病、心功能不全、心机梗死、慢性肝炎、支气管哮喘、糖尿病、老年性白内障、老年痴呆、肺结核、肝硬化、脑血栓、高血压、青光眼、骨质疏松症等不少于二十六种疾病程度自测</w:t>
            </w:r>
          </w:p>
          <w:p w14:paraId="484A247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4.生活方式病自测：包含心脏病、甲状腺疾病、肥胖指数、患肾脏疾病、高尿酸血症程度、胃炎、胃溃疡、患脂肪肝、动脉粥样硬化、过敏性疾病等不少于二十种疾病自测。</w:t>
            </w:r>
          </w:p>
          <w:p w14:paraId="3011B5F9">
            <w:pPr>
              <w:rPr>
                <w:rFonts w:hint="eastAsia" w:ascii="宋体" w:hAnsi="宋体" w:eastAsia="宋体" w:cs="宋体"/>
                <w:color w:val="000000"/>
                <w:sz w:val="24"/>
              </w:rPr>
            </w:pPr>
            <w:r>
              <w:rPr>
                <w:rFonts w:hint="eastAsia" w:ascii="宋体" w:hAnsi="宋体" w:eastAsia="宋体" w:cs="宋体"/>
                <w:color w:val="000000"/>
                <w:kern w:val="0"/>
                <w:sz w:val="24"/>
                <w:lang w:bidi="ar"/>
              </w:rPr>
              <w:t>5.包含身体状况自测、生活方式病自测、癌症自测、中老年常见疾病自测等不少于四种疾病测试模式，每一项测试内容种都针对不同的病症有不同的测试内容，使用者通过简单的自测可进行简单的病症评估，评估结束后系统会根据评估结果生成健康生活方式的建议。</w:t>
            </w:r>
          </w:p>
        </w:tc>
      </w:tr>
      <w:tr w14:paraId="50F6BFA6">
        <w:tblPrEx>
          <w:tblCellMar>
            <w:top w:w="0" w:type="dxa"/>
            <w:left w:w="108" w:type="dxa"/>
            <w:bottom w:w="0" w:type="dxa"/>
            <w:right w:w="108" w:type="dxa"/>
          </w:tblCellMar>
        </w:tblPrEx>
        <w:trPr>
          <w:trHeight w:val="48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5B7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F710">
            <w:pPr>
              <w:widowControl/>
              <w:jc w:val="left"/>
              <w:textAlignment w:val="center"/>
              <w:rPr>
                <w:rFonts w:hint="eastAsia" w:ascii="宋体" w:hAnsi="宋体" w:eastAsia="宋体" w:cs="宋体"/>
                <w:color w:val="000000"/>
                <w:sz w:val="24"/>
              </w:rPr>
            </w:pPr>
            <w:r>
              <w:rPr>
                <w:rFonts w:hint="eastAsia" w:ascii="宋体" w:hAnsi="宋体" w:eastAsia="宋体" w:cs="宋体"/>
                <w:b/>
                <w:bCs/>
                <w:sz w:val="28"/>
                <w:szCs w:val="28"/>
              </w:rPr>
              <w:t>认知学习平台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C7A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BB2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套</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0D9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  一、硬件（材质）：</w:t>
            </w:r>
          </w:p>
          <w:p w14:paraId="55696F2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1、采用LED液晶显示屏；屏幕比例：16:9；显示屏保护面板为透明钢化保护玻璃厚度不低于4mm；有效屏幕尺寸：≥60英寸；</w:t>
            </w:r>
          </w:p>
          <w:p w14:paraId="3F43EE8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2.无锐角安全设计，边角采用圆弧设计，按键板前置，方便使用、显示区域：全屏显示，显示区域无黑边，无盲区 </w:t>
            </w:r>
          </w:p>
          <w:p w14:paraId="5AEF348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3.控制主机配置：CPU频率≥2.8GHz，内存≥4G，硬盘≥120G，独立显卡，显存≥1GB。</w:t>
            </w:r>
          </w:p>
          <w:p w14:paraId="53579A2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4.采用接触式红外触控技术 安装方式：必须内置一体式； 触摸分辨率：≥4096（W）×4096（D）、红外触摸屏供电系统：USB供电，统自动识别，无需安装触摸模组驱动 红外触摸屏系统</w:t>
            </w:r>
          </w:p>
          <w:p w14:paraId="6F96E8D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二、软件：</w:t>
            </w:r>
          </w:p>
          <w:p w14:paraId="1D7357C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模块一：成人认知评估与训练模块</w:t>
            </w:r>
          </w:p>
          <w:p w14:paraId="27C04CA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认知能力评估与训练系统是采用国际通用认知评估量表对认知障碍患者进行认知评估的系统，评估过程采用“全自动－患者人机对话”模式，评估量表里的指令声音，文字，图片等均由系统发出及显示，有效解决传统评估过程中评估用具繁多难以整理，评估过程用具切换繁琐的弊病,患者的响应及反应均由系统自动记录，最后进行分析统计，显著降低治疗师的工作量，提高认知评定工作的效率。   </w:t>
            </w:r>
          </w:p>
          <w:p w14:paraId="626C18C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系统功能部分参数：</w:t>
            </w:r>
          </w:p>
          <w:p w14:paraId="04F1F02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训练项包括：结构组织能力（空间理解、空间综合、方位判断）、定向能力（时间定向、地点定向、人物定向）、专注能力（视觉专注、听觉专注、连线游戏）、语言能力（复述、命名、判断、理解、阅读、组句、选择、匹配）、记忆能力（形象记忆、逻辑记忆、运动记忆）、计算能力（直接运算、间接运算、创造性运算）、推理能力（次序推理、图像推理、事件推理）等。</w:t>
            </w:r>
          </w:p>
          <w:p w14:paraId="6CEC171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2、设计了与评估相匹配的七种能力康复训练，每一种能力的训练分为初级、中级和高级三个难度等级，根据个人差异将每个难度又分成了更细的训练内容。</w:t>
            </w:r>
          </w:p>
          <w:p w14:paraId="5B449A3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其中注意力训练包含保持训练、选择训练、转移训练、分配训练、综合训练等不少于六种模式训练，总共包含不少于18种训练内容；</w:t>
            </w:r>
          </w:p>
          <w:p w14:paraId="4E6AF07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记忆力训练包含人名、相貌、五官、位置、视听觉等不少于15种训练内容；</w:t>
            </w:r>
          </w:p>
          <w:p w14:paraId="0FAA049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计算训练包含不少于六种训练内容；思维心理包含不少于四种训练内容；知觉训练包含不少于五种训练内容</w:t>
            </w:r>
          </w:p>
          <w:p w14:paraId="01B7DBD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3、治疗过程中，所有训练项目都可以自动反馈，帮助用户了解自身的错误情况，及时纠正错误的训练方式；个性化治疗，系统根据用户治疗的完成情况，自动分析用户需要进行的下一步治疗的难度与参数；</w:t>
            </w:r>
          </w:p>
          <w:p w14:paraId="1871368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4、每次治疗结束后，系统自动对患者当日的整体治疗表现以数值和符号的方式予以反馈，并自动结束当次（日）的治疗，可自动生成单个或多位患者的治疗报告，并可打印报告。</w:t>
            </w:r>
          </w:p>
          <w:p w14:paraId="1E53AEE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5、训练端：每个训练都有自动演示功能，无需指导，全程治疗根据治疗方案自动进行，无需人为干预，根据不同的疾病在认知不同功能的损伤程度，给予标准的方案式治疗；</w:t>
            </w:r>
          </w:p>
          <w:p w14:paraId="3569645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6、采用人机互动模式，趣味性和可选择性强，包括多媒体、动画、语音识别和触屏技术，能充分调动儿童参与的积极性。</w:t>
            </w:r>
          </w:p>
          <w:p w14:paraId="42794ED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7、治疗过程中实时动态监测，服务器端实时监控每位患者的治疗进展。</w:t>
            </w:r>
          </w:p>
          <w:p w14:paraId="5FF6A95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8、电子化临床量表评估不少于19种(包括但不限于)：</w:t>
            </w:r>
          </w:p>
          <w:p w14:paraId="0A94CD5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Blessed 痴呆量表(BDS)</w:t>
            </w:r>
          </w:p>
          <w:p w14:paraId="51AA3E7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认知功能筛选检查表</w:t>
            </w:r>
          </w:p>
          <w:p w14:paraId="5EDC3B2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Rivermead 行为记忆试验(RBMT)</w:t>
            </w:r>
          </w:p>
          <w:p w14:paraId="2975125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长谷川痴呆量表(HDS)</w:t>
            </w:r>
          </w:p>
          <w:p w14:paraId="7175257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汉密尔顿焦虑表(HAMA)</w:t>
            </w:r>
          </w:p>
          <w:p w14:paraId="37B77CB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汉密尔顿抑郁量表(HAMD)</w:t>
            </w:r>
          </w:p>
          <w:p w14:paraId="102323A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记忆功能障碍筛查</w:t>
            </w:r>
          </w:p>
          <w:p w14:paraId="4999B78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简易智能状态检查(MMSE)</w:t>
            </w:r>
          </w:p>
          <w:p w14:paraId="41747D1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蒙特利尔认知评估中文版(MoCA)</w:t>
            </w:r>
          </w:p>
          <w:p w14:paraId="3FD9339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认知功能筛选检查表</w:t>
            </w:r>
          </w:p>
          <w:p w14:paraId="346F2B9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瑞文测验彩色版(CPM)</w:t>
            </w:r>
          </w:p>
          <w:p w14:paraId="7D49CF4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失认证评定</w:t>
            </w:r>
          </w:p>
          <w:p w14:paraId="0D46A0D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失算症评定(EC301)</w:t>
            </w:r>
          </w:p>
          <w:p w14:paraId="5D465D0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威斯康星卡片分类测验(WCST-64)</w:t>
            </w:r>
          </w:p>
          <w:p w14:paraId="473F999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韦氏成人智力量表城市版(WAIS-RC)</w:t>
            </w:r>
          </w:p>
          <w:p w14:paraId="0A877C4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韦氏记忆量表(WMS)(甲式)</w:t>
            </w:r>
          </w:p>
          <w:p w14:paraId="65394C3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韦氏记忆量表(WMS)(乙式)</w:t>
            </w:r>
          </w:p>
          <w:p w14:paraId="31B2A3B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症状自评量表(SCL-90)</w:t>
            </w:r>
          </w:p>
          <w:p w14:paraId="587BDCD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注意力评定</w:t>
            </w:r>
          </w:p>
          <w:p w14:paraId="6CAB20B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8、认知评估采用人机对话方式，可极大减少治疗师的工作量，提高整体的工作效率。</w:t>
            </w:r>
          </w:p>
          <w:p w14:paraId="376FB60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9、病历管理：患者信息登记，为患者建立病历档案。</w:t>
            </w:r>
          </w:p>
          <w:p w14:paraId="5953D03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10、认知能力评估：包含定向能力、注意能力、语言能力、执行能力、记忆能力、计算能力、日常知识、推理能力8个方面，其中，语言能力又包括表达、听理解、视理解和命名，其中分为甄别试和等级试测试。</w:t>
            </w:r>
          </w:p>
          <w:p w14:paraId="715ED3B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11、认知康复训练：康复训练与评估有机地结合，对每个患者的每项评估，通过康复建议实现康复个性化，为每个患者量身订制康复训练方案。</w:t>
            </w:r>
          </w:p>
          <w:p w14:paraId="1A86A3A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模块二：认知闪卡训练模块</w:t>
            </w:r>
          </w:p>
          <w:p w14:paraId="38BB9E8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针对五项认知能力：感知觉、注意、观察、记忆、思维（推理）能力训练，根据患者的不同认知能力，可采用阶梯式康复训练横式，同一种认知能力项训练均有不同的难度。</w:t>
            </w:r>
          </w:p>
          <w:p w14:paraId="04AC2F5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（1）、包含语言，基础，食物，生活，自然，日常，动作，识字、常用等8大类的认知图片训练，每个大板块，48个小版块，不低于1400个内容；</w:t>
            </w:r>
          </w:p>
          <w:p w14:paraId="6B90708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1.1、语言板块包括：声母、韵母、动词、汉字、英语字母、量词、礼貌用语。</w:t>
            </w:r>
          </w:p>
          <w:p w14:paraId="6D9B239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1.2、基础板块包括：颜色、形状、数字、身体部位、时间、钱币、人称。</w:t>
            </w:r>
          </w:p>
          <w:p w14:paraId="189EEE3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1.3、食物板块：水果、蔬菜、零食、快餐、菜肴。</w:t>
            </w:r>
          </w:p>
          <w:p w14:paraId="64DAD77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1.4、生活版块：家电、服饰、生活用品、文具、家具、乐器、玩具、日常标识、饰品。</w:t>
            </w:r>
          </w:p>
          <w:p w14:paraId="03222A8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1.5、自然板块:常见动物、陆地动物、海洋动物、植物、鸟类、昆虫类、自然现象、自然景观。</w:t>
            </w:r>
          </w:p>
          <w:p w14:paraId="7C0C823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1.6、日常板块：职业、交通工具、公共场所、家庭场所、特定场所。</w:t>
            </w:r>
          </w:p>
          <w:p w14:paraId="76C44F9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1.7、动作板块：身体动作、情绪、家庭活动、日常活动。</w:t>
            </w:r>
          </w:p>
          <w:p w14:paraId="57E5E20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1.8、识字板块：拼音类、基础类、认知类。</w:t>
            </w:r>
          </w:p>
          <w:p w14:paraId="7E293D3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（2）、可通过闪卡模式，翻阅模式，测试模式进行认知训练；</w:t>
            </w:r>
          </w:p>
          <w:p w14:paraId="2C8DA88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（3）、每个小版块可通过图片匹配、听音匹配、图集测试进行针对内容认知评估，每个大板块带有整个板块内容评估可选内容。</w:t>
            </w:r>
          </w:p>
          <w:p w14:paraId="08A4FB9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（4）、闪卡模式和翻阅模式下，包含语音和图形双重认知训练，可进行自动播放和翻阅播放，可进行跟读认知和重复认知；</w:t>
            </w:r>
          </w:p>
          <w:p w14:paraId="333CD35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（5）、可设置单位课程的认知卡片数量；</w:t>
            </w:r>
          </w:p>
          <w:p w14:paraId="67182A7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（6）、测试模式可进行难度设置，包含听音匹配测试和图片匹配测试；</w:t>
            </w:r>
          </w:p>
          <w:p w14:paraId="46BCF7A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（7）、设置板块：带有误触防护保护功能、可进行闪卡播放时间设置、图片文字显示设置、配对图片数量设置、选择图片设置、锁设置、音量调节。</w:t>
            </w:r>
          </w:p>
          <w:p w14:paraId="512CB04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（8）目录预览功能可快速查阅板块类目</w:t>
            </w:r>
          </w:p>
          <w:p w14:paraId="7BC812D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（9）搜索功能方便快捷找到需要学习的内容。</w:t>
            </w:r>
          </w:p>
          <w:p w14:paraId="456E3A1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（10）评估完带基础评估报告。</w:t>
            </w:r>
          </w:p>
          <w:p w14:paraId="026DE57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模块三：智力训练模块</w:t>
            </w:r>
          </w:p>
          <w:p w14:paraId="13C3CF0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软件丰富多样，将益智游戏、棋牌竞技、轻松休闲集于一体。专项互动训练软件针对注意力、观察力、记忆力等能力进行训练；</w:t>
            </w:r>
          </w:p>
          <w:p w14:paraId="5811A8E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软件康复含10多种互动项目，500种音频资源。</w:t>
            </w:r>
          </w:p>
          <w:p w14:paraId="5459C01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益智游戏模块包含连连看、记忆灯、记忆喂鱼、记忆围棋等不少于9款益智游戏。</w:t>
            </w:r>
          </w:p>
          <w:p w14:paraId="1C77628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棋牌竞技模块包含象棋、五子棋、军旗、跳棋等不少于6款棋类运动。</w:t>
            </w:r>
          </w:p>
          <w:p w14:paraId="75E214D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轻松一刻模块包含500种以上音视频资源。</w:t>
            </w:r>
          </w:p>
          <w:p w14:paraId="40A1459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模块四：早老干预模块</w:t>
            </w:r>
          </w:p>
          <w:p w14:paraId="7F8FF9F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1.身体状况自测：包含亚健康状态、大便指数、女性更年期指数、心脑功能、患病征兆、患老年痴呆征兆、男性更年期指数、血管老化程度等不少于八种疾病自测</w:t>
            </w:r>
          </w:p>
          <w:p w14:paraId="4402508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2.癌症自测：包含乳腺癌、前列腺癌、咽喉癌、子宫癌、卵巢癌、白血病、结肠癌、肝癌、肺癌、胃癌、胰腺癌、脑肿瘤、膀胱癌、食管癌等十三种疾病程度自测。</w:t>
            </w:r>
          </w:p>
          <w:p w14:paraId="51D396D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中老年常见疾病自测：包含冠心病、前列腺增生、尿毒症、尿路感染、帕金森病、心功能不全、心机梗死、慢性肝炎、支气管哮喘、糖尿病、老年性白内障、老年痴呆、肺结核、肝硬化、脑血栓、高血压、青光眼、骨质疏松症等不少于二十六种疾病程度自测</w:t>
            </w:r>
          </w:p>
          <w:p w14:paraId="2637E33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4.生活方式病自测：包含心脏病、甲状腺疾病、肥胖指数、患肾脏疾病、高尿酸血症程度、胃炎、胃溃疡、患脂肪肝、动脉粥样硬化、过敏性疾病等不少于二十种疾病自测。</w:t>
            </w:r>
          </w:p>
          <w:p w14:paraId="7D8853DA">
            <w:pPr>
              <w:rPr>
                <w:rFonts w:hint="eastAsia" w:ascii="宋体" w:hAnsi="宋体" w:eastAsia="宋体" w:cs="宋体"/>
                <w:color w:val="000000"/>
                <w:sz w:val="24"/>
              </w:rPr>
            </w:pPr>
            <w:r>
              <w:rPr>
                <w:rFonts w:hint="eastAsia" w:ascii="宋体" w:hAnsi="宋体" w:eastAsia="宋体" w:cs="宋体"/>
                <w:color w:val="000000"/>
                <w:kern w:val="0"/>
                <w:sz w:val="24"/>
                <w:lang w:bidi="ar"/>
              </w:rPr>
              <w:t>5.包含身体状况自测、生活方式病自测、癌症自测、中老年常见疾病自测等不少于四种疾病测试模式，每一项测试内容种都针对不同的病症有不同的测试内容，使用者通过简单的自测可进行简单的病症评估，评估结束后系统会根据评估结果生成健康生活方式的建议。</w:t>
            </w:r>
          </w:p>
        </w:tc>
      </w:tr>
      <w:tr w14:paraId="1FE59361">
        <w:tblPrEx>
          <w:tblCellMar>
            <w:top w:w="0" w:type="dxa"/>
            <w:left w:w="108" w:type="dxa"/>
            <w:bottom w:w="0" w:type="dxa"/>
            <w:right w:w="108" w:type="dxa"/>
          </w:tblCellMar>
        </w:tblPrEx>
        <w:trPr>
          <w:trHeight w:val="271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EE4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0BBA">
            <w:pPr>
              <w:widowControl/>
              <w:jc w:val="left"/>
              <w:textAlignment w:val="center"/>
              <w:rPr>
                <w:rFonts w:hint="eastAsia" w:ascii="宋体" w:hAnsi="宋体" w:eastAsia="宋体" w:cs="宋体"/>
                <w:color w:val="000000"/>
                <w:sz w:val="24"/>
              </w:rPr>
            </w:pPr>
            <w:r>
              <w:rPr>
                <w:rFonts w:hint="eastAsia" w:ascii="宋体" w:hAnsi="宋体" w:eastAsia="宋体" w:cs="宋体"/>
                <w:b/>
                <w:bCs/>
                <w:sz w:val="28"/>
                <w:szCs w:val="28"/>
              </w:rPr>
              <w:t>认知学习平台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6691">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4"/>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FE4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套</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5CB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  一、硬件（材质）：</w:t>
            </w:r>
          </w:p>
          <w:p w14:paraId="412C14F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1、采用LED液晶显示屏；屏幕比例：16:9；显示屏保护面板为透明钢化保护玻璃厚度不低于4mm；有效屏幕尺寸：≥60英寸；</w:t>
            </w:r>
          </w:p>
          <w:p w14:paraId="7838CE8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2.无锐角安全设计，边角采用圆弧设计，按键板前置，方便使用、显示区域：全屏显示，显示区域无黑边，无盲区 </w:t>
            </w:r>
          </w:p>
          <w:p w14:paraId="3753B24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3.控制主机配置：CPU频率≥2.8GHz，内存≥4G，硬盘≥120G，独立显卡，显存≥1GB。</w:t>
            </w:r>
          </w:p>
          <w:p w14:paraId="2896A32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4.采用接触式红外触控技术 安装方式：必须内置一体式； 触摸分辨率：≥4096（W）×4096（D）、红外触摸屏供电系统：USB供电，统自动识别，无需安装触摸模组驱动 红外触摸屏系统</w:t>
            </w:r>
          </w:p>
          <w:p w14:paraId="771FBF4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二、软件：</w:t>
            </w:r>
          </w:p>
          <w:p w14:paraId="57286CB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模块一：成人认知评估与训练模块</w:t>
            </w:r>
          </w:p>
          <w:p w14:paraId="2C940AF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认知能力评估与训练系统是采用国际通用认知评估量表对认知障碍患者进行认知评估的系统，评估过程采用“全自动－患者人机对话”模式，评估量表里的指令声音，文字，图片等均由系统发出及显示，有效解决传统评估过程中评估用具繁多难以整理，评估过程用具切换繁琐的弊病,患者的响应及反应均由系统自动记录，最后进行分析统计，显著降低治疗师的工作量，提高认知评定工作的效率。   </w:t>
            </w:r>
          </w:p>
          <w:p w14:paraId="07B138B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系统功能部分参数：</w:t>
            </w:r>
          </w:p>
          <w:p w14:paraId="10045FC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训练项包括：结构组织能力（空间理解、空间综合、方位判断）、定向能力（时间定向、地点定向、人物定向）、专注能力（视觉专注、听觉专注、连线游戏）、语言能力（复述、命名、判断、理解、阅读、组句、选择、匹配）、记忆能力（形象记忆、逻辑记忆、运动记忆）、计算能力（直接运算、间接运算、创造性运算）、推理能力（次序推理、图像推理、事件推理）等。</w:t>
            </w:r>
          </w:p>
          <w:p w14:paraId="5A02D12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2、设计了与评估相匹配的七种能力康复训练，每一种能力的训练分为初级、中级和高级三个难度等级，根据个人差异将每个难度又分成了更细的训练内容。</w:t>
            </w:r>
          </w:p>
          <w:p w14:paraId="1F5000F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其中注意力训练包含保持训练、选择训练、转移训练、分配训练、综合训练等不少于六种模式训练，总共包含不少于18种训练内容；</w:t>
            </w:r>
          </w:p>
          <w:p w14:paraId="5240AA0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记忆力训练包含人名、相貌、五官、位置、视听觉等不少于15种训练内容；</w:t>
            </w:r>
          </w:p>
          <w:p w14:paraId="21C386B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计算训练包含不少于六种训练内容；思维心理包含不少于四种训练内容；知觉训练包含不少于五种训练内容</w:t>
            </w:r>
          </w:p>
          <w:p w14:paraId="09EE0F1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3、治疗过程中，所有训练项目都可以自动反馈，帮助用户了解自身的错误情况，及时纠正错误的训练方式；个性化治疗，系统根据用户治疗的完成情况，自动分析用户需要进行的下一步治疗的难度与参数；</w:t>
            </w:r>
          </w:p>
          <w:p w14:paraId="7E67727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4、每次治疗结束后，系统自动对患者当日的整体治疗表现以数值和符号的方式予以反馈，并自动结束当次（日）的治疗，可自动生成单个或多位患者的治疗报告，并可打印报告。</w:t>
            </w:r>
          </w:p>
          <w:p w14:paraId="4425598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5、训练端：每个训练都有自动演示功能，无需指导，全程治疗根据治疗方案自动进行，无需人为干预，根据不同的疾病在认知不同功能的损伤程度，给予标准的方案式治疗；</w:t>
            </w:r>
          </w:p>
          <w:p w14:paraId="2525D16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6、采用人机互动模式，趣味性和可选择性强，包括多媒体、动画、语音识别和触屏技术，能充分调动儿童参与的积极性。</w:t>
            </w:r>
          </w:p>
          <w:p w14:paraId="50CFEEF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7、治疗过程中实时动态监测，服务器端实时监控每位患者的治疗进展。</w:t>
            </w:r>
          </w:p>
          <w:p w14:paraId="0DBCF03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8、电子化临床量表评估不少于19种(包括但不限于)：</w:t>
            </w:r>
          </w:p>
          <w:p w14:paraId="79DDA09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Blessed 痴呆量表(BDS)</w:t>
            </w:r>
          </w:p>
          <w:p w14:paraId="7C39CA0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认知功能筛选检查表</w:t>
            </w:r>
          </w:p>
          <w:p w14:paraId="66D44EB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Rivermead 行为记忆试验(RBMT)</w:t>
            </w:r>
          </w:p>
          <w:p w14:paraId="1A386E3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长谷川痴呆量表(HDS)</w:t>
            </w:r>
          </w:p>
          <w:p w14:paraId="0DDA87C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汉密尔顿焦虑表(HAMA)</w:t>
            </w:r>
          </w:p>
          <w:p w14:paraId="689ED71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汉密尔顿抑郁量表(HAMD)</w:t>
            </w:r>
          </w:p>
          <w:p w14:paraId="5DF41B7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记忆功能障碍筛查</w:t>
            </w:r>
          </w:p>
          <w:p w14:paraId="6176B0B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简易智能状态检查(MMSE)</w:t>
            </w:r>
          </w:p>
          <w:p w14:paraId="486566E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蒙特利尔认知评估中文版(MoCA)</w:t>
            </w:r>
          </w:p>
          <w:p w14:paraId="0D2E212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认知功能筛选检查表</w:t>
            </w:r>
          </w:p>
          <w:p w14:paraId="56A3F07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瑞文测验彩色版(CPM)</w:t>
            </w:r>
          </w:p>
          <w:p w14:paraId="636F68A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失认证评定</w:t>
            </w:r>
          </w:p>
          <w:p w14:paraId="084446E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失算症评定(EC301)</w:t>
            </w:r>
          </w:p>
          <w:p w14:paraId="64AF8C8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威斯康星卡片分类测验(WCST-64)</w:t>
            </w:r>
          </w:p>
          <w:p w14:paraId="7F69459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韦氏成人智力量表城市版(WAIS-RC)</w:t>
            </w:r>
          </w:p>
          <w:p w14:paraId="6448CB9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韦氏记忆量表(WMS)(甲式)</w:t>
            </w:r>
          </w:p>
          <w:p w14:paraId="41B13A2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韦氏记忆量表(WMS)(乙式)</w:t>
            </w:r>
          </w:p>
          <w:p w14:paraId="3CCA9C7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症状自评量表(SCL-90)</w:t>
            </w:r>
          </w:p>
          <w:p w14:paraId="44F8B6C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注意力评定</w:t>
            </w:r>
          </w:p>
          <w:p w14:paraId="5562224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8、认知评估采用人机对话方式，可极大减少治疗师的工作量，提高整体的工作效率。</w:t>
            </w:r>
          </w:p>
          <w:p w14:paraId="0F685F8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9、病历管理：患者信息登记，为患者建立病历档案。</w:t>
            </w:r>
          </w:p>
          <w:p w14:paraId="3FAF45E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10、认知能力评估：包含定向能力、注意能力、语言能力、执行能力、记忆能力、计算能力、日常知识、推理能力8个方面，其中，语言能力又包括表达、听理解、视理解和命名，其中分为甄别试和等级试测试。</w:t>
            </w:r>
          </w:p>
          <w:p w14:paraId="5563D38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11、认知康复训练：康复训练与评估有机地结合，对每个患者的每项评估，通过康复建议实现康复个性化，为每个患者量身订制康复训练方案。</w:t>
            </w:r>
          </w:p>
          <w:p w14:paraId="0EFCA42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模块二：认知闪卡训练模块</w:t>
            </w:r>
          </w:p>
          <w:p w14:paraId="5DACDCB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针对五项认知能力：感知觉、注意、观察、记忆、思维（推理）能力训练，根据患者的不同认知能力，可采用阶梯式康复训练横式，同一种认知能力项训练均有不同的难度。</w:t>
            </w:r>
          </w:p>
          <w:p w14:paraId="1C49765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（1）、包含语言，基础，食物，生活，自然，日常，动作，识字、常用等8大类的认知图片训练，每个大板块，48个小版块，不低于1400个内容；</w:t>
            </w:r>
          </w:p>
          <w:p w14:paraId="60A9728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1.1、语言板块包括：声母、韵母、动词、汉字、英语字母、量词、礼貌用语。</w:t>
            </w:r>
          </w:p>
          <w:p w14:paraId="48F195C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1.2、基础板块包括：颜色、形状、数字、身体部位、时间、钱币、人称。</w:t>
            </w:r>
          </w:p>
          <w:p w14:paraId="0EC103D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1.3、食物板块：水果、蔬菜、零食、快餐、菜肴。</w:t>
            </w:r>
          </w:p>
          <w:p w14:paraId="044E8C4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1.4、生活版块：家电、服饰、生活用品、文具、家具、乐器、玩具、日常标识、饰品。</w:t>
            </w:r>
          </w:p>
          <w:p w14:paraId="7CB3A11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1.5、自然板块:常见动物、陆地动物、海洋动物、植物、鸟类、昆虫类、自然现象、自然景观。</w:t>
            </w:r>
          </w:p>
          <w:p w14:paraId="607F4CE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1.6、日常板块：职业、交通工具、公共场所、家庭场所、特定场所。</w:t>
            </w:r>
          </w:p>
          <w:p w14:paraId="4349393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1.7、动作板块：身体动作、情绪、家庭活动、日常活动。</w:t>
            </w:r>
          </w:p>
          <w:p w14:paraId="333C542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1.8、识字板块：拼音类、基础类、认知类。</w:t>
            </w:r>
          </w:p>
          <w:p w14:paraId="1D81B20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（2）、可通过闪卡模式，翻阅模式，测试模式进行认知训练；</w:t>
            </w:r>
          </w:p>
          <w:p w14:paraId="2CECF78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（3）、每个小版块可通过图片匹配、听音匹配、图集测试进行针对内容认知评估，每个大板块带有整个板块内容评估可选内容。</w:t>
            </w:r>
          </w:p>
          <w:p w14:paraId="09B17AF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（4）、闪卡模式和翻阅模式下，包含语音和图形双重认知训练，可进行自动播放和翻阅播放，可进行跟读认知和重复认知；</w:t>
            </w:r>
          </w:p>
          <w:p w14:paraId="1E4F5B6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（5）、可设置单位课程的认知卡片数量；</w:t>
            </w:r>
          </w:p>
          <w:p w14:paraId="5EF4006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（6）、测试模式可进行难度设置，包含听音匹配测试和图片匹配测试；</w:t>
            </w:r>
          </w:p>
          <w:p w14:paraId="6060859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（7）、设置板块：带有误触防护保护功能、可进行闪卡播放时间设置、图片文字显示设置、配对图片数量设置、选择图片设置、锁设置、音量调节。</w:t>
            </w:r>
          </w:p>
          <w:p w14:paraId="3E818A4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（8）目录预览功能可快速查阅板块类目</w:t>
            </w:r>
          </w:p>
          <w:p w14:paraId="61EFD65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（9）搜索功能方便快捷找到需要学习的内容。</w:t>
            </w:r>
          </w:p>
          <w:p w14:paraId="21C3C88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（10）评估完带基础评估报告。</w:t>
            </w:r>
          </w:p>
          <w:p w14:paraId="546C645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模块三：智力训练模块</w:t>
            </w:r>
          </w:p>
          <w:p w14:paraId="72B4595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软件丰富多样，将益智游戏、棋牌竞技、轻松休闲集于一体。专项互动训练软件针对注意力、观察力、记忆力等能力进行训练；</w:t>
            </w:r>
          </w:p>
          <w:p w14:paraId="3C79DF58">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软件康复含10多种互动项目，500种音频资源。</w:t>
            </w:r>
          </w:p>
          <w:p w14:paraId="170202C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益智游戏模块包含连连看、记忆灯、记忆喂鱼、记忆围棋等不少于9款益智游戏。</w:t>
            </w:r>
          </w:p>
          <w:p w14:paraId="10D109F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棋牌竞技模块包含象棋、五子棋、军旗、跳棋等不少于6款棋类运动。</w:t>
            </w:r>
          </w:p>
          <w:p w14:paraId="2C74B68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轻松一刻模块包含500种以上音视频资源。</w:t>
            </w:r>
          </w:p>
          <w:p w14:paraId="169A6065">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模块四：早老干预模块</w:t>
            </w:r>
          </w:p>
          <w:p w14:paraId="09BB525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1.身体状况自测：包含亚健康状态、大便指数、女性更年期指数、心脑功能、患病征兆、患老年痴呆征兆、男性更年期指数、血管老化程度等不少于八种疾病自测</w:t>
            </w:r>
          </w:p>
          <w:p w14:paraId="278F573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2.癌症自测：包含乳腺癌、前列腺癌、咽喉癌、子宫癌、卵巢癌、白血病、结肠癌、肝癌、肺癌、胃癌、胰腺癌、脑肿瘤、膀胱癌、食管癌等十三种疾病程度自测。</w:t>
            </w:r>
          </w:p>
          <w:p w14:paraId="72E0BD8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中老年常见疾病自测：包含冠心病、前列腺增生、尿毒症、尿路感染、帕金森病、心功能不全、心机梗死、慢性肝炎、支气管哮喘、糖尿病、老年性白内障、老年痴呆、肺结核、肝硬化、脑血栓、高血压、青光眼、骨质疏松症等不少于二十六种疾病程度自测</w:t>
            </w:r>
          </w:p>
          <w:p w14:paraId="49117A7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4.生活方式病自测：包含心脏病、甲状腺疾病、肥胖指数、患肾脏疾病、高尿酸血症程度、胃炎、胃溃疡、患脂肪肝、动脉粥样硬化、过敏性疾病等不少于二十种疾病自测。</w:t>
            </w:r>
          </w:p>
          <w:p w14:paraId="04D7974D">
            <w:pPr>
              <w:rPr>
                <w:rFonts w:hint="eastAsia" w:ascii="宋体" w:hAnsi="宋体" w:eastAsia="宋体" w:cs="宋体"/>
                <w:sz w:val="24"/>
              </w:rPr>
            </w:pPr>
            <w:r>
              <w:rPr>
                <w:rFonts w:hint="eastAsia" w:ascii="宋体" w:hAnsi="宋体" w:eastAsia="宋体" w:cs="宋体"/>
                <w:color w:val="000000"/>
                <w:kern w:val="0"/>
                <w:sz w:val="24"/>
                <w:lang w:bidi="ar"/>
              </w:rPr>
              <w:t>5.包含身体状况自测、生活方式病自测、癌症自测、中老年常见疾病自测等不少于四种疾病测试模式，每一项测试内容种都针对不同的病症有不同的测试内容，使用者通过简单的自测可进行简单的病症评估，评估结束后系统会根据评估结果生成健康生活方式的建议。</w:t>
            </w:r>
          </w:p>
          <w:p w14:paraId="04DFE5C7">
            <w:pPr>
              <w:rPr>
                <w:rFonts w:hint="eastAsia" w:ascii="宋体" w:hAnsi="宋体" w:eastAsia="宋体" w:cs="宋体"/>
                <w:sz w:val="24"/>
              </w:rPr>
            </w:pPr>
          </w:p>
          <w:p w14:paraId="740A0804">
            <w:pPr>
              <w:widowControl/>
              <w:jc w:val="left"/>
              <w:textAlignment w:val="center"/>
              <w:rPr>
                <w:rFonts w:hint="eastAsia" w:ascii="宋体" w:hAnsi="宋体" w:eastAsia="宋体" w:cs="宋体"/>
                <w:color w:val="000000"/>
                <w:sz w:val="24"/>
              </w:rPr>
            </w:pPr>
          </w:p>
        </w:tc>
      </w:tr>
      <w:tr w14:paraId="2956D13E">
        <w:tblPrEx>
          <w:tblCellMar>
            <w:top w:w="0" w:type="dxa"/>
            <w:left w:w="108" w:type="dxa"/>
            <w:bottom w:w="0" w:type="dxa"/>
            <w:right w:w="108" w:type="dxa"/>
          </w:tblCellMar>
        </w:tblPrEx>
        <w:trPr>
          <w:trHeight w:val="246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A7C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8</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8156">
            <w:pPr>
              <w:rPr>
                <w:rFonts w:hint="eastAsia" w:ascii="宋体" w:hAnsi="宋体" w:eastAsia="宋体" w:cs="宋体"/>
                <w:color w:val="000000"/>
                <w:sz w:val="28"/>
                <w:szCs w:val="28"/>
                <w:shd w:val="clear" w:color="auto" w:fill="FFFFFF"/>
              </w:rPr>
            </w:pPr>
            <w:r>
              <w:rPr>
                <w:rFonts w:hint="eastAsia" w:ascii="宋体" w:hAnsi="宋体" w:eastAsia="宋体" w:cs="宋体"/>
                <w:b/>
                <w:bCs/>
                <w:sz w:val="24"/>
              </w:rPr>
              <w:t xml:space="preserve">情景互动康复系统 </w:t>
            </w:r>
          </w:p>
          <w:p w14:paraId="65FB1E9E">
            <w:pPr>
              <w:widowControl/>
              <w:jc w:val="left"/>
              <w:textAlignment w:val="center"/>
              <w:rPr>
                <w:rFonts w:hint="eastAsia" w:ascii="宋体" w:hAnsi="宋体" w:eastAsia="宋体" w:cs="宋体"/>
                <w:color w:val="000000"/>
                <w:sz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AAA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71E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套</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635E">
            <w:pPr>
              <w:rPr>
                <w:rFonts w:hint="eastAsia" w:ascii="宋体" w:hAnsi="宋体" w:eastAsia="宋体" w:cs="宋体"/>
                <w:sz w:val="24"/>
              </w:rPr>
            </w:pPr>
            <w:r>
              <w:rPr>
                <w:rFonts w:hint="eastAsia" w:ascii="宋体" w:hAnsi="宋体" w:eastAsia="宋体" w:cs="宋体"/>
                <w:sz w:val="24"/>
              </w:rPr>
              <w:t>1）功能要求；体感感统训练系统，采用先进的投影技术和计算机交互技术，将画面投射于地面和墙面，营造感统训练的虚拟环境和丰富多彩的训练项目，当参与者踏入投射画面时，可以直接使用双脚或者双手及身体的各个部位与虚拟场景进行交互，产生各种互动效果，使观众置身其中，参与趣味十足的多感官训练项目。</w:t>
            </w:r>
          </w:p>
          <w:p w14:paraId="62F4545E">
            <w:pPr>
              <w:rPr>
                <w:rFonts w:hint="eastAsia" w:ascii="宋体" w:hAnsi="宋体" w:eastAsia="宋体" w:cs="宋体"/>
                <w:sz w:val="24"/>
              </w:rPr>
            </w:pPr>
            <w:r>
              <w:rPr>
                <w:rFonts w:hint="eastAsia" w:ascii="宋体" w:hAnsi="宋体" w:eastAsia="宋体" w:cs="宋体"/>
                <w:sz w:val="24"/>
              </w:rPr>
              <w:t>该系统能有效的提高参与者的感觉统合能力，促进大脑与身体机能的协调发展与康复，是一种极具吸引力的高科技感统训练设备。</w:t>
            </w:r>
          </w:p>
          <w:p w14:paraId="226AD5D0">
            <w:pPr>
              <w:rPr>
                <w:rFonts w:hint="eastAsia" w:ascii="宋体" w:hAnsi="宋体" w:eastAsia="宋体" w:cs="宋体"/>
                <w:sz w:val="24"/>
              </w:rPr>
            </w:pPr>
            <w:r>
              <w:rPr>
                <w:rFonts w:hint="eastAsia" w:ascii="宋体" w:hAnsi="宋体" w:eastAsia="宋体" w:cs="宋体"/>
                <w:sz w:val="24"/>
              </w:rPr>
              <w:t>2）系统的两大部分</w:t>
            </w:r>
          </w:p>
          <w:p w14:paraId="54810D9D">
            <w:pPr>
              <w:rPr>
                <w:rFonts w:hint="eastAsia" w:ascii="宋体" w:hAnsi="宋体" w:eastAsia="宋体" w:cs="宋体"/>
                <w:sz w:val="24"/>
              </w:rPr>
            </w:pPr>
            <w:r>
              <w:rPr>
                <w:rFonts w:hint="eastAsia" w:ascii="宋体" w:hAnsi="宋体" w:eastAsia="宋体" w:cs="宋体"/>
                <w:sz w:val="24"/>
              </w:rPr>
              <w:t>2.1 感官训练软件：包含≥150个训练项目，每个项目分为不同训练难度，内容可定制。</w:t>
            </w:r>
          </w:p>
          <w:p w14:paraId="4711C9B4">
            <w:pPr>
              <w:rPr>
                <w:rFonts w:hint="eastAsia" w:ascii="宋体" w:hAnsi="宋体" w:eastAsia="宋体" w:cs="宋体"/>
                <w:sz w:val="24"/>
              </w:rPr>
            </w:pPr>
            <w:r>
              <w:rPr>
                <w:rFonts w:hint="eastAsia" w:ascii="宋体" w:hAnsi="宋体" w:eastAsia="宋体" w:cs="宋体"/>
                <w:sz w:val="24"/>
              </w:rPr>
              <w:t>2.2 感官训练教室：墙面、地面整体，中控一体机、投影仪、雷达等。</w:t>
            </w:r>
          </w:p>
          <w:p w14:paraId="32A9C75C">
            <w:pPr>
              <w:rPr>
                <w:rFonts w:hint="eastAsia" w:ascii="宋体" w:hAnsi="宋体" w:eastAsia="宋体" w:cs="宋体"/>
                <w:sz w:val="24"/>
              </w:rPr>
            </w:pPr>
            <w:r>
              <w:rPr>
                <w:rFonts w:hint="eastAsia" w:ascii="宋体" w:hAnsi="宋体" w:eastAsia="宋体" w:cs="宋体"/>
                <w:sz w:val="24"/>
              </w:rPr>
              <w:t>3）系统的功能部分：感官知觉，运动能力，认知能力， 自理能力， 语言能力， 情绪行为</w:t>
            </w:r>
          </w:p>
          <w:p w14:paraId="4CD0D7DE">
            <w:pPr>
              <w:rPr>
                <w:rFonts w:hint="eastAsia" w:ascii="宋体" w:hAnsi="宋体" w:eastAsia="宋体" w:cs="宋体"/>
                <w:sz w:val="24"/>
              </w:rPr>
            </w:pPr>
            <w:r>
              <w:rPr>
                <w:rFonts w:hint="eastAsia" w:ascii="宋体" w:hAnsi="宋体" w:eastAsia="宋体" w:cs="宋体"/>
                <w:sz w:val="24"/>
              </w:rPr>
              <w:t>4）软件分类（≥150款训练游戏）</w:t>
            </w:r>
          </w:p>
          <w:p w14:paraId="2521096E">
            <w:pPr>
              <w:rPr>
                <w:rFonts w:hint="eastAsia" w:ascii="宋体" w:hAnsi="宋体" w:eastAsia="宋体" w:cs="宋体"/>
                <w:sz w:val="24"/>
              </w:rPr>
            </w:pPr>
            <w:r>
              <w:rPr>
                <w:rFonts w:hint="eastAsia" w:ascii="宋体" w:hAnsi="宋体" w:eastAsia="宋体" w:cs="宋体"/>
                <w:sz w:val="24"/>
              </w:rPr>
              <w:t>4.1  上肢训练：字母认知，打蝙蝠， 记忆训练动物，记忆训练数字，记忆训练形状，史莱姆，拼图，切水果，捕鱼，气球大作战，梦幻城堡，水果点击，气球点击，球类点击，鱼类点击，蔬菜点击，数字点击1，数字点击2，棒棒糖大作战，放风筝，梦幻星球，虎虎生威，营救小伙伴。</w:t>
            </w:r>
          </w:p>
          <w:p w14:paraId="4DCCCD96">
            <w:pPr>
              <w:rPr>
                <w:rFonts w:hint="eastAsia" w:ascii="宋体" w:hAnsi="宋体" w:eastAsia="宋体" w:cs="宋体"/>
                <w:sz w:val="24"/>
              </w:rPr>
            </w:pPr>
            <w:r>
              <w:rPr>
                <w:rFonts w:hint="eastAsia" w:ascii="宋体" w:hAnsi="宋体" w:eastAsia="宋体" w:cs="宋体"/>
                <w:sz w:val="24"/>
              </w:rPr>
              <w:t>4.2  空间训练：摘桃子，踢足球，接小球，踩南瓜，采珍珠，吃水果，猫咪点击，环保卫士，黄鸭点击，花朵点击，苹果点击，小羊点击，宝石点击，猴子吃香蕉，吃豆人，迷宫，见缝插针，炸弹人，贪吃蛇，小坦克，打地鼠，勇敢战士，果冻人，跳跳龙，金币点击，星星点击，姜饼人，帆船点击，冰激凌点击，兔子点击，抓住兔子，浪漫樱花，风车转转转，梦幻星空，冰激淋乐园，跑酷。</w:t>
            </w:r>
          </w:p>
          <w:p w14:paraId="648E6C32">
            <w:pPr>
              <w:rPr>
                <w:rFonts w:hint="eastAsia" w:ascii="宋体" w:hAnsi="宋体" w:eastAsia="宋体" w:cs="宋体"/>
                <w:sz w:val="24"/>
              </w:rPr>
            </w:pPr>
            <w:r>
              <w:rPr>
                <w:rFonts w:hint="eastAsia" w:ascii="宋体" w:hAnsi="宋体" w:eastAsia="宋体" w:cs="宋体"/>
                <w:sz w:val="24"/>
              </w:rPr>
              <w:t>4.3  认知训练：动物认知双人版，水果认知双人版，数字认知双人版，形状认知双人版，水果认知，动物认知，大象乐园，猎豹草原，小鹿蹦跳，小小龙猫，小狗乖乖，快乐熊猫，可爱小猫，数字认知，形状认知，字母认知，颜色对对碰，星空，水果配对，采蘑菇，垃圾分类，垃圾分类（沙滩版），食物分类，动物分类，抱抱棕熊，追逐羊驼，小小农场，抓住小鸡，炼金大师，挖矿达人，烹饪专家，记忆翻牌，音乐村，英语角，小小钢琴家。</w:t>
            </w:r>
          </w:p>
          <w:p w14:paraId="7633EC58">
            <w:pPr>
              <w:rPr>
                <w:rFonts w:hint="eastAsia" w:ascii="宋体" w:hAnsi="宋体" w:eastAsia="宋体" w:cs="宋体"/>
                <w:sz w:val="24"/>
              </w:rPr>
            </w:pPr>
            <w:r>
              <w:rPr>
                <w:rFonts w:hint="eastAsia" w:ascii="宋体" w:hAnsi="宋体" w:eastAsia="宋体" w:cs="宋体"/>
                <w:sz w:val="24"/>
              </w:rPr>
              <w:t>4.4  下肢训练：黄金矿工，小汽车，接汉堡，小猫钓鱼，别踩白块，找朋友，接宝石，烹饪大师，小服务生，钓鱼达人，精灵大师，明媚温室，星际环游，贪睡小猫，敲积木，阴影拼图，捉动物，踩枫叶，接元宝，抓小松鼠，抢蛋糕，狐狸寻宝，步步生花荷花，火焰山，打砖块，美味蘑菇，快餐店员，电子专家，触摸表情，夏日饮品，清凉夏日，清凉水果，接金币，步步生花，追东西，跳一跳，快乐果农。</w:t>
            </w:r>
          </w:p>
          <w:p w14:paraId="1718761B">
            <w:pPr>
              <w:rPr>
                <w:rFonts w:hint="eastAsia" w:ascii="宋体" w:hAnsi="宋体" w:eastAsia="宋体" w:cs="宋体"/>
                <w:sz w:val="24"/>
              </w:rPr>
            </w:pPr>
            <w:r>
              <w:rPr>
                <w:rFonts w:hint="eastAsia" w:ascii="宋体" w:hAnsi="宋体" w:eastAsia="宋体" w:cs="宋体"/>
                <w:sz w:val="24"/>
              </w:rPr>
              <w:t>4.5  全身训练：海底世界，恐龙世界，蝴蝶世界，虫虫大作战，保卫地球，打气球，恭喜发财，拆螃蟹，补船记，捉老鼠，水墨莲花，抢红包，跳跳鸟，跳跳云，勇往直前，方块大冒险，草原征服者，小火苗，方块。</w:t>
            </w:r>
          </w:p>
          <w:p w14:paraId="02BEC27D">
            <w:pPr>
              <w:rPr>
                <w:rFonts w:hint="eastAsia" w:ascii="宋体" w:hAnsi="宋体" w:eastAsia="宋体" w:cs="宋体"/>
                <w:sz w:val="24"/>
              </w:rPr>
            </w:pPr>
            <w:r>
              <w:rPr>
                <w:rFonts w:hint="eastAsia" w:ascii="宋体" w:hAnsi="宋体" w:eastAsia="宋体" w:cs="宋体"/>
                <w:sz w:val="24"/>
              </w:rPr>
              <w:t>5）、配置：</w:t>
            </w:r>
          </w:p>
          <w:p w14:paraId="1A799166">
            <w:pPr>
              <w:rPr>
                <w:rFonts w:hint="eastAsia" w:ascii="宋体" w:hAnsi="宋体" w:eastAsia="宋体" w:cs="宋体"/>
                <w:sz w:val="24"/>
              </w:rPr>
            </w:pPr>
            <w:r>
              <w:rPr>
                <w:rFonts w:hint="eastAsia" w:ascii="宋体" w:hAnsi="宋体" w:eastAsia="宋体" w:cs="宋体"/>
                <w:sz w:val="24"/>
              </w:rPr>
              <w:t>5.1、互动软件</w:t>
            </w:r>
          </w:p>
          <w:p w14:paraId="14B8398C">
            <w:pPr>
              <w:rPr>
                <w:rFonts w:hint="eastAsia" w:ascii="宋体" w:hAnsi="宋体" w:eastAsia="宋体" w:cs="宋体"/>
                <w:sz w:val="24"/>
              </w:rPr>
            </w:pPr>
            <w:r>
              <w:rPr>
                <w:rFonts w:hint="eastAsia" w:ascii="宋体" w:hAnsi="宋体" w:eastAsia="宋体" w:cs="宋体"/>
                <w:sz w:val="24"/>
              </w:rPr>
              <w:t>5.2、融合软件</w:t>
            </w:r>
          </w:p>
          <w:p w14:paraId="58BD7978">
            <w:pPr>
              <w:rPr>
                <w:rFonts w:hint="eastAsia" w:ascii="宋体" w:hAnsi="宋体" w:eastAsia="宋体" w:cs="宋体"/>
                <w:sz w:val="24"/>
              </w:rPr>
            </w:pPr>
            <w:r>
              <w:rPr>
                <w:rFonts w:hint="eastAsia" w:ascii="宋体" w:hAnsi="宋体" w:eastAsia="宋体" w:cs="宋体"/>
                <w:sz w:val="24"/>
              </w:rPr>
              <w:t>5.2.1  最多支持通道，每通道最大支持≥1920*1200.且向下兼容，可以自定义融合边，可实现多种合画面自由组合。</w:t>
            </w:r>
          </w:p>
          <w:p w14:paraId="2F1279AC">
            <w:pPr>
              <w:rPr>
                <w:rFonts w:hint="eastAsia" w:ascii="宋体" w:hAnsi="宋体" w:eastAsia="宋体" w:cs="宋体"/>
                <w:sz w:val="24"/>
              </w:rPr>
            </w:pPr>
            <w:r>
              <w:rPr>
                <w:rFonts w:hint="eastAsia" w:ascii="宋体" w:hAnsi="宋体" w:eastAsia="宋体" w:cs="宋体"/>
                <w:sz w:val="24"/>
              </w:rPr>
              <w:t>5.2.2  支持windows10系统，基于显卡拼接，桌面融合，顶点变换，支持多通道融合，自动开机启动、自动播放，支持视频及图片播放，多点几何校正、全局色域统一、边缘消隐、投影亮度倍增，操作简便，支持鼠标和快捷键快速矫正。融合处理器自带播放系统，可以多开窗口，支持画中画，支持窗口漫游，窗口可播放影片和图片， 自带播放功能系统，打开窗口数量无限制(视融合主机性能而定)，可随时拖拽窗口位置及缩放大小，真正实现所见及所得。</w:t>
            </w:r>
          </w:p>
          <w:p w14:paraId="55CBE1A4">
            <w:pPr>
              <w:rPr>
                <w:rFonts w:hint="eastAsia" w:ascii="宋体" w:hAnsi="宋体" w:eastAsia="宋体" w:cs="宋体"/>
                <w:sz w:val="24"/>
              </w:rPr>
            </w:pPr>
            <w:r>
              <w:rPr>
                <w:rFonts w:hint="eastAsia" w:ascii="宋体" w:hAnsi="宋体" w:eastAsia="宋体" w:cs="宋体"/>
                <w:sz w:val="24"/>
              </w:rPr>
              <w:t>5.2.3  自定义融合背景图:视频、图片等多媒体资源管理，自动生成缩略图，友好的可视化界面，置高性能视频播放器，支持4K极清支持视频格式:avi、rmvb、 rmmkv、wmv、mp4mpegmov支持图片格式:jpg、jpeg、png、bmp。</w:t>
            </w:r>
          </w:p>
          <w:p w14:paraId="10532E92">
            <w:pPr>
              <w:rPr>
                <w:rFonts w:hint="eastAsia" w:ascii="宋体" w:hAnsi="宋体" w:eastAsia="宋体" w:cs="宋体"/>
                <w:sz w:val="24"/>
              </w:rPr>
            </w:pPr>
            <w:r>
              <w:rPr>
                <w:rFonts w:hint="eastAsia" w:ascii="宋体" w:hAnsi="宋体" w:eastAsia="宋体" w:cs="宋体"/>
                <w:sz w:val="24"/>
              </w:rPr>
              <w:t>5.2.4  几何校正:基于B样条曲面技术，对图像进行自由变形处理，适合任意平面、曲面，几何调节控制点可任意加减，可对电子沙盘等复杂地形环填进行精细调节，支持自定义背景图调节。</w:t>
            </w:r>
          </w:p>
          <w:p w14:paraId="6F2823F5">
            <w:pPr>
              <w:rPr>
                <w:rFonts w:hint="eastAsia" w:ascii="宋体" w:hAnsi="宋体" w:eastAsia="宋体" w:cs="宋体"/>
                <w:sz w:val="24"/>
              </w:rPr>
            </w:pPr>
            <w:r>
              <w:rPr>
                <w:rFonts w:hint="eastAsia" w:ascii="宋体" w:hAnsi="宋体" w:eastAsia="宋体" w:cs="宋体"/>
                <w:sz w:val="24"/>
              </w:rPr>
              <w:t>5.2.5  边缘消隐:融合带Gamma校正处理，多灰阶以及RGB色阶调节，投影机边缘叠加高消隐处理，使投影画面平滑过渡，对色差较大的 LCD投影机也能保持色彩一致。支持暗场补光。</w:t>
            </w:r>
          </w:p>
          <w:p w14:paraId="1A220FFF">
            <w:pPr>
              <w:rPr>
                <w:rFonts w:hint="eastAsia" w:ascii="宋体" w:hAnsi="宋体" w:eastAsia="宋体" w:cs="宋体"/>
                <w:sz w:val="24"/>
              </w:rPr>
            </w:pPr>
            <w:r>
              <w:rPr>
                <w:rFonts w:hint="eastAsia" w:ascii="宋体" w:hAnsi="宋体" w:eastAsia="宋体" w:cs="宋体"/>
                <w:sz w:val="24"/>
              </w:rPr>
              <w:t>5.2.6  可以无线手机或者IPAD控制切换影片播放，支持一路高清采集。</w:t>
            </w:r>
          </w:p>
          <w:p w14:paraId="2858F764">
            <w:pPr>
              <w:rPr>
                <w:rFonts w:hint="eastAsia" w:ascii="宋体" w:hAnsi="宋体" w:eastAsia="宋体" w:cs="宋体"/>
                <w:sz w:val="24"/>
                <w:lang w:val="en-US" w:eastAsia="zh-CN"/>
              </w:rPr>
            </w:pPr>
            <w:r>
              <w:rPr>
                <w:rFonts w:hint="eastAsia" w:ascii="宋体" w:hAnsi="宋体" w:eastAsia="宋体" w:cs="宋体"/>
                <w:sz w:val="24"/>
              </w:rPr>
              <w:t>6）交互</w:t>
            </w:r>
            <w:r>
              <w:rPr>
                <w:rFonts w:hint="eastAsia" w:ascii="宋体" w:hAnsi="宋体" w:eastAsia="宋体" w:cs="宋体"/>
                <w:sz w:val="24"/>
                <w:lang w:val="en-US" w:eastAsia="zh-CN"/>
              </w:rPr>
              <w:t>沟通切换</w:t>
            </w:r>
          </w:p>
          <w:p w14:paraId="02C7C227">
            <w:pPr>
              <w:rPr>
                <w:rFonts w:hint="eastAsia" w:ascii="宋体" w:hAnsi="宋体" w:eastAsia="宋体" w:cs="宋体"/>
                <w:sz w:val="24"/>
              </w:rPr>
            </w:pPr>
            <w:r>
              <w:rPr>
                <w:rFonts w:hint="eastAsia" w:ascii="宋体" w:hAnsi="宋体" w:eastAsia="宋体" w:cs="宋体"/>
                <w:sz w:val="24"/>
              </w:rPr>
              <w:t>7）雷达</w:t>
            </w:r>
          </w:p>
          <w:p w14:paraId="626E93D9">
            <w:pPr>
              <w:rPr>
                <w:rFonts w:hint="eastAsia" w:ascii="宋体" w:hAnsi="宋体" w:eastAsia="宋体" w:cs="宋体"/>
                <w:sz w:val="24"/>
              </w:rPr>
            </w:pPr>
            <w:r>
              <w:rPr>
                <w:rFonts w:hint="eastAsia" w:ascii="宋体" w:hAnsi="宋体" w:eastAsia="宋体" w:cs="宋体"/>
                <w:sz w:val="24"/>
              </w:rPr>
              <w:t>7.1  探测范围： 0.1-20 m @ 90%反射率 0.1-8 m @ 10%反射率</w:t>
            </w:r>
          </w:p>
          <w:p w14:paraId="6F53C5AA">
            <w:pPr>
              <w:rPr>
                <w:rFonts w:hint="eastAsia" w:ascii="宋体" w:hAnsi="宋体" w:eastAsia="宋体" w:cs="宋体"/>
                <w:sz w:val="24"/>
              </w:rPr>
            </w:pPr>
            <w:r>
              <w:rPr>
                <w:rFonts w:hint="eastAsia" w:ascii="宋体" w:hAnsi="宋体" w:eastAsia="宋体" w:cs="宋体"/>
                <w:sz w:val="24"/>
              </w:rPr>
              <w:t xml:space="preserve">7.2  测距精度： ±30 mm  </w:t>
            </w:r>
          </w:p>
          <w:p w14:paraId="198118FB">
            <w:pPr>
              <w:rPr>
                <w:rFonts w:hint="eastAsia" w:ascii="宋体" w:hAnsi="宋体" w:eastAsia="宋体" w:cs="宋体"/>
                <w:sz w:val="24"/>
              </w:rPr>
            </w:pPr>
            <w:r>
              <w:rPr>
                <w:rFonts w:hint="eastAsia" w:ascii="宋体" w:hAnsi="宋体" w:eastAsia="宋体" w:cs="宋体"/>
                <w:sz w:val="24"/>
              </w:rPr>
              <w:t>7.3  扫描范围： ≥270°</w:t>
            </w:r>
          </w:p>
          <w:p w14:paraId="610C93EB">
            <w:pPr>
              <w:rPr>
                <w:rFonts w:hint="eastAsia" w:ascii="宋体" w:hAnsi="宋体" w:eastAsia="宋体" w:cs="宋体"/>
                <w:sz w:val="24"/>
              </w:rPr>
            </w:pPr>
            <w:r>
              <w:rPr>
                <w:rFonts w:hint="eastAsia" w:ascii="宋体" w:hAnsi="宋体" w:eastAsia="宋体" w:cs="宋体"/>
                <w:sz w:val="24"/>
              </w:rPr>
              <w:t>7.4  波段： 1/2/4/8点</w:t>
            </w:r>
          </w:p>
          <w:p w14:paraId="54AE46B5">
            <w:pPr>
              <w:rPr>
                <w:rFonts w:hint="eastAsia" w:ascii="宋体" w:hAnsi="宋体" w:eastAsia="宋体" w:cs="宋体"/>
                <w:sz w:val="24"/>
              </w:rPr>
            </w:pPr>
            <w:r>
              <w:rPr>
                <w:rFonts w:hint="eastAsia" w:ascii="宋体" w:hAnsi="宋体" w:eastAsia="宋体" w:cs="宋体"/>
                <w:sz w:val="24"/>
              </w:rPr>
              <w:t>7.5  扫描帧率： 10-30 Hz</w:t>
            </w:r>
          </w:p>
          <w:p w14:paraId="46836206">
            <w:pPr>
              <w:rPr>
                <w:rFonts w:hint="eastAsia" w:ascii="宋体" w:hAnsi="宋体" w:eastAsia="宋体" w:cs="宋体"/>
                <w:sz w:val="24"/>
              </w:rPr>
            </w:pPr>
            <w:r>
              <w:rPr>
                <w:rFonts w:hint="eastAsia" w:ascii="宋体" w:hAnsi="宋体" w:eastAsia="宋体" w:cs="宋体"/>
                <w:sz w:val="24"/>
              </w:rPr>
              <w:t>7.6  电压： DC12 V-24 V</w:t>
            </w:r>
          </w:p>
          <w:p w14:paraId="00510B90">
            <w:pPr>
              <w:rPr>
                <w:rFonts w:hint="eastAsia" w:ascii="宋体" w:hAnsi="宋体" w:eastAsia="宋体" w:cs="宋体"/>
                <w:sz w:val="24"/>
              </w:rPr>
            </w:pPr>
            <w:r>
              <w:rPr>
                <w:rFonts w:hint="eastAsia" w:ascii="宋体" w:hAnsi="宋体" w:eastAsia="宋体" w:cs="宋体"/>
                <w:sz w:val="24"/>
              </w:rPr>
              <w:t>7.7  电源工作电流： 0.21 A/12 V（典型）</w:t>
            </w:r>
          </w:p>
          <w:p w14:paraId="59B446C4">
            <w:pPr>
              <w:rPr>
                <w:rFonts w:hint="eastAsia" w:ascii="宋体" w:hAnsi="宋体" w:eastAsia="宋体" w:cs="宋体"/>
                <w:sz w:val="24"/>
              </w:rPr>
            </w:pPr>
            <w:r>
              <w:rPr>
                <w:rFonts w:hint="eastAsia" w:ascii="宋体" w:hAnsi="宋体" w:eastAsia="宋体" w:cs="宋体"/>
                <w:sz w:val="24"/>
              </w:rPr>
              <w:t>7.8  激光光源： 905 nm class I</w:t>
            </w:r>
          </w:p>
          <w:p w14:paraId="224D8615">
            <w:pPr>
              <w:rPr>
                <w:rFonts w:hint="eastAsia" w:ascii="宋体" w:hAnsi="宋体" w:eastAsia="宋体" w:cs="宋体"/>
                <w:sz w:val="24"/>
              </w:rPr>
            </w:pPr>
            <w:r>
              <w:rPr>
                <w:rFonts w:hint="eastAsia" w:ascii="宋体" w:hAnsi="宋体" w:eastAsia="宋体" w:cs="宋体"/>
                <w:sz w:val="24"/>
              </w:rPr>
              <w:t>7.9  数据传输接口： Ethernet 100BASE-TX</w:t>
            </w:r>
          </w:p>
          <w:p w14:paraId="51F6B914">
            <w:pPr>
              <w:rPr>
                <w:rFonts w:hint="eastAsia" w:ascii="宋体" w:hAnsi="宋体" w:eastAsia="宋体" w:cs="宋体"/>
                <w:sz w:val="24"/>
              </w:rPr>
            </w:pPr>
            <w:r>
              <w:rPr>
                <w:rFonts w:hint="eastAsia" w:ascii="宋体" w:hAnsi="宋体" w:eastAsia="宋体" w:cs="宋体"/>
                <w:sz w:val="24"/>
              </w:rPr>
              <w:t>7.10 尺寸： ≥50 ×50 ×76 mm3</w:t>
            </w:r>
          </w:p>
          <w:p w14:paraId="3B115280">
            <w:pPr>
              <w:rPr>
                <w:rFonts w:hint="eastAsia" w:ascii="宋体" w:hAnsi="宋体" w:eastAsia="宋体" w:cs="宋体"/>
                <w:sz w:val="24"/>
              </w:rPr>
            </w:pPr>
            <w:r>
              <w:rPr>
                <w:rFonts w:hint="eastAsia" w:ascii="宋体" w:hAnsi="宋体" w:eastAsia="宋体" w:cs="宋体"/>
                <w:sz w:val="24"/>
              </w:rPr>
              <w:t>7.11 重量： ≥148 g（不含电缆）</w:t>
            </w:r>
          </w:p>
          <w:p w14:paraId="48601842">
            <w:pPr>
              <w:rPr>
                <w:rFonts w:hint="eastAsia" w:ascii="宋体" w:hAnsi="宋体" w:eastAsia="宋体" w:cs="宋体"/>
                <w:sz w:val="24"/>
              </w:rPr>
            </w:pPr>
            <w:r>
              <w:rPr>
                <w:rFonts w:hint="eastAsia" w:ascii="宋体" w:hAnsi="宋体" w:eastAsia="宋体" w:cs="宋体"/>
                <w:sz w:val="24"/>
              </w:rPr>
              <w:t>8）计算机组件</w:t>
            </w:r>
          </w:p>
          <w:p w14:paraId="68C10EBF">
            <w:pPr>
              <w:rPr>
                <w:rFonts w:hint="eastAsia" w:ascii="宋体" w:hAnsi="宋体" w:eastAsia="宋体" w:cs="宋体"/>
                <w:sz w:val="24"/>
              </w:rPr>
            </w:pPr>
            <w:r>
              <w:rPr>
                <w:rFonts w:hint="eastAsia" w:ascii="宋体" w:hAnsi="宋体" w:eastAsia="宋体" w:cs="宋体"/>
                <w:sz w:val="24"/>
              </w:rPr>
              <w:t>8.1 系统：windows10系统</w:t>
            </w:r>
          </w:p>
          <w:p w14:paraId="0624DD9C">
            <w:pPr>
              <w:rPr>
                <w:rFonts w:hint="eastAsia" w:ascii="宋体" w:hAnsi="宋体" w:eastAsia="宋体" w:cs="宋体"/>
                <w:sz w:val="24"/>
              </w:rPr>
            </w:pPr>
            <w:r>
              <w:rPr>
                <w:rFonts w:hint="eastAsia" w:ascii="宋体" w:hAnsi="宋体" w:eastAsia="宋体" w:cs="宋体"/>
                <w:sz w:val="24"/>
              </w:rPr>
              <w:t>8.2  CPU系列</w:t>
            </w:r>
          </w:p>
          <w:p w14:paraId="39FC3DC5">
            <w:pPr>
              <w:rPr>
                <w:rFonts w:hint="eastAsia" w:ascii="宋体" w:hAnsi="宋体" w:eastAsia="宋体" w:cs="宋体"/>
                <w:sz w:val="24"/>
              </w:rPr>
            </w:pPr>
          </w:p>
          <w:p w14:paraId="52A68FDD">
            <w:pPr>
              <w:rPr>
                <w:rFonts w:hint="eastAsia" w:ascii="宋体" w:hAnsi="宋体" w:eastAsia="宋体" w:cs="宋体"/>
                <w:sz w:val="24"/>
              </w:rPr>
            </w:pPr>
            <w:r>
              <w:rPr>
                <w:rFonts w:hint="eastAsia" w:ascii="宋体" w:hAnsi="宋体" w:eastAsia="宋体" w:cs="宋体"/>
                <w:sz w:val="24"/>
              </w:rPr>
              <w:t>9）投影机</w:t>
            </w:r>
          </w:p>
          <w:p w14:paraId="46FCA6EF">
            <w:pPr>
              <w:rPr>
                <w:rFonts w:hint="eastAsia" w:ascii="宋体" w:hAnsi="宋体" w:eastAsia="宋体" w:cs="宋体"/>
                <w:sz w:val="24"/>
              </w:rPr>
            </w:pPr>
            <w:r>
              <w:rPr>
                <w:rFonts w:hint="eastAsia" w:ascii="宋体" w:hAnsi="宋体" w:eastAsia="宋体" w:cs="宋体"/>
                <w:sz w:val="24"/>
              </w:rPr>
              <w:t>产品类型： 商务投影机、投影机特性： 短焦；投影技术： 3LCD；亮度： 3300流明；对比度： 20000:1；标准分辨率： XGA（1024*768）；光源功率： 230W；光源寿命： 普通模式: 10000 小时，节能模式: 20000 小时，低噪音模式: 10000小时</w:t>
            </w:r>
          </w:p>
          <w:p w14:paraId="49390C10">
            <w:pPr>
              <w:rPr>
                <w:rFonts w:hint="eastAsia" w:ascii="宋体" w:hAnsi="宋体" w:eastAsia="宋体" w:cs="宋体"/>
                <w:sz w:val="24"/>
              </w:rPr>
            </w:pPr>
            <w:r>
              <w:rPr>
                <w:rFonts w:hint="eastAsia" w:ascii="宋体" w:hAnsi="宋体" w:eastAsia="宋体" w:cs="宋体"/>
                <w:sz w:val="24"/>
              </w:rPr>
              <w:t>10）辅材</w:t>
            </w:r>
          </w:p>
          <w:p w14:paraId="6EDFE900">
            <w:pPr>
              <w:rPr>
                <w:rFonts w:hint="eastAsia" w:ascii="宋体" w:hAnsi="宋体" w:eastAsia="宋体" w:cs="宋体"/>
                <w:sz w:val="24"/>
              </w:rPr>
            </w:pPr>
            <w:r>
              <w:rPr>
                <w:rFonts w:hint="eastAsia" w:ascii="宋体" w:hAnsi="宋体" w:eastAsia="宋体" w:cs="宋体"/>
                <w:sz w:val="24"/>
              </w:rPr>
              <w:t>10.1 高清传输网线、收发器、转接头、线材、无线鼠标键盘</w:t>
            </w:r>
          </w:p>
          <w:p w14:paraId="05D90657">
            <w:pPr>
              <w:rPr>
                <w:rFonts w:hint="eastAsia" w:ascii="宋体" w:hAnsi="宋体" w:eastAsia="宋体" w:cs="宋体"/>
                <w:sz w:val="24"/>
              </w:rPr>
            </w:pPr>
            <w:r>
              <w:rPr>
                <w:rFonts w:hint="eastAsia" w:ascii="宋体" w:hAnsi="宋体" w:eastAsia="宋体" w:cs="宋体"/>
                <w:sz w:val="24"/>
              </w:rPr>
              <w:t>11）安装要求</w:t>
            </w:r>
          </w:p>
          <w:p w14:paraId="3D68AC26">
            <w:pPr>
              <w:rPr>
                <w:rFonts w:hint="eastAsia" w:ascii="宋体" w:hAnsi="宋体" w:eastAsia="宋体" w:cs="宋体"/>
                <w:sz w:val="24"/>
              </w:rPr>
            </w:pPr>
            <w:r>
              <w:rPr>
                <w:rFonts w:hint="eastAsia" w:ascii="宋体" w:hAnsi="宋体" w:eastAsia="宋体" w:cs="宋体"/>
                <w:sz w:val="24"/>
              </w:rPr>
              <w:t>11.1  投影尺寸：3*2M + 3*2M</w:t>
            </w:r>
          </w:p>
          <w:p w14:paraId="1B8DD82F">
            <w:pPr>
              <w:rPr>
                <w:rFonts w:hint="eastAsia" w:ascii="宋体" w:hAnsi="宋体" w:eastAsia="宋体" w:cs="宋体"/>
                <w:sz w:val="24"/>
              </w:rPr>
            </w:pPr>
            <w:r>
              <w:rPr>
                <w:rFonts w:hint="eastAsia" w:ascii="宋体" w:hAnsi="宋体" w:eastAsia="宋体" w:cs="宋体"/>
                <w:sz w:val="24"/>
              </w:rPr>
              <w:t>11.2  投影距离：2-3M</w:t>
            </w:r>
          </w:p>
          <w:p w14:paraId="71BDC9E6">
            <w:pPr>
              <w:widowControl/>
              <w:ind w:firstLine="480" w:firstLineChars="200"/>
              <w:jc w:val="left"/>
              <w:textAlignment w:val="center"/>
              <w:rPr>
                <w:rFonts w:hint="eastAsia" w:ascii="宋体" w:hAnsi="宋体" w:eastAsia="宋体" w:cs="宋体"/>
                <w:color w:val="000000"/>
                <w:sz w:val="24"/>
              </w:rPr>
            </w:pPr>
          </w:p>
        </w:tc>
      </w:tr>
      <w:tr w14:paraId="1046AC1F">
        <w:tblPrEx>
          <w:tblCellMar>
            <w:top w:w="0" w:type="dxa"/>
            <w:left w:w="108" w:type="dxa"/>
            <w:bottom w:w="0" w:type="dxa"/>
            <w:right w:w="108" w:type="dxa"/>
          </w:tblCellMar>
        </w:tblPrEx>
        <w:trPr>
          <w:trHeight w:val="9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9AE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A7E8">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 xml:space="preserve">关节测量角度尺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A66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5</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24B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套</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E891">
            <w:pPr>
              <w:rPr>
                <w:rFonts w:hint="eastAsia" w:ascii="宋体" w:hAnsi="宋体" w:eastAsia="宋体" w:cs="宋体"/>
                <w:sz w:val="24"/>
              </w:rPr>
            </w:pPr>
            <w:r>
              <w:rPr>
                <w:rFonts w:hint="eastAsia" w:ascii="宋体" w:hAnsi="宋体" w:eastAsia="宋体" w:cs="宋体"/>
                <w:sz w:val="24"/>
              </w:rPr>
              <w:t>1.尺寸：335mm*175mm*55mm，允差正负2cm，测量器具。</w:t>
            </w:r>
          </w:p>
          <w:p w14:paraId="5988D0C3">
            <w:pPr>
              <w:rPr>
                <w:rFonts w:hint="eastAsia" w:ascii="宋体" w:hAnsi="宋体" w:eastAsia="宋体" w:cs="宋体"/>
                <w:sz w:val="24"/>
              </w:rPr>
            </w:pPr>
            <w:r>
              <w:rPr>
                <w:rFonts w:hint="eastAsia" w:ascii="宋体" w:hAnsi="宋体" w:eastAsia="宋体" w:cs="宋体"/>
                <w:sz w:val="24"/>
              </w:rPr>
              <w:t>2.产品组成由箱体、</w:t>
            </w:r>
            <w:r>
              <w:rPr>
                <w:rFonts w:hint="eastAsia" w:ascii="宋体" w:hAnsi="宋体" w:eastAsia="宋体" w:cs="宋体"/>
                <w:sz w:val="24"/>
                <w:lang w:val="en-US" w:eastAsia="zh-CN"/>
              </w:rPr>
              <w:t>1个</w:t>
            </w:r>
            <w:r>
              <w:rPr>
                <w:rFonts w:hint="eastAsia" w:ascii="宋体" w:hAnsi="宋体" w:eastAsia="宋体" w:cs="宋体"/>
                <w:sz w:val="24"/>
              </w:rPr>
              <w:t>肢体角度尺（大）、</w:t>
            </w:r>
            <w:r>
              <w:rPr>
                <w:rFonts w:hint="eastAsia" w:ascii="宋体" w:hAnsi="宋体" w:eastAsia="宋体" w:cs="宋体"/>
                <w:sz w:val="24"/>
                <w:lang w:val="en-US" w:eastAsia="zh-CN"/>
              </w:rPr>
              <w:t>1个</w:t>
            </w:r>
            <w:r>
              <w:rPr>
                <w:rFonts w:hint="eastAsia" w:ascii="宋体" w:hAnsi="宋体" w:eastAsia="宋体" w:cs="宋体"/>
                <w:sz w:val="24"/>
              </w:rPr>
              <w:t>肢体角度尺（中）、</w:t>
            </w:r>
            <w:r>
              <w:rPr>
                <w:rFonts w:hint="eastAsia" w:ascii="宋体" w:hAnsi="宋体" w:eastAsia="宋体" w:cs="宋体"/>
                <w:sz w:val="24"/>
                <w:lang w:val="en-US" w:eastAsia="zh-CN"/>
              </w:rPr>
              <w:t>1个</w:t>
            </w:r>
            <w:r>
              <w:rPr>
                <w:rFonts w:hint="eastAsia" w:ascii="宋体" w:hAnsi="宋体" w:eastAsia="宋体" w:cs="宋体"/>
                <w:sz w:val="24"/>
              </w:rPr>
              <w:t>肢体角度尺（小）、</w:t>
            </w:r>
            <w:r>
              <w:rPr>
                <w:rFonts w:hint="eastAsia" w:ascii="宋体" w:hAnsi="宋体" w:eastAsia="宋体" w:cs="宋体"/>
                <w:sz w:val="24"/>
                <w:lang w:val="en-US" w:eastAsia="zh-CN"/>
              </w:rPr>
              <w:t>1个</w:t>
            </w:r>
            <w:r>
              <w:rPr>
                <w:rFonts w:hint="eastAsia" w:ascii="宋体" w:hAnsi="宋体" w:eastAsia="宋体" w:cs="宋体"/>
                <w:sz w:val="24"/>
              </w:rPr>
              <w:t>脊椎角度尺、</w:t>
            </w:r>
            <w:r>
              <w:rPr>
                <w:rFonts w:hint="eastAsia" w:ascii="宋体" w:hAnsi="宋体" w:eastAsia="宋体" w:cs="宋体"/>
                <w:sz w:val="24"/>
                <w:lang w:val="en-US" w:eastAsia="zh-CN"/>
              </w:rPr>
              <w:t>1个</w:t>
            </w:r>
            <w:r>
              <w:rPr>
                <w:rFonts w:hint="eastAsia" w:ascii="宋体" w:hAnsi="宋体" w:eastAsia="宋体" w:cs="宋体"/>
                <w:sz w:val="24"/>
              </w:rPr>
              <w:t>手指角度尺组成。</w:t>
            </w:r>
          </w:p>
          <w:p w14:paraId="29F27451">
            <w:pPr>
              <w:widowControl/>
              <w:jc w:val="left"/>
              <w:textAlignment w:val="center"/>
              <w:rPr>
                <w:rFonts w:hint="eastAsia" w:ascii="宋体" w:hAnsi="宋体" w:eastAsia="宋体" w:cs="宋体"/>
                <w:color w:val="000000"/>
                <w:sz w:val="24"/>
              </w:rPr>
            </w:pPr>
          </w:p>
        </w:tc>
      </w:tr>
      <w:tr w14:paraId="02E3DAE3">
        <w:tblPrEx>
          <w:tblCellMar>
            <w:top w:w="0" w:type="dxa"/>
            <w:left w:w="108" w:type="dxa"/>
            <w:bottom w:w="0" w:type="dxa"/>
            <w:right w:w="108" w:type="dxa"/>
          </w:tblCellMar>
        </w:tblPrEx>
        <w:trPr>
          <w:trHeight w:val="207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752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B113">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 xml:space="preserve">无障碍体重称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A53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1C8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台</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3163">
            <w:pPr>
              <w:numPr>
                <w:ilvl w:val="0"/>
                <w:numId w:val="57"/>
              </w:numPr>
              <w:rPr>
                <w:rFonts w:hint="eastAsia" w:ascii="宋体" w:hAnsi="宋体" w:eastAsia="宋体" w:cs="宋体"/>
                <w:sz w:val="24"/>
              </w:rPr>
            </w:pPr>
            <w:r>
              <w:rPr>
                <w:rFonts w:hint="eastAsia" w:ascii="宋体" w:hAnsi="宋体" w:eastAsia="宋体" w:cs="宋体"/>
                <w:sz w:val="24"/>
              </w:rPr>
              <w:t>专业轮椅秤</w:t>
            </w:r>
          </w:p>
          <w:p w14:paraId="643220F4">
            <w:pPr>
              <w:numPr>
                <w:ilvl w:val="0"/>
                <w:numId w:val="57"/>
              </w:numPr>
              <w:rPr>
                <w:rFonts w:hint="eastAsia" w:ascii="宋体" w:hAnsi="宋体" w:eastAsia="宋体" w:cs="宋体"/>
                <w:sz w:val="24"/>
              </w:rPr>
            </w:pPr>
            <w:r>
              <w:rPr>
                <w:rFonts w:hint="eastAsia" w:ascii="宋体" w:hAnsi="宋体" w:eastAsia="宋体" w:cs="宋体"/>
                <w:sz w:val="24"/>
                <w:lang w:val="en-US" w:eastAsia="zh-CN"/>
              </w:rPr>
              <w:t>材质：碳钢材质</w:t>
            </w:r>
          </w:p>
          <w:p w14:paraId="4E4B0165">
            <w:pPr>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)带热敏打印，无线连接</w:t>
            </w:r>
          </w:p>
          <w:p w14:paraId="75826545">
            <w:pPr>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)最大承载0-1T</w:t>
            </w:r>
          </w:p>
          <w:p w14:paraId="6AFEA8CB">
            <w:pPr>
              <w:rPr>
                <w:rFonts w:hint="eastAsia" w:ascii="宋体" w:hAnsi="宋体" w:eastAsia="宋体" w:cs="宋体"/>
                <w:color w:val="000000"/>
                <w:sz w:val="24"/>
              </w:rPr>
            </w:pPr>
            <w:r>
              <w:rPr>
                <w:rFonts w:hint="eastAsia" w:ascii="宋体" w:hAnsi="宋体" w:eastAsia="宋体" w:cs="宋体"/>
                <w:sz w:val="24"/>
                <w:lang w:val="en-US" w:eastAsia="zh-CN"/>
              </w:rPr>
              <w:t>5</w:t>
            </w:r>
            <w:r>
              <w:rPr>
                <w:rFonts w:hint="eastAsia" w:ascii="宋体" w:hAnsi="宋体" w:eastAsia="宋体" w:cs="宋体"/>
                <w:sz w:val="24"/>
              </w:rPr>
              <w:t>）置零、保持、自动关机、称重、连接电脑</w:t>
            </w:r>
          </w:p>
        </w:tc>
      </w:tr>
      <w:tr w14:paraId="2F5DAD23">
        <w:tblPrEx>
          <w:tblCellMar>
            <w:top w:w="0" w:type="dxa"/>
            <w:left w:w="108" w:type="dxa"/>
            <w:bottom w:w="0" w:type="dxa"/>
            <w:right w:w="108" w:type="dxa"/>
          </w:tblCellMar>
        </w:tblPrEx>
        <w:trPr>
          <w:trHeight w:val="2706"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40F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31BC">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 xml:space="preserve">关节测量角度尺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799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F26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套</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15D9">
            <w:pPr>
              <w:rPr>
                <w:rFonts w:hint="eastAsia" w:ascii="宋体" w:hAnsi="宋体" w:eastAsia="宋体" w:cs="宋体"/>
                <w:sz w:val="24"/>
              </w:rPr>
            </w:pPr>
            <w:r>
              <w:rPr>
                <w:rFonts w:hint="eastAsia" w:ascii="宋体" w:hAnsi="宋体" w:eastAsia="宋体" w:cs="宋体"/>
                <w:sz w:val="24"/>
              </w:rPr>
              <w:t>1.整箱尺寸：335mm*175mm*55mm，允差正负2cm，测量器具。</w:t>
            </w:r>
          </w:p>
          <w:p w14:paraId="38C00DBD">
            <w:pPr>
              <w:rPr>
                <w:rFonts w:hint="eastAsia" w:ascii="宋体" w:hAnsi="宋体" w:eastAsia="宋体" w:cs="宋体"/>
                <w:color w:val="000000"/>
                <w:sz w:val="24"/>
              </w:rPr>
            </w:pPr>
            <w:r>
              <w:rPr>
                <w:rFonts w:hint="eastAsia" w:ascii="宋体" w:hAnsi="宋体" w:eastAsia="宋体" w:cs="宋体"/>
                <w:sz w:val="24"/>
              </w:rPr>
              <w:t>2.产品组成由箱体、肢体角度尺（大）、肢体角度尺（中）、肢体角度尺（小）、脊椎角度尺、手指角度尺组成。</w:t>
            </w:r>
          </w:p>
        </w:tc>
      </w:tr>
      <w:tr w14:paraId="79FF2B31">
        <w:tblPrEx>
          <w:tblCellMar>
            <w:top w:w="0" w:type="dxa"/>
            <w:left w:w="108" w:type="dxa"/>
            <w:bottom w:w="0" w:type="dxa"/>
            <w:right w:w="108" w:type="dxa"/>
          </w:tblCellMar>
        </w:tblPrEx>
        <w:trPr>
          <w:trHeight w:val="936"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00D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7F90">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言语训练卡片（42张）</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18B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56A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套</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00C0">
            <w:pPr>
              <w:rPr>
                <w:rFonts w:hint="eastAsia" w:ascii="宋体" w:hAnsi="宋体" w:eastAsia="宋体" w:cs="宋体"/>
                <w:sz w:val="24"/>
              </w:rPr>
            </w:pPr>
            <w:r>
              <w:rPr>
                <w:rFonts w:hint="eastAsia" w:ascii="宋体" w:hAnsi="宋体" w:eastAsia="宋体" w:cs="宋体"/>
                <w:sz w:val="24"/>
              </w:rPr>
              <w:t>外形尺寸（长×宽×高）：55×23×38cm，允差正负3cm</w:t>
            </w:r>
          </w:p>
          <w:p w14:paraId="3CEA6982">
            <w:pPr>
              <w:ind w:firstLine="960" w:firstLineChars="400"/>
              <w:rPr>
                <w:rFonts w:hint="eastAsia" w:ascii="宋体" w:hAnsi="宋体" w:eastAsia="宋体" w:cs="宋体"/>
                <w:sz w:val="24"/>
              </w:rPr>
            </w:pPr>
            <w:r>
              <w:rPr>
                <w:rFonts w:hint="eastAsia" w:ascii="宋体" w:hAnsi="宋体" w:eastAsia="宋体" w:cs="宋体"/>
                <w:sz w:val="24"/>
              </w:rPr>
              <w:t>1）梳子</w:t>
            </w:r>
          </w:p>
          <w:p w14:paraId="453DFDAD">
            <w:pPr>
              <w:ind w:firstLine="960" w:firstLineChars="400"/>
              <w:rPr>
                <w:rFonts w:hint="eastAsia" w:ascii="宋体" w:hAnsi="宋体" w:eastAsia="宋体" w:cs="宋体"/>
                <w:sz w:val="24"/>
              </w:rPr>
            </w:pPr>
            <w:r>
              <w:rPr>
                <w:rFonts w:hint="eastAsia" w:ascii="宋体" w:hAnsi="宋体" w:eastAsia="宋体" w:cs="宋体"/>
                <w:sz w:val="24"/>
              </w:rPr>
              <w:t>2）镜子</w:t>
            </w:r>
          </w:p>
          <w:p w14:paraId="02C20D85">
            <w:pPr>
              <w:ind w:firstLine="960" w:firstLineChars="400"/>
              <w:rPr>
                <w:rFonts w:hint="eastAsia" w:ascii="宋体" w:hAnsi="宋体" w:eastAsia="宋体" w:cs="宋体"/>
                <w:sz w:val="24"/>
              </w:rPr>
            </w:pPr>
            <w:r>
              <w:rPr>
                <w:rFonts w:hint="eastAsia" w:ascii="宋体" w:hAnsi="宋体" w:eastAsia="宋体" w:cs="宋体"/>
                <w:sz w:val="24"/>
              </w:rPr>
              <w:t>3）牙刷</w:t>
            </w:r>
          </w:p>
          <w:p w14:paraId="5B8606CA">
            <w:pPr>
              <w:ind w:firstLine="960" w:firstLineChars="400"/>
              <w:rPr>
                <w:rFonts w:hint="eastAsia" w:ascii="宋体" w:hAnsi="宋体" w:eastAsia="宋体" w:cs="宋体"/>
                <w:sz w:val="24"/>
              </w:rPr>
            </w:pPr>
            <w:r>
              <w:rPr>
                <w:rFonts w:hint="eastAsia" w:ascii="宋体" w:hAnsi="宋体" w:eastAsia="宋体" w:cs="宋体"/>
                <w:sz w:val="24"/>
              </w:rPr>
              <w:t>4）毛巾</w:t>
            </w:r>
          </w:p>
          <w:p w14:paraId="23277272">
            <w:pPr>
              <w:ind w:firstLine="960" w:firstLineChars="400"/>
              <w:rPr>
                <w:rFonts w:hint="eastAsia" w:ascii="宋体" w:hAnsi="宋体" w:eastAsia="宋体" w:cs="宋体"/>
                <w:sz w:val="24"/>
              </w:rPr>
            </w:pPr>
            <w:r>
              <w:rPr>
                <w:rFonts w:hint="eastAsia" w:ascii="宋体" w:hAnsi="宋体" w:eastAsia="宋体" w:cs="宋体"/>
                <w:sz w:val="24"/>
              </w:rPr>
              <w:t>5）图书</w:t>
            </w:r>
          </w:p>
          <w:p w14:paraId="14366A8B">
            <w:pPr>
              <w:ind w:firstLine="960" w:firstLineChars="400"/>
              <w:rPr>
                <w:rFonts w:hint="eastAsia" w:ascii="宋体" w:hAnsi="宋体" w:eastAsia="宋体" w:cs="宋体"/>
                <w:color w:val="000000"/>
                <w:sz w:val="24"/>
              </w:rPr>
            </w:pPr>
            <w:r>
              <w:rPr>
                <w:rFonts w:hint="eastAsia" w:ascii="宋体" w:hAnsi="宋体" w:eastAsia="宋体" w:cs="宋体"/>
                <w:sz w:val="24"/>
              </w:rPr>
              <w:t>6）言语</w:t>
            </w:r>
          </w:p>
        </w:tc>
      </w:tr>
      <w:tr w14:paraId="2808F795">
        <w:tblPrEx>
          <w:tblCellMar>
            <w:top w:w="0" w:type="dxa"/>
            <w:left w:w="108" w:type="dxa"/>
            <w:bottom w:w="0" w:type="dxa"/>
            <w:right w:w="108" w:type="dxa"/>
          </w:tblCellMar>
        </w:tblPrEx>
        <w:trPr>
          <w:trHeight w:val="746"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2D9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F3A9">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 xml:space="preserve">关节测量角度尺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DF7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741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套</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5779">
            <w:pPr>
              <w:rPr>
                <w:rFonts w:hint="eastAsia" w:ascii="宋体" w:hAnsi="宋体" w:eastAsia="宋体" w:cs="宋体"/>
                <w:sz w:val="24"/>
              </w:rPr>
            </w:pPr>
            <w:r>
              <w:rPr>
                <w:rFonts w:hint="eastAsia" w:ascii="宋体" w:hAnsi="宋体" w:eastAsia="宋体" w:cs="宋体"/>
                <w:color w:val="000000"/>
                <w:kern w:val="0"/>
                <w:sz w:val="24"/>
                <w:lang w:bidi="ar"/>
              </w:rPr>
              <w:t xml:space="preserve"> </w:t>
            </w:r>
            <w:r>
              <w:rPr>
                <w:rFonts w:hint="eastAsia" w:ascii="宋体" w:hAnsi="宋体" w:eastAsia="宋体" w:cs="宋体"/>
                <w:sz w:val="24"/>
              </w:rPr>
              <w:t>1.尺寸：335mm*175mm*55mm，允差正负2cm，测量器具。</w:t>
            </w:r>
          </w:p>
          <w:p w14:paraId="40F8DAAD">
            <w:pPr>
              <w:rPr>
                <w:rFonts w:hint="eastAsia" w:ascii="宋体" w:hAnsi="宋体" w:eastAsia="宋体" w:cs="宋体"/>
                <w:color w:val="000000"/>
                <w:sz w:val="24"/>
              </w:rPr>
            </w:pPr>
            <w:r>
              <w:rPr>
                <w:rFonts w:hint="eastAsia" w:ascii="宋体" w:hAnsi="宋体" w:eastAsia="宋体" w:cs="宋体"/>
                <w:sz w:val="24"/>
              </w:rPr>
              <w:t>2.产品组成由箱体、肢体角度尺（大）、肢体角度尺（中）、肢体角度尺（小）、脊椎角度尺、手指角度尺组成。</w:t>
            </w:r>
          </w:p>
        </w:tc>
      </w:tr>
      <w:tr w14:paraId="527E2F21">
        <w:tblPrEx>
          <w:tblCellMar>
            <w:top w:w="0" w:type="dxa"/>
            <w:left w:w="108" w:type="dxa"/>
            <w:bottom w:w="0" w:type="dxa"/>
            <w:right w:w="108" w:type="dxa"/>
          </w:tblCellMar>
        </w:tblPrEx>
        <w:trPr>
          <w:trHeight w:val="122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F71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C0FE">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万步计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4CC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5D2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台</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10FF">
            <w:pPr>
              <w:rPr>
                <w:rFonts w:hint="eastAsia" w:ascii="宋体" w:hAnsi="宋体" w:eastAsia="宋体" w:cs="宋体"/>
                <w:color w:val="000000"/>
                <w:sz w:val="24"/>
              </w:rPr>
            </w:pPr>
            <w:r>
              <w:rPr>
                <w:rFonts w:hint="eastAsia" w:ascii="宋体" w:hAnsi="宋体" w:eastAsia="宋体" w:cs="宋体"/>
                <w:sz w:val="24"/>
              </w:rPr>
              <w:t>多功能计步器，</w:t>
            </w:r>
            <w:r>
              <w:rPr>
                <w:rFonts w:hint="eastAsia" w:ascii="宋体" w:hAnsi="宋体" w:eastAsia="宋体" w:cs="宋体"/>
                <w:sz w:val="24"/>
                <w:lang w:val="en-US" w:eastAsia="zh-CN"/>
              </w:rPr>
              <w:t>步行运动定量，计数，体重和步幅调整，步行目标设定，可查看总步数，有效步数，</w:t>
            </w:r>
            <w:r>
              <w:rPr>
                <w:rFonts w:hint="eastAsia" w:ascii="宋体" w:hAnsi="宋体" w:eastAsia="宋体" w:cs="宋体"/>
                <w:sz w:val="24"/>
              </w:rPr>
              <w:t xml:space="preserve">可任意佩戴   </w:t>
            </w:r>
          </w:p>
        </w:tc>
      </w:tr>
      <w:tr w14:paraId="52DC09A2">
        <w:tblPrEx>
          <w:tblCellMar>
            <w:top w:w="0" w:type="dxa"/>
            <w:left w:w="108" w:type="dxa"/>
            <w:bottom w:w="0" w:type="dxa"/>
            <w:right w:w="108" w:type="dxa"/>
          </w:tblCellMar>
        </w:tblPrEx>
        <w:trPr>
          <w:trHeight w:val="124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ACB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D820">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 xml:space="preserve">背力计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CC1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1CC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套</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DA5E">
            <w:pPr>
              <w:rPr>
                <w:rFonts w:hint="eastAsia" w:ascii="宋体" w:hAnsi="宋体" w:eastAsia="宋体" w:cs="宋体"/>
                <w:sz w:val="24"/>
              </w:rPr>
            </w:pPr>
            <w:r>
              <w:rPr>
                <w:rFonts w:hint="eastAsia" w:ascii="宋体" w:hAnsi="宋体" w:eastAsia="宋体" w:cs="宋体"/>
                <w:sz w:val="24"/>
              </w:rPr>
              <w:t>1)测量范围：0～400kg；</w:t>
            </w:r>
          </w:p>
          <w:p w14:paraId="1CDFF388">
            <w:pPr>
              <w:rPr>
                <w:rFonts w:hint="eastAsia" w:ascii="宋体" w:hAnsi="宋体" w:eastAsia="宋体" w:cs="宋体"/>
                <w:sz w:val="24"/>
              </w:rPr>
            </w:pPr>
            <w:r>
              <w:rPr>
                <w:rFonts w:hint="eastAsia" w:ascii="宋体" w:hAnsi="宋体" w:eastAsia="宋体" w:cs="宋体"/>
                <w:sz w:val="24"/>
              </w:rPr>
              <w:t>2)分 度 值：≥1kg；</w:t>
            </w:r>
          </w:p>
          <w:p w14:paraId="41223FE9">
            <w:pPr>
              <w:rPr>
                <w:rFonts w:hint="eastAsia" w:ascii="宋体" w:hAnsi="宋体" w:eastAsia="宋体" w:cs="宋体"/>
                <w:sz w:val="24"/>
              </w:rPr>
            </w:pPr>
            <w:r>
              <w:rPr>
                <w:rFonts w:hint="eastAsia" w:ascii="宋体" w:hAnsi="宋体" w:eastAsia="宋体" w:cs="宋体"/>
                <w:sz w:val="24"/>
              </w:rPr>
              <w:t>3)示值误差：1/400ES；</w:t>
            </w:r>
          </w:p>
          <w:p w14:paraId="6D9F2D96">
            <w:pPr>
              <w:rPr>
                <w:rFonts w:hint="eastAsia" w:ascii="宋体" w:hAnsi="宋体" w:eastAsia="宋体" w:cs="宋体"/>
                <w:sz w:val="24"/>
              </w:rPr>
            </w:pPr>
            <w:r>
              <w:rPr>
                <w:rFonts w:hint="eastAsia" w:ascii="宋体" w:hAnsi="宋体" w:eastAsia="宋体" w:cs="宋体"/>
                <w:sz w:val="24"/>
              </w:rPr>
              <w:t>4)电源：9V稳压电源， 9V叠式电池（自备）；</w:t>
            </w:r>
          </w:p>
          <w:p w14:paraId="1FC9EC2E">
            <w:pPr>
              <w:rPr>
                <w:rFonts w:hint="eastAsia" w:ascii="宋体" w:hAnsi="宋体" w:eastAsia="宋体" w:cs="宋体"/>
                <w:sz w:val="24"/>
              </w:rPr>
            </w:pPr>
            <w:r>
              <w:rPr>
                <w:rFonts w:hint="eastAsia" w:ascii="宋体" w:hAnsi="宋体" w:eastAsia="宋体" w:cs="宋体"/>
                <w:sz w:val="24"/>
              </w:rPr>
              <w:t>5)工作环境：0～40℃，&lt;90%RH；</w:t>
            </w:r>
          </w:p>
          <w:p w14:paraId="3653DC65">
            <w:pPr>
              <w:rPr>
                <w:rFonts w:hint="eastAsia" w:ascii="宋体" w:hAnsi="宋体" w:eastAsia="宋体" w:cs="宋体"/>
                <w:color w:val="000000"/>
                <w:sz w:val="24"/>
              </w:rPr>
            </w:pPr>
            <w:r>
              <w:rPr>
                <w:rFonts w:hint="eastAsia" w:ascii="宋体" w:hAnsi="宋体" w:eastAsia="宋体" w:cs="宋体"/>
                <w:sz w:val="24"/>
              </w:rPr>
              <w:t>6)贮存温度：-10℃～50℃，&lt;75%RH；</w:t>
            </w:r>
          </w:p>
        </w:tc>
      </w:tr>
      <w:tr w14:paraId="60420C35">
        <w:tblPrEx>
          <w:tblCellMar>
            <w:top w:w="0" w:type="dxa"/>
            <w:left w:w="108" w:type="dxa"/>
            <w:bottom w:w="0" w:type="dxa"/>
            <w:right w:w="108" w:type="dxa"/>
          </w:tblCellMar>
        </w:tblPrEx>
        <w:trPr>
          <w:trHeight w:val="135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B1B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D7BF">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 xml:space="preserve">握力计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4AD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560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台</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E59E">
            <w:pPr>
              <w:rPr>
                <w:rFonts w:hint="eastAsia" w:ascii="宋体" w:hAnsi="宋体" w:eastAsia="宋体" w:cs="宋体"/>
                <w:sz w:val="24"/>
              </w:rPr>
            </w:pPr>
            <w:r>
              <w:rPr>
                <w:rFonts w:hint="eastAsia" w:ascii="宋体" w:hAnsi="宋体" w:eastAsia="宋体" w:cs="宋体"/>
                <w:sz w:val="24"/>
              </w:rPr>
              <w:t>人体工学手柄设计，环保材质</w:t>
            </w:r>
          </w:p>
          <w:p w14:paraId="2A1C7E72">
            <w:pPr>
              <w:rPr>
                <w:rFonts w:hint="eastAsia" w:ascii="宋体" w:hAnsi="宋体" w:eastAsia="宋体" w:cs="宋体"/>
                <w:color w:val="000000"/>
                <w:sz w:val="24"/>
              </w:rPr>
            </w:pPr>
            <w:r>
              <w:rPr>
                <w:rFonts w:hint="eastAsia" w:ascii="宋体" w:hAnsi="宋体" w:eastAsia="宋体" w:cs="宋体"/>
                <w:sz w:val="24"/>
              </w:rPr>
              <w:t>外形尺寸:19.5*13*3cm    允差正负2cm</w:t>
            </w:r>
          </w:p>
        </w:tc>
      </w:tr>
      <w:tr w14:paraId="26D733F1">
        <w:tblPrEx>
          <w:tblCellMar>
            <w:top w:w="0" w:type="dxa"/>
            <w:left w:w="108" w:type="dxa"/>
            <w:bottom w:w="0" w:type="dxa"/>
            <w:right w:w="108" w:type="dxa"/>
          </w:tblCellMar>
        </w:tblPrEx>
        <w:trPr>
          <w:trHeight w:val="3744"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A59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17</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565A">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电子血压计</w:t>
            </w:r>
            <w:r>
              <w:rPr>
                <w:rFonts w:hint="eastAsia" w:ascii="宋体" w:hAnsi="宋体" w:eastAsia="宋体" w:cs="宋体"/>
                <w:b/>
                <w:bCs/>
                <w:sz w:val="24"/>
                <w:lang w:eastAsia="zh-CN"/>
              </w:rPr>
              <w:t>（</w:t>
            </w:r>
            <w:r>
              <w:rPr>
                <w:rFonts w:hint="eastAsia" w:ascii="宋体" w:hAnsi="宋体" w:eastAsia="宋体" w:cs="宋体"/>
                <w:b/>
                <w:bCs/>
                <w:sz w:val="24"/>
                <w:lang w:val="en-US" w:eastAsia="zh-CN"/>
              </w:rPr>
              <w:t>臂式</w:t>
            </w:r>
            <w:r>
              <w:rPr>
                <w:rFonts w:hint="eastAsia" w:ascii="宋体" w:hAnsi="宋体" w:eastAsia="宋体" w:cs="宋体"/>
                <w:b/>
                <w:bCs/>
                <w:sz w:val="24"/>
                <w:lang w:eastAsia="zh-CN"/>
              </w:rPr>
              <w:t>）</w:t>
            </w:r>
            <w:r>
              <w:rPr>
                <w:rFonts w:hint="eastAsia" w:ascii="宋体" w:hAnsi="宋体" w:eastAsia="宋体" w:cs="宋体"/>
                <w:b/>
                <w:bCs/>
                <w:sz w:val="24"/>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452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1C6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台</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A73D">
            <w:pPr>
              <w:rPr>
                <w:rFonts w:hint="eastAsia" w:ascii="宋体" w:hAnsi="宋体" w:eastAsia="宋体" w:cs="宋体"/>
                <w:sz w:val="24"/>
                <w:lang w:val="en-US" w:eastAsia="zh-CN"/>
              </w:rPr>
            </w:pPr>
            <w:r>
              <w:rPr>
                <w:rFonts w:hint="eastAsia" w:ascii="宋体" w:hAnsi="宋体" w:eastAsia="宋体" w:cs="宋体"/>
                <w:sz w:val="24"/>
                <w:lang w:val="en-US" w:eastAsia="zh-CN"/>
              </w:rPr>
              <w:t>血压计由主机、袖带（臂带）、电池（选配干电池或可充电电池）、电源线（选配）、电源适配器（选配）组成。</w:t>
            </w:r>
          </w:p>
          <w:p w14:paraId="5B7174E4">
            <w:pPr>
              <w:rPr>
                <w:rFonts w:hint="eastAsia" w:ascii="宋体" w:hAnsi="宋体" w:eastAsia="宋体" w:cs="宋体"/>
                <w:sz w:val="24"/>
                <w:lang w:val="en-US" w:eastAsia="zh-CN"/>
              </w:rPr>
            </w:pPr>
            <w:r>
              <w:rPr>
                <w:rFonts w:hint="eastAsia" w:ascii="宋体" w:hAnsi="宋体" w:eastAsia="宋体" w:cs="宋体"/>
                <w:sz w:val="24"/>
                <w:lang w:val="en-US" w:eastAsia="zh-CN"/>
              </w:rPr>
              <w:t>袖带适用臂围为22厘米—32厘米</w:t>
            </w:r>
          </w:p>
          <w:p w14:paraId="2672DA8B">
            <w:pPr>
              <w:rPr>
                <w:rFonts w:hint="eastAsia" w:ascii="宋体" w:hAnsi="宋体" w:eastAsia="宋体" w:cs="宋体"/>
                <w:sz w:val="24"/>
              </w:rPr>
            </w:pPr>
            <w:r>
              <w:rPr>
                <w:rFonts w:hint="eastAsia" w:ascii="宋体" w:hAnsi="宋体" w:eastAsia="宋体" w:cs="宋体"/>
                <w:sz w:val="24"/>
              </w:rPr>
              <w:t>显示方式：LCD数字显示</w:t>
            </w:r>
          </w:p>
          <w:p w14:paraId="1090A5DF">
            <w:pPr>
              <w:rPr>
                <w:rFonts w:hint="eastAsia" w:ascii="宋体" w:hAnsi="宋体" w:eastAsia="宋体" w:cs="宋体"/>
                <w:sz w:val="24"/>
              </w:rPr>
            </w:pPr>
            <w:r>
              <w:rPr>
                <w:rFonts w:hint="eastAsia" w:ascii="宋体" w:hAnsi="宋体" w:eastAsia="宋体" w:cs="宋体"/>
                <w:sz w:val="24"/>
              </w:rPr>
              <w:t>测量方法：示波测定法范围(0~300)mmHg/(0.0~40.0)kPa</w:t>
            </w:r>
          </w:p>
          <w:p w14:paraId="41951815">
            <w:pPr>
              <w:rPr>
                <w:rFonts w:hint="eastAsia" w:ascii="宋体" w:hAnsi="宋体" w:eastAsia="宋体" w:cs="宋体"/>
                <w:sz w:val="24"/>
              </w:rPr>
            </w:pPr>
            <w:r>
              <w:rPr>
                <w:rFonts w:hint="eastAsia" w:ascii="宋体" w:hAnsi="宋体" w:eastAsia="宋体" w:cs="宋体"/>
                <w:sz w:val="24"/>
              </w:rPr>
              <w:t>压力测量：精度±3mmHg（±0.4kPa)范围(40~200）次／分钟</w:t>
            </w:r>
          </w:p>
          <w:p w14:paraId="6CAE7DBD">
            <w:pPr>
              <w:rPr>
                <w:rFonts w:hint="eastAsia" w:ascii="宋体" w:hAnsi="宋体" w:eastAsia="宋体" w:cs="宋体"/>
                <w:sz w:val="24"/>
              </w:rPr>
            </w:pPr>
            <w:r>
              <w:rPr>
                <w:rFonts w:hint="eastAsia" w:ascii="宋体" w:hAnsi="宋体" w:eastAsia="宋体" w:cs="宋体"/>
                <w:sz w:val="24"/>
              </w:rPr>
              <w:t>脉率测量：精度读数的±5%</w:t>
            </w:r>
          </w:p>
          <w:p w14:paraId="0E646AD5">
            <w:pPr>
              <w:rPr>
                <w:rFonts w:hint="eastAsia" w:ascii="宋体" w:hAnsi="宋体" w:eastAsia="宋体" w:cs="宋体"/>
                <w:sz w:val="24"/>
              </w:rPr>
            </w:pPr>
            <w:r>
              <w:rPr>
                <w:rFonts w:hint="eastAsia" w:ascii="宋体" w:hAnsi="宋体" w:eastAsia="宋体" w:cs="宋体"/>
                <w:sz w:val="24"/>
              </w:rPr>
              <w:t>按运行模式分类：连续运行</w:t>
            </w:r>
          </w:p>
          <w:p w14:paraId="645E5186">
            <w:pPr>
              <w:rPr>
                <w:rFonts w:hint="eastAsia" w:ascii="宋体" w:hAnsi="宋体" w:eastAsia="宋体" w:cs="宋体"/>
                <w:sz w:val="24"/>
              </w:rPr>
            </w:pPr>
            <w:r>
              <w:rPr>
                <w:rFonts w:hint="eastAsia" w:ascii="宋体" w:hAnsi="宋体" w:eastAsia="宋体" w:cs="宋体"/>
                <w:sz w:val="24"/>
              </w:rPr>
              <w:t>按防电击类型分类：II类设备、内部电源供电设备</w:t>
            </w:r>
          </w:p>
          <w:p w14:paraId="0DD688F6">
            <w:pPr>
              <w:rPr>
                <w:rFonts w:hint="eastAsia" w:ascii="宋体" w:hAnsi="宋体" w:eastAsia="宋体" w:cs="宋体"/>
                <w:sz w:val="24"/>
              </w:rPr>
            </w:pPr>
            <w:r>
              <w:rPr>
                <w:rFonts w:hint="eastAsia" w:ascii="宋体" w:hAnsi="宋体" w:eastAsia="宋体" w:cs="宋体"/>
                <w:sz w:val="24"/>
              </w:rPr>
              <w:t>按防电击的程度分类：BF型应用部分</w:t>
            </w:r>
          </w:p>
          <w:p w14:paraId="30702B31">
            <w:pPr>
              <w:rPr>
                <w:rFonts w:hint="eastAsia" w:ascii="宋体" w:hAnsi="宋体" w:eastAsia="宋体" w:cs="宋体"/>
                <w:sz w:val="24"/>
              </w:rPr>
            </w:pPr>
            <w:r>
              <w:rPr>
                <w:rFonts w:hint="eastAsia" w:ascii="宋体" w:hAnsi="宋体" w:eastAsia="宋体" w:cs="宋体"/>
                <w:sz w:val="24"/>
              </w:rPr>
              <w:t>进液防护程度分类IPX0</w:t>
            </w:r>
          </w:p>
          <w:p w14:paraId="0954933D">
            <w:pPr>
              <w:rPr>
                <w:rFonts w:hint="eastAsia" w:ascii="宋体" w:hAnsi="宋体" w:eastAsia="宋体" w:cs="宋体"/>
                <w:sz w:val="24"/>
              </w:rPr>
            </w:pPr>
            <w:r>
              <w:rPr>
                <w:rFonts w:hint="eastAsia" w:ascii="宋体" w:hAnsi="宋体" w:eastAsia="宋体" w:cs="宋体"/>
                <w:sz w:val="24"/>
              </w:rPr>
              <w:t>压力传感器：半导体式压力传感器</w:t>
            </w:r>
          </w:p>
          <w:p w14:paraId="19DD6814">
            <w:pPr>
              <w:rPr>
                <w:rFonts w:hint="eastAsia" w:ascii="宋体" w:hAnsi="宋体" w:eastAsia="宋体" w:cs="宋体"/>
                <w:sz w:val="24"/>
              </w:rPr>
            </w:pPr>
            <w:r>
              <w:rPr>
                <w:rFonts w:hint="eastAsia" w:ascii="宋体" w:hAnsi="宋体" w:eastAsia="宋体" w:cs="宋体"/>
                <w:sz w:val="24"/>
              </w:rPr>
              <w:t>加压方式：压力泵自动加压</w:t>
            </w:r>
          </w:p>
          <w:p w14:paraId="29499C4F">
            <w:pPr>
              <w:rPr>
                <w:rFonts w:hint="eastAsia" w:ascii="宋体" w:hAnsi="宋体" w:eastAsia="宋体" w:cs="宋体"/>
                <w:sz w:val="24"/>
              </w:rPr>
            </w:pPr>
            <w:r>
              <w:rPr>
                <w:rFonts w:hint="eastAsia" w:ascii="宋体" w:hAnsi="宋体" w:eastAsia="宋体" w:cs="宋体"/>
                <w:sz w:val="24"/>
              </w:rPr>
              <w:t>排气方式：自动快速排气</w:t>
            </w:r>
          </w:p>
          <w:p w14:paraId="34CD5E96">
            <w:pPr>
              <w:widowControl/>
              <w:jc w:val="left"/>
              <w:textAlignment w:val="center"/>
              <w:rPr>
                <w:rFonts w:hint="eastAsia" w:ascii="宋体" w:hAnsi="宋体" w:eastAsia="宋体" w:cs="宋体"/>
                <w:color w:val="000000"/>
                <w:sz w:val="24"/>
              </w:rPr>
            </w:pPr>
          </w:p>
        </w:tc>
      </w:tr>
      <w:tr w14:paraId="5BDBDABE">
        <w:tblPrEx>
          <w:tblCellMar>
            <w:top w:w="0" w:type="dxa"/>
            <w:left w:w="108" w:type="dxa"/>
            <w:bottom w:w="0" w:type="dxa"/>
            <w:right w:w="108" w:type="dxa"/>
          </w:tblCellMar>
        </w:tblPrEx>
        <w:trPr>
          <w:trHeight w:val="330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407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35A5">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 xml:space="preserve">关节测量角度尺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C81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989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套</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4274">
            <w:pPr>
              <w:rPr>
                <w:rFonts w:hint="eastAsia" w:ascii="宋体" w:hAnsi="宋体" w:eastAsia="宋体" w:cs="宋体"/>
                <w:sz w:val="24"/>
              </w:rPr>
            </w:pPr>
            <w:r>
              <w:rPr>
                <w:rFonts w:hint="eastAsia" w:ascii="宋体" w:hAnsi="宋体" w:eastAsia="宋体" w:cs="宋体"/>
                <w:sz w:val="24"/>
              </w:rPr>
              <w:t>1.尺寸：335mm*175mm*55mm，允差正负2cm，测量器具。</w:t>
            </w:r>
          </w:p>
          <w:p w14:paraId="7885F8CA">
            <w:pPr>
              <w:rPr>
                <w:rFonts w:hint="eastAsia" w:ascii="宋体" w:hAnsi="宋体" w:eastAsia="宋体" w:cs="宋体"/>
                <w:color w:val="000000"/>
                <w:sz w:val="24"/>
              </w:rPr>
            </w:pPr>
            <w:r>
              <w:rPr>
                <w:rFonts w:hint="eastAsia" w:ascii="宋体" w:hAnsi="宋体" w:eastAsia="宋体" w:cs="宋体"/>
                <w:sz w:val="24"/>
              </w:rPr>
              <w:t>2.产品组成由箱体、肢体角度尺（大）、肢体角度尺（中）、肢体角度尺（小）、脊椎角度尺、手指角度尺组成。</w:t>
            </w:r>
          </w:p>
        </w:tc>
      </w:tr>
      <w:tr w14:paraId="5713CB61">
        <w:tblPrEx>
          <w:tblCellMar>
            <w:top w:w="0" w:type="dxa"/>
            <w:left w:w="108" w:type="dxa"/>
            <w:bottom w:w="0" w:type="dxa"/>
            <w:right w:w="108" w:type="dxa"/>
          </w:tblCellMar>
        </w:tblPrEx>
        <w:trPr>
          <w:trHeight w:val="383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C44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19</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CFA4">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电子血压计</w:t>
            </w:r>
            <w:r>
              <w:rPr>
                <w:rFonts w:hint="eastAsia" w:ascii="宋体" w:hAnsi="宋体" w:eastAsia="宋体" w:cs="宋体"/>
                <w:b/>
                <w:bCs/>
                <w:sz w:val="24"/>
                <w:lang w:eastAsia="zh-CN"/>
              </w:rPr>
              <w:t>（</w:t>
            </w:r>
            <w:r>
              <w:rPr>
                <w:rFonts w:hint="eastAsia" w:ascii="宋体" w:hAnsi="宋体" w:eastAsia="宋体" w:cs="宋体"/>
                <w:b/>
                <w:bCs/>
                <w:sz w:val="24"/>
                <w:lang w:val="en-US" w:eastAsia="zh-CN"/>
              </w:rPr>
              <w:t>臂式</w:t>
            </w:r>
            <w:r>
              <w:rPr>
                <w:rFonts w:hint="eastAsia" w:ascii="宋体" w:hAnsi="宋体" w:eastAsia="宋体" w:cs="宋体"/>
                <w:b/>
                <w:bCs/>
                <w:sz w:val="24"/>
                <w:lang w:eastAsia="zh-CN"/>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2AA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41F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台</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CB1F">
            <w:pPr>
              <w:rPr>
                <w:rFonts w:hint="eastAsia" w:ascii="宋体" w:hAnsi="宋体" w:eastAsia="宋体" w:cs="宋体"/>
                <w:sz w:val="24"/>
                <w:lang w:val="en-US" w:eastAsia="zh-CN"/>
              </w:rPr>
            </w:pPr>
            <w:r>
              <w:rPr>
                <w:rFonts w:hint="eastAsia" w:ascii="宋体" w:hAnsi="宋体" w:eastAsia="宋体" w:cs="宋体"/>
                <w:sz w:val="24"/>
                <w:lang w:val="en-US" w:eastAsia="zh-CN"/>
              </w:rPr>
              <w:t>血压计由主机、袖带（臂带）、电池（选配干电池或可充电电池）、电源线（选配）、电源适配器（选配）组成。</w:t>
            </w:r>
          </w:p>
          <w:p w14:paraId="286572EB">
            <w:pPr>
              <w:rPr>
                <w:rFonts w:hint="eastAsia" w:ascii="宋体" w:hAnsi="宋体" w:eastAsia="宋体" w:cs="宋体"/>
                <w:sz w:val="24"/>
                <w:lang w:val="en-US" w:eastAsia="zh-CN"/>
              </w:rPr>
            </w:pPr>
            <w:r>
              <w:rPr>
                <w:rFonts w:hint="eastAsia" w:ascii="宋体" w:hAnsi="宋体" w:eastAsia="宋体" w:cs="宋体"/>
                <w:sz w:val="24"/>
                <w:lang w:val="en-US" w:eastAsia="zh-CN"/>
              </w:rPr>
              <w:t>袖带适用臂围为22厘米—32厘米</w:t>
            </w:r>
          </w:p>
          <w:p w14:paraId="0829B3B0">
            <w:pPr>
              <w:rPr>
                <w:rFonts w:hint="eastAsia" w:ascii="宋体" w:hAnsi="宋体" w:eastAsia="宋体" w:cs="宋体"/>
                <w:sz w:val="24"/>
              </w:rPr>
            </w:pPr>
            <w:r>
              <w:rPr>
                <w:rFonts w:hint="eastAsia" w:ascii="宋体" w:hAnsi="宋体" w:eastAsia="宋体" w:cs="宋体"/>
                <w:sz w:val="24"/>
              </w:rPr>
              <w:t>显示方式：LCD数字显示</w:t>
            </w:r>
          </w:p>
          <w:p w14:paraId="52E925BC">
            <w:pPr>
              <w:rPr>
                <w:rFonts w:hint="eastAsia" w:ascii="宋体" w:hAnsi="宋体" w:eastAsia="宋体" w:cs="宋体"/>
                <w:sz w:val="24"/>
              </w:rPr>
            </w:pPr>
            <w:r>
              <w:rPr>
                <w:rFonts w:hint="eastAsia" w:ascii="宋体" w:hAnsi="宋体" w:eastAsia="宋体" w:cs="宋体"/>
                <w:sz w:val="24"/>
              </w:rPr>
              <w:t>测量方法：示波测定法范围(0~300)mmHg/(0.0~40.0)kPa</w:t>
            </w:r>
          </w:p>
          <w:p w14:paraId="13ED0454">
            <w:pPr>
              <w:rPr>
                <w:rFonts w:hint="eastAsia" w:ascii="宋体" w:hAnsi="宋体" w:eastAsia="宋体" w:cs="宋体"/>
                <w:sz w:val="24"/>
              </w:rPr>
            </w:pPr>
            <w:r>
              <w:rPr>
                <w:rFonts w:hint="eastAsia" w:ascii="宋体" w:hAnsi="宋体" w:eastAsia="宋体" w:cs="宋体"/>
                <w:sz w:val="24"/>
              </w:rPr>
              <w:t>压力测量：精度±3mmHg（±0.4kPa)范围(40~200）次／分钟</w:t>
            </w:r>
          </w:p>
          <w:p w14:paraId="2CC00208">
            <w:pPr>
              <w:rPr>
                <w:rFonts w:hint="eastAsia" w:ascii="宋体" w:hAnsi="宋体" w:eastAsia="宋体" w:cs="宋体"/>
                <w:sz w:val="24"/>
              </w:rPr>
            </w:pPr>
            <w:r>
              <w:rPr>
                <w:rFonts w:hint="eastAsia" w:ascii="宋体" w:hAnsi="宋体" w:eastAsia="宋体" w:cs="宋体"/>
                <w:sz w:val="24"/>
              </w:rPr>
              <w:t>脉率测量：精度读数的±5%</w:t>
            </w:r>
          </w:p>
          <w:p w14:paraId="2035A45E">
            <w:pPr>
              <w:rPr>
                <w:rFonts w:hint="eastAsia" w:ascii="宋体" w:hAnsi="宋体" w:eastAsia="宋体" w:cs="宋体"/>
                <w:sz w:val="24"/>
              </w:rPr>
            </w:pPr>
            <w:r>
              <w:rPr>
                <w:rFonts w:hint="eastAsia" w:ascii="宋体" w:hAnsi="宋体" w:eastAsia="宋体" w:cs="宋体"/>
                <w:sz w:val="24"/>
              </w:rPr>
              <w:t>按运行模式分类：连续运行</w:t>
            </w:r>
          </w:p>
          <w:p w14:paraId="3F964F5B">
            <w:pPr>
              <w:rPr>
                <w:rFonts w:hint="eastAsia" w:ascii="宋体" w:hAnsi="宋体" w:eastAsia="宋体" w:cs="宋体"/>
                <w:sz w:val="24"/>
              </w:rPr>
            </w:pPr>
            <w:r>
              <w:rPr>
                <w:rFonts w:hint="eastAsia" w:ascii="宋体" w:hAnsi="宋体" w:eastAsia="宋体" w:cs="宋体"/>
                <w:sz w:val="24"/>
              </w:rPr>
              <w:t>按防电击类型分类：II类设备、内部电源供电设备</w:t>
            </w:r>
          </w:p>
          <w:p w14:paraId="12271E68">
            <w:pPr>
              <w:rPr>
                <w:rFonts w:hint="eastAsia" w:ascii="宋体" w:hAnsi="宋体" w:eastAsia="宋体" w:cs="宋体"/>
                <w:sz w:val="24"/>
              </w:rPr>
            </w:pPr>
            <w:r>
              <w:rPr>
                <w:rFonts w:hint="eastAsia" w:ascii="宋体" w:hAnsi="宋体" w:eastAsia="宋体" w:cs="宋体"/>
                <w:sz w:val="24"/>
              </w:rPr>
              <w:t>按防电击的程度分类：BF型应用部分</w:t>
            </w:r>
          </w:p>
          <w:p w14:paraId="6B8F1302">
            <w:pPr>
              <w:rPr>
                <w:rFonts w:hint="eastAsia" w:ascii="宋体" w:hAnsi="宋体" w:eastAsia="宋体" w:cs="宋体"/>
                <w:sz w:val="24"/>
              </w:rPr>
            </w:pPr>
            <w:r>
              <w:rPr>
                <w:rFonts w:hint="eastAsia" w:ascii="宋体" w:hAnsi="宋体" w:eastAsia="宋体" w:cs="宋体"/>
                <w:sz w:val="24"/>
              </w:rPr>
              <w:t>进液防护程度分类IPX0</w:t>
            </w:r>
          </w:p>
          <w:p w14:paraId="3E28E6FE">
            <w:pPr>
              <w:rPr>
                <w:rFonts w:hint="eastAsia" w:ascii="宋体" w:hAnsi="宋体" w:eastAsia="宋体" w:cs="宋体"/>
                <w:sz w:val="24"/>
              </w:rPr>
            </w:pPr>
            <w:r>
              <w:rPr>
                <w:rFonts w:hint="eastAsia" w:ascii="宋体" w:hAnsi="宋体" w:eastAsia="宋体" w:cs="宋体"/>
                <w:sz w:val="24"/>
              </w:rPr>
              <w:t>压力传感器：半导体式压力传感器</w:t>
            </w:r>
          </w:p>
          <w:p w14:paraId="69B1D561">
            <w:pPr>
              <w:rPr>
                <w:rFonts w:hint="eastAsia" w:ascii="宋体" w:hAnsi="宋体" w:eastAsia="宋体" w:cs="宋体"/>
                <w:sz w:val="24"/>
              </w:rPr>
            </w:pPr>
            <w:r>
              <w:rPr>
                <w:rFonts w:hint="eastAsia" w:ascii="宋体" w:hAnsi="宋体" w:eastAsia="宋体" w:cs="宋体"/>
                <w:sz w:val="24"/>
              </w:rPr>
              <w:t>加压方式：压力泵自动加压</w:t>
            </w:r>
          </w:p>
          <w:p w14:paraId="276FC1D8">
            <w:pPr>
              <w:rPr>
                <w:rFonts w:hint="eastAsia" w:ascii="宋体" w:hAnsi="宋体" w:eastAsia="宋体" w:cs="宋体"/>
                <w:sz w:val="24"/>
              </w:rPr>
            </w:pPr>
            <w:r>
              <w:rPr>
                <w:rFonts w:hint="eastAsia" w:ascii="宋体" w:hAnsi="宋体" w:eastAsia="宋体" w:cs="宋体"/>
                <w:sz w:val="24"/>
              </w:rPr>
              <w:t>排气方式：自动快速排气</w:t>
            </w:r>
          </w:p>
          <w:p w14:paraId="6A40A49C">
            <w:pPr>
              <w:widowControl/>
              <w:jc w:val="left"/>
              <w:textAlignment w:val="center"/>
              <w:rPr>
                <w:rFonts w:hint="eastAsia" w:ascii="宋体" w:hAnsi="宋体" w:eastAsia="宋体" w:cs="宋体"/>
                <w:color w:val="000000"/>
                <w:sz w:val="24"/>
              </w:rPr>
            </w:pPr>
          </w:p>
        </w:tc>
      </w:tr>
      <w:tr w14:paraId="11661FE2">
        <w:tblPrEx>
          <w:tblCellMar>
            <w:top w:w="0" w:type="dxa"/>
            <w:left w:w="108" w:type="dxa"/>
            <w:bottom w:w="0" w:type="dxa"/>
            <w:right w:w="108" w:type="dxa"/>
          </w:tblCellMar>
        </w:tblPrEx>
        <w:trPr>
          <w:trHeight w:val="3744"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EA0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FEC5">
            <w:pPr>
              <w:widowControl/>
              <w:jc w:val="left"/>
              <w:textAlignment w:val="center"/>
              <w:rPr>
                <w:rFonts w:hint="eastAsia" w:ascii="宋体" w:hAnsi="宋体" w:eastAsia="宋体" w:cs="宋体"/>
                <w:color w:val="000000"/>
                <w:sz w:val="24"/>
                <w:lang w:val="en-US" w:eastAsia="zh-CN"/>
              </w:rPr>
            </w:pPr>
            <w:r>
              <w:rPr>
                <w:rFonts w:hint="eastAsia" w:ascii="宋体" w:hAnsi="宋体" w:eastAsia="宋体" w:cs="宋体"/>
                <w:b/>
                <w:bCs/>
                <w:sz w:val="24"/>
              </w:rPr>
              <w:t>电子血压计</w:t>
            </w:r>
            <w:r>
              <w:rPr>
                <w:rFonts w:hint="eastAsia" w:ascii="宋体" w:hAnsi="宋体" w:eastAsia="宋体" w:cs="宋体"/>
                <w:b/>
                <w:bCs/>
                <w:sz w:val="24"/>
                <w:lang w:eastAsia="zh-CN"/>
              </w:rPr>
              <w:t>（</w:t>
            </w:r>
            <w:r>
              <w:rPr>
                <w:rFonts w:hint="eastAsia" w:ascii="宋体" w:hAnsi="宋体" w:eastAsia="宋体" w:cs="宋体"/>
                <w:b/>
                <w:bCs/>
                <w:sz w:val="24"/>
                <w:lang w:val="en-US" w:eastAsia="zh-CN"/>
              </w:rPr>
              <w:t>臂式</w:t>
            </w:r>
            <w:r>
              <w:rPr>
                <w:rFonts w:hint="eastAsia" w:ascii="宋体" w:hAnsi="宋体" w:eastAsia="宋体" w:cs="宋体"/>
                <w:b/>
                <w:bCs/>
                <w:sz w:val="24"/>
                <w:lang w:eastAsia="zh-CN"/>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CB7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4A0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台</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C8AC">
            <w:pPr>
              <w:rPr>
                <w:rFonts w:hint="eastAsia" w:ascii="宋体" w:hAnsi="宋体" w:eastAsia="宋体" w:cs="宋体"/>
                <w:sz w:val="24"/>
                <w:lang w:val="en-US" w:eastAsia="zh-CN"/>
              </w:rPr>
            </w:pPr>
            <w:r>
              <w:rPr>
                <w:rFonts w:hint="eastAsia" w:ascii="宋体" w:hAnsi="宋体" w:eastAsia="宋体" w:cs="宋体"/>
                <w:sz w:val="24"/>
                <w:lang w:val="en-US" w:eastAsia="zh-CN"/>
              </w:rPr>
              <w:t>血压计由主机、袖带（臂带）、电池（选配干电池或可充电电池）、电源线（选配）、电源适配器（选配）组成。</w:t>
            </w:r>
          </w:p>
          <w:p w14:paraId="22B9EDB8">
            <w:pPr>
              <w:rPr>
                <w:rFonts w:hint="eastAsia" w:ascii="宋体" w:hAnsi="宋体" w:eastAsia="宋体" w:cs="宋体"/>
                <w:sz w:val="24"/>
                <w:lang w:val="en-US" w:eastAsia="zh-CN"/>
              </w:rPr>
            </w:pPr>
            <w:r>
              <w:rPr>
                <w:rFonts w:hint="eastAsia" w:ascii="宋体" w:hAnsi="宋体" w:eastAsia="宋体" w:cs="宋体"/>
                <w:sz w:val="24"/>
                <w:lang w:val="en-US" w:eastAsia="zh-CN"/>
              </w:rPr>
              <w:t>袖带适用臂围为22厘米—32厘米</w:t>
            </w:r>
          </w:p>
          <w:p w14:paraId="1412998A">
            <w:pPr>
              <w:rPr>
                <w:rFonts w:hint="eastAsia" w:ascii="宋体" w:hAnsi="宋体" w:eastAsia="宋体" w:cs="宋体"/>
                <w:sz w:val="24"/>
              </w:rPr>
            </w:pPr>
            <w:r>
              <w:rPr>
                <w:rFonts w:hint="eastAsia" w:ascii="宋体" w:hAnsi="宋体" w:eastAsia="宋体" w:cs="宋体"/>
                <w:sz w:val="24"/>
              </w:rPr>
              <w:t>显示方式：LCD数字显示</w:t>
            </w:r>
          </w:p>
          <w:p w14:paraId="3E5E0550">
            <w:pPr>
              <w:rPr>
                <w:rFonts w:hint="eastAsia" w:ascii="宋体" w:hAnsi="宋体" w:eastAsia="宋体" w:cs="宋体"/>
                <w:sz w:val="24"/>
              </w:rPr>
            </w:pPr>
            <w:r>
              <w:rPr>
                <w:rFonts w:hint="eastAsia" w:ascii="宋体" w:hAnsi="宋体" w:eastAsia="宋体" w:cs="宋体"/>
                <w:sz w:val="24"/>
              </w:rPr>
              <w:t>测量方法：示波测定法范围(0~300)mmHg/(0.0~40.0)kPa</w:t>
            </w:r>
          </w:p>
          <w:p w14:paraId="4CCD7506">
            <w:pPr>
              <w:rPr>
                <w:rFonts w:hint="eastAsia" w:ascii="宋体" w:hAnsi="宋体" w:eastAsia="宋体" w:cs="宋体"/>
                <w:sz w:val="24"/>
              </w:rPr>
            </w:pPr>
            <w:r>
              <w:rPr>
                <w:rFonts w:hint="eastAsia" w:ascii="宋体" w:hAnsi="宋体" w:eastAsia="宋体" w:cs="宋体"/>
                <w:sz w:val="24"/>
              </w:rPr>
              <w:t>压力测量：精度±3mmHg（±0.4kPa)范围(40~200）次／分钟</w:t>
            </w:r>
          </w:p>
          <w:p w14:paraId="2862F02E">
            <w:pPr>
              <w:rPr>
                <w:rFonts w:hint="eastAsia" w:ascii="宋体" w:hAnsi="宋体" w:eastAsia="宋体" w:cs="宋体"/>
                <w:sz w:val="24"/>
              </w:rPr>
            </w:pPr>
            <w:r>
              <w:rPr>
                <w:rFonts w:hint="eastAsia" w:ascii="宋体" w:hAnsi="宋体" w:eastAsia="宋体" w:cs="宋体"/>
                <w:sz w:val="24"/>
              </w:rPr>
              <w:t>脉率测量：精度读数的±5%</w:t>
            </w:r>
          </w:p>
          <w:p w14:paraId="79EFD353">
            <w:pPr>
              <w:rPr>
                <w:rFonts w:hint="eastAsia" w:ascii="宋体" w:hAnsi="宋体" w:eastAsia="宋体" w:cs="宋体"/>
                <w:sz w:val="24"/>
              </w:rPr>
            </w:pPr>
            <w:r>
              <w:rPr>
                <w:rFonts w:hint="eastAsia" w:ascii="宋体" w:hAnsi="宋体" w:eastAsia="宋体" w:cs="宋体"/>
                <w:sz w:val="24"/>
              </w:rPr>
              <w:t>按运行模式分类：连续运行</w:t>
            </w:r>
          </w:p>
          <w:p w14:paraId="291DE96C">
            <w:pPr>
              <w:rPr>
                <w:rFonts w:hint="eastAsia" w:ascii="宋体" w:hAnsi="宋体" w:eastAsia="宋体" w:cs="宋体"/>
                <w:sz w:val="24"/>
              </w:rPr>
            </w:pPr>
            <w:r>
              <w:rPr>
                <w:rFonts w:hint="eastAsia" w:ascii="宋体" w:hAnsi="宋体" w:eastAsia="宋体" w:cs="宋体"/>
                <w:sz w:val="24"/>
              </w:rPr>
              <w:t>按防电击类型分类：II类设备、内部电源供电设备</w:t>
            </w:r>
          </w:p>
          <w:p w14:paraId="0A52DCE8">
            <w:pPr>
              <w:rPr>
                <w:rFonts w:hint="eastAsia" w:ascii="宋体" w:hAnsi="宋体" w:eastAsia="宋体" w:cs="宋体"/>
                <w:sz w:val="24"/>
              </w:rPr>
            </w:pPr>
            <w:r>
              <w:rPr>
                <w:rFonts w:hint="eastAsia" w:ascii="宋体" w:hAnsi="宋体" w:eastAsia="宋体" w:cs="宋体"/>
                <w:sz w:val="24"/>
              </w:rPr>
              <w:t>按防电击的程度分类：BF型应用部分</w:t>
            </w:r>
          </w:p>
          <w:p w14:paraId="4929CB0B">
            <w:pPr>
              <w:rPr>
                <w:rFonts w:hint="eastAsia" w:ascii="宋体" w:hAnsi="宋体" w:eastAsia="宋体" w:cs="宋体"/>
                <w:sz w:val="24"/>
              </w:rPr>
            </w:pPr>
            <w:r>
              <w:rPr>
                <w:rFonts w:hint="eastAsia" w:ascii="宋体" w:hAnsi="宋体" w:eastAsia="宋体" w:cs="宋体"/>
                <w:sz w:val="24"/>
              </w:rPr>
              <w:t>进液防护程度分类IPX0</w:t>
            </w:r>
          </w:p>
          <w:p w14:paraId="2B854354">
            <w:pPr>
              <w:rPr>
                <w:rFonts w:hint="eastAsia" w:ascii="宋体" w:hAnsi="宋体" w:eastAsia="宋体" w:cs="宋体"/>
                <w:sz w:val="24"/>
              </w:rPr>
            </w:pPr>
            <w:r>
              <w:rPr>
                <w:rFonts w:hint="eastAsia" w:ascii="宋体" w:hAnsi="宋体" w:eastAsia="宋体" w:cs="宋体"/>
                <w:sz w:val="24"/>
              </w:rPr>
              <w:t>压力传感器：半导体式压力传感器</w:t>
            </w:r>
          </w:p>
          <w:p w14:paraId="31162559">
            <w:pPr>
              <w:rPr>
                <w:rFonts w:hint="eastAsia" w:ascii="宋体" w:hAnsi="宋体" w:eastAsia="宋体" w:cs="宋体"/>
                <w:sz w:val="24"/>
              </w:rPr>
            </w:pPr>
            <w:r>
              <w:rPr>
                <w:rFonts w:hint="eastAsia" w:ascii="宋体" w:hAnsi="宋体" w:eastAsia="宋体" w:cs="宋体"/>
                <w:sz w:val="24"/>
              </w:rPr>
              <w:t>加压方式：压力泵自动加压</w:t>
            </w:r>
          </w:p>
          <w:p w14:paraId="3354D267">
            <w:pPr>
              <w:rPr>
                <w:rFonts w:hint="eastAsia" w:ascii="宋体" w:hAnsi="宋体" w:eastAsia="宋体" w:cs="宋体"/>
                <w:sz w:val="24"/>
              </w:rPr>
            </w:pPr>
            <w:r>
              <w:rPr>
                <w:rFonts w:hint="eastAsia" w:ascii="宋体" w:hAnsi="宋体" w:eastAsia="宋体" w:cs="宋体"/>
                <w:sz w:val="24"/>
              </w:rPr>
              <w:t>排气方式：自动快速排气</w:t>
            </w:r>
          </w:p>
          <w:p w14:paraId="4527D9C3">
            <w:pPr>
              <w:widowControl/>
              <w:jc w:val="left"/>
              <w:textAlignment w:val="center"/>
              <w:rPr>
                <w:rFonts w:hint="eastAsia" w:ascii="宋体" w:hAnsi="宋体" w:eastAsia="宋体" w:cs="宋体"/>
                <w:color w:val="000000"/>
                <w:sz w:val="24"/>
              </w:rPr>
            </w:pPr>
          </w:p>
        </w:tc>
      </w:tr>
      <w:tr w14:paraId="69F9F971">
        <w:tblPrEx>
          <w:tblCellMar>
            <w:top w:w="0" w:type="dxa"/>
            <w:left w:w="108" w:type="dxa"/>
            <w:bottom w:w="0" w:type="dxa"/>
            <w:right w:w="108" w:type="dxa"/>
          </w:tblCellMar>
        </w:tblPrEx>
        <w:trPr>
          <w:trHeight w:val="2344"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B24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1791">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 xml:space="preserve">医用担架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A60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6</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C41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副</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5A97">
            <w:pPr>
              <w:rPr>
                <w:rFonts w:hint="eastAsia" w:ascii="宋体" w:hAnsi="宋体" w:eastAsia="宋体" w:cs="宋体"/>
                <w:sz w:val="24"/>
              </w:rPr>
            </w:pPr>
            <w:r>
              <w:rPr>
                <w:rFonts w:hint="eastAsia" w:ascii="宋体" w:hAnsi="宋体" w:eastAsia="宋体" w:cs="宋体"/>
                <w:sz w:val="24"/>
              </w:rPr>
              <w:t>1）由担架面、支撑架、脚轮等组成</w:t>
            </w:r>
          </w:p>
          <w:p w14:paraId="7BE00ACB">
            <w:pPr>
              <w:rPr>
                <w:rFonts w:hint="eastAsia" w:ascii="宋体" w:hAnsi="宋体" w:eastAsia="宋体" w:cs="宋体"/>
                <w:sz w:val="24"/>
              </w:rPr>
            </w:pPr>
            <w:r>
              <w:rPr>
                <w:rFonts w:hint="eastAsia" w:ascii="宋体" w:hAnsi="宋体" w:eastAsia="宋体" w:cs="宋体"/>
                <w:sz w:val="24"/>
              </w:rPr>
              <w:t>2）承重≥120公斤</w:t>
            </w:r>
          </w:p>
          <w:p w14:paraId="6271D65F">
            <w:pPr>
              <w:rPr>
                <w:rFonts w:hint="eastAsia" w:ascii="宋体" w:hAnsi="宋体" w:eastAsia="宋体" w:cs="宋体"/>
                <w:color w:val="000000"/>
                <w:sz w:val="24"/>
              </w:rPr>
            </w:pPr>
            <w:r>
              <w:rPr>
                <w:rFonts w:hint="eastAsia" w:ascii="宋体" w:hAnsi="宋体" w:eastAsia="宋体" w:cs="宋体"/>
                <w:sz w:val="24"/>
              </w:rPr>
              <w:t>3）担架结构分为折叠式、救护、铲式三种</w:t>
            </w:r>
          </w:p>
        </w:tc>
      </w:tr>
      <w:tr w14:paraId="665034F2">
        <w:tblPrEx>
          <w:tblCellMar>
            <w:top w:w="0" w:type="dxa"/>
            <w:left w:w="108" w:type="dxa"/>
            <w:bottom w:w="0" w:type="dxa"/>
            <w:right w:w="108" w:type="dxa"/>
          </w:tblCellMar>
        </w:tblPrEx>
        <w:trPr>
          <w:trHeight w:val="373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068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B4DA">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电动吸痰器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896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3</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AFE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台</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EF5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吸引软导管一根</w:t>
            </w:r>
          </w:p>
          <w:p w14:paraId="05798A4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熔丝管2只</w:t>
            </w:r>
          </w:p>
          <w:p w14:paraId="1AC106E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空气过滤器2只</w:t>
            </w:r>
          </w:p>
          <w:p w14:paraId="3E6A6B0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吸引导管一套</w:t>
            </w:r>
          </w:p>
          <w:p w14:paraId="12EF6E85">
            <w:pPr>
              <w:rPr>
                <w:rFonts w:hint="eastAsia" w:ascii="宋体" w:hAnsi="宋体" w:eastAsia="宋体" w:cs="宋体"/>
                <w:sz w:val="24"/>
                <w:szCs w:val="24"/>
              </w:rPr>
            </w:pPr>
            <w:r>
              <w:rPr>
                <w:rFonts w:hint="eastAsia" w:ascii="宋体" w:hAnsi="宋体" w:eastAsia="宋体" w:cs="宋体"/>
                <w:sz w:val="24"/>
                <w:szCs w:val="24"/>
              </w:rPr>
              <w:t>高负压/高流量，间歇吸引，</w:t>
            </w:r>
          </w:p>
          <w:p w14:paraId="5C631249">
            <w:pPr>
              <w:rPr>
                <w:rFonts w:hint="eastAsia" w:ascii="宋体" w:hAnsi="宋体" w:eastAsia="宋体" w:cs="宋体"/>
                <w:sz w:val="24"/>
                <w:szCs w:val="24"/>
              </w:rPr>
            </w:pPr>
            <w:r>
              <w:rPr>
                <w:rFonts w:hint="eastAsia" w:ascii="宋体" w:hAnsi="宋体" w:eastAsia="宋体" w:cs="宋体"/>
                <w:sz w:val="24"/>
                <w:szCs w:val="24"/>
              </w:rPr>
              <w:t>电源：AC220V±22V，50Hz±1Hz</w:t>
            </w:r>
          </w:p>
          <w:p w14:paraId="2EC83E8A">
            <w:pPr>
              <w:rPr>
                <w:rFonts w:hint="eastAsia" w:ascii="宋体" w:hAnsi="宋体" w:eastAsia="宋体" w:cs="宋体"/>
                <w:sz w:val="24"/>
                <w:szCs w:val="24"/>
              </w:rPr>
            </w:pPr>
            <w:r>
              <w:rPr>
                <w:rFonts w:hint="eastAsia" w:ascii="宋体" w:hAnsi="宋体" w:eastAsia="宋体" w:cs="宋体"/>
                <w:sz w:val="24"/>
                <w:szCs w:val="24"/>
              </w:rPr>
              <w:t>输入功率：180VA</w:t>
            </w:r>
          </w:p>
          <w:p w14:paraId="15649B1F">
            <w:pPr>
              <w:rPr>
                <w:rFonts w:hint="eastAsia" w:ascii="宋体" w:hAnsi="宋体" w:eastAsia="宋体" w:cs="宋体"/>
                <w:sz w:val="24"/>
                <w:szCs w:val="24"/>
              </w:rPr>
            </w:pPr>
            <w:r>
              <w:rPr>
                <w:rFonts w:hint="eastAsia" w:ascii="宋体" w:hAnsi="宋体" w:eastAsia="宋体" w:cs="宋体"/>
                <w:sz w:val="24"/>
                <w:szCs w:val="24"/>
              </w:rPr>
              <w:t>吸引泵：活塞泵</w:t>
            </w:r>
          </w:p>
          <w:p w14:paraId="2D27C99D">
            <w:pPr>
              <w:rPr>
                <w:rFonts w:hint="eastAsia" w:ascii="宋体" w:hAnsi="宋体" w:eastAsia="宋体" w:cs="宋体"/>
                <w:sz w:val="24"/>
                <w:szCs w:val="24"/>
              </w:rPr>
            </w:pPr>
            <w:r>
              <w:rPr>
                <w:rFonts w:hint="eastAsia" w:ascii="宋体" w:hAnsi="宋体" w:eastAsia="宋体" w:cs="宋体"/>
                <w:sz w:val="24"/>
                <w:szCs w:val="24"/>
              </w:rPr>
              <w:t>极限负压值：≥0.06MPa</w:t>
            </w:r>
          </w:p>
          <w:p w14:paraId="21B5F6FF">
            <w:pPr>
              <w:rPr>
                <w:rFonts w:hint="eastAsia" w:ascii="宋体" w:hAnsi="宋体" w:eastAsia="宋体" w:cs="宋体"/>
                <w:sz w:val="24"/>
                <w:szCs w:val="24"/>
              </w:rPr>
            </w:pPr>
            <w:r>
              <w:rPr>
                <w:rFonts w:hint="eastAsia" w:ascii="宋体" w:hAnsi="宋体" w:eastAsia="宋体" w:cs="宋体"/>
                <w:sz w:val="24"/>
                <w:szCs w:val="24"/>
              </w:rPr>
              <w:t>负压调节范围：0.02MPa至极限负压值</w:t>
            </w:r>
          </w:p>
          <w:p w14:paraId="7A3507FA">
            <w:pPr>
              <w:rPr>
                <w:rFonts w:hint="eastAsia" w:ascii="宋体" w:hAnsi="宋体" w:eastAsia="宋体" w:cs="宋体"/>
                <w:sz w:val="24"/>
                <w:szCs w:val="24"/>
              </w:rPr>
            </w:pPr>
            <w:r>
              <w:rPr>
                <w:rFonts w:hint="eastAsia" w:ascii="宋体" w:hAnsi="宋体" w:eastAsia="宋体" w:cs="宋体"/>
                <w:sz w:val="24"/>
                <w:szCs w:val="24"/>
              </w:rPr>
              <w:t>运行模式：间歇加载连续运行，最长连续工作时间30分钟，持续率50%</w:t>
            </w:r>
          </w:p>
          <w:p w14:paraId="030424D3">
            <w:pPr>
              <w:rPr>
                <w:rFonts w:hint="eastAsia" w:ascii="宋体" w:hAnsi="宋体" w:eastAsia="宋体" w:cs="宋体"/>
                <w:color w:val="000000"/>
                <w:sz w:val="24"/>
              </w:rPr>
            </w:pPr>
            <w:r>
              <w:rPr>
                <w:rFonts w:hint="eastAsia" w:ascii="宋体" w:hAnsi="宋体" w:eastAsia="宋体" w:cs="宋体"/>
                <w:sz w:val="24"/>
                <w:szCs w:val="24"/>
              </w:rPr>
              <w:t>电器安全要求：Ι类设备，B型应用部分，防进液等级：IPX0</w:t>
            </w:r>
          </w:p>
        </w:tc>
      </w:tr>
      <w:tr w14:paraId="147ADBE3">
        <w:tblPrEx>
          <w:tblCellMar>
            <w:top w:w="0" w:type="dxa"/>
            <w:left w:w="108" w:type="dxa"/>
            <w:bottom w:w="0" w:type="dxa"/>
            <w:right w:w="108" w:type="dxa"/>
          </w:tblCellMar>
        </w:tblPrEx>
        <w:trPr>
          <w:trHeight w:val="2496"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87C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23</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3350">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供氧装置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B93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3</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51F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台</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E34A">
            <w:pPr>
              <w:rPr>
                <w:rFonts w:hint="eastAsia" w:ascii="宋体" w:hAnsi="宋体" w:eastAsia="宋体" w:cs="宋体"/>
                <w:sz w:val="24"/>
              </w:rPr>
            </w:pPr>
            <w:r>
              <w:rPr>
                <w:rFonts w:hint="eastAsia" w:ascii="宋体" w:hAnsi="宋体" w:eastAsia="宋体" w:cs="宋体"/>
                <w:sz w:val="24"/>
              </w:rPr>
              <w:t>供医疗机构、家庭制取氧气，供缺氧患者给氧用</w:t>
            </w:r>
          </w:p>
          <w:p w14:paraId="73D5A46C">
            <w:pPr>
              <w:rPr>
                <w:rFonts w:hint="eastAsia" w:ascii="宋体" w:hAnsi="宋体" w:eastAsia="宋体" w:cs="宋体"/>
                <w:sz w:val="24"/>
              </w:rPr>
            </w:pPr>
            <w:r>
              <w:rPr>
                <w:rFonts w:hint="eastAsia" w:ascii="宋体" w:hAnsi="宋体" w:eastAsia="宋体" w:cs="宋体"/>
                <w:sz w:val="24"/>
              </w:rPr>
              <w:t>氧气输出口温度：≤46℃</w:t>
            </w:r>
          </w:p>
          <w:p w14:paraId="7C0ED196">
            <w:pPr>
              <w:rPr>
                <w:rFonts w:hint="eastAsia" w:ascii="宋体" w:hAnsi="宋体" w:eastAsia="宋体" w:cs="宋体"/>
                <w:sz w:val="24"/>
              </w:rPr>
            </w:pPr>
            <w:r>
              <w:rPr>
                <w:rFonts w:hint="eastAsia" w:ascii="宋体" w:hAnsi="宋体" w:eastAsia="宋体" w:cs="宋体"/>
                <w:sz w:val="24"/>
              </w:rPr>
              <w:t>建议：吸氧管长度不得超过15.2米且不能折瘪。</w:t>
            </w:r>
          </w:p>
          <w:p w14:paraId="3CC222BF">
            <w:pPr>
              <w:rPr>
                <w:rFonts w:hint="eastAsia" w:ascii="宋体" w:hAnsi="宋体" w:eastAsia="宋体" w:cs="宋体"/>
                <w:sz w:val="24"/>
              </w:rPr>
            </w:pPr>
            <w:r>
              <w:rPr>
                <w:rFonts w:hint="eastAsia" w:ascii="宋体" w:hAnsi="宋体" w:eastAsia="宋体" w:cs="宋体"/>
                <w:sz w:val="24"/>
              </w:rPr>
              <w:t>血氧测量范围0~100%；分辨率1%；当70%~100％时，精度±2%；小于70％时，精度无定义。脉率测量范围30次／分钟～250次／分钟；分辨率1次／分钟；精度±3次／分钟。测量更新周期1s；平均时间8s。</w:t>
            </w:r>
          </w:p>
          <w:p w14:paraId="7B737E94">
            <w:pPr>
              <w:rPr>
                <w:rFonts w:hint="eastAsia" w:ascii="宋体" w:hAnsi="宋体" w:eastAsia="宋体" w:cs="宋体"/>
                <w:sz w:val="24"/>
              </w:rPr>
            </w:pPr>
            <w:r>
              <w:rPr>
                <w:rFonts w:hint="eastAsia" w:ascii="宋体" w:hAnsi="宋体" w:eastAsia="宋体" w:cs="宋体"/>
                <w:sz w:val="24"/>
              </w:rPr>
              <w:t>1）超大背光显示屏，一键遥控</w:t>
            </w:r>
          </w:p>
          <w:p w14:paraId="5F6840C9">
            <w:pPr>
              <w:rPr>
                <w:rFonts w:hint="eastAsia" w:ascii="宋体" w:hAnsi="宋体" w:eastAsia="宋体" w:cs="宋体"/>
                <w:sz w:val="24"/>
              </w:rPr>
            </w:pPr>
            <w:r>
              <w:rPr>
                <w:rFonts w:hint="eastAsia" w:ascii="宋体" w:hAnsi="宋体" w:eastAsia="宋体" w:cs="宋体"/>
                <w:sz w:val="24"/>
              </w:rPr>
              <w:t>2）实时血氧检测</w:t>
            </w:r>
          </w:p>
          <w:p w14:paraId="1767B169">
            <w:pPr>
              <w:rPr>
                <w:rFonts w:hint="eastAsia" w:ascii="宋体" w:hAnsi="宋体" w:eastAsia="宋体" w:cs="宋体"/>
                <w:sz w:val="24"/>
              </w:rPr>
            </w:pPr>
            <w:r>
              <w:rPr>
                <w:rFonts w:hint="eastAsia" w:ascii="宋体" w:hAnsi="宋体" w:eastAsia="宋体" w:cs="宋体"/>
                <w:sz w:val="24"/>
              </w:rPr>
              <w:t>3）海拔高度：海平面至1828米时不会降低氧浓度，从1828米至4000米时效率低于90%</w:t>
            </w:r>
          </w:p>
          <w:p w14:paraId="39106D5D">
            <w:pPr>
              <w:rPr>
                <w:rFonts w:hint="eastAsia" w:ascii="宋体" w:hAnsi="宋体" w:eastAsia="宋体" w:cs="宋体"/>
                <w:sz w:val="24"/>
              </w:rPr>
            </w:pPr>
            <w:r>
              <w:rPr>
                <w:rFonts w:hint="eastAsia" w:ascii="宋体" w:hAnsi="宋体" w:eastAsia="宋体" w:cs="宋体"/>
                <w:sz w:val="24"/>
              </w:rPr>
              <w:t>4）压缩机安全阀释放压力：250kPa±50kPa</w:t>
            </w:r>
          </w:p>
          <w:p w14:paraId="6F475259">
            <w:pPr>
              <w:rPr>
                <w:rFonts w:hint="eastAsia" w:ascii="宋体" w:hAnsi="宋体" w:eastAsia="宋体" w:cs="宋体"/>
                <w:sz w:val="24"/>
              </w:rPr>
            </w:pPr>
            <w:r>
              <w:rPr>
                <w:rFonts w:hint="eastAsia" w:ascii="宋体" w:hAnsi="宋体" w:eastAsia="宋体" w:cs="宋体"/>
                <w:sz w:val="24"/>
              </w:rPr>
              <w:t>5）噪音小于60分贝</w:t>
            </w:r>
          </w:p>
          <w:p w14:paraId="5C694211">
            <w:pPr>
              <w:rPr>
                <w:rFonts w:hint="eastAsia" w:ascii="宋体" w:hAnsi="宋体" w:eastAsia="宋体" w:cs="宋体"/>
                <w:sz w:val="24"/>
              </w:rPr>
            </w:pPr>
            <w:r>
              <w:rPr>
                <w:rFonts w:hint="eastAsia" w:ascii="宋体" w:hAnsi="宋体" w:eastAsia="宋体" w:cs="宋体"/>
                <w:sz w:val="24"/>
              </w:rPr>
              <w:t>6)雾化率：≥0.1mL/min</w:t>
            </w:r>
          </w:p>
          <w:p w14:paraId="78653F85">
            <w:pPr>
              <w:widowControl/>
              <w:jc w:val="left"/>
              <w:textAlignment w:val="center"/>
              <w:rPr>
                <w:rFonts w:hint="eastAsia" w:ascii="宋体" w:hAnsi="宋体" w:eastAsia="宋体" w:cs="宋体"/>
                <w:color w:val="000000"/>
                <w:sz w:val="24"/>
              </w:rPr>
            </w:pPr>
          </w:p>
        </w:tc>
      </w:tr>
      <w:tr w14:paraId="2ABCD004">
        <w:tblPrEx>
          <w:tblCellMar>
            <w:top w:w="0" w:type="dxa"/>
            <w:left w:w="108" w:type="dxa"/>
            <w:bottom w:w="0" w:type="dxa"/>
            <w:right w:w="108" w:type="dxa"/>
          </w:tblCellMar>
        </w:tblPrEx>
        <w:trPr>
          <w:trHeight w:val="31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C86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24</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B750">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血糖仪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12D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3</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968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台</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D586">
            <w:pPr>
              <w:widowControl/>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血糖尿酸测试仪与配套血糖测试条或者尿酸测试条配套使用，分别用于毛细血管全血或静脉全血的葡萄糖、尿酸浓度测试。</w:t>
            </w:r>
          </w:p>
          <w:p w14:paraId="543FCCE4">
            <w:pPr>
              <w:widowControl/>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血糖测试仪由电路板、液晶显示屏、功能按键、外壳、数据传输模块（选配）、血糖尿酸测试仪内置软件组成。</w:t>
            </w:r>
          </w:p>
          <w:p w14:paraId="55443789">
            <w:pPr>
              <w:widowControl/>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配件有数据线（选配）、蓝牙适配器（选配）、电池、采血笔（经医疗器械备案的合格产品选配）</w:t>
            </w:r>
          </w:p>
          <w:p w14:paraId="3845A658">
            <w:pPr>
              <w:widowControl/>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检测样本</w:t>
            </w:r>
          </w:p>
          <w:p w14:paraId="277DB44B">
            <w:pPr>
              <w:widowControl/>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毛细血管全血、静脉全血静脉血浆</w:t>
            </w:r>
          </w:p>
          <w:p w14:paraId="3DE6E0BE">
            <w:pPr>
              <w:widowControl/>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用于校准的样品类型</w:t>
            </w:r>
          </w:p>
          <w:p w14:paraId="440CBD55">
            <w:pPr>
              <w:widowControl/>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样本量：血糖：约0.6uL</w:t>
            </w:r>
          </w:p>
          <w:p w14:paraId="63D2A04D">
            <w:pPr>
              <w:widowControl/>
              <w:ind w:firstLine="960" w:firstLineChars="400"/>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尿酸：约3uL</w:t>
            </w:r>
          </w:p>
          <w:p w14:paraId="3B04C699">
            <w:pPr>
              <w:widowControl/>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测试范围：血糖1.1mmol/L~33.3mmol/L</w:t>
            </w:r>
          </w:p>
          <w:p w14:paraId="52E0CE34">
            <w:pPr>
              <w:widowControl/>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尿酸：181umol/L~1188umol/L</w:t>
            </w:r>
          </w:p>
          <w:p w14:paraId="328F2419">
            <w:pPr>
              <w:widowControl/>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测试时间：血糖：5±1秒</w:t>
            </w:r>
          </w:p>
          <w:p w14:paraId="784EF6DF">
            <w:pPr>
              <w:widowControl/>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尿酸：25±1秒</w:t>
            </w:r>
          </w:p>
          <w:p w14:paraId="691503E4">
            <w:pPr>
              <w:widowControl/>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定标曲线：通过校正码自动选择测试曲线</w:t>
            </w:r>
          </w:p>
          <w:p w14:paraId="1B9BC921">
            <w:pPr>
              <w:widowControl/>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电源：2节7号碱性电池DC3V，最大额定电流10mA（与蓝牙适配器配合使用时20mA)</w:t>
            </w:r>
          </w:p>
          <w:p w14:paraId="790406EA">
            <w:pPr>
              <w:widowControl/>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电池寿命：大约测试1000次（与蓝牙适配器配合使用时约测试400次）</w:t>
            </w:r>
          </w:p>
          <w:p w14:paraId="40F1D5F0">
            <w:pPr>
              <w:widowControl/>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储存温度：-20℃~55℃</w:t>
            </w:r>
          </w:p>
        </w:tc>
      </w:tr>
      <w:tr w14:paraId="64DFBB69">
        <w:tblPrEx>
          <w:tblCellMar>
            <w:top w:w="0" w:type="dxa"/>
            <w:left w:w="108" w:type="dxa"/>
            <w:bottom w:w="0" w:type="dxa"/>
            <w:right w:w="108" w:type="dxa"/>
          </w:tblCellMar>
        </w:tblPrEx>
        <w:trPr>
          <w:trHeight w:val="2184"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527F">
            <w:pPr>
              <w:widowControl/>
              <w:jc w:val="center"/>
              <w:textAlignment w:val="center"/>
              <w:rPr>
                <w:rFonts w:hint="eastAsia" w:ascii="宋体" w:hAnsi="宋体" w:eastAsia="宋体" w:cs="宋体"/>
                <w:color w:val="000000"/>
                <w:sz w:val="24"/>
              </w:rPr>
            </w:pPr>
          </w:p>
          <w:p w14:paraId="0BD74576">
            <w:pPr>
              <w:widowControl/>
              <w:jc w:val="center"/>
              <w:textAlignment w:val="center"/>
              <w:rPr>
                <w:rFonts w:hint="eastAsia" w:ascii="宋体" w:hAnsi="宋体" w:eastAsia="宋体" w:cs="宋体"/>
                <w:color w:val="000000"/>
                <w:sz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C9A2">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臂筒式电子血压计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038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3</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8EF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台</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C4F0">
            <w:pPr>
              <w:rPr>
                <w:rFonts w:hint="eastAsia" w:ascii="宋体" w:hAnsi="宋体" w:eastAsia="宋体" w:cs="宋体"/>
                <w:sz w:val="24"/>
              </w:rPr>
            </w:pPr>
            <w:r>
              <w:rPr>
                <w:rFonts w:hint="eastAsia" w:ascii="宋体" w:hAnsi="宋体" w:eastAsia="宋体" w:cs="宋体"/>
                <w:sz w:val="24"/>
              </w:rPr>
              <w:t>1）全自动捆绑袖带，一键自助测量</w:t>
            </w:r>
          </w:p>
          <w:p w14:paraId="100BD54B">
            <w:pPr>
              <w:rPr>
                <w:rFonts w:hint="eastAsia" w:ascii="宋体" w:hAnsi="宋体" w:eastAsia="宋体" w:cs="宋体"/>
                <w:sz w:val="24"/>
              </w:rPr>
            </w:pPr>
            <w:r>
              <w:rPr>
                <w:rFonts w:hint="eastAsia" w:ascii="宋体" w:hAnsi="宋体" w:eastAsia="宋体" w:cs="宋体"/>
                <w:sz w:val="24"/>
              </w:rPr>
              <w:t xml:space="preserve">2）一体折叠，收纳不占地 （可折叠臂筒+隐藏式搁手板）  </w:t>
            </w:r>
          </w:p>
          <w:p w14:paraId="718BAD56">
            <w:pPr>
              <w:rPr>
                <w:rFonts w:hint="eastAsia" w:ascii="宋体" w:hAnsi="宋体" w:eastAsia="宋体" w:cs="宋体"/>
                <w:sz w:val="24"/>
              </w:rPr>
            </w:pPr>
            <w:r>
              <w:rPr>
                <w:rFonts w:hint="eastAsia" w:ascii="宋体" w:hAnsi="宋体" w:eastAsia="宋体" w:cs="宋体"/>
                <w:sz w:val="24"/>
              </w:rPr>
              <w:t>3）一次测量，血压房颤脉率全知道</w:t>
            </w:r>
          </w:p>
          <w:p w14:paraId="044CBAC7">
            <w:pPr>
              <w:rPr>
                <w:rFonts w:hint="eastAsia" w:ascii="宋体" w:hAnsi="宋体" w:eastAsia="宋体" w:cs="宋体"/>
                <w:sz w:val="24"/>
              </w:rPr>
            </w:pPr>
            <w:r>
              <w:rPr>
                <w:rFonts w:hint="eastAsia" w:ascii="宋体" w:hAnsi="宋体" w:eastAsia="宋体" w:cs="宋体"/>
                <w:sz w:val="24"/>
              </w:rPr>
              <w:t>4)17cm-36cm圈臂围覆盖，适用人群广</w:t>
            </w:r>
          </w:p>
          <w:p w14:paraId="22D498AF">
            <w:pPr>
              <w:numPr>
                <w:ilvl w:val="0"/>
                <w:numId w:val="58"/>
              </w:numPr>
              <w:rPr>
                <w:rFonts w:hint="eastAsia" w:ascii="宋体" w:hAnsi="宋体" w:eastAsia="宋体" w:cs="宋体"/>
                <w:sz w:val="24"/>
              </w:rPr>
            </w:pPr>
            <w:r>
              <w:rPr>
                <w:rFonts w:hint="eastAsia" w:ascii="宋体" w:hAnsi="宋体" w:eastAsia="宋体" w:cs="宋体"/>
                <w:sz w:val="24"/>
              </w:rPr>
              <w:t>支持蓝牙数据传输方式，高效可视化管理</w:t>
            </w:r>
          </w:p>
          <w:p w14:paraId="4D194A42">
            <w:pPr>
              <w:numPr>
                <w:ilvl w:val="0"/>
                <w:numId w:val="58"/>
              </w:numPr>
              <w:rPr>
                <w:rFonts w:hint="eastAsia" w:ascii="宋体" w:hAnsi="宋体" w:eastAsia="宋体" w:cs="宋体"/>
                <w:sz w:val="24"/>
              </w:rPr>
            </w:pPr>
            <w:r>
              <w:rPr>
                <w:rFonts w:hint="eastAsia" w:ascii="宋体" w:hAnsi="宋体" w:eastAsia="宋体" w:cs="宋体"/>
                <w:sz w:val="24"/>
              </w:rPr>
              <w:t>LED数字显示，半导体式压力传感器</w:t>
            </w:r>
          </w:p>
          <w:p w14:paraId="630676B4">
            <w:pPr>
              <w:widowControl/>
              <w:jc w:val="left"/>
              <w:textAlignment w:val="center"/>
              <w:rPr>
                <w:rFonts w:hint="eastAsia" w:ascii="宋体" w:hAnsi="宋体" w:eastAsia="宋体" w:cs="宋体"/>
                <w:color w:val="000000"/>
                <w:sz w:val="24"/>
              </w:rPr>
            </w:pPr>
          </w:p>
        </w:tc>
      </w:tr>
      <w:tr w14:paraId="0C06C266">
        <w:tblPrEx>
          <w:tblCellMar>
            <w:top w:w="0" w:type="dxa"/>
            <w:left w:w="108" w:type="dxa"/>
            <w:bottom w:w="0" w:type="dxa"/>
            <w:right w:w="108" w:type="dxa"/>
          </w:tblCellMar>
        </w:tblPrEx>
        <w:trPr>
          <w:trHeight w:val="69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FC1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26</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17C2">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紫外线消毒灯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DDE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0"/>
                <w:szCs w:val="20"/>
              </w:rPr>
              <w:t>3</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802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0"/>
                <w:szCs w:val="20"/>
              </w:rPr>
              <w:t>个</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0D53">
            <w:pPr>
              <w:rPr>
                <w:rFonts w:hint="eastAsia" w:ascii="宋体" w:hAnsi="宋体" w:eastAsia="宋体" w:cs="宋体"/>
                <w:sz w:val="24"/>
              </w:rPr>
            </w:pPr>
            <w:r>
              <w:rPr>
                <w:rFonts w:hint="eastAsia" w:ascii="宋体" w:hAnsi="宋体" w:eastAsia="宋体" w:cs="宋体"/>
                <w:sz w:val="24"/>
              </w:rPr>
              <w:t>≥30W有臭氧 功率：2*30W</w:t>
            </w:r>
          </w:p>
          <w:p w14:paraId="47107B02">
            <w:pPr>
              <w:widowControl/>
              <w:jc w:val="left"/>
              <w:textAlignment w:val="center"/>
              <w:rPr>
                <w:rFonts w:hint="eastAsia" w:ascii="宋体" w:hAnsi="宋体" w:eastAsia="宋体" w:cs="宋体"/>
                <w:color w:val="000000"/>
                <w:sz w:val="24"/>
              </w:rPr>
            </w:pPr>
          </w:p>
        </w:tc>
      </w:tr>
      <w:tr w14:paraId="040BA727">
        <w:tblPrEx>
          <w:tblCellMar>
            <w:top w:w="0" w:type="dxa"/>
            <w:left w:w="108" w:type="dxa"/>
            <w:bottom w:w="0" w:type="dxa"/>
            <w:right w:w="108" w:type="dxa"/>
          </w:tblCellMar>
        </w:tblPrEx>
        <w:trPr>
          <w:trHeight w:val="5616"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CE2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27</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608A">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电子血压计</w:t>
            </w:r>
            <w:r>
              <w:rPr>
                <w:rFonts w:hint="eastAsia" w:ascii="宋体" w:hAnsi="宋体" w:eastAsia="宋体" w:cs="宋体"/>
                <w:sz w:val="24"/>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7DF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D0D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台</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6403">
            <w:pPr>
              <w:rPr>
                <w:rFonts w:hint="eastAsia" w:ascii="宋体" w:hAnsi="宋体" w:eastAsia="宋体" w:cs="宋体"/>
                <w:sz w:val="24"/>
              </w:rPr>
            </w:pPr>
            <w:r>
              <w:rPr>
                <w:rFonts w:hint="eastAsia" w:ascii="宋体" w:hAnsi="宋体" w:eastAsia="宋体" w:cs="宋体"/>
                <w:sz w:val="24"/>
              </w:rPr>
              <w:t>显示方式：LCD数字显示</w:t>
            </w:r>
          </w:p>
          <w:p w14:paraId="295A978E">
            <w:pPr>
              <w:rPr>
                <w:rFonts w:hint="eastAsia" w:ascii="宋体" w:hAnsi="宋体" w:eastAsia="宋体" w:cs="宋体"/>
                <w:sz w:val="24"/>
              </w:rPr>
            </w:pPr>
            <w:r>
              <w:rPr>
                <w:rFonts w:hint="eastAsia" w:ascii="宋体" w:hAnsi="宋体" w:eastAsia="宋体" w:cs="宋体"/>
                <w:sz w:val="24"/>
              </w:rPr>
              <w:t>测量方法：示波测定法范围(0~300)mmHg/(0.0~40.0)kPa</w:t>
            </w:r>
          </w:p>
          <w:p w14:paraId="652796D1">
            <w:pPr>
              <w:rPr>
                <w:rFonts w:hint="eastAsia" w:ascii="宋体" w:hAnsi="宋体" w:eastAsia="宋体" w:cs="宋体"/>
                <w:sz w:val="24"/>
              </w:rPr>
            </w:pPr>
            <w:r>
              <w:rPr>
                <w:rFonts w:hint="eastAsia" w:ascii="宋体" w:hAnsi="宋体" w:eastAsia="宋体" w:cs="宋体"/>
                <w:sz w:val="24"/>
              </w:rPr>
              <w:t>压力测量：精度±3mmHg（±0.4kPa)范围(40~200）次／分钟</w:t>
            </w:r>
          </w:p>
          <w:p w14:paraId="59DB6281">
            <w:pPr>
              <w:rPr>
                <w:rFonts w:hint="eastAsia" w:ascii="宋体" w:hAnsi="宋体" w:eastAsia="宋体" w:cs="宋体"/>
                <w:sz w:val="24"/>
              </w:rPr>
            </w:pPr>
            <w:r>
              <w:rPr>
                <w:rFonts w:hint="eastAsia" w:ascii="宋体" w:hAnsi="宋体" w:eastAsia="宋体" w:cs="宋体"/>
                <w:sz w:val="24"/>
              </w:rPr>
              <w:t>脉率测量：精度读数的±5%</w:t>
            </w:r>
          </w:p>
          <w:p w14:paraId="2A4BFD39">
            <w:pPr>
              <w:rPr>
                <w:rFonts w:hint="eastAsia" w:ascii="宋体" w:hAnsi="宋体" w:eastAsia="宋体" w:cs="宋体"/>
                <w:sz w:val="24"/>
              </w:rPr>
            </w:pPr>
            <w:r>
              <w:rPr>
                <w:rFonts w:hint="eastAsia" w:ascii="宋体" w:hAnsi="宋体" w:eastAsia="宋体" w:cs="宋体"/>
                <w:sz w:val="24"/>
              </w:rPr>
              <w:t>按运行模式分类：连续运行</w:t>
            </w:r>
          </w:p>
          <w:p w14:paraId="134E84DF">
            <w:pPr>
              <w:rPr>
                <w:rFonts w:hint="eastAsia" w:ascii="宋体" w:hAnsi="宋体" w:eastAsia="宋体" w:cs="宋体"/>
                <w:sz w:val="24"/>
              </w:rPr>
            </w:pPr>
            <w:r>
              <w:rPr>
                <w:rFonts w:hint="eastAsia" w:ascii="宋体" w:hAnsi="宋体" w:eastAsia="宋体" w:cs="宋体"/>
                <w:sz w:val="24"/>
              </w:rPr>
              <w:t>按防电击类型分类：II类设备、内部电源供电设备</w:t>
            </w:r>
          </w:p>
          <w:p w14:paraId="683FD04C">
            <w:pPr>
              <w:rPr>
                <w:rFonts w:hint="eastAsia" w:ascii="宋体" w:hAnsi="宋体" w:eastAsia="宋体" w:cs="宋体"/>
                <w:sz w:val="24"/>
              </w:rPr>
            </w:pPr>
            <w:r>
              <w:rPr>
                <w:rFonts w:hint="eastAsia" w:ascii="宋体" w:hAnsi="宋体" w:eastAsia="宋体" w:cs="宋体"/>
                <w:sz w:val="24"/>
              </w:rPr>
              <w:t>按防电击的程度分类：BF型应用部分</w:t>
            </w:r>
          </w:p>
          <w:p w14:paraId="1DCF9CC0">
            <w:pPr>
              <w:rPr>
                <w:rFonts w:hint="eastAsia" w:ascii="宋体" w:hAnsi="宋体" w:eastAsia="宋体" w:cs="宋体"/>
                <w:sz w:val="24"/>
              </w:rPr>
            </w:pPr>
            <w:r>
              <w:rPr>
                <w:rFonts w:hint="eastAsia" w:ascii="宋体" w:hAnsi="宋体" w:eastAsia="宋体" w:cs="宋体"/>
                <w:sz w:val="24"/>
              </w:rPr>
              <w:t>进液防护程度分类IPX0</w:t>
            </w:r>
          </w:p>
          <w:p w14:paraId="48B39314">
            <w:pPr>
              <w:rPr>
                <w:rFonts w:hint="eastAsia" w:ascii="宋体" w:hAnsi="宋体" w:eastAsia="宋体" w:cs="宋体"/>
                <w:sz w:val="24"/>
              </w:rPr>
            </w:pPr>
            <w:r>
              <w:rPr>
                <w:rFonts w:hint="eastAsia" w:ascii="宋体" w:hAnsi="宋体" w:eastAsia="宋体" w:cs="宋体"/>
                <w:sz w:val="24"/>
              </w:rPr>
              <w:t>按与空气混合的易燃麻醉气或与氧或氧化亚氮混合的易燃麻醉气情况下使用时的安全程度分类：</w:t>
            </w:r>
          </w:p>
          <w:p w14:paraId="5BCFF1E8">
            <w:pPr>
              <w:rPr>
                <w:rFonts w:hint="eastAsia" w:ascii="宋体" w:hAnsi="宋体" w:eastAsia="宋体" w:cs="宋体"/>
                <w:sz w:val="24"/>
              </w:rPr>
            </w:pPr>
            <w:r>
              <w:rPr>
                <w:rFonts w:hint="eastAsia" w:ascii="宋体" w:hAnsi="宋体" w:eastAsia="宋体" w:cs="宋体"/>
                <w:sz w:val="24"/>
              </w:rPr>
              <w:t>不能在有与空气混合的易燃麻醉气或与氧或氧化亚氮混合的易燃麻醉气情况下使用的设备</w:t>
            </w:r>
          </w:p>
          <w:p w14:paraId="5CA94D09">
            <w:pPr>
              <w:rPr>
                <w:rFonts w:hint="eastAsia" w:ascii="宋体" w:hAnsi="宋体" w:eastAsia="宋体" w:cs="宋体"/>
                <w:sz w:val="24"/>
              </w:rPr>
            </w:pPr>
            <w:r>
              <w:rPr>
                <w:rFonts w:hint="eastAsia" w:ascii="宋体" w:hAnsi="宋体" w:eastAsia="宋体" w:cs="宋体"/>
                <w:sz w:val="24"/>
              </w:rPr>
              <w:t>压力传感器：半导体式压力传感器</w:t>
            </w:r>
          </w:p>
          <w:p w14:paraId="2EB5515C">
            <w:pPr>
              <w:rPr>
                <w:rFonts w:hint="eastAsia" w:ascii="宋体" w:hAnsi="宋体" w:eastAsia="宋体" w:cs="宋体"/>
                <w:sz w:val="24"/>
              </w:rPr>
            </w:pPr>
            <w:r>
              <w:rPr>
                <w:rFonts w:hint="eastAsia" w:ascii="宋体" w:hAnsi="宋体" w:eastAsia="宋体" w:cs="宋体"/>
                <w:sz w:val="24"/>
              </w:rPr>
              <w:t>加压方式：压力泵自动加压</w:t>
            </w:r>
          </w:p>
          <w:p w14:paraId="583CBD93">
            <w:pPr>
              <w:rPr>
                <w:rFonts w:hint="eastAsia" w:ascii="宋体" w:hAnsi="宋体" w:eastAsia="宋体" w:cs="宋体"/>
                <w:sz w:val="24"/>
              </w:rPr>
            </w:pPr>
            <w:r>
              <w:rPr>
                <w:rFonts w:hint="eastAsia" w:ascii="宋体" w:hAnsi="宋体" w:eastAsia="宋体" w:cs="宋体"/>
                <w:sz w:val="24"/>
              </w:rPr>
              <w:t>排气方式：自动快速排气</w:t>
            </w:r>
          </w:p>
          <w:p w14:paraId="4FC80023">
            <w:pPr>
              <w:widowControl/>
              <w:jc w:val="left"/>
              <w:textAlignment w:val="center"/>
              <w:rPr>
                <w:rFonts w:hint="eastAsia" w:ascii="宋体" w:hAnsi="宋体" w:eastAsia="宋体" w:cs="宋体"/>
                <w:color w:val="000000"/>
                <w:sz w:val="24"/>
              </w:rPr>
            </w:pPr>
          </w:p>
        </w:tc>
      </w:tr>
      <w:tr w14:paraId="4C66310B">
        <w:tblPrEx>
          <w:tblCellMar>
            <w:top w:w="0" w:type="dxa"/>
            <w:left w:w="108" w:type="dxa"/>
            <w:bottom w:w="0" w:type="dxa"/>
            <w:right w:w="108" w:type="dxa"/>
          </w:tblCellMar>
        </w:tblPrEx>
        <w:trPr>
          <w:trHeight w:val="936"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D51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28</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AD30">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听诊器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1A8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248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台</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56F8">
            <w:pPr>
              <w:numPr>
                <w:ilvl w:val="0"/>
                <w:numId w:val="59"/>
              </w:numPr>
              <w:spacing w:after="120" w:line="360" w:lineRule="auto"/>
              <w:jc w:val="left"/>
              <w:rPr>
                <w:rFonts w:hint="eastAsia" w:ascii="宋体" w:hAnsi="宋体" w:eastAsia="宋体" w:cs="宋体"/>
                <w:sz w:val="24"/>
              </w:rPr>
            </w:pPr>
            <w:r>
              <w:rPr>
                <w:rFonts w:hint="eastAsia" w:ascii="宋体" w:hAnsi="宋体" w:eastAsia="宋体" w:cs="宋体"/>
                <w:sz w:val="24"/>
              </w:rPr>
              <w:t>心脏专科听诊器</w:t>
            </w:r>
          </w:p>
          <w:p w14:paraId="34A41DF6">
            <w:pPr>
              <w:numPr>
                <w:ilvl w:val="0"/>
                <w:numId w:val="59"/>
              </w:numPr>
              <w:spacing w:after="120" w:line="360" w:lineRule="auto"/>
              <w:jc w:val="left"/>
              <w:rPr>
                <w:rFonts w:hint="eastAsia" w:ascii="宋体" w:hAnsi="宋体" w:eastAsia="宋体" w:cs="宋体"/>
                <w:sz w:val="24"/>
              </w:rPr>
            </w:pPr>
            <w:r>
              <w:rPr>
                <w:rFonts w:hint="eastAsia" w:ascii="宋体" w:hAnsi="宋体" w:eastAsia="宋体" w:cs="宋体"/>
                <w:sz w:val="24"/>
              </w:rPr>
              <w:t>听诊头大集音腔设计，听音洪亮，环保全铜</w:t>
            </w:r>
          </w:p>
          <w:p w14:paraId="0584B6AD">
            <w:pPr>
              <w:numPr>
                <w:ilvl w:val="0"/>
                <w:numId w:val="59"/>
              </w:numPr>
              <w:spacing w:after="120" w:line="360" w:lineRule="auto"/>
              <w:jc w:val="left"/>
              <w:rPr>
                <w:rFonts w:hint="eastAsia" w:ascii="宋体" w:hAnsi="宋体" w:eastAsia="宋体" w:cs="宋体"/>
                <w:sz w:val="24"/>
              </w:rPr>
            </w:pPr>
            <w:r>
              <w:rPr>
                <w:rFonts w:hint="eastAsia" w:ascii="宋体" w:hAnsi="宋体" w:eastAsia="宋体" w:cs="宋体"/>
                <w:sz w:val="24"/>
              </w:rPr>
              <w:t>高性能单腔导管设计，降低麈擦噪音</w:t>
            </w:r>
          </w:p>
          <w:p w14:paraId="1A9E6E42">
            <w:pPr>
              <w:numPr>
                <w:ilvl w:val="0"/>
                <w:numId w:val="59"/>
              </w:numPr>
              <w:spacing w:after="120" w:line="360" w:lineRule="auto"/>
              <w:jc w:val="left"/>
              <w:rPr>
                <w:rFonts w:hint="eastAsia" w:ascii="宋体" w:hAnsi="宋体" w:eastAsia="宋体" w:cs="宋体"/>
                <w:sz w:val="24"/>
              </w:rPr>
            </w:pPr>
            <w:r>
              <w:rPr>
                <w:rFonts w:hint="eastAsia" w:ascii="宋体" w:hAnsi="宋体" w:eastAsia="宋体" w:cs="宋体"/>
                <w:sz w:val="24"/>
              </w:rPr>
              <w:t>膜片固定防寒圈</w:t>
            </w:r>
          </w:p>
          <w:p w14:paraId="0BE301A2">
            <w:pPr>
              <w:rPr>
                <w:rFonts w:hint="eastAsia" w:ascii="宋体" w:hAnsi="宋体" w:eastAsia="宋体" w:cs="宋体"/>
                <w:sz w:val="24"/>
              </w:rPr>
            </w:pPr>
            <w:r>
              <w:rPr>
                <w:rFonts w:hint="eastAsia" w:ascii="宋体" w:hAnsi="宋体" w:eastAsia="宋体" w:cs="宋体"/>
                <w:sz w:val="24"/>
              </w:rPr>
              <w:t>5）“可旋转软耳塞”设计，佩戴舒适</w:t>
            </w:r>
          </w:p>
          <w:p w14:paraId="60461B41">
            <w:pPr>
              <w:widowControl/>
              <w:jc w:val="left"/>
              <w:textAlignment w:val="center"/>
              <w:rPr>
                <w:rFonts w:hint="eastAsia" w:ascii="宋体" w:hAnsi="宋体" w:eastAsia="宋体" w:cs="宋体"/>
                <w:color w:val="000000"/>
                <w:sz w:val="24"/>
              </w:rPr>
            </w:pPr>
          </w:p>
        </w:tc>
      </w:tr>
      <w:tr w14:paraId="4067DEDA">
        <w:tblPrEx>
          <w:tblCellMar>
            <w:top w:w="0" w:type="dxa"/>
            <w:left w:w="108" w:type="dxa"/>
            <w:bottom w:w="0" w:type="dxa"/>
            <w:right w:w="108" w:type="dxa"/>
          </w:tblCellMar>
        </w:tblPrEx>
        <w:trPr>
          <w:trHeight w:val="2496"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69F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29</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9A4A">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 xml:space="preserve">心电图机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049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10D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台</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297E">
            <w:pPr>
              <w:rPr>
                <w:rFonts w:hint="eastAsia" w:ascii="宋体" w:hAnsi="宋体" w:eastAsia="宋体" w:cs="宋体"/>
                <w:sz w:val="24"/>
              </w:rPr>
            </w:pPr>
            <w:r>
              <w:rPr>
                <w:rFonts w:hint="eastAsia" w:ascii="宋体" w:hAnsi="宋体" w:eastAsia="宋体" w:cs="宋体"/>
                <w:sz w:val="24"/>
              </w:rPr>
              <w:t>1.导联：标准12导联</w:t>
            </w:r>
          </w:p>
          <w:p w14:paraId="5E5B4BDC">
            <w:pPr>
              <w:rPr>
                <w:rFonts w:hint="eastAsia" w:ascii="宋体" w:hAnsi="宋体" w:eastAsia="宋体" w:cs="宋体"/>
                <w:sz w:val="24"/>
              </w:rPr>
            </w:pPr>
            <w:r>
              <w:rPr>
                <w:rFonts w:hint="eastAsia" w:ascii="宋体" w:hAnsi="宋体" w:eastAsia="宋体" w:cs="宋体"/>
                <w:sz w:val="24"/>
              </w:rPr>
              <w:t>2.采样率：14位／1000Hz(12导联同步采集）</w:t>
            </w:r>
          </w:p>
          <w:p w14:paraId="2A725DBF">
            <w:pPr>
              <w:rPr>
                <w:rFonts w:hint="eastAsia" w:ascii="宋体" w:hAnsi="宋体" w:eastAsia="宋体" w:cs="宋体"/>
                <w:sz w:val="24"/>
              </w:rPr>
            </w:pPr>
            <w:r>
              <w:rPr>
                <w:rFonts w:hint="eastAsia" w:ascii="宋体" w:hAnsi="宋体" w:eastAsia="宋体" w:cs="宋体"/>
                <w:sz w:val="24"/>
              </w:rPr>
              <w:t>3.实时记录1道、1＋节律、3道波形，6道波形，6＋节律，12道波形具有手动与自动模式</w:t>
            </w:r>
          </w:p>
          <w:p w14:paraId="59598F0E">
            <w:pPr>
              <w:rPr>
                <w:rFonts w:hint="eastAsia" w:ascii="宋体" w:hAnsi="宋体" w:eastAsia="宋体" w:cs="宋体"/>
                <w:sz w:val="24"/>
              </w:rPr>
            </w:pPr>
            <w:r>
              <w:rPr>
                <w:rFonts w:hint="eastAsia" w:ascii="宋体" w:hAnsi="宋体" w:eastAsia="宋体" w:cs="宋体"/>
                <w:sz w:val="24"/>
              </w:rPr>
              <w:t>4.7英寸彩色液晶显示，显示波形、菜单（走纸速度、增益、滤波器状态等）、病人信息（ID 号、姓名、性别、年龄） 工作状态。</w:t>
            </w:r>
          </w:p>
          <w:p w14:paraId="509ACCCB">
            <w:pPr>
              <w:rPr>
                <w:rFonts w:hint="eastAsia" w:ascii="宋体" w:hAnsi="宋体" w:eastAsia="宋体" w:cs="宋体"/>
                <w:sz w:val="24"/>
              </w:rPr>
            </w:pPr>
            <w:r>
              <w:rPr>
                <w:rFonts w:hint="eastAsia" w:ascii="宋体" w:hAnsi="宋体" w:eastAsia="宋体" w:cs="宋体"/>
                <w:sz w:val="24"/>
              </w:rPr>
              <w:t>5.屏幕亮度可根据需求1~8级任意调整</w:t>
            </w:r>
          </w:p>
          <w:p w14:paraId="6A946CDC">
            <w:pPr>
              <w:rPr>
                <w:rFonts w:hint="eastAsia" w:ascii="宋体" w:hAnsi="宋体" w:eastAsia="宋体" w:cs="宋体"/>
                <w:sz w:val="24"/>
              </w:rPr>
            </w:pPr>
            <w:r>
              <w:rPr>
                <w:rFonts w:hint="eastAsia" w:ascii="宋体" w:hAnsi="宋体" w:eastAsia="宋体" w:cs="宋体"/>
                <w:sz w:val="24"/>
              </w:rPr>
              <w:t>6.高品质硅胶全键盘中／英文快速输入病人信息、医院名等信，并允许重新修改患者信息</w:t>
            </w:r>
          </w:p>
          <w:p w14:paraId="2151B339">
            <w:pPr>
              <w:rPr>
                <w:rFonts w:hint="eastAsia" w:ascii="宋体" w:hAnsi="宋体" w:eastAsia="宋体" w:cs="宋体"/>
                <w:sz w:val="24"/>
              </w:rPr>
            </w:pPr>
            <w:r>
              <w:rPr>
                <w:rFonts w:hint="eastAsia" w:ascii="宋体" w:hAnsi="宋体" w:eastAsia="宋体" w:cs="宋体"/>
                <w:sz w:val="24"/>
              </w:rPr>
              <w:t>7.3/6/12导联同步显示可任意设置，底格和波形大小可直接在屏幕放大或缩小，方便医护人员直接观察波形</w:t>
            </w:r>
          </w:p>
          <w:p w14:paraId="396A78FE">
            <w:pPr>
              <w:rPr>
                <w:rFonts w:hint="eastAsia" w:ascii="宋体" w:hAnsi="宋体" w:eastAsia="宋体" w:cs="宋体"/>
                <w:sz w:val="24"/>
              </w:rPr>
            </w:pPr>
            <w:r>
              <w:rPr>
                <w:rFonts w:hint="eastAsia" w:ascii="宋体" w:hAnsi="宋体" w:eastAsia="宋体" w:cs="宋体"/>
                <w:sz w:val="24"/>
              </w:rPr>
              <w:t>8.基线宽度1~4级可调，根据个人喜好每次都能打出整齐美观的 ECG 波形</w:t>
            </w:r>
          </w:p>
          <w:p w14:paraId="73557697">
            <w:pPr>
              <w:rPr>
                <w:rFonts w:hint="eastAsia" w:ascii="宋体" w:hAnsi="宋体" w:eastAsia="宋体" w:cs="宋体"/>
                <w:sz w:val="24"/>
              </w:rPr>
            </w:pPr>
            <w:r>
              <w:rPr>
                <w:rFonts w:hint="eastAsia" w:ascii="宋体" w:hAnsi="宋体" w:eastAsia="宋体" w:cs="宋体"/>
                <w:sz w:val="24"/>
              </w:rPr>
              <w:t>9、自动模式下波形灵敏度大小能够自动调整，莓组导联记录时间3~12秒可任意设置</w:t>
            </w:r>
          </w:p>
          <w:p w14:paraId="2E79341F">
            <w:pPr>
              <w:rPr>
                <w:rFonts w:hint="eastAsia" w:ascii="宋体" w:hAnsi="宋体" w:eastAsia="宋体" w:cs="宋体"/>
                <w:sz w:val="24"/>
              </w:rPr>
            </w:pPr>
            <w:r>
              <w:rPr>
                <w:rFonts w:hint="eastAsia" w:ascii="宋体" w:hAnsi="宋体" w:eastAsia="宋体" w:cs="宋体"/>
                <w:sz w:val="24"/>
              </w:rPr>
              <w:t>10、内置USB接口，支持直接插入U盘拷取数据；可批量将心电数据转换为图片上传到U盘，供电脑查看直接连接打印机打印</w:t>
            </w:r>
          </w:p>
          <w:p w14:paraId="055F337C">
            <w:pPr>
              <w:widowControl/>
              <w:jc w:val="left"/>
              <w:textAlignment w:val="center"/>
              <w:rPr>
                <w:rFonts w:hint="eastAsia" w:ascii="宋体" w:hAnsi="宋体" w:eastAsia="宋体" w:cs="宋体"/>
                <w:color w:val="000000"/>
                <w:sz w:val="24"/>
              </w:rPr>
            </w:pPr>
          </w:p>
        </w:tc>
      </w:tr>
      <w:tr w14:paraId="53959589">
        <w:tblPrEx>
          <w:tblCellMar>
            <w:top w:w="0" w:type="dxa"/>
            <w:left w:w="108" w:type="dxa"/>
            <w:bottom w:w="0" w:type="dxa"/>
            <w:right w:w="108" w:type="dxa"/>
          </w:tblCellMar>
        </w:tblPrEx>
        <w:trPr>
          <w:trHeight w:val="2714"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15A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C4AF">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制氧机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D4E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E6E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台</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40A8">
            <w:pPr>
              <w:ind w:firstLine="480" w:firstLineChars="200"/>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供医疗机构、家庭制取氧气，供缺氧患者给氧用。</w:t>
            </w:r>
          </w:p>
          <w:p w14:paraId="7EC9A168">
            <w:pPr>
              <w:ind w:firstLine="480" w:firstLineChars="200"/>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产品结构由压缩机、吸附塔、贮气罐、流量指示器、湿化器、换向阀、电路板、外壳、过滤器、鼻氧管、遥控器、雾化组件组成。遥控器应用于具有遥控功能的机型。雾化组件应用于具有雾化功能的机型，由雾化杯、咬嘴和连接管组成软件组件发布版本号：V3</w:t>
            </w:r>
          </w:p>
          <w:p w14:paraId="47019D8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全塑外壳，安全可靠。</w:t>
            </w:r>
          </w:p>
          <w:p w14:paraId="298125E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具有累时功能：通过显示屏显示总的工作时间。</w:t>
            </w:r>
          </w:p>
          <w:p w14:paraId="68017A1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设有定时功能，使用方便。</w:t>
            </w:r>
          </w:p>
          <w:p w14:paraId="6FCE0D8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装有压缩机超压安全阀，更有安全保障。</w:t>
            </w:r>
          </w:p>
          <w:p w14:paraId="1EACB4CE">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设有断电报警功能。</w:t>
            </w:r>
          </w:p>
          <w:p w14:paraId="43B4D850">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设有故障报警功能（包括压力故障报警，压缩机故障报警，过热故障报</w:t>
            </w:r>
          </w:p>
          <w:p w14:paraId="750CEF4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警，低流量故障报警），低氧浓度报警功能。</w:t>
            </w:r>
          </w:p>
          <w:p w14:paraId="1C6B332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压缩机带有热保护器，更好的保证压缩机及整机的安全。</w:t>
            </w:r>
          </w:p>
          <w:p w14:paraId="4BFE9A7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，具有雾化功能。</w:t>
            </w:r>
          </w:p>
          <w:p w14:paraId="1C33874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具有遥控功能。</w:t>
            </w:r>
          </w:p>
          <w:p w14:paraId="61F634A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四、制氧原理</w:t>
            </w:r>
          </w:p>
          <w:p w14:paraId="2B94C7E6">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本机以～220V电源为动力源，空气为原料，采用优质分子筛，在常温下通过变压吸附分离法（PSA法），制取符合医用标准的纯度较高的氧气。</w:t>
            </w:r>
          </w:p>
          <w:p w14:paraId="69BE4B9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五、主要技术要求</w:t>
            </w:r>
          </w:p>
          <w:p w14:paraId="1C0DACA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1、最大推荐氧流量：5L/min</w:t>
            </w:r>
          </w:p>
          <w:p w14:paraId="33EC45E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12</w:t>
            </w:r>
          </w:p>
          <w:p w14:paraId="0159E16C">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产品特点</w:t>
            </w:r>
          </w:p>
          <w:p w14:paraId="1771D9E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系统过热，报警停机；</w:t>
            </w:r>
          </w:p>
          <w:p w14:paraId="4ACA485F">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低氧流量，报警停机；</w:t>
            </w:r>
          </w:p>
          <w:p w14:paraId="3709F5CB">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，低氧浓度报警。</w:t>
            </w:r>
          </w:p>
          <w:p w14:paraId="57748837">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15、最短工作时间：不得低于15分钟</w:t>
            </w:r>
          </w:p>
          <w:p w14:paraId="77B7860D">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16、按电击防护类型分类：II类设备</w:t>
            </w:r>
          </w:p>
          <w:p w14:paraId="1C313FC1">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17、按电击防护程度分类：BF型应用部分（鼻氧管、雾化组件）</w:t>
            </w:r>
          </w:p>
          <w:p w14:paraId="2228FDF4">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18、按外壳防护程度分类：IP21</w:t>
            </w:r>
          </w:p>
          <w:p w14:paraId="07DBB052">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19、按与空气混合的易燃麻醉气或与氧或氧化亚氮混合的易燃麻醉气情况下使用时的安全程度分类：不能在有与空气混合的易燃麻醉</w:t>
            </w:r>
          </w:p>
          <w:p w14:paraId="72EAC4D9">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气或与氧或氧化亚氮混合的易燃麻醉气情况下使用的设备。</w:t>
            </w:r>
          </w:p>
          <w:p w14:paraId="4F70B96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20、按运行模式分类：连续运行</w:t>
            </w:r>
          </w:p>
          <w:p w14:paraId="7651851A">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21、正常工作环境（含氧浓度状态指示器）:</w:t>
            </w:r>
          </w:p>
          <w:p w14:paraId="26E36AB3">
            <w:pP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环境温度范围：5℃~40℃;</w:t>
            </w:r>
          </w:p>
          <w:p w14:paraId="5E963B55">
            <w:pPr>
              <w:rPr>
                <w:rFonts w:hint="eastAsia" w:ascii="宋体" w:hAnsi="宋体" w:eastAsia="宋体" w:cs="宋体"/>
                <w:color w:val="000000"/>
                <w:sz w:val="24"/>
              </w:rPr>
            </w:pPr>
            <w:r>
              <w:rPr>
                <w:rFonts w:hint="eastAsia" w:ascii="宋体" w:hAnsi="宋体" w:eastAsia="宋体" w:cs="宋体"/>
                <w:color w:val="000000"/>
                <w:kern w:val="0"/>
                <w:sz w:val="24"/>
                <w:lang w:bidi="ar"/>
              </w:rPr>
              <w:t>相对湿度范围：15%~90%，且无冷凝现象；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 </w:t>
            </w:r>
          </w:p>
        </w:tc>
      </w:tr>
      <w:tr w14:paraId="0D2F6F19">
        <w:tblPrEx>
          <w:tblCellMar>
            <w:top w:w="0" w:type="dxa"/>
            <w:left w:w="108" w:type="dxa"/>
            <w:bottom w:w="0" w:type="dxa"/>
            <w:right w:w="108" w:type="dxa"/>
          </w:tblCellMar>
        </w:tblPrEx>
        <w:trPr>
          <w:trHeight w:val="187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87F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DF75">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双门消毒柜</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E0D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DCB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台</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6D98">
            <w:pPr>
              <w:numPr>
                <w:ilvl w:val="0"/>
                <w:numId w:val="60"/>
              </w:numPr>
              <w:spacing w:after="120" w:line="360" w:lineRule="auto"/>
              <w:jc w:val="left"/>
              <w:rPr>
                <w:rFonts w:hint="eastAsia" w:ascii="宋体" w:hAnsi="宋体" w:eastAsia="宋体" w:cs="宋体"/>
                <w:sz w:val="24"/>
              </w:rPr>
            </w:pPr>
            <w:r>
              <w:rPr>
                <w:rFonts w:hint="eastAsia" w:ascii="宋体" w:hAnsi="宋体" w:eastAsia="宋体" w:cs="宋体"/>
                <w:sz w:val="24"/>
              </w:rPr>
              <w:t>机身容量：≥780L</w:t>
            </w:r>
          </w:p>
          <w:p w14:paraId="53F8F8EB">
            <w:pPr>
              <w:numPr>
                <w:ilvl w:val="0"/>
                <w:numId w:val="60"/>
              </w:numPr>
              <w:spacing w:after="120" w:line="360" w:lineRule="auto"/>
              <w:jc w:val="left"/>
              <w:rPr>
                <w:rFonts w:hint="eastAsia" w:ascii="宋体" w:hAnsi="宋体" w:eastAsia="宋体" w:cs="宋体"/>
                <w:sz w:val="24"/>
              </w:rPr>
            </w:pPr>
            <w:r>
              <w:rPr>
                <w:rFonts w:hint="eastAsia" w:ascii="宋体" w:hAnsi="宋体" w:eastAsia="宋体" w:cs="宋体"/>
                <w:sz w:val="24"/>
              </w:rPr>
              <w:t>加热方式：采用PTC热循环加热技术，高效除菌及烘干</w:t>
            </w:r>
          </w:p>
          <w:p w14:paraId="43AA140A">
            <w:pPr>
              <w:numPr>
                <w:ilvl w:val="0"/>
                <w:numId w:val="60"/>
              </w:numPr>
              <w:spacing w:after="120" w:line="360" w:lineRule="auto"/>
              <w:jc w:val="left"/>
              <w:rPr>
                <w:rFonts w:hint="eastAsia" w:ascii="宋体" w:hAnsi="宋体" w:eastAsia="宋体" w:cs="宋体"/>
                <w:sz w:val="24"/>
              </w:rPr>
            </w:pPr>
            <w:r>
              <w:rPr>
                <w:rFonts w:hint="eastAsia" w:ascii="宋体" w:hAnsi="宋体" w:eastAsia="宋体" w:cs="宋体"/>
                <w:sz w:val="24"/>
              </w:rPr>
              <w:t>额定温度：125℃</w:t>
            </w:r>
          </w:p>
          <w:p w14:paraId="38D438FE">
            <w:pPr>
              <w:numPr>
                <w:ilvl w:val="0"/>
                <w:numId w:val="60"/>
              </w:numPr>
              <w:tabs>
                <w:tab w:val="center" w:pos="4153"/>
              </w:tabs>
              <w:spacing w:after="120" w:line="360" w:lineRule="auto"/>
              <w:jc w:val="left"/>
              <w:rPr>
                <w:rFonts w:hint="eastAsia" w:ascii="宋体" w:hAnsi="宋体" w:eastAsia="宋体" w:cs="宋体"/>
                <w:sz w:val="24"/>
              </w:rPr>
            </w:pPr>
            <w:r>
              <w:rPr>
                <w:rFonts w:hint="eastAsia" w:ascii="宋体" w:hAnsi="宋体" w:eastAsia="宋体" w:cs="宋体"/>
                <w:sz w:val="24"/>
              </w:rPr>
              <w:t>工作电压及功率：220V；1800W</w:t>
            </w:r>
            <w:r>
              <w:rPr>
                <w:rFonts w:hint="eastAsia" w:ascii="宋体" w:hAnsi="宋体" w:eastAsia="宋体" w:cs="宋体"/>
                <w:sz w:val="24"/>
              </w:rPr>
              <w:tab/>
            </w:r>
          </w:p>
          <w:p w14:paraId="50F240DB">
            <w:pPr>
              <w:numPr>
                <w:ilvl w:val="0"/>
                <w:numId w:val="60"/>
              </w:numPr>
              <w:tabs>
                <w:tab w:val="center" w:pos="4153"/>
              </w:tabs>
              <w:spacing w:after="120" w:line="360" w:lineRule="auto"/>
              <w:jc w:val="left"/>
              <w:rPr>
                <w:rFonts w:hint="eastAsia" w:ascii="宋体" w:hAnsi="宋体" w:eastAsia="宋体" w:cs="宋体"/>
                <w:sz w:val="24"/>
              </w:rPr>
            </w:pPr>
            <w:r>
              <w:rPr>
                <w:rFonts w:hint="eastAsia" w:ascii="宋体" w:hAnsi="宋体" w:eastAsia="宋体" w:cs="宋体"/>
                <w:sz w:val="24"/>
              </w:rPr>
              <w:t>面板及内胆均采用优质不锈钢材料</w:t>
            </w:r>
          </w:p>
          <w:p w14:paraId="68FD950F">
            <w:pPr>
              <w:numPr>
                <w:ilvl w:val="0"/>
                <w:numId w:val="60"/>
              </w:numPr>
              <w:tabs>
                <w:tab w:val="center" w:pos="4153"/>
              </w:tabs>
              <w:spacing w:after="120" w:line="360" w:lineRule="auto"/>
              <w:jc w:val="left"/>
              <w:rPr>
                <w:rFonts w:hint="eastAsia" w:ascii="宋体" w:hAnsi="宋体" w:eastAsia="宋体" w:cs="宋体"/>
                <w:sz w:val="24"/>
              </w:rPr>
            </w:pPr>
            <w:r>
              <w:rPr>
                <w:rFonts w:hint="eastAsia" w:ascii="宋体" w:hAnsi="宋体" w:eastAsia="宋体" w:cs="宋体"/>
                <w:sz w:val="24"/>
              </w:rPr>
              <w:t>双旋钮控制定时和温控，精准耐用</w:t>
            </w:r>
          </w:p>
          <w:p w14:paraId="4EFB3682">
            <w:pPr>
              <w:numPr>
                <w:ilvl w:val="0"/>
                <w:numId w:val="60"/>
              </w:numPr>
              <w:tabs>
                <w:tab w:val="center" w:pos="4153"/>
              </w:tabs>
              <w:spacing w:after="120" w:line="360" w:lineRule="auto"/>
              <w:jc w:val="left"/>
              <w:rPr>
                <w:rFonts w:hint="eastAsia" w:ascii="宋体" w:hAnsi="宋体" w:eastAsia="宋体" w:cs="宋体"/>
                <w:sz w:val="24"/>
              </w:rPr>
            </w:pPr>
            <w:r>
              <w:rPr>
                <w:rFonts w:hint="eastAsia" w:ascii="宋体" w:hAnsi="宋体" w:eastAsia="宋体" w:cs="宋体"/>
                <w:sz w:val="24"/>
              </w:rPr>
              <w:t>内置精密温控探针，防止超温</w:t>
            </w:r>
          </w:p>
          <w:p w14:paraId="1FA1BDDE">
            <w:pPr>
              <w:numPr>
                <w:ilvl w:val="0"/>
                <w:numId w:val="60"/>
              </w:numPr>
              <w:spacing w:after="120" w:line="360" w:lineRule="auto"/>
              <w:jc w:val="left"/>
              <w:rPr>
                <w:rFonts w:hint="eastAsia" w:ascii="宋体" w:hAnsi="宋体" w:eastAsia="宋体" w:cs="宋体"/>
                <w:sz w:val="24"/>
              </w:rPr>
            </w:pPr>
            <w:r>
              <w:rPr>
                <w:rFonts w:hint="eastAsia" w:ascii="宋体" w:hAnsi="宋体" w:eastAsia="宋体" w:cs="宋体"/>
                <w:sz w:val="24"/>
              </w:rPr>
              <w:t>层架及类型：深篮架</w:t>
            </w:r>
          </w:p>
          <w:p w14:paraId="07A9E2B5">
            <w:pPr>
              <w:numPr>
                <w:ilvl w:val="0"/>
                <w:numId w:val="60"/>
              </w:numPr>
              <w:spacing w:after="120" w:line="360" w:lineRule="auto"/>
              <w:jc w:val="left"/>
              <w:rPr>
                <w:rFonts w:hint="eastAsia" w:ascii="宋体" w:hAnsi="宋体" w:eastAsia="宋体" w:cs="宋体"/>
                <w:sz w:val="24"/>
              </w:rPr>
            </w:pPr>
            <w:r>
              <w:rPr>
                <w:rFonts w:hint="eastAsia" w:ascii="宋体" w:hAnsi="宋体" w:eastAsia="宋体" w:cs="宋体"/>
                <w:sz w:val="24"/>
              </w:rPr>
              <w:t>篮架可取出设计，作为周转箱使用，底部支撑脚设计，保持底部洁净</w:t>
            </w:r>
          </w:p>
          <w:p w14:paraId="57670F55">
            <w:pPr>
              <w:widowControl/>
              <w:jc w:val="left"/>
              <w:textAlignment w:val="center"/>
              <w:rPr>
                <w:rFonts w:hint="eastAsia" w:ascii="宋体" w:hAnsi="宋体" w:eastAsia="宋体" w:cs="宋体"/>
                <w:color w:val="000000"/>
                <w:sz w:val="24"/>
              </w:rPr>
            </w:pPr>
          </w:p>
        </w:tc>
      </w:tr>
      <w:tr w14:paraId="1761EFA2">
        <w:tblPrEx>
          <w:tblCellMar>
            <w:top w:w="0" w:type="dxa"/>
            <w:left w:w="108" w:type="dxa"/>
            <w:bottom w:w="0" w:type="dxa"/>
            <w:right w:w="108" w:type="dxa"/>
          </w:tblCellMar>
        </w:tblPrEx>
        <w:trPr>
          <w:trHeight w:val="447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BB6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953D">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刀具消毒柜</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4A1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83D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台</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E083">
            <w:pPr>
              <w:numPr>
                <w:ilvl w:val="0"/>
                <w:numId w:val="61"/>
              </w:numPr>
              <w:spacing w:after="120" w:line="360" w:lineRule="auto"/>
              <w:jc w:val="left"/>
              <w:rPr>
                <w:rFonts w:hint="eastAsia" w:ascii="宋体" w:hAnsi="宋体" w:eastAsia="宋体" w:cs="宋体"/>
                <w:sz w:val="24"/>
              </w:rPr>
            </w:pPr>
            <w:r>
              <w:rPr>
                <w:rFonts w:hint="eastAsia" w:ascii="宋体" w:hAnsi="宋体" w:eastAsia="宋体" w:cs="宋体"/>
                <w:sz w:val="24"/>
              </w:rPr>
              <w:t>机器尺寸：≤435*240*610mm，可放置≤10把菜刀</w:t>
            </w:r>
          </w:p>
          <w:p w14:paraId="69F32CBA">
            <w:pPr>
              <w:numPr>
                <w:ilvl w:val="0"/>
                <w:numId w:val="61"/>
              </w:numPr>
              <w:spacing w:after="120" w:line="360" w:lineRule="auto"/>
              <w:jc w:val="left"/>
              <w:rPr>
                <w:rFonts w:hint="eastAsia" w:ascii="宋体" w:hAnsi="宋体" w:eastAsia="宋体" w:cs="宋体"/>
                <w:sz w:val="24"/>
              </w:rPr>
            </w:pPr>
            <w:r>
              <w:rPr>
                <w:rFonts w:hint="eastAsia" w:ascii="宋体" w:hAnsi="宋体" w:eastAsia="宋体" w:cs="宋体"/>
                <w:sz w:val="24"/>
              </w:rPr>
              <w:t>消毒方式采用紫外线+中温热风烘干</w:t>
            </w:r>
          </w:p>
          <w:p w14:paraId="38C01E1A">
            <w:pPr>
              <w:numPr>
                <w:ilvl w:val="0"/>
                <w:numId w:val="61"/>
              </w:numPr>
              <w:spacing w:after="120" w:line="360" w:lineRule="auto"/>
              <w:jc w:val="left"/>
              <w:rPr>
                <w:rFonts w:hint="eastAsia" w:ascii="宋体" w:hAnsi="宋体" w:eastAsia="宋体" w:cs="宋体"/>
                <w:sz w:val="24"/>
              </w:rPr>
            </w:pPr>
            <w:r>
              <w:rPr>
                <w:rFonts w:hint="eastAsia" w:ascii="宋体" w:hAnsi="宋体" w:eastAsia="宋体" w:cs="宋体"/>
                <w:sz w:val="24"/>
              </w:rPr>
              <w:t>透视窗台式设计，外箱及内胆材质选用优质不锈钢</w:t>
            </w:r>
          </w:p>
          <w:p w14:paraId="43BB5104">
            <w:pPr>
              <w:numPr>
                <w:ilvl w:val="0"/>
                <w:numId w:val="61"/>
              </w:numPr>
              <w:spacing w:after="120" w:line="360" w:lineRule="auto"/>
              <w:jc w:val="left"/>
              <w:rPr>
                <w:rFonts w:hint="eastAsia" w:ascii="宋体" w:hAnsi="宋体" w:eastAsia="宋体" w:cs="宋体"/>
                <w:sz w:val="24"/>
              </w:rPr>
            </w:pPr>
            <w:r>
              <w:rPr>
                <w:rFonts w:hint="eastAsia" w:ascii="宋体" w:hAnsi="宋体" w:eastAsia="宋体" w:cs="宋体"/>
                <w:sz w:val="24"/>
              </w:rPr>
              <w:t>工作电压及功率：220V；206W</w:t>
            </w:r>
          </w:p>
          <w:p w14:paraId="02EC9851">
            <w:pPr>
              <w:numPr>
                <w:ilvl w:val="0"/>
                <w:numId w:val="61"/>
              </w:numPr>
              <w:spacing w:after="120" w:line="360" w:lineRule="auto"/>
              <w:jc w:val="left"/>
              <w:rPr>
                <w:rFonts w:hint="eastAsia" w:ascii="宋体" w:hAnsi="宋体" w:eastAsia="宋体" w:cs="宋体"/>
                <w:sz w:val="24"/>
              </w:rPr>
            </w:pPr>
            <w:r>
              <w:rPr>
                <w:rFonts w:hint="eastAsia" w:ascii="宋体" w:hAnsi="宋体" w:eastAsia="宋体" w:cs="宋体"/>
                <w:sz w:val="24"/>
              </w:rPr>
              <w:t>可定时消毒，消毒温度：65℃，定时时间0-90min</w:t>
            </w:r>
          </w:p>
          <w:p w14:paraId="38E5545B">
            <w:pPr>
              <w:numPr>
                <w:ilvl w:val="0"/>
                <w:numId w:val="61"/>
              </w:numPr>
              <w:spacing w:after="120" w:line="360" w:lineRule="auto"/>
              <w:jc w:val="left"/>
              <w:rPr>
                <w:rFonts w:hint="eastAsia" w:ascii="宋体" w:hAnsi="宋体" w:eastAsia="宋体" w:cs="宋体"/>
                <w:sz w:val="24"/>
              </w:rPr>
            </w:pPr>
            <w:r>
              <w:rPr>
                <w:rFonts w:hint="eastAsia" w:ascii="宋体" w:hAnsi="宋体" w:eastAsia="宋体" w:cs="宋体"/>
                <w:sz w:val="24"/>
              </w:rPr>
              <w:t>自带暗锁，安全性高</w:t>
            </w:r>
          </w:p>
          <w:p w14:paraId="26AD7EA5">
            <w:pPr>
              <w:widowControl/>
              <w:jc w:val="left"/>
              <w:textAlignment w:val="center"/>
              <w:rPr>
                <w:rFonts w:hint="eastAsia" w:ascii="宋体" w:hAnsi="宋体" w:eastAsia="宋体" w:cs="宋体"/>
                <w:color w:val="000000"/>
                <w:sz w:val="24"/>
              </w:rPr>
            </w:pPr>
          </w:p>
        </w:tc>
      </w:tr>
      <w:tr w14:paraId="4AF67F77">
        <w:tblPrEx>
          <w:tblCellMar>
            <w:top w:w="0" w:type="dxa"/>
            <w:left w:w="108" w:type="dxa"/>
            <w:bottom w:w="0" w:type="dxa"/>
            <w:right w:w="108" w:type="dxa"/>
          </w:tblCellMar>
        </w:tblPrEx>
        <w:trPr>
          <w:trHeight w:val="936"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A67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33</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A33B">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 xml:space="preserve">双门消毒柜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795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2E6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台</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325B">
            <w:pPr>
              <w:numPr>
                <w:ilvl w:val="0"/>
                <w:numId w:val="62"/>
              </w:numPr>
              <w:spacing w:after="120" w:line="360" w:lineRule="auto"/>
              <w:jc w:val="left"/>
              <w:rPr>
                <w:rFonts w:hint="eastAsia" w:ascii="宋体" w:hAnsi="宋体" w:eastAsia="宋体" w:cs="宋体"/>
                <w:sz w:val="24"/>
              </w:rPr>
            </w:pPr>
            <w:r>
              <w:rPr>
                <w:rFonts w:hint="eastAsia" w:ascii="宋体" w:hAnsi="宋体" w:eastAsia="宋体" w:cs="宋体"/>
                <w:sz w:val="24"/>
              </w:rPr>
              <w:t>容量：≥780L</w:t>
            </w:r>
          </w:p>
          <w:p w14:paraId="1E4C0D1E">
            <w:pPr>
              <w:numPr>
                <w:ilvl w:val="0"/>
                <w:numId w:val="62"/>
              </w:numPr>
              <w:spacing w:after="120" w:line="360" w:lineRule="auto"/>
              <w:jc w:val="left"/>
              <w:rPr>
                <w:rFonts w:hint="eastAsia" w:ascii="宋体" w:hAnsi="宋体" w:eastAsia="宋体" w:cs="宋体"/>
                <w:sz w:val="24"/>
              </w:rPr>
            </w:pPr>
            <w:r>
              <w:rPr>
                <w:rFonts w:hint="eastAsia" w:ascii="宋体" w:hAnsi="宋体" w:eastAsia="宋体" w:cs="宋体"/>
                <w:sz w:val="24"/>
              </w:rPr>
              <w:t>加热方式：采用PTC热循环加热技术，高效除菌及烘干</w:t>
            </w:r>
          </w:p>
          <w:p w14:paraId="5CF8C3BC">
            <w:pPr>
              <w:numPr>
                <w:ilvl w:val="0"/>
                <w:numId w:val="62"/>
              </w:numPr>
              <w:spacing w:after="120" w:line="360" w:lineRule="auto"/>
              <w:jc w:val="left"/>
              <w:rPr>
                <w:rFonts w:hint="eastAsia" w:ascii="宋体" w:hAnsi="宋体" w:eastAsia="宋体" w:cs="宋体"/>
                <w:sz w:val="24"/>
              </w:rPr>
            </w:pPr>
            <w:r>
              <w:rPr>
                <w:rFonts w:hint="eastAsia" w:ascii="宋体" w:hAnsi="宋体" w:eastAsia="宋体" w:cs="宋体"/>
                <w:sz w:val="24"/>
              </w:rPr>
              <w:t>额定温度：125℃</w:t>
            </w:r>
          </w:p>
          <w:p w14:paraId="1A936737">
            <w:pPr>
              <w:numPr>
                <w:ilvl w:val="0"/>
                <w:numId w:val="62"/>
              </w:numPr>
              <w:tabs>
                <w:tab w:val="center" w:pos="4153"/>
              </w:tabs>
              <w:spacing w:after="120" w:line="360" w:lineRule="auto"/>
              <w:jc w:val="left"/>
              <w:rPr>
                <w:rFonts w:hint="eastAsia" w:ascii="宋体" w:hAnsi="宋体" w:eastAsia="宋体" w:cs="宋体"/>
                <w:sz w:val="24"/>
              </w:rPr>
            </w:pPr>
            <w:r>
              <w:rPr>
                <w:rFonts w:hint="eastAsia" w:ascii="宋体" w:hAnsi="宋体" w:eastAsia="宋体" w:cs="宋体"/>
                <w:sz w:val="24"/>
              </w:rPr>
              <w:t>工作电压及功率：220V；1800W</w:t>
            </w:r>
            <w:r>
              <w:rPr>
                <w:rFonts w:hint="eastAsia" w:ascii="宋体" w:hAnsi="宋体" w:eastAsia="宋体" w:cs="宋体"/>
                <w:sz w:val="24"/>
              </w:rPr>
              <w:tab/>
            </w:r>
          </w:p>
          <w:p w14:paraId="2FC7DE6B">
            <w:pPr>
              <w:numPr>
                <w:ilvl w:val="0"/>
                <w:numId w:val="62"/>
              </w:numPr>
              <w:tabs>
                <w:tab w:val="center" w:pos="4153"/>
              </w:tabs>
              <w:spacing w:after="120" w:line="360" w:lineRule="auto"/>
              <w:jc w:val="left"/>
              <w:rPr>
                <w:rFonts w:hint="eastAsia" w:ascii="宋体" w:hAnsi="宋体" w:eastAsia="宋体" w:cs="宋体"/>
                <w:sz w:val="24"/>
              </w:rPr>
            </w:pPr>
            <w:r>
              <w:rPr>
                <w:rFonts w:hint="eastAsia" w:ascii="宋体" w:hAnsi="宋体" w:eastAsia="宋体" w:cs="宋体"/>
                <w:sz w:val="24"/>
              </w:rPr>
              <w:t>面板及内胆均采用优质不锈钢材料</w:t>
            </w:r>
          </w:p>
          <w:p w14:paraId="2BB0FA06">
            <w:pPr>
              <w:numPr>
                <w:ilvl w:val="0"/>
                <w:numId w:val="62"/>
              </w:numPr>
              <w:tabs>
                <w:tab w:val="center" w:pos="4153"/>
              </w:tabs>
              <w:spacing w:after="120" w:line="360" w:lineRule="auto"/>
              <w:jc w:val="left"/>
              <w:rPr>
                <w:rFonts w:hint="eastAsia" w:ascii="宋体" w:hAnsi="宋体" w:eastAsia="宋体" w:cs="宋体"/>
                <w:sz w:val="24"/>
              </w:rPr>
            </w:pPr>
            <w:r>
              <w:rPr>
                <w:rFonts w:hint="eastAsia" w:ascii="宋体" w:hAnsi="宋体" w:eastAsia="宋体" w:cs="宋体"/>
                <w:sz w:val="24"/>
              </w:rPr>
              <w:t>双旋钮控制定时和温控，精准耐用</w:t>
            </w:r>
          </w:p>
          <w:p w14:paraId="050452A9">
            <w:pPr>
              <w:numPr>
                <w:ilvl w:val="0"/>
                <w:numId w:val="62"/>
              </w:numPr>
              <w:tabs>
                <w:tab w:val="center" w:pos="4153"/>
              </w:tabs>
              <w:spacing w:after="120" w:line="360" w:lineRule="auto"/>
              <w:jc w:val="left"/>
              <w:rPr>
                <w:rFonts w:hint="eastAsia" w:ascii="宋体" w:hAnsi="宋体" w:eastAsia="宋体" w:cs="宋体"/>
                <w:sz w:val="24"/>
              </w:rPr>
            </w:pPr>
            <w:r>
              <w:rPr>
                <w:rFonts w:hint="eastAsia" w:ascii="宋体" w:hAnsi="宋体" w:eastAsia="宋体" w:cs="宋体"/>
                <w:sz w:val="24"/>
              </w:rPr>
              <w:t>内置精密温控探针，防止超温</w:t>
            </w:r>
          </w:p>
          <w:p w14:paraId="05517A52">
            <w:pPr>
              <w:numPr>
                <w:ilvl w:val="0"/>
                <w:numId w:val="62"/>
              </w:numPr>
              <w:spacing w:after="120" w:line="360" w:lineRule="auto"/>
              <w:jc w:val="left"/>
              <w:rPr>
                <w:rFonts w:hint="eastAsia" w:ascii="宋体" w:hAnsi="宋体" w:eastAsia="宋体" w:cs="宋体"/>
                <w:sz w:val="24"/>
              </w:rPr>
            </w:pPr>
            <w:r>
              <w:rPr>
                <w:rFonts w:hint="eastAsia" w:ascii="宋体" w:hAnsi="宋体" w:eastAsia="宋体" w:cs="宋体"/>
                <w:sz w:val="24"/>
              </w:rPr>
              <w:t>层架类型：深篮架</w:t>
            </w:r>
          </w:p>
          <w:p w14:paraId="26D58492">
            <w:pPr>
              <w:numPr>
                <w:ilvl w:val="0"/>
                <w:numId w:val="62"/>
              </w:numPr>
              <w:spacing w:after="120" w:line="360" w:lineRule="auto"/>
              <w:jc w:val="left"/>
              <w:rPr>
                <w:rFonts w:hint="eastAsia" w:ascii="宋体" w:hAnsi="宋体" w:eastAsia="宋体" w:cs="宋体"/>
                <w:sz w:val="24"/>
              </w:rPr>
            </w:pPr>
            <w:r>
              <w:rPr>
                <w:rFonts w:hint="eastAsia" w:ascii="宋体" w:hAnsi="宋体" w:eastAsia="宋体" w:cs="宋体"/>
                <w:sz w:val="24"/>
              </w:rPr>
              <w:t>篮架可取出设计，作为周转箱使用，底部支撑脚设计，保持底部洁净</w:t>
            </w:r>
          </w:p>
          <w:p w14:paraId="2CD40C3B">
            <w:pPr>
              <w:widowControl/>
              <w:jc w:val="left"/>
              <w:textAlignment w:val="center"/>
              <w:rPr>
                <w:rFonts w:hint="eastAsia" w:ascii="宋体" w:hAnsi="宋体" w:eastAsia="宋体" w:cs="宋体"/>
                <w:color w:val="000000"/>
                <w:sz w:val="24"/>
              </w:rPr>
            </w:pPr>
          </w:p>
        </w:tc>
      </w:tr>
      <w:tr w14:paraId="0B0CC756">
        <w:tblPrEx>
          <w:tblCellMar>
            <w:top w:w="0" w:type="dxa"/>
            <w:left w:w="108" w:type="dxa"/>
            <w:bottom w:w="0" w:type="dxa"/>
            <w:right w:w="108" w:type="dxa"/>
          </w:tblCellMar>
        </w:tblPrEx>
        <w:trPr>
          <w:trHeight w:val="936"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44E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34</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DF5B">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移动式医用紫外线消毒灯车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4CF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3</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471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台</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58C2">
            <w:pPr>
              <w:rPr>
                <w:rFonts w:hint="eastAsia" w:ascii="宋体" w:hAnsi="宋体" w:eastAsia="宋体" w:cs="宋体"/>
                <w:sz w:val="24"/>
              </w:rPr>
            </w:pPr>
            <w:r>
              <w:rPr>
                <w:rFonts w:hint="eastAsia" w:ascii="宋体" w:hAnsi="宋体" w:eastAsia="宋体" w:cs="宋体"/>
                <w:sz w:val="24"/>
              </w:rPr>
              <w:t xml:space="preserve">1.灯臂长度：≤915mm；                  </w:t>
            </w:r>
          </w:p>
          <w:p w14:paraId="750B8BD3">
            <w:pPr>
              <w:rPr>
                <w:rFonts w:hint="eastAsia" w:ascii="宋体" w:hAnsi="宋体" w:eastAsia="宋体" w:cs="宋体"/>
                <w:sz w:val="24"/>
              </w:rPr>
            </w:pPr>
            <w:r>
              <w:rPr>
                <w:rFonts w:hint="eastAsia" w:ascii="宋体" w:hAnsi="宋体" w:eastAsia="宋体" w:cs="宋体"/>
                <w:sz w:val="24"/>
              </w:rPr>
              <w:t xml:space="preserve">2.灯臂调节角度：-90°～+90°；       </w:t>
            </w:r>
          </w:p>
          <w:p w14:paraId="2A55E0F7">
            <w:pPr>
              <w:rPr>
                <w:rFonts w:hint="eastAsia" w:ascii="宋体" w:hAnsi="宋体" w:eastAsia="宋体" w:cs="宋体"/>
                <w:sz w:val="24"/>
              </w:rPr>
            </w:pPr>
            <w:r>
              <w:rPr>
                <w:rFonts w:hint="eastAsia" w:ascii="宋体" w:hAnsi="宋体" w:eastAsia="宋体" w:cs="宋体"/>
                <w:sz w:val="24"/>
              </w:rPr>
              <w:t xml:space="preserve">3.折合后离地高度：≤1060mm；            </w:t>
            </w:r>
          </w:p>
          <w:p w14:paraId="1FB5A6B0">
            <w:pPr>
              <w:rPr>
                <w:rFonts w:hint="eastAsia" w:ascii="宋体" w:hAnsi="宋体" w:eastAsia="宋体" w:cs="宋体"/>
                <w:sz w:val="24"/>
              </w:rPr>
            </w:pPr>
            <w:r>
              <w:rPr>
                <w:rFonts w:hint="eastAsia" w:ascii="宋体" w:hAnsi="宋体" w:eastAsia="宋体" w:cs="宋体"/>
                <w:sz w:val="24"/>
              </w:rPr>
              <w:t xml:space="preserve">4.适用两只灯管，功率：2*30W；               </w:t>
            </w:r>
          </w:p>
          <w:p w14:paraId="3A7FB93A">
            <w:pPr>
              <w:rPr>
                <w:rFonts w:hint="eastAsia" w:ascii="宋体" w:hAnsi="宋体" w:eastAsia="宋体" w:cs="宋体"/>
                <w:sz w:val="24"/>
              </w:rPr>
            </w:pPr>
            <w:r>
              <w:rPr>
                <w:rFonts w:hint="eastAsia" w:ascii="宋体" w:hAnsi="宋体" w:eastAsia="宋体" w:cs="宋体"/>
                <w:sz w:val="24"/>
              </w:rPr>
              <w:t xml:space="preserve">5.定时器：0-120分钟                    </w:t>
            </w:r>
          </w:p>
          <w:p w14:paraId="0C0209A3">
            <w:pPr>
              <w:rPr>
                <w:rFonts w:hint="eastAsia" w:ascii="宋体" w:hAnsi="宋体" w:eastAsia="宋体" w:cs="宋体"/>
                <w:sz w:val="24"/>
              </w:rPr>
            </w:pPr>
            <w:r>
              <w:rPr>
                <w:rFonts w:hint="eastAsia" w:ascii="宋体" w:hAnsi="宋体" w:eastAsia="宋体" w:cs="宋体"/>
                <w:sz w:val="24"/>
              </w:rPr>
              <w:t xml:space="preserve">6.紫外辐射峰值播出为≥253.7mm；          </w:t>
            </w:r>
          </w:p>
          <w:p w14:paraId="02F8A7D2">
            <w:pPr>
              <w:rPr>
                <w:rFonts w:hint="eastAsia" w:ascii="宋体" w:hAnsi="宋体" w:eastAsia="宋体" w:cs="宋体"/>
                <w:sz w:val="24"/>
              </w:rPr>
            </w:pPr>
            <w:r>
              <w:rPr>
                <w:rFonts w:hint="eastAsia" w:ascii="宋体" w:hAnsi="宋体" w:eastAsia="宋体" w:cs="宋体"/>
                <w:sz w:val="24"/>
              </w:rPr>
              <w:t xml:space="preserve">7.紫外线强度≥180UW/CM2             </w:t>
            </w:r>
          </w:p>
          <w:p w14:paraId="020ACC74">
            <w:pPr>
              <w:rPr>
                <w:rFonts w:hint="eastAsia" w:ascii="宋体" w:hAnsi="宋体" w:eastAsia="宋体" w:cs="宋体"/>
                <w:sz w:val="24"/>
              </w:rPr>
            </w:pPr>
            <w:r>
              <w:rPr>
                <w:rFonts w:hint="eastAsia" w:ascii="宋体" w:hAnsi="宋体" w:eastAsia="宋体" w:cs="宋体"/>
                <w:sz w:val="24"/>
              </w:rPr>
              <w:t xml:space="preserve">8.输入功率：160VA；                    </w:t>
            </w:r>
          </w:p>
          <w:p w14:paraId="532178ED">
            <w:pPr>
              <w:rPr>
                <w:rFonts w:hint="eastAsia" w:ascii="宋体" w:hAnsi="宋体" w:eastAsia="宋体" w:cs="宋体"/>
                <w:sz w:val="24"/>
              </w:rPr>
            </w:pPr>
            <w:r>
              <w:rPr>
                <w:rFonts w:hint="eastAsia" w:ascii="宋体" w:hAnsi="宋体" w:eastAsia="宋体" w:cs="宋体"/>
                <w:sz w:val="24"/>
              </w:rPr>
              <w:t xml:space="preserve">9.安全分类：B型普通设备；              </w:t>
            </w:r>
          </w:p>
          <w:p w14:paraId="5147FF76">
            <w:pPr>
              <w:rPr>
                <w:rFonts w:hint="eastAsia" w:ascii="宋体" w:hAnsi="宋体" w:eastAsia="宋体" w:cs="宋体"/>
                <w:sz w:val="24"/>
              </w:rPr>
            </w:pPr>
            <w:r>
              <w:rPr>
                <w:rFonts w:hint="eastAsia" w:ascii="宋体" w:hAnsi="宋体" w:eastAsia="宋体" w:cs="宋体"/>
                <w:sz w:val="24"/>
              </w:rPr>
              <w:t xml:space="preserve">10.熔断器规格型号：Model:RF-20      </w:t>
            </w:r>
          </w:p>
          <w:p w14:paraId="6229E3B4">
            <w:pPr>
              <w:rPr>
                <w:rFonts w:hint="eastAsia" w:ascii="宋体" w:hAnsi="宋体" w:eastAsia="宋体" w:cs="宋体"/>
                <w:sz w:val="24"/>
              </w:rPr>
            </w:pPr>
            <w:r>
              <w:rPr>
                <w:rFonts w:hint="eastAsia" w:ascii="宋体" w:hAnsi="宋体" w:eastAsia="宋体" w:cs="宋体"/>
                <w:sz w:val="24"/>
              </w:rPr>
              <w:t xml:space="preserve">11.Type:5*20mm2A2(个)；                </w:t>
            </w:r>
          </w:p>
          <w:p w14:paraId="7815D98C">
            <w:pPr>
              <w:rPr>
                <w:rFonts w:hint="eastAsia" w:ascii="宋体" w:hAnsi="宋体" w:eastAsia="宋体" w:cs="宋体"/>
                <w:sz w:val="24"/>
              </w:rPr>
            </w:pPr>
            <w:r>
              <w:rPr>
                <w:rFonts w:hint="eastAsia" w:ascii="宋体" w:hAnsi="宋体" w:eastAsia="宋体" w:cs="宋体"/>
                <w:sz w:val="24"/>
              </w:rPr>
              <w:t xml:space="preserve">12.杀菌灯车的紫外线杀菌灯应具有良好的启动特性，在198V供电下10秒钟内完全启动并保持点燃；                            </w:t>
            </w:r>
          </w:p>
          <w:p w14:paraId="43B87CC1">
            <w:pPr>
              <w:rPr>
                <w:rFonts w:hint="eastAsia" w:ascii="宋体" w:hAnsi="宋体" w:eastAsia="宋体" w:cs="宋体"/>
                <w:sz w:val="24"/>
              </w:rPr>
            </w:pPr>
            <w:r>
              <w:rPr>
                <w:rFonts w:hint="eastAsia" w:ascii="宋体" w:hAnsi="宋体" w:eastAsia="宋体" w:cs="宋体"/>
                <w:sz w:val="24"/>
              </w:rPr>
              <w:t xml:space="preserve">13.具有专利号任意调节角度按钮，尼龙内齿设计，一键锁住更稳固；                          铝合金灯臂，紫外线反射更强；         </w:t>
            </w:r>
          </w:p>
          <w:p w14:paraId="7DFF3AD7">
            <w:pPr>
              <w:rPr>
                <w:rFonts w:hint="eastAsia" w:ascii="宋体" w:hAnsi="宋体" w:eastAsia="宋体" w:cs="宋体"/>
                <w:sz w:val="24"/>
              </w:rPr>
            </w:pPr>
            <w:r>
              <w:rPr>
                <w:rFonts w:hint="eastAsia" w:ascii="宋体" w:hAnsi="宋体" w:eastAsia="宋体" w:cs="宋体"/>
                <w:sz w:val="24"/>
              </w:rPr>
              <w:t xml:space="preserve">14.一体成型钢质底座，便于安装，稳定性好 </w:t>
            </w:r>
          </w:p>
          <w:p w14:paraId="083F0A5C">
            <w:pPr>
              <w:rPr>
                <w:rFonts w:hint="eastAsia" w:ascii="宋体" w:hAnsi="宋体" w:eastAsia="宋体" w:cs="宋体"/>
                <w:sz w:val="24"/>
              </w:rPr>
            </w:pPr>
            <w:r>
              <w:rPr>
                <w:rFonts w:hint="eastAsia" w:ascii="宋体" w:hAnsi="宋体" w:eastAsia="宋体" w:cs="宋体"/>
                <w:sz w:val="24"/>
              </w:rPr>
              <w:t xml:space="preserve">15.静音万向轮：灵活转动，方便自如；      </w:t>
            </w:r>
          </w:p>
          <w:p w14:paraId="4F16B096">
            <w:pPr>
              <w:rPr>
                <w:rFonts w:hint="eastAsia" w:ascii="宋体" w:hAnsi="宋体" w:eastAsia="宋体" w:cs="宋体"/>
                <w:sz w:val="24"/>
              </w:rPr>
            </w:pPr>
            <w:r>
              <w:rPr>
                <w:rFonts w:hint="eastAsia" w:ascii="宋体" w:hAnsi="宋体" w:eastAsia="宋体" w:cs="宋体"/>
                <w:sz w:val="24"/>
              </w:rPr>
              <w:t xml:space="preserve">16.手推杆：方便耐用；                  </w:t>
            </w:r>
          </w:p>
          <w:p w14:paraId="53A7662F">
            <w:pPr>
              <w:rPr>
                <w:rFonts w:hint="eastAsia" w:ascii="宋体" w:hAnsi="宋体" w:eastAsia="宋体" w:cs="宋体"/>
                <w:sz w:val="24"/>
              </w:rPr>
            </w:pPr>
            <w:r>
              <w:rPr>
                <w:rFonts w:hint="eastAsia" w:ascii="宋体" w:hAnsi="宋体" w:eastAsia="宋体" w:cs="宋体"/>
                <w:sz w:val="24"/>
              </w:rPr>
              <w:t xml:space="preserve">17.舱门开关：简单易用，保护灯管；       </w:t>
            </w:r>
          </w:p>
          <w:p w14:paraId="4E680DF6">
            <w:pPr>
              <w:rPr>
                <w:rFonts w:hint="eastAsia" w:ascii="宋体" w:hAnsi="宋体" w:eastAsia="宋体" w:cs="宋体"/>
                <w:sz w:val="24"/>
              </w:rPr>
            </w:pPr>
            <w:r>
              <w:rPr>
                <w:rFonts w:hint="eastAsia" w:ascii="宋体" w:hAnsi="宋体" w:eastAsia="宋体" w:cs="宋体"/>
                <w:sz w:val="24"/>
              </w:rPr>
              <w:t xml:space="preserve">18.便捷操作台：简单易用，灵活使用。       </w:t>
            </w:r>
          </w:p>
          <w:p w14:paraId="49437BD9">
            <w:pPr>
              <w:rPr>
                <w:rFonts w:hint="eastAsia" w:ascii="宋体" w:hAnsi="宋体" w:eastAsia="宋体" w:cs="宋体"/>
                <w:b/>
                <w:bCs/>
                <w:sz w:val="24"/>
              </w:rPr>
            </w:pPr>
            <w:r>
              <w:rPr>
                <w:rFonts w:hint="eastAsia" w:ascii="宋体" w:hAnsi="宋体" w:eastAsia="宋体" w:cs="宋体"/>
                <w:sz w:val="24"/>
              </w:rPr>
              <w:t>19.(选配）遥控带定时可穿墙，距离≈30米</w:t>
            </w:r>
          </w:p>
          <w:p w14:paraId="676DAECE">
            <w:pPr>
              <w:widowControl/>
              <w:jc w:val="left"/>
              <w:textAlignment w:val="center"/>
              <w:rPr>
                <w:rFonts w:hint="eastAsia" w:ascii="宋体" w:hAnsi="宋体" w:eastAsia="宋体" w:cs="宋体"/>
                <w:color w:val="000000"/>
                <w:sz w:val="24"/>
              </w:rPr>
            </w:pPr>
          </w:p>
        </w:tc>
      </w:tr>
      <w:tr w14:paraId="5EE52621">
        <w:tblPrEx>
          <w:tblCellMar>
            <w:top w:w="0" w:type="dxa"/>
            <w:left w:w="108" w:type="dxa"/>
            <w:bottom w:w="0" w:type="dxa"/>
            <w:right w:w="108" w:type="dxa"/>
          </w:tblCellMar>
        </w:tblPrEx>
        <w:trPr>
          <w:trHeight w:val="150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036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BB18">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 xml:space="preserve">医用紫外线消毒灯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F9D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40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929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个</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DE2A">
            <w:pPr>
              <w:rPr>
                <w:rFonts w:hint="eastAsia" w:ascii="宋体" w:hAnsi="宋体" w:eastAsia="宋体" w:cs="宋体"/>
                <w:sz w:val="24"/>
              </w:rPr>
            </w:pPr>
            <w:r>
              <w:rPr>
                <w:rFonts w:hint="eastAsia" w:ascii="宋体" w:hAnsi="宋体" w:eastAsia="宋体" w:cs="宋体"/>
                <w:sz w:val="24"/>
              </w:rPr>
              <w:t>≤30W有臭氧 功率：2*30W</w:t>
            </w:r>
          </w:p>
          <w:p w14:paraId="2569748E">
            <w:pPr>
              <w:widowControl/>
              <w:jc w:val="left"/>
              <w:textAlignment w:val="center"/>
              <w:rPr>
                <w:rFonts w:hint="eastAsia" w:ascii="宋体" w:hAnsi="宋体" w:eastAsia="宋体" w:cs="宋体"/>
                <w:color w:val="000000"/>
                <w:sz w:val="24"/>
              </w:rPr>
            </w:pPr>
          </w:p>
        </w:tc>
      </w:tr>
      <w:tr w14:paraId="27578B5D">
        <w:tblPrEx>
          <w:tblCellMar>
            <w:top w:w="0" w:type="dxa"/>
            <w:left w:w="108" w:type="dxa"/>
            <w:bottom w:w="0" w:type="dxa"/>
            <w:right w:w="108" w:type="dxa"/>
          </w:tblCellMar>
        </w:tblPrEx>
        <w:trPr>
          <w:trHeight w:val="11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110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36</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98CF">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筷子消毒机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158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7E0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个</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9F6C">
            <w:pPr>
              <w:numPr>
                <w:ilvl w:val="0"/>
                <w:numId w:val="63"/>
              </w:numPr>
              <w:spacing w:after="120" w:line="360" w:lineRule="auto"/>
              <w:jc w:val="left"/>
              <w:rPr>
                <w:rFonts w:hint="eastAsia" w:ascii="宋体" w:hAnsi="宋体" w:eastAsia="宋体" w:cs="宋体"/>
                <w:sz w:val="24"/>
              </w:rPr>
            </w:pPr>
            <w:r>
              <w:rPr>
                <w:rFonts w:hint="eastAsia" w:ascii="宋体" w:hAnsi="宋体" w:eastAsia="宋体" w:cs="宋体"/>
                <w:sz w:val="24"/>
              </w:rPr>
              <w:t>整机尺寸：≥240*315*220mm</w:t>
            </w:r>
          </w:p>
          <w:p w14:paraId="0E5F8639">
            <w:pPr>
              <w:numPr>
                <w:ilvl w:val="0"/>
                <w:numId w:val="63"/>
              </w:numPr>
              <w:spacing w:after="120" w:line="360" w:lineRule="auto"/>
              <w:jc w:val="left"/>
              <w:rPr>
                <w:rFonts w:hint="eastAsia" w:ascii="宋体" w:hAnsi="宋体" w:eastAsia="宋体" w:cs="宋体"/>
                <w:sz w:val="24"/>
              </w:rPr>
            </w:pPr>
            <w:r>
              <w:rPr>
                <w:rFonts w:hint="eastAsia" w:ascii="宋体" w:hAnsi="宋体" w:eastAsia="宋体" w:cs="宋体"/>
                <w:sz w:val="24"/>
              </w:rPr>
              <w:t>产品重量：≥4KG</w:t>
            </w:r>
          </w:p>
          <w:p w14:paraId="4FC94AA2">
            <w:pPr>
              <w:numPr>
                <w:ilvl w:val="0"/>
                <w:numId w:val="63"/>
              </w:numPr>
              <w:spacing w:after="120" w:line="360" w:lineRule="auto"/>
              <w:jc w:val="left"/>
              <w:rPr>
                <w:rFonts w:hint="eastAsia" w:ascii="宋体" w:hAnsi="宋体" w:eastAsia="宋体" w:cs="宋体"/>
                <w:sz w:val="24"/>
              </w:rPr>
            </w:pPr>
            <w:r>
              <w:rPr>
                <w:rFonts w:hint="eastAsia" w:ascii="宋体" w:hAnsi="宋体" w:eastAsia="宋体" w:cs="宋体"/>
                <w:sz w:val="24"/>
              </w:rPr>
              <w:t>最大容量：≤200双筷子</w:t>
            </w:r>
          </w:p>
          <w:p w14:paraId="211F7C1F">
            <w:pPr>
              <w:numPr>
                <w:ilvl w:val="0"/>
                <w:numId w:val="63"/>
              </w:numPr>
              <w:spacing w:after="120" w:line="360" w:lineRule="auto"/>
              <w:jc w:val="left"/>
              <w:rPr>
                <w:rFonts w:hint="eastAsia" w:ascii="宋体" w:hAnsi="宋体" w:eastAsia="宋体" w:cs="宋体"/>
                <w:sz w:val="24"/>
              </w:rPr>
            </w:pPr>
            <w:r>
              <w:rPr>
                <w:rFonts w:hint="eastAsia" w:ascii="宋体" w:hAnsi="宋体" w:eastAsia="宋体" w:cs="宋体"/>
                <w:sz w:val="24"/>
              </w:rPr>
              <w:t>面板及内胆材质选用优质不锈钢</w:t>
            </w:r>
          </w:p>
          <w:p w14:paraId="7BACA535">
            <w:pPr>
              <w:numPr>
                <w:ilvl w:val="0"/>
                <w:numId w:val="63"/>
              </w:numPr>
              <w:spacing w:after="120" w:line="360" w:lineRule="auto"/>
              <w:jc w:val="left"/>
              <w:rPr>
                <w:rFonts w:hint="eastAsia" w:ascii="宋体" w:hAnsi="宋体" w:eastAsia="宋体" w:cs="宋体"/>
                <w:sz w:val="24"/>
              </w:rPr>
            </w:pPr>
            <w:r>
              <w:rPr>
                <w:rFonts w:hint="eastAsia" w:ascii="宋体" w:hAnsi="宋体" w:eastAsia="宋体" w:cs="宋体"/>
                <w:sz w:val="24"/>
              </w:rPr>
              <w:t>消毒方式为臭氧，并具备中温烘干功能</w:t>
            </w:r>
          </w:p>
          <w:p w14:paraId="7F89869D">
            <w:pPr>
              <w:rPr>
                <w:rFonts w:hint="eastAsia" w:ascii="宋体" w:hAnsi="宋体" w:eastAsia="宋体" w:cs="宋体"/>
                <w:color w:val="000000"/>
                <w:sz w:val="24"/>
              </w:rPr>
            </w:pPr>
            <w:r>
              <w:rPr>
                <w:rFonts w:hint="eastAsia" w:ascii="宋体" w:hAnsi="宋体" w:eastAsia="宋体" w:cs="宋体"/>
                <w:sz w:val="24"/>
              </w:rPr>
              <w:t>工作电压及功率：220V；80W</w:t>
            </w:r>
          </w:p>
        </w:tc>
      </w:tr>
      <w:tr w14:paraId="7950CE1B">
        <w:tblPrEx>
          <w:tblCellMar>
            <w:top w:w="0" w:type="dxa"/>
            <w:left w:w="108" w:type="dxa"/>
            <w:bottom w:w="0" w:type="dxa"/>
            <w:right w:w="108" w:type="dxa"/>
          </w:tblCellMar>
        </w:tblPrEx>
        <w:trPr>
          <w:trHeight w:val="3744"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EB1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37</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3279">
            <w:pPr>
              <w:widowControl/>
              <w:jc w:val="left"/>
              <w:textAlignment w:val="center"/>
              <w:rPr>
                <w:rFonts w:hint="eastAsia" w:ascii="宋体" w:hAnsi="宋体" w:eastAsia="宋体" w:cs="宋体"/>
                <w:color w:val="000000"/>
                <w:sz w:val="24"/>
              </w:rPr>
            </w:pPr>
            <w:r>
              <w:rPr>
                <w:rFonts w:hint="eastAsia" w:ascii="宋体" w:hAnsi="宋体" w:eastAsia="宋体" w:cs="宋体"/>
                <w:b/>
                <w:bCs/>
                <w:sz w:val="24"/>
              </w:rPr>
              <w:t xml:space="preserve">移动式医用紫外线消毒灯车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828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542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台</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BBEF">
            <w:pPr>
              <w:rPr>
                <w:rFonts w:hint="eastAsia" w:ascii="宋体" w:hAnsi="宋体" w:eastAsia="宋体" w:cs="宋体"/>
                <w:sz w:val="24"/>
              </w:rPr>
            </w:pPr>
            <w:r>
              <w:rPr>
                <w:rFonts w:hint="eastAsia" w:ascii="宋体" w:hAnsi="宋体" w:eastAsia="宋体" w:cs="宋体"/>
                <w:color w:val="000000"/>
                <w:kern w:val="0"/>
                <w:sz w:val="24"/>
                <w:lang w:bidi="ar"/>
              </w:rPr>
              <w:t xml:space="preserve">    </w:t>
            </w:r>
            <w:r>
              <w:rPr>
                <w:rFonts w:hint="eastAsia" w:ascii="宋体" w:hAnsi="宋体" w:eastAsia="宋体" w:cs="宋体"/>
                <w:sz w:val="24"/>
              </w:rPr>
              <w:t xml:space="preserve">1.灯臂长度：≤915mm；                  </w:t>
            </w:r>
          </w:p>
          <w:p w14:paraId="0135C7FA">
            <w:pPr>
              <w:rPr>
                <w:rFonts w:hint="eastAsia" w:ascii="宋体" w:hAnsi="宋体" w:eastAsia="宋体" w:cs="宋体"/>
                <w:sz w:val="24"/>
              </w:rPr>
            </w:pPr>
            <w:r>
              <w:rPr>
                <w:rFonts w:hint="eastAsia" w:ascii="宋体" w:hAnsi="宋体" w:eastAsia="宋体" w:cs="宋体"/>
                <w:sz w:val="24"/>
              </w:rPr>
              <w:t xml:space="preserve">2.灯臂调节角度：-90°～+90°；       </w:t>
            </w:r>
          </w:p>
          <w:p w14:paraId="7B104136">
            <w:pPr>
              <w:rPr>
                <w:rFonts w:hint="eastAsia" w:ascii="宋体" w:hAnsi="宋体" w:eastAsia="宋体" w:cs="宋体"/>
                <w:sz w:val="24"/>
              </w:rPr>
            </w:pPr>
            <w:r>
              <w:rPr>
                <w:rFonts w:hint="eastAsia" w:ascii="宋体" w:hAnsi="宋体" w:eastAsia="宋体" w:cs="宋体"/>
                <w:sz w:val="24"/>
              </w:rPr>
              <w:t xml:space="preserve">3.折合后离地高度：≤1060mm；            </w:t>
            </w:r>
          </w:p>
          <w:p w14:paraId="720CCECA">
            <w:pPr>
              <w:rPr>
                <w:rFonts w:hint="eastAsia" w:ascii="宋体" w:hAnsi="宋体" w:eastAsia="宋体" w:cs="宋体"/>
                <w:sz w:val="24"/>
              </w:rPr>
            </w:pPr>
            <w:r>
              <w:rPr>
                <w:rFonts w:hint="eastAsia" w:ascii="宋体" w:hAnsi="宋体" w:eastAsia="宋体" w:cs="宋体"/>
                <w:sz w:val="24"/>
              </w:rPr>
              <w:t xml:space="preserve">4.适用两只灯管，功率：2*30W；               </w:t>
            </w:r>
          </w:p>
          <w:p w14:paraId="1C66DF19">
            <w:pPr>
              <w:rPr>
                <w:rFonts w:hint="eastAsia" w:ascii="宋体" w:hAnsi="宋体" w:eastAsia="宋体" w:cs="宋体"/>
                <w:sz w:val="24"/>
              </w:rPr>
            </w:pPr>
            <w:r>
              <w:rPr>
                <w:rFonts w:hint="eastAsia" w:ascii="宋体" w:hAnsi="宋体" w:eastAsia="宋体" w:cs="宋体"/>
                <w:sz w:val="24"/>
              </w:rPr>
              <w:t xml:space="preserve">5.定时器：0-120分钟                    </w:t>
            </w:r>
          </w:p>
          <w:p w14:paraId="2D948F2B">
            <w:pPr>
              <w:rPr>
                <w:rFonts w:hint="eastAsia" w:ascii="宋体" w:hAnsi="宋体" w:eastAsia="宋体" w:cs="宋体"/>
                <w:sz w:val="24"/>
              </w:rPr>
            </w:pPr>
            <w:r>
              <w:rPr>
                <w:rFonts w:hint="eastAsia" w:ascii="宋体" w:hAnsi="宋体" w:eastAsia="宋体" w:cs="宋体"/>
                <w:sz w:val="24"/>
              </w:rPr>
              <w:t xml:space="preserve">6.紫外辐射峰值达国家标准         </w:t>
            </w:r>
          </w:p>
          <w:p w14:paraId="6B8B54D2">
            <w:pPr>
              <w:rPr>
                <w:rFonts w:hint="eastAsia" w:ascii="宋体" w:hAnsi="宋体" w:eastAsia="宋体" w:cs="宋体"/>
                <w:sz w:val="24"/>
              </w:rPr>
            </w:pPr>
            <w:r>
              <w:rPr>
                <w:rFonts w:hint="eastAsia" w:ascii="宋体" w:hAnsi="宋体" w:eastAsia="宋体" w:cs="宋体"/>
                <w:sz w:val="24"/>
              </w:rPr>
              <w:t xml:space="preserve">7.紫外线强度大于180UW/CM2             </w:t>
            </w:r>
          </w:p>
          <w:p w14:paraId="3D7F739B">
            <w:pPr>
              <w:rPr>
                <w:rFonts w:hint="eastAsia" w:ascii="宋体" w:hAnsi="宋体" w:eastAsia="宋体" w:cs="宋体"/>
                <w:sz w:val="24"/>
              </w:rPr>
            </w:pPr>
            <w:r>
              <w:rPr>
                <w:rFonts w:hint="eastAsia" w:ascii="宋体" w:hAnsi="宋体" w:eastAsia="宋体" w:cs="宋体"/>
                <w:sz w:val="24"/>
              </w:rPr>
              <w:t xml:space="preserve">8.输入功率：160VA；                    </w:t>
            </w:r>
          </w:p>
          <w:p w14:paraId="09F44739">
            <w:pPr>
              <w:rPr>
                <w:rFonts w:hint="eastAsia" w:ascii="宋体" w:hAnsi="宋体" w:eastAsia="宋体" w:cs="宋体"/>
                <w:sz w:val="24"/>
              </w:rPr>
            </w:pPr>
            <w:r>
              <w:rPr>
                <w:rFonts w:hint="eastAsia" w:ascii="宋体" w:hAnsi="宋体" w:eastAsia="宋体" w:cs="宋体"/>
                <w:sz w:val="24"/>
              </w:rPr>
              <w:t xml:space="preserve">9.安全分类：B型普通设备；              </w:t>
            </w:r>
          </w:p>
          <w:p w14:paraId="08825688">
            <w:pPr>
              <w:rPr>
                <w:rFonts w:hint="eastAsia" w:ascii="宋体" w:hAnsi="宋体" w:eastAsia="宋体" w:cs="宋体"/>
                <w:sz w:val="24"/>
              </w:rPr>
            </w:pPr>
            <w:r>
              <w:rPr>
                <w:rFonts w:hint="eastAsia" w:ascii="宋体" w:hAnsi="宋体" w:eastAsia="宋体" w:cs="宋体"/>
                <w:sz w:val="24"/>
              </w:rPr>
              <w:t xml:space="preserve">10.熔断器：正确配置    </w:t>
            </w:r>
          </w:p>
          <w:p w14:paraId="0DD5802D">
            <w:pPr>
              <w:rPr>
                <w:rFonts w:hint="eastAsia" w:ascii="宋体" w:hAnsi="宋体" w:eastAsia="宋体" w:cs="宋体"/>
                <w:sz w:val="24"/>
              </w:rPr>
            </w:pPr>
            <w:r>
              <w:rPr>
                <w:rFonts w:hint="eastAsia" w:ascii="宋体" w:hAnsi="宋体" w:eastAsia="宋体" w:cs="宋体"/>
                <w:sz w:val="24"/>
              </w:rPr>
              <w:t xml:space="preserve">11.Type:5*20mm2A2(个)；                </w:t>
            </w:r>
          </w:p>
          <w:p w14:paraId="2ECE4667">
            <w:pPr>
              <w:rPr>
                <w:rFonts w:hint="eastAsia" w:ascii="宋体" w:hAnsi="宋体" w:eastAsia="宋体" w:cs="宋体"/>
                <w:sz w:val="24"/>
              </w:rPr>
            </w:pPr>
            <w:r>
              <w:rPr>
                <w:rFonts w:hint="eastAsia" w:ascii="宋体" w:hAnsi="宋体" w:eastAsia="宋体" w:cs="宋体"/>
                <w:sz w:val="24"/>
              </w:rPr>
              <w:t xml:space="preserve">12.杀菌灯车的紫外线杀菌灯应具有良好的启动特性，在198V供电下10秒钟内完全启动并保持点燃；                            </w:t>
            </w:r>
          </w:p>
          <w:p w14:paraId="60B93154">
            <w:pPr>
              <w:rPr>
                <w:rFonts w:hint="eastAsia" w:ascii="宋体" w:hAnsi="宋体" w:eastAsia="宋体" w:cs="宋体"/>
                <w:sz w:val="24"/>
              </w:rPr>
            </w:pPr>
            <w:r>
              <w:rPr>
                <w:rFonts w:hint="eastAsia" w:ascii="宋体" w:hAnsi="宋体" w:eastAsia="宋体" w:cs="宋体"/>
                <w:sz w:val="24"/>
              </w:rPr>
              <w:t xml:space="preserve">13.具有专利号任意调节角度按钮，尼龙内齿设计，一键锁住更稳固；                          铝合金灯臂，紫外线反射更强；         </w:t>
            </w:r>
          </w:p>
          <w:p w14:paraId="6226F67F">
            <w:pPr>
              <w:rPr>
                <w:rFonts w:hint="eastAsia" w:ascii="宋体" w:hAnsi="宋体" w:eastAsia="宋体" w:cs="宋体"/>
                <w:sz w:val="24"/>
              </w:rPr>
            </w:pPr>
            <w:r>
              <w:rPr>
                <w:rFonts w:hint="eastAsia" w:ascii="宋体" w:hAnsi="宋体" w:eastAsia="宋体" w:cs="宋体"/>
                <w:sz w:val="24"/>
              </w:rPr>
              <w:t xml:space="preserve">14.一体成型钢质底座，便于安装，稳定性好 </w:t>
            </w:r>
          </w:p>
          <w:p w14:paraId="7E18AE4C">
            <w:pPr>
              <w:rPr>
                <w:rFonts w:hint="eastAsia" w:ascii="宋体" w:hAnsi="宋体" w:eastAsia="宋体" w:cs="宋体"/>
                <w:sz w:val="24"/>
              </w:rPr>
            </w:pPr>
            <w:r>
              <w:rPr>
                <w:rFonts w:hint="eastAsia" w:ascii="宋体" w:hAnsi="宋体" w:eastAsia="宋体" w:cs="宋体"/>
                <w:sz w:val="24"/>
              </w:rPr>
              <w:t xml:space="preserve">15.静音万向轮：灵活转动，方便自如；      </w:t>
            </w:r>
          </w:p>
          <w:p w14:paraId="5BA29075">
            <w:pPr>
              <w:rPr>
                <w:rFonts w:hint="eastAsia" w:ascii="宋体" w:hAnsi="宋体" w:eastAsia="宋体" w:cs="宋体"/>
                <w:sz w:val="24"/>
              </w:rPr>
            </w:pPr>
            <w:r>
              <w:rPr>
                <w:rFonts w:hint="eastAsia" w:ascii="宋体" w:hAnsi="宋体" w:eastAsia="宋体" w:cs="宋体"/>
                <w:sz w:val="24"/>
              </w:rPr>
              <w:t xml:space="preserve">16.手推杆：方便耐用；                  </w:t>
            </w:r>
          </w:p>
          <w:p w14:paraId="2991F1CB">
            <w:pPr>
              <w:rPr>
                <w:rFonts w:hint="eastAsia" w:ascii="宋体" w:hAnsi="宋体" w:eastAsia="宋体" w:cs="宋体"/>
                <w:sz w:val="24"/>
              </w:rPr>
            </w:pPr>
            <w:r>
              <w:rPr>
                <w:rFonts w:hint="eastAsia" w:ascii="宋体" w:hAnsi="宋体" w:eastAsia="宋体" w:cs="宋体"/>
                <w:sz w:val="24"/>
              </w:rPr>
              <w:t xml:space="preserve">17.舱门开关：简单易用，保护灯管；       </w:t>
            </w:r>
          </w:p>
          <w:p w14:paraId="12E69D03">
            <w:pPr>
              <w:rPr>
                <w:rFonts w:hint="eastAsia" w:ascii="宋体" w:hAnsi="宋体" w:eastAsia="宋体" w:cs="宋体"/>
                <w:sz w:val="24"/>
              </w:rPr>
            </w:pPr>
            <w:r>
              <w:rPr>
                <w:rFonts w:hint="eastAsia" w:ascii="宋体" w:hAnsi="宋体" w:eastAsia="宋体" w:cs="宋体"/>
                <w:sz w:val="24"/>
              </w:rPr>
              <w:t xml:space="preserve">18.便捷操作台：简单易用，灵活使用。       </w:t>
            </w:r>
          </w:p>
          <w:p w14:paraId="32B83512">
            <w:pPr>
              <w:rPr>
                <w:rFonts w:hint="eastAsia" w:ascii="宋体" w:hAnsi="宋体" w:eastAsia="宋体" w:cs="宋体"/>
                <w:sz w:val="24"/>
              </w:rPr>
            </w:pPr>
            <w:r>
              <w:rPr>
                <w:rFonts w:hint="eastAsia" w:ascii="宋体" w:hAnsi="宋体" w:eastAsia="宋体" w:cs="宋体"/>
                <w:sz w:val="24"/>
              </w:rPr>
              <w:t>19.(选配）遥控带定时可穿墙，距离≈30米</w:t>
            </w:r>
          </w:p>
          <w:p w14:paraId="2EFB35B5">
            <w:pPr>
              <w:rPr>
                <w:rFonts w:hint="eastAsia" w:ascii="宋体" w:hAnsi="宋体" w:eastAsia="宋体" w:cs="宋体"/>
                <w:sz w:val="24"/>
              </w:rPr>
            </w:pPr>
          </w:p>
          <w:p w14:paraId="471F9033">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                          </w:t>
            </w:r>
          </w:p>
        </w:tc>
      </w:tr>
    </w:tbl>
    <w:p w14:paraId="35BC56CC">
      <w:pPr>
        <w:pStyle w:val="4"/>
        <w:numPr>
          <w:ilvl w:val="2"/>
          <w:numId w:val="0"/>
        </w:numPr>
        <w:bidi w:val="0"/>
        <w:ind w:left="567" w:leftChars="0"/>
        <w:rPr>
          <w:rFonts w:hint="eastAsia" w:ascii="宋体" w:hAnsi="宋体" w:eastAsia="宋体" w:cs="宋体"/>
          <w:lang w:val="en-US" w:eastAsia="zh-CN"/>
        </w:rPr>
      </w:pPr>
      <w:r>
        <w:rPr>
          <w:rFonts w:hint="eastAsia" w:ascii="宋体" w:hAnsi="宋体" w:eastAsia="宋体" w:cs="宋体"/>
          <w:lang w:val="en-US" w:eastAsia="zh-CN"/>
        </w:rPr>
        <w:br w:type="textWrapping"/>
      </w:r>
      <w:r>
        <w:rPr>
          <w:rFonts w:hint="eastAsia" w:ascii="宋体" w:hAnsi="宋体" w:eastAsia="宋体" w:cs="宋体"/>
          <w:b/>
          <w:bCs/>
          <w:lang w:val="en-US" w:eastAsia="zh-CN"/>
        </w:rPr>
        <w:t>3、</w:t>
      </w:r>
      <w:r>
        <w:rPr>
          <w:rFonts w:hint="eastAsia" w:ascii="宋体" w:hAnsi="宋体" w:eastAsia="宋体" w:cs="宋体"/>
          <w:b/>
          <w:bCs/>
        </w:rPr>
        <w:t>厨房</w:t>
      </w:r>
      <w:r>
        <w:rPr>
          <w:rFonts w:hint="eastAsia" w:ascii="宋体" w:hAnsi="宋体" w:eastAsia="宋体" w:cs="宋体"/>
        </w:rPr>
        <w:br w:type="textWrapping"/>
      </w:r>
    </w:p>
    <w:tbl>
      <w:tblPr>
        <w:tblStyle w:val="46"/>
        <w:tblW w:w="9929" w:type="dxa"/>
        <w:tblInd w:w="96" w:type="dxa"/>
        <w:tblLayout w:type="fixed"/>
        <w:tblCellMar>
          <w:top w:w="0" w:type="dxa"/>
          <w:left w:w="108" w:type="dxa"/>
          <w:bottom w:w="0" w:type="dxa"/>
          <w:right w:w="108" w:type="dxa"/>
        </w:tblCellMar>
      </w:tblPr>
      <w:tblGrid>
        <w:gridCol w:w="653"/>
        <w:gridCol w:w="1452"/>
        <w:gridCol w:w="1848"/>
        <w:gridCol w:w="780"/>
        <w:gridCol w:w="756"/>
        <w:gridCol w:w="4440"/>
      </w:tblGrid>
      <w:tr w14:paraId="2C157B7A">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4A30">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序号</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3DAA">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产品名称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284A">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规格型号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445D">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数量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B4D8">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单位</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64B8">
            <w:pPr>
              <w:widowControl/>
              <w:jc w:val="center"/>
              <w:textAlignment w:val="center"/>
              <w:rPr>
                <w:rFonts w:hint="eastAsia" w:ascii="宋体" w:hAnsi="宋体" w:eastAsia="宋体" w:cs="宋体"/>
                <w:sz w:val="22"/>
                <w:szCs w:val="22"/>
              </w:rPr>
            </w:pPr>
            <w:r>
              <w:rPr>
                <w:rFonts w:hint="eastAsia" w:ascii="宋体" w:hAnsi="宋体" w:eastAsia="宋体" w:cs="宋体"/>
                <w:b/>
                <w:bCs/>
                <w:color w:val="000000"/>
                <w:kern w:val="0"/>
                <w:sz w:val="24"/>
                <w:szCs w:val="24"/>
                <w:lang w:bidi="ar"/>
              </w:rPr>
              <w:t>规格参数</w:t>
            </w:r>
          </w:p>
        </w:tc>
      </w:tr>
      <w:tr w14:paraId="442B75EA">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46AD">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38AE">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灭蝇灯</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1979">
            <w:pPr>
              <w:widowControl/>
              <w:jc w:val="left"/>
              <w:textAlignment w:val="center"/>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4BD6">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A820">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91E8">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1、电压：220V</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2、功率：≥30W</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3、灯管：2*15w灭蝇灯灯管，灯光波长在365nm最有效吸引蚊虫苍蝇。</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4、覆盖面积≥80㎡</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5、外壳ABS防阻燃材料</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6、双面粘板在使用过程能保持完全敞开，通过粘捕纸粘黏蚊蝇。耗能低，无异味，无辐射</w:t>
            </w:r>
          </w:p>
        </w:tc>
      </w:tr>
      <w:tr w14:paraId="605348FD">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0A4F">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val="en-US" w:eastAsia="zh-CN" w:bidi="ar"/>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0A5D">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感应水池</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3799">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≥500*400*500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57F8">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F20F">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4035">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1.整体采用304不锈钢制作。</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2.台面板采用304不锈钢板厚度≥1.5mm，配厚度≥1.2mm不锈钢方管做加力筋。</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3.星盆采用304不锈钢板，厚度≥1.5mm。</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4.台脚采用Φ38mm厚度为≥1.5mm不锈钢圆通，横撑φ25*1.5mm不锈钢圆管，配可调不锈钢子弹脚。</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5.水槽底部承受≥100KG载荷，其变形量≤0.30mm。</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6.配感应水龙头1个。感应器工作电压：1.5V×4（四节五号干电池）或者220V  50/60HZ交流电；工作水压：0.1-0.6MPa 可接冷热混水，出水温度可调。 </w:t>
            </w:r>
          </w:p>
        </w:tc>
      </w:tr>
      <w:tr w14:paraId="751D3F53">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06F1">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val="en-US" w:eastAsia="zh-CN" w:bidi="ar"/>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77A1">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洗地龙头</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DE44">
            <w:pPr>
              <w:widowControl/>
              <w:jc w:val="left"/>
              <w:textAlignment w:val="center"/>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5CF0">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1E37">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A062">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 xml:space="preserve">1 开放式洗地龙头、碳钢主体，表面环氧喷涂处理（黑色）                                         2  固定侧支架钢板厚度5mm，黄铜进水主体                                                        3  10.7米重工无痕三层液压钢丝管（黑色）、与主体接口为金属连接件不易损坏漏水，喉管耐温85度                                                                    4  黄铜铸造枪式喷头、前置扳机、配有橡胶保护套水压可调。（配置一把喷头）                                                                            5  进水接口为标准G1/2外螺纹                                                                                                                                                                                                                  </w:t>
            </w:r>
          </w:p>
        </w:tc>
      </w:tr>
      <w:tr w14:paraId="63FF337C">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9833">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val="en-US" w:eastAsia="zh-CN" w:bidi="ar"/>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C3CE">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感应龙头</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2BC8">
            <w:pPr>
              <w:jc w:val="left"/>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7201">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C5E8">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1F1F">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 xml:space="preserve">1.感应器工作电压：1.5V×4（四节五号干电池）或者220V  50/60HZ交流电；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2.工作水压：0.1-0.6MPa 可接冷热混水，出水温度可调；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3.开孔径：≥25mm；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4.台式安装黄铜铸造水嘴，表面镀铬处理；</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 接水口口径为G1/2外螺纹；</w:t>
            </w:r>
          </w:p>
        </w:tc>
      </w:tr>
      <w:tr w14:paraId="087BA484">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4300">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E8CA">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双星水池</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F6BE">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≥1200*760*800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02C1">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E1E3">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5104">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1.整体采用304不锈钢制作。</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2.台面板采用304不锈钢板厚度≥1.5mm，配厚度≥1.2mm不锈钢方管做加力筋。</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3.星盆采用304不锈钢板，厚度≥1.5mm。</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4.台脚采用Φ38mm厚度为≥1.5mm不锈钢圆通，横撑φ25*1.5mm不锈钢圆管，配可调不锈钢子弹脚。</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5.水槽底部承受≥100KG载荷，其变形量≤0.30mm。</w:t>
            </w:r>
          </w:p>
        </w:tc>
      </w:tr>
      <w:tr w14:paraId="5D58EB7D">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9360">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val="en-US" w:eastAsia="zh-CN" w:bidi="ar"/>
              </w:rPr>
              <w:t>6</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9346">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冷热混水龙头</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8F8E">
            <w:pPr>
              <w:jc w:val="left"/>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23CD">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FB0D">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F09A">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 xml:space="preserve">1  座台式双孔双温低铅铜铸造本体，表面抛光镀铬处理，增加表面硬度防止磕碰造成划痕的同时提升了外观光洁与美观度。                                                                    2  配1/4转陶瓷阀芯一字型手柄。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3 开孔尺寸≥25mm*2,左右开孔间距203mm(偏芯设计可调范围15mm)，进水接口为标准G1/2外螺纹。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 通体材质为低铅铜，有益于饮用水健康，杜绝饮用水铅含量超标。</w:t>
            </w:r>
          </w:p>
        </w:tc>
      </w:tr>
      <w:tr w14:paraId="0F5AB895">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F520">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val="en-US" w:eastAsia="zh-CN" w:bidi="ar"/>
              </w:rPr>
              <w:t>7</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3459">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双层工作台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2D91">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≥1600*760*800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92D3">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77D3">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49C3">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1.台面板采用304不锈钢板厚度≥1.5mm，配厚度≥1.2mm不锈钢板做补强撑。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2.层板采用304不锈钢板厚度≥1.2mm，配厚度≥1.2mm做补强撑。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3.脚通采用Φ38mm厚度≥1.5mm不锈钢圆通，配可调不锈钢子弹脚≥4个。</w:t>
            </w:r>
          </w:p>
        </w:tc>
      </w:tr>
      <w:tr w14:paraId="3552AF44">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DFCF">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val="en-US" w:eastAsia="zh-CN" w:bidi="ar"/>
              </w:rPr>
              <w:t>8</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F971">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挂墙双层架</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B8CA">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≥2000*350*300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0F15">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C119">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AEA9">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1.层板采用304不锈钢板厚度≥1.2mm,配厚度≥1.2mm做补强撑。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2.侧板采用304不锈钢Φ38mm厚度≥1.5mm不锈钢圆通。</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3.挂墙式安装。</w:t>
            </w:r>
          </w:p>
        </w:tc>
      </w:tr>
      <w:tr w14:paraId="12163E16">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E295">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val="en-US" w:eastAsia="zh-CN" w:bidi="ar"/>
              </w:rPr>
              <w:t>9</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BAB5">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烘干器</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8E15">
            <w:pPr>
              <w:widowControl/>
              <w:jc w:val="left"/>
              <w:textAlignment w:val="center"/>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03F6">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9</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55A2">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C257">
            <w:pPr>
              <w:widowControl/>
              <w:jc w:val="left"/>
              <w:textAlignment w:val="center"/>
              <w:rPr>
                <w:rFonts w:hint="eastAsia" w:ascii="宋体" w:hAnsi="宋体" w:eastAsia="宋体" w:cs="宋体"/>
                <w:sz w:val="24"/>
                <w:lang w:eastAsia="zh-CN"/>
              </w:rPr>
            </w:pPr>
            <w:r>
              <w:rPr>
                <w:rFonts w:hint="eastAsia" w:ascii="宋体" w:hAnsi="宋体" w:eastAsia="宋体" w:cs="宋体"/>
                <w:kern w:val="0"/>
                <w:sz w:val="24"/>
                <w:lang w:bidi="ar"/>
              </w:rPr>
              <w:t>1、电压：220V</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2、功率：≥1300W</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3、传感器范围：50-120MM</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4、风速：&gt;85M/S</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5、安装方式：挂壁</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6、全自动免接触智能红外感应，伸手即开、收手即停，性能稳定</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7、排式高速气流柱出风口设计，风速强劲，干燥时间5-8秒，具有智能控制模板，可根据需要选择自然风、加热风两档调节。</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8、安装方便，用膨胀螺钉固定好不锈钢挂件后再将机器挂上并固定稳即可使用</w:t>
            </w:r>
            <w:r>
              <w:rPr>
                <w:rFonts w:hint="eastAsia" w:ascii="宋体" w:hAnsi="宋体" w:eastAsia="宋体" w:cs="宋体"/>
                <w:kern w:val="0"/>
                <w:sz w:val="24"/>
                <w:lang w:eastAsia="zh-CN" w:bidi="ar"/>
              </w:rPr>
              <w:t>。</w:t>
            </w:r>
          </w:p>
        </w:tc>
      </w:tr>
      <w:tr w14:paraId="3B2EC69E">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E38A">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1</w:t>
            </w:r>
            <w:r>
              <w:rPr>
                <w:rFonts w:hint="eastAsia" w:ascii="宋体" w:hAnsi="宋体" w:eastAsia="宋体" w:cs="宋体"/>
                <w:kern w:val="0"/>
                <w:sz w:val="24"/>
                <w:lang w:val="en-US" w:eastAsia="zh-CN" w:bidi="ar"/>
              </w:rPr>
              <w:t>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E903">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感应水池</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1A83">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≥1800*800*800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0A2C">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ED0F">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DB04">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1.整体采用304不锈钢制作。</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2.台面板采用304不锈钢板厚度≥1.5mm，配厚度≥1.2mm不锈钢方管做加力筋。</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3.星盆采用304不锈钢板，厚度≥1.5mm。</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4.台脚采用Φ38mm厚度为≥1.5mm不锈钢圆通，横撑φ25*1.5mm不锈钢圆管，配可调不锈钢子弹脚。</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5.水槽底部承受≥100KG载荷，其变形量≤0.30mm。</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6.配感应水龙头1个。感应器工作电压：1.5V×4（四节五号干电池）或者220V  50/60HZ交流电；工作水压：0.1-0.6MPa 可接冷热混水，出水温度可调。 </w:t>
            </w:r>
          </w:p>
        </w:tc>
      </w:tr>
      <w:tr w14:paraId="64012931">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3232">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1</w:t>
            </w:r>
            <w:r>
              <w:rPr>
                <w:rFonts w:hint="eastAsia" w:ascii="宋体" w:hAnsi="宋体" w:eastAsia="宋体" w:cs="宋体"/>
                <w:kern w:val="0"/>
                <w:sz w:val="24"/>
                <w:lang w:val="en-US" w:eastAsia="zh-CN" w:bidi="ar"/>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C4AD">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感应龙头</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BA86">
            <w:pPr>
              <w:jc w:val="left"/>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E13B">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56EA">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CFD0">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 xml:space="preserve">1.感应器工作电压：1.5V×4（四节五号干电池）或者220V  50/60HZ交流电；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2.工作水压：0.1-0.6MPa 可接冷热混水，出水温度可调；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3.开孔径：≥25mm；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4.台式安装黄铜铸造水嘴，表面镀铬处理；</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 接水口口径为G1/2外螺纹；</w:t>
            </w:r>
          </w:p>
        </w:tc>
      </w:tr>
      <w:tr w14:paraId="28231A48">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85A2">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1</w:t>
            </w:r>
            <w:r>
              <w:rPr>
                <w:rFonts w:hint="eastAsia" w:ascii="宋体" w:hAnsi="宋体" w:eastAsia="宋体" w:cs="宋体"/>
                <w:kern w:val="0"/>
                <w:sz w:val="24"/>
                <w:lang w:val="en-US" w:eastAsia="zh-CN" w:bidi="ar"/>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8C13">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单孔残食台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7D5F">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≥800*760*800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8E29">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A984">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8137">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采用优质不锈钢板制作；</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1、台面为 1.2mm 厚不锈钢结构，下层板为1.0mm厚不锈钢结构，并有加强筋；</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2、工作台腿采用φ38×1.5mm厚不锈钢圆管，下带四</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个φ38mm 可调节不锈钢子弹脚。</w:t>
            </w:r>
          </w:p>
        </w:tc>
      </w:tr>
      <w:tr w14:paraId="013A5E20">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F4CE">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1</w:t>
            </w:r>
            <w:r>
              <w:rPr>
                <w:rFonts w:hint="eastAsia" w:ascii="宋体" w:hAnsi="宋体" w:eastAsia="宋体" w:cs="宋体"/>
                <w:kern w:val="0"/>
                <w:sz w:val="24"/>
                <w:lang w:val="en-US" w:eastAsia="zh-CN" w:bidi="ar"/>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8469">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大单星水池</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DCA7">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≥1000*760*800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E58B">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472C">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7076">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1.整体采用304不锈钢制作。</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2.台面板采用304不锈钢板厚度≥1.5mm，配厚度≥1.2mm不锈钢方管做加力筋。</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3.星盆采用304不锈钢板，厚度≥1.5mm。</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4.台脚采用Φ38mm厚度为≥1.5mm不锈钢圆通，横撑φ25*1.5mm不锈钢圆管，配可调不锈钢子弹脚。</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5.水槽底部承受≥100KG载荷，其变形量≤0.30mm。</w:t>
            </w:r>
          </w:p>
        </w:tc>
      </w:tr>
      <w:tr w14:paraId="1BAF2615">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0F57">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1</w:t>
            </w:r>
            <w:r>
              <w:rPr>
                <w:rFonts w:hint="eastAsia" w:ascii="宋体" w:hAnsi="宋体" w:eastAsia="宋体" w:cs="宋体"/>
                <w:kern w:val="0"/>
                <w:sz w:val="24"/>
                <w:lang w:val="en-US" w:eastAsia="zh-CN" w:bidi="ar"/>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6775">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冷热混水龙头</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5ED1">
            <w:pPr>
              <w:jc w:val="left"/>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1530">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797E">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0958">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 xml:space="preserve">1  座台式双孔双温低铅铜铸造本体，表面抛光镀铬处理，增加表面硬度防止磕碰造成划痕的同时提升了外观光洁与美观度。                                                                    2  配1/4转陶瓷阀芯一字型手柄。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3 开孔尺寸≥25mm*2,左右开孔间距203mm(偏芯设计可调范围15mm)，进水接口为标准G1/2外螺纹。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 通体材质为低铅铜，有益于饮用水健康，杜绝饮用水铅含量超标。</w:t>
            </w:r>
          </w:p>
        </w:tc>
      </w:tr>
      <w:tr w14:paraId="424E2A22">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BB95">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1</w:t>
            </w:r>
            <w:r>
              <w:rPr>
                <w:rFonts w:hint="eastAsia" w:ascii="宋体" w:hAnsi="宋体" w:eastAsia="宋体" w:cs="宋体"/>
                <w:kern w:val="0"/>
                <w:sz w:val="24"/>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CF5">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双层工作台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460A">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≥760*760*800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4A44">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A525">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1B09">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1.台面板采用304不锈钢板厚度≥1.5mm，配厚度≥1.2mm不锈钢板做补强撑。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2.层板采用304不锈钢板厚度≥1.2mm，配厚度≥1.2mm做补强撑。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3.脚通采用Φ38mm厚度≥1.5mm不锈钢圆通，配可调不锈钢子弹脚≥4个。</w:t>
            </w:r>
          </w:p>
        </w:tc>
      </w:tr>
      <w:tr w14:paraId="4B93148A">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5762">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1</w:t>
            </w:r>
            <w:r>
              <w:rPr>
                <w:rFonts w:hint="eastAsia" w:ascii="宋体" w:hAnsi="宋体" w:eastAsia="宋体" w:cs="宋体"/>
                <w:kern w:val="0"/>
                <w:sz w:val="24"/>
                <w:lang w:val="en-US" w:eastAsia="zh-CN" w:bidi="ar"/>
              </w:rPr>
              <w:t>6</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C138">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双星水池</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409C">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≥1200*760*800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60E2">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685B">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6FC0">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1.整体采用304不锈钢制作。</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2.台面板采用304不锈钢板厚度≥1.5mm，配厚度≥1.2mm不锈钢方管做加力筋。</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3.星盆采用304不锈钢板，厚度≥1.5mm。</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4.台脚采用Φ38mm厚度为≥1.5mm不锈钢圆通，横撑φ25*1.5mm不锈钢圆管，配可调不锈钢子弹脚。</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5.水槽底部承受≥100KG载荷，其变形量≤0.30mm。</w:t>
            </w:r>
          </w:p>
        </w:tc>
      </w:tr>
      <w:tr w14:paraId="74087DFA">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28A1">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17</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5A0F">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冷热混水龙头</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836A">
            <w:pPr>
              <w:jc w:val="left"/>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E984">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4962">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686B">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 xml:space="preserve">1  座台式双孔双温低铅铜铸造本体，表面抛光镀铬处理，增加表面硬度防止磕碰造成划痕的同时提升了外观光洁与美观度。                                                                    2  配1/4转陶瓷阀芯一字型手柄。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3 开孔尺寸≥25mm*2,左右开孔间距203mm(偏芯设计可调范围15mm)，进水接口为标准G1/2外螺纹。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 通体材质为低铅铜，有益于饮用水健康，杜绝饮用水铅含量超标。</w:t>
            </w:r>
          </w:p>
        </w:tc>
      </w:tr>
      <w:tr w14:paraId="1BA1E858">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4088">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18</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DF08">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紫外线消毒灯</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5887">
            <w:pPr>
              <w:widowControl/>
              <w:jc w:val="left"/>
              <w:textAlignment w:val="center"/>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227E">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45CD">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16F1">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1.灯罩腔内有电镀反射层，能扩大紫外线光波的覆盖面积。</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2.紫外线消毒灯波长260nm左右。</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3.开启消毒灯后可选择消毒时间，带定时功能。</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4.待消毒时间结束后，本消毒灯自动关闭。</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5.功率：220V/36W。</w:t>
            </w:r>
          </w:p>
        </w:tc>
      </w:tr>
      <w:tr w14:paraId="1A51A508">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580A">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19</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A7B4">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灭蝇灯</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68BF">
            <w:pPr>
              <w:widowControl/>
              <w:jc w:val="left"/>
              <w:textAlignment w:val="center"/>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7C4C">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BEC8">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8021">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1、电压：220V</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2、功率：≥30W</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3、灯管：2*15w灭蝇灯灯管，灯光波长在365nm最有效吸引蚊虫苍蝇。</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4、覆盖面积≥80㎡</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5、外壳ABS防阻燃材料</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6、双面粘板在使用过程能保持完全敞开，通过粘捕纸粘黏蚊蝇。耗能低，无异味，无辐射</w:t>
            </w:r>
          </w:p>
        </w:tc>
      </w:tr>
      <w:tr w14:paraId="45E00627">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E6E7">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2</w:t>
            </w:r>
            <w:r>
              <w:rPr>
                <w:rFonts w:hint="eastAsia" w:ascii="宋体" w:hAnsi="宋体" w:eastAsia="宋体" w:cs="宋体"/>
                <w:kern w:val="0"/>
                <w:sz w:val="24"/>
                <w:lang w:val="en-US" w:eastAsia="zh-CN" w:bidi="ar"/>
              </w:rPr>
              <w:t>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070F">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垃圾桶</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AACC">
            <w:pPr>
              <w:widowControl/>
              <w:jc w:val="left"/>
              <w:textAlignment w:val="center"/>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FCED">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50C0">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个</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9B02">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1、工程塑料制造，弹性不易破碎，防脱皮，耐老化，无异味，配可折卸式圆盘脚轮。</w:t>
            </w:r>
          </w:p>
        </w:tc>
      </w:tr>
      <w:tr w14:paraId="0B833A42">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760F">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2</w:t>
            </w:r>
            <w:r>
              <w:rPr>
                <w:rFonts w:hint="eastAsia" w:ascii="宋体" w:hAnsi="宋体" w:eastAsia="宋体" w:cs="宋体"/>
                <w:kern w:val="0"/>
                <w:sz w:val="24"/>
                <w:lang w:val="en-US" w:eastAsia="zh-CN" w:bidi="ar"/>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7CBC">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感应水池</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9231">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≥500*400*500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2FE6">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4BE9">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51AE">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1.整体采用304不锈钢制作。</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2.台面板采用304不锈钢板厚度≥1.5mm，配厚度≥1.2mm不锈钢方管做加力筋。</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3.星盆采用304不锈钢板，厚度≥1.5mm。</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4.台脚采用Φ38mm厚度为≥1.5mm不锈钢圆通，横撑φ25*1.5mm不锈钢圆管，配可调不锈钢子弹脚。</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5.水槽底部承受≥100KG载荷，其变形量≤0.30mm。</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6.配感应水龙头1个。感应器工作电压：1.5V×4（四节五号干电池）或者220V  50/60HZ交流电；工作水压：0.1-0.6MPa 可接冷热混水，出水温度可调。 </w:t>
            </w:r>
          </w:p>
        </w:tc>
      </w:tr>
      <w:tr w14:paraId="0BB60CF3">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7687">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2</w:t>
            </w:r>
            <w:r>
              <w:rPr>
                <w:rFonts w:hint="eastAsia" w:ascii="宋体" w:hAnsi="宋体" w:eastAsia="宋体" w:cs="宋体"/>
                <w:kern w:val="0"/>
                <w:sz w:val="24"/>
                <w:lang w:val="en-US" w:eastAsia="zh-CN" w:bidi="ar"/>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CA46">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感应龙头</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80D3">
            <w:pPr>
              <w:jc w:val="left"/>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4C56">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FD12">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FDD6">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 xml:space="preserve">1.感应器工作电压：1.5V×4（四节五号干电池）或者220V  50/60HZ交流电；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2.工作水压：0.1-0.6MPa 可接冷热混水，出水温度可调；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3.开孔径：≥25mm；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4.台式安装黄铜铸造水嘴，表面镀铬处理；</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 接水口口径为G1/2外螺纹；</w:t>
            </w:r>
          </w:p>
        </w:tc>
      </w:tr>
      <w:tr w14:paraId="4AE8AB54">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4E28">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2</w:t>
            </w:r>
            <w:r>
              <w:rPr>
                <w:rFonts w:hint="eastAsia" w:ascii="宋体" w:hAnsi="宋体" w:eastAsia="宋体" w:cs="宋体"/>
                <w:kern w:val="0"/>
                <w:sz w:val="24"/>
                <w:lang w:val="en-US" w:eastAsia="zh-CN" w:bidi="ar"/>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2111">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烘手器</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697E">
            <w:pPr>
              <w:widowControl/>
              <w:jc w:val="left"/>
              <w:textAlignment w:val="center"/>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DE18">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E21D">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FF10">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1、电压：220V</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2、功率：≥1300W</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3、传感器范围：50-120MM</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4、风速：&gt;85M/S</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5、安装方式：挂壁</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6、全自动免接触智能红外感应，伸手即开、收手即停，性能稳定</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7、排式高速气流柱出风口设计，风速强劲，干燥时间5-8秒，具有智能控制模板，可根据需要选择自然风、加热风两档调节。</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8、安装方便，用膨胀螺钉固定好不锈钢挂件后再将机器挂上并固定稳即可使用。</w:t>
            </w:r>
          </w:p>
        </w:tc>
      </w:tr>
      <w:tr w14:paraId="7D547133">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3209">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2</w:t>
            </w:r>
            <w:r>
              <w:rPr>
                <w:rFonts w:hint="eastAsia" w:ascii="宋体" w:hAnsi="宋体" w:eastAsia="宋体" w:cs="宋体"/>
                <w:kern w:val="0"/>
                <w:sz w:val="24"/>
                <w:lang w:val="en-US" w:eastAsia="zh-CN" w:bidi="ar"/>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B813">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灭蝇灯</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AF27">
            <w:pPr>
              <w:widowControl/>
              <w:jc w:val="left"/>
              <w:textAlignment w:val="center"/>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1235">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0DBE">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42E4">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1、电压：220V</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2、功率：≥30W</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3、灯管：2*15w灭蝇灯灯管，灯光波长在365nm最有效吸引蚊虫苍蝇。</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4、覆盖面积≥80㎡</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5、外壳ABS防阻燃材料</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6、双面粘板在使用过程能保持完全敞开，通过粘捕纸粘黏蚊蝇。耗能低，无异味，无辐射</w:t>
            </w:r>
          </w:p>
        </w:tc>
      </w:tr>
      <w:tr w14:paraId="7DFC2434">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6270">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25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745E">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四门高身雪柜</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A73D">
            <w:pPr>
              <w:widowControl/>
              <w:jc w:val="left"/>
              <w:textAlignment w:val="center"/>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5631">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5BD6">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D9E2">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产品按38℃环温设计，采用国内知名压缩机、温控器，全铜管制造，优质不锈钢板，板材表面无指纹处理，经久耐锈，整体采用优质加厚不锈钢制作，采用绿色环保的环戊烷发泡剂整体发泡，超厚发泡层，保温隔热效果好，箱体强度高，提高承重能力，内置蒸发器盘管全铜管制作，自动回归门设计，避免冷量流失，易拆卸磁性门封，内箱底板采用圆弧拉伸，配合围板大圆弧设计，易清洁；</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2、温度范围：-18℃~-5℃/+2℃-+8℃；</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3、容积：≥900L；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4、制冷方式：直冷；</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5、物架层数：2层2个，智能电子数字温控；</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6、功率：≥350W/220V。</w:t>
            </w:r>
          </w:p>
        </w:tc>
      </w:tr>
      <w:tr w14:paraId="2119A08F">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A6F1">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26</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9E36">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平台冷藏柜</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2F82">
            <w:pPr>
              <w:widowControl/>
              <w:jc w:val="left"/>
              <w:textAlignment w:val="center"/>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FACE">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E649">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FE13">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1、电压：220V/50HZ；功率：≥130W/220V</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2、技术陈述：柜体聚胺脂整体发泡,保温性能好，内置铜管；</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3、90度自动回归磁吸门，避免冷量流失；</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4、温控类型：电子数显控制，实时温度显示（温度：+2~+8°）；</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5、易拆卸磁性门封，便于清洗。</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6、容积：≥350L。</w:t>
            </w:r>
          </w:p>
        </w:tc>
      </w:tr>
      <w:tr w14:paraId="17545D53">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A9BF">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27</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11BC">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双层工作台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E24A">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≥760*760*800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93E7">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5036">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9D04">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1.台面板采用304不锈钢板厚度≥1.5mm，配厚度≥1.2mm不锈钢板做补强撑。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2.层板采用304不锈钢板厚度≥1.2mm，配厚度≥1.2mm做补强撑。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3.脚通采用Φ38mm厚度≥1.5mm不锈钢圆通，配可调不锈钢子弹脚≥4个。</w:t>
            </w:r>
          </w:p>
        </w:tc>
      </w:tr>
      <w:tr w14:paraId="55685FD6">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3132">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28</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0BEC">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单通工作台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7B2F">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≥1200*760*800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0B8F">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B1C8">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6E08">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1.台面板采用304不锈钢板厚度≥1.5mm，配厚度≥1.2mm不锈钢板做补强撑。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2.层板采用304不锈钢板厚度≥1.2mm，配厚度≥1.2mm做补强撑。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3.脚通采用Φ38mm厚度≥1.5mm不锈钢圆通，配可调不锈钢子弹脚≥4个。</w:t>
            </w:r>
          </w:p>
        </w:tc>
      </w:tr>
      <w:tr w14:paraId="30A34DEC">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DA3F">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29</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3BD7">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单通工作台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D704">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2000*600*800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9480">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E5BD">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B4C1">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1.台面板采用304不锈钢板厚度≥1.5mm，配厚度≥1.2mm不锈钢板做补强撑。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2.层板采用304不锈钢板厚度≥1.2mm，配厚度≥1.2mm做补强撑。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3.脚通采用Φ38mm厚度≥1.5mm不锈钢圆通，配可调不锈钢子弹脚≥4个。</w:t>
            </w:r>
          </w:p>
        </w:tc>
      </w:tr>
      <w:tr w14:paraId="3F2C4A29">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1049">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3</w:t>
            </w:r>
            <w:r>
              <w:rPr>
                <w:rFonts w:hint="eastAsia" w:ascii="宋体" w:hAnsi="宋体" w:eastAsia="宋体" w:cs="宋体"/>
                <w:kern w:val="0"/>
                <w:sz w:val="24"/>
                <w:lang w:val="en-US" w:eastAsia="zh-CN" w:bidi="ar"/>
              </w:rPr>
              <w:t>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C202">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三星水池</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C5E3">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≥1200*600*800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5FD6">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0BAE">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53BA">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1.整体采用304不锈钢制作。</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2.台面板采用304不锈钢板厚度≥1.5mm，配厚度≥1.2mm不锈钢方管做加力筋。</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3.星盆采用304不锈钢板，厚度≥1.5mm。</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4.台脚采用Φ38mm厚度为≥1.5mm不锈钢圆通，横撑φ25*1.5mm不锈钢圆管，配可调不锈钢子弹脚。</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5.水槽底部承受≥100KG载荷，其变形量≤0.30mm。</w:t>
            </w:r>
          </w:p>
        </w:tc>
      </w:tr>
      <w:tr w14:paraId="75D41DD6">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0C49">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3</w:t>
            </w:r>
            <w:r>
              <w:rPr>
                <w:rFonts w:hint="eastAsia" w:ascii="宋体" w:hAnsi="宋体" w:eastAsia="宋体" w:cs="宋体"/>
                <w:kern w:val="0"/>
                <w:sz w:val="24"/>
                <w:lang w:val="en-US" w:eastAsia="zh-CN" w:bidi="ar"/>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E9EF">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挂墙双层架</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A941">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≥2200*350*400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FA02">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DE5B">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4218">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1.层板采用304不锈钢板厚度≥1.2mm,配厚度≥1.2mm做补强撑。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2.侧板采用304不锈钢Φ38mm厚度≥1.5mm不锈钢圆通。</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3.挂墙式安装。</w:t>
            </w:r>
          </w:p>
        </w:tc>
      </w:tr>
      <w:tr w14:paraId="705B347E">
        <w:tblPrEx>
          <w:tblCellMar>
            <w:top w:w="0" w:type="dxa"/>
            <w:left w:w="108" w:type="dxa"/>
            <w:bottom w:w="0" w:type="dxa"/>
            <w:right w:w="108" w:type="dxa"/>
          </w:tblCellMar>
        </w:tblPrEx>
        <w:trPr>
          <w:trHeight w:val="1534"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A1EA">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3</w:t>
            </w:r>
            <w:r>
              <w:rPr>
                <w:rFonts w:hint="eastAsia" w:ascii="宋体" w:hAnsi="宋体" w:eastAsia="宋体" w:cs="宋体"/>
                <w:kern w:val="0"/>
                <w:sz w:val="24"/>
                <w:lang w:val="en-US" w:eastAsia="zh-CN" w:bidi="ar"/>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1A4F">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挂墙双层架</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3B25">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≥3000*350*400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01E3">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2A5E">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86CA">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1.层板采用304不锈钢板厚度≥1.2mm,配厚度≥1.2mm做补强撑。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2.侧板采用304不锈钢Φ38mm厚度≥1.5mm不锈钢圆通。</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3.挂墙式安装。</w:t>
            </w:r>
          </w:p>
        </w:tc>
      </w:tr>
      <w:tr w14:paraId="385254DE">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767C">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33</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19EE">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紫外线消毒灯</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D176">
            <w:pPr>
              <w:widowControl/>
              <w:jc w:val="left"/>
              <w:textAlignment w:val="center"/>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6A6F">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F835">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0492">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1.灯罩腔内有电镀反射层，能扩大紫外线光波的覆盖面积。</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2.紫外线消毒灯波长260nm左右。</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3.开启消毒灯后可选择消毒时间，带定时功能。</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4.待消毒时间结束后，本消毒灯自动关闭。</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5.功率：≥220V/36W。</w:t>
            </w:r>
          </w:p>
        </w:tc>
      </w:tr>
      <w:tr w14:paraId="4B52AA2A">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3DD5">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34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9987">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灭蝇灯</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6CD7">
            <w:pPr>
              <w:widowControl/>
              <w:jc w:val="left"/>
              <w:textAlignment w:val="center"/>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E135">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8CDC">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3C52">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1、电压：220V</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2、功率：≥30W</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3、灯管：2*15w灭蝇灯灯管，灯光波长在365nm最有效吸引蚊虫苍蝇。</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4、覆盖面积≥80㎡</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5、外壳ABS防阻燃材料</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6、双面粘板在使用过程能保持完全敞开，通过粘捕纸粘黏蚊蝇。耗能低，无异味，无辐射</w:t>
            </w:r>
          </w:p>
        </w:tc>
      </w:tr>
      <w:tr w14:paraId="2AA3C009">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A8F9">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35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5A5A">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木面案工作台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07D0">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≥1800*760*800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76EF">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FB12">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2BA6">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①面板为橡木厚度为≥100mm；</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②框架用50*50*1.2mm厚不锈钢方管焊接，连加固横梁；</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③Φ38mm不锈钢腿及调节脚。</w:t>
            </w:r>
          </w:p>
        </w:tc>
      </w:tr>
      <w:tr w14:paraId="6965A9D2">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7DF4">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36</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09B3">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面粉车</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7A12">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≥500*500*500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3141">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2D8E">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F550">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①全部采用304#不锈钢板；</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②粉箱体采用≥1.2mm厚304#不锈钢制造；</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③配备4个静音轮连轮刹。</w:t>
            </w:r>
          </w:p>
        </w:tc>
      </w:tr>
      <w:tr w14:paraId="0E2B7CEB">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D9CC">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37</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1AF3">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搅拌机</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AC02">
            <w:pPr>
              <w:widowControl/>
              <w:jc w:val="left"/>
              <w:textAlignment w:val="center"/>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5A5F">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7997">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37CC">
            <w:pPr>
              <w:widowControl/>
              <w:jc w:val="left"/>
              <w:textAlignment w:val="center"/>
              <w:rPr>
                <w:rFonts w:hint="eastAsia" w:ascii="宋体" w:hAnsi="宋体" w:eastAsia="宋体" w:cs="宋体"/>
                <w:kern w:val="0"/>
                <w:sz w:val="24"/>
                <w:lang w:bidi="ar"/>
              </w:rPr>
            </w:pPr>
            <w:r>
              <w:rPr>
                <w:rFonts w:hint="eastAsia" w:ascii="宋体" w:hAnsi="宋体" w:eastAsia="宋体" w:cs="宋体"/>
                <w:kern w:val="0"/>
                <w:sz w:val="24"/>
                <w:lang w:bidi="ar"/>
              </w:rPr>
              <w:t>1、电压：380V；</w:t>
            </w:r>
          </w:p>
          <w:p w14:paraId="7E52531D">
            <w:pPr>
              <w:widowControl/>
              <w:jc w:val="left"/>
              <w:textAlignment w:val="center"/>
              <w:rPr>
                <w:rFonts w:hint="eastAsia" w:ascii="宋体" w:hAnsi="宋体" w:eastAsia="宋体" w:cs="宋体"/>
                <w:kern w:val="0"/>
                <w:sz w:val="24"/>
                <w:lang w:bidi="ar"/>
              </w:rPr>
            </w:pPr>
            <w:r>
              <w:rPr>
                <w:rFonts w:hint="eastAsia" w:ascii="宋体" w:hAnsi="宋体" w:eastAsia="宋体" w:cs="宋体"/>
                <w:kern w:val="0"/>
                <w:sz w:val="24"/>
                <w:lang w:bidi="ar"/>
              </w:rPr>
              <w:t>2、搅拌桶食品级304#不锈钢，铜芯变频电机</w:t>
            </w:r>
          </w:p>
          <w:p w14:paraId="24912BD9">
            <w:pPr>
              <w:widowControl/>
              <w:jc w:val="left"/>
              <w:textAlignment w:val="center"/>
              <w:rPr>
                <w:rFonts w:hint="eastAsia" w:ascii="宋体" w:hAnsi="宋体" w:eastAsia="宋体" w:cs="宋体"/>
                <w:kern w:val="0"/>
                <w:sz w:val="24"/>
                <w:lang w:bidi="ar"/>
              </w:rPr>
            </w:pPr>
            <w:r>
              <w:rPr>
                <w:rFonts w:hint="eastAsia" w:ascii="宋体" w:hAnsi="宋体" w:eastAsia="宋体" w:cs="宋体"/>
                <w:kern w:val="0"/>
                <w:sz w:val="24"/>
                <w:lang w:bidi="ar"/>
              </w:rPr>
              <w:t>3、料桶容量20L-30L，速度可调，高度可调节；</w:t>
            </w:r>
          </w:p>
          <w:p w14:paraId="2EA6B242">
            <w:pPr>
              <w:widowControl/>
              <w:jc w:val="left"/>
              <w:textAlignment w:val="center"/>
              <w:rPr>
                <w:rFonts w:hint="eastAsia" w:ascii="宋体" w:hAnsi="宋体" w:eastAsia="宋体" w:cs="宋体"/>
                <w:kern w:val="0"/>
                <w:sz w:val="24"/>
                <w:lang w:bidi="ar"/>
              </w:rPr>
            </w:pPr>
            <w:r>
              <w:rPr>
                <w:rFonts w:hint="eastAsia" w:ascii="宋体" w:hAnsi="宋体" w:eastAsia="宋体" w:cs="宋体"/>
                <w:kern w:val="0"/>
                <w:sz w:val="24"/>
                <w:lang w:bidi="ar"/>
              </w:rPr>
              <w:t>4、安装外接漏电保护开关，配置安全防护罩，配有紧急停止开关；</w:t>
            </w:r>
          </w:p>
          <w:p w14:paraId="3C0FA1B5">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5、配搅拌勾、桨、笼。</w:t>
            </w:r>
          </w:p>
        </w:tc>
      </w:tr>
      <w:tr w14:paraId="31267040">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87B0">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38</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263D">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压面机</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03BC">
            <w:pPr>
              <w:widowControl/>
              <w:jc w:val="left"/>
              <w:textAlignment w:val="center"/>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2D1E">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040C">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87CC">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1、功率：≥2200W-3000W；</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2、电压：380V；</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3、产量≥250Kg/h，轧辊、料斗、接料板采用食品级304#不锈钢；</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4、压面厚度可调节，配备铜芯变频电机，转速可调节；</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5、配有紧急停止开关,带安全防护罩，安装外接漏电保护开关。</w:t>
            </w:r>
          </w:p>
        </w:tc>
      </w:tr>
      <w:tr w14:paraId="07D3EC1D">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7E21">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39</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D7B9">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双层工作台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4362">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≥800*760*800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8B7A">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C2B0">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0277">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1.台面板采用304不锈钢板厚度≥1.5mm，配厚度≥1.2mm不锈钢板做补强撑。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2.层板采用304不锈钢板厚度≥1.2mm，配厚度≥1.2mm做补强撑。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3.脚通采用Φ38mm厚度≥1.5mm不锈钢圆通，配可调不锈钢子弹脚≥4个。</w:t>
            </w:r>
          </w:p>
        </w:tc>
      </w:tr>
      <w:tr w14:paraId="4AA3E91B">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4499">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4</w:t>
            </w:r>
            <w:r>
              <w:rPr>
                <w:rFonts w:hint="eastAsia" w:ascii="宋体" w:hAnsi="宋体" w:eastAsia="宋体" w:cs="宋体"/>
                <w:kern w:val="0"/>
                <w:sz w:val="24"/>
                <w:lang w:val="en-US" w:eastAsia="zh-CN" w:bidi="ar"/>
              </w:rPr>
              <w:t>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2771">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单星水池</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2AE3">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≥700*760*800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DC6F">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BA2E">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3898">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1.整体采用304不锈钢制作。</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2.台面板采用304不锈钢板厚度≥1.5mm，配厚度≥1.2mm不锈钢方管做加力筋。</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3.星盆采用304不锈钢板，厚度≥1.5mm。</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4.台脚采用Φ38mm厚度为≥1.5mm不锈钢圆通，横撑φ25*1.5mm不锈钢圆管，配可调不锈钢子弹脚。</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5.水槽底部承受≥100KG载荷，其变形量≤0.30mm。</w:t>
            </w:r>
          </w:p>
        </w:tc>
      </w:tr>
      <w:tr w14:paraId="4763A66B">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9F6E">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4</w:t>
            </w:r>
            <w:r>
              <w:rPr>
                <w:rFonts w:hint="eastAsia" w:ascii="宋体" w:hAnsi="宋体" w:eastAsia="宋体" w:cs="宋体"/>
                <w:kern w:val="0"/>
                <w:sz w:val="24"/>
                <w:lang w:val="en-US" w:eastAsia="zh-CN" w:bidi="ar"/>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47A5">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冷热混水龙头</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64C6">
            <w:pPr>
              <w:jc w:val="left"/>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5418">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317C">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5A44">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 xml:space="preserve">1  座台式双孔双温低铅铜铸造本体，表面抛光镀铬处理，增加表面硬度防止磕碰造成划痕的同时提升了外观光洁与美观度。                                                                    2  配1/4转陶瓷阀芯一字型手柄。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3 开孔尺寸≥25mm*2,左右开孔间距203mm(偏芯设计可调范围15mm)，进水接口为标准G1/2外螺纹。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 通体材质为低铅铜，有益于饮用水健康，杜绝饮用水铅含量超标。</w:t>
            </w:r>
          </w:p>
        </w:tc>
      </w:tr>
      <w:tr w14:paraId="20FF10E5">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E9B8">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4</w:t>
            </w:r>
            <w:r>
              <w:rPr>
                <w:rFonts w:hint="eastAsia" w:ascii="宋体" w:hAnsi="宋体" w:eastAsia="宋体" w:cs="宋体"/>
                <w:kern w:val="0"/>
                <w:sz w:val="24"/>
                <w:lang w:val="en-US" w:eastAsia="zh-CN" w:bidi="ar"/>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1C43">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四门高身雪柜</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A8C4">
            <w:pPr>
              <w:widowControl/>
              <w:jc w:val="left"/>
              <w:textAlignment w:val="center"/>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510E">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55F4">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0FE5">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产品按38℃环温设计，采用国内知名压缩机、温控器，全铜管制造，优质不锈钢板，板材表面无指纹处理，经久耐锈，整体采用优质加厚不锈钢制作，采用绿色环保的环戊烷发泡剂整体发泡，超厚发泡层，保温隔热效果好，箱体强度高，提高承重能力，内置蒸发器盘管全铜管制作，自动回归门设计，避免冷量流失，易拆卸磁性门封，内箱底板采用圆弧拉伸，配合围板大圆弧设计，易清洁；</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2、温度范围：-18℃~-5℃/+2℃-+8℃；</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3、容积：≥900L；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4、制冷方式：直冷；</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5、物架层数：2层2个，智能电子数字温控；</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6、功率：≥350W/220V。</w:t>
            </w:r>
          </w:p>
        </w:tc>
      </w:tr>
      <w:tr w14:paraId="08198438">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E325">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43</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48C9">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平台冷藏柜</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D002">
            <w:pPr>
              <w:widowControl/>
              <w:jc w:val="left"/>
              <w:textAlignment w:val="center"/>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C1DC">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4891">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2C2C">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1、电压：220V/50HZ；功率：≥140W/220V</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2、技术陈述：柜体聚胺脂整体发泡,保温性能好，内置铜管；</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3、90度自动回归磁吸门，避免冷量流失；</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4、温控类型：电子数显控制，实时温度显示（温度：+2~+8°）；</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5、易拆卸磁性门封，便于清洗。</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6、容积：≥450L。</w:t>
            </w:r>
          </w:p>
        </w:tc>
      </w:tr>
      <w:tr w14:paraId="5105DBF6">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CB2E">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44</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996C">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双通工作柜</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E328">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≥1800*760*800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2F97">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1470">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ACDB">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1.台面板采用304不锈钢板厚度≥1.5mm，配厚度≥1.2mm不锈钢板做补强撑。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2.层板采用304不锈钢板厚度≥1.2mm，配厚度≥1.2mm做补强撑。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3.脚通采用Φ38mm厚度≥1.5mm不锈钢圆通，配可调不锈钢子弹脚≥4个。</w:t>
            </w:r>
          </w:p>
        </w:tc>
      </w:tr>
      <w:tr w14:paraId="3863000E">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48E3">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45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C883">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双门蒸车</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BB1A">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≥20盘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2ED6">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FB36">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5A8A">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采用SUS304不锈钢板，燃烧器带自动上水燃气36KW，内外围板厚≥1.2mm,热交换箱厚≥3mm,蒸柜柜身为≥1.5mm采用拉丝不锈钢，侧板为≥1.2mm厚不锈钢板,各门蒸汽独立控制，加强支腿D60*2mm,不锈钢子弹脚，，带防泄漏阀门，</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采用节能环保燃气蒸汽发生器，包括燃烧室、水箱、散热管，其中水箱外围与燃烧室的外围部分重叠，散热管设置在燃烧室外围的水箱中。蒸发生器体积矮小，能与蒸箱融为一体，成为蒸箱的一部份，配置燃气熄火保护装置。</w:t>
            </w:r>
          </w:p>
        </w:tc>
      </w:tr>
      <w:tr w14:paraId="17A274A3">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74D2">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46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E122">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电饼铛</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734E">
            <w:pPr>
              <w:widowControl/>
              <w:jc w:val="left"/>
              <w:textAlignment w:val="center"/>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77F1">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F6C9">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43D3">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数显表控温电压220/380v功率≥5kW</w:t>
            </w:r>
          </w:p>
        </w:tc>
      </w:tr>
      <w:tr w14:paraId="72FA63CA">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2C32">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47</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2A23">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拼台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0640">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≥300*1200*800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1D3B">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6C1F">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6312">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1.整体采用304不锈钢制作。</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2.台面板采用304不锈钢板厚≥1.5mm。</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3.前面板与灶台面板一致。</w:t>
            </w:r>
          </w:p>
        </w:tc>
      </w:tr>
      <w:tr w14:paraId="4CC49A22">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4B05">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48</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5EE7">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双炒单温燃气灶</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7CF5">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≥2200*1200*800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8C3C">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3991">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7153">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 xml:space="preserve">1.整体采用304不锈钢拉丝板制作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2.炉面板及边框采用厚度≥1.5mm厚不锈钢板，炉面整体冲压工艺</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3.炉面用≥2.5mm厚A3钢板做第二层衬板，炉架面与炉台面之间必修填充硅酸盐棉隔热，炉膛采用≥2.0mm厚A3钢板,炉膛内采用耐火层隔热及整体耐火砖砌筑火位，炉用鼓风机必须配制防水鼓风风机</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4.炉身采用≥1.2mm 厚不锈钢板，炉背采用≥1.2mm厚不锈钢板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5.炉体骨架采用40mm*40mm*4mm镀锌角铁，炉脚采用φ2"无缝钢管内含钢柱配可调子弹脚</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6.配电子点火开关装置，带熄火保护装置</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7.安装控制阀，连接上下水，下水采用硬质塑料管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8.含配套加厚炒锅1个，优质304不锈钢摇摆龙头1个</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9.配不锈钢加重调整脚不少于4个</w:t>
            </w:r>
          </w:p>
        </w:tc>
      </w:tr>
      <w:tr w14:paraId="45E175FB">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A50F">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49</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B012">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单头大锅灶</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EF9F">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≥1200*1200*800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9C54">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C8DE">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9BB4">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1、炒炉面板采用≥1.5mm厚采用SUS304不锈钢板；</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2、≥1.2mm不锈钢水围。炒炉围板用≥1.2mm厚304不锈钢板,炉前板采用≥1.2mm厚304不锈钢板,且容易卸下，固定使用不锈钢螺丝；</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3、炉体主架采用40*40*4mm国标角钢焊接，坚固并能承载所有附件，角铁架涂有足够的防锈漆，台面下有≥2.0mm厚的冷轧钢板做承托,内垫25mm保温棉隔热；</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4、炉体主架采用40*40*4mm国标角钢焊接，坚固并能承载所有附件，角铁架涂有足够的防锈漆，台面下有≥2.0mm厚的冷轧钢板做承托,内垫25mm保温棉隔热；</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炉脚采用ф2寸无缝不锈钢管装饰内含钢管配可调式不锈钢承重子弹脚。台面向前倾斜,在前面有75mm宽*50mm深集水槽,并配有过滤篦子,集水槽有50mm直径排水接口。节能燃烧器，并装有熄火保护安全制；6、每个炉头配摇摆水龙头，采用防水炉头，风机电压/功率：≥220V/*550W；</w:t>
            </w:r>
          </w:p>
        </w:tc>
      </w:tr>
      <w:tr w14:paraId="555CED7A">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83E5">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5</w:t>
            </w:r>
            <w:r>
              <w:rPr>
                <w:rFonts w:hint="eastAsia" w:ascii="宋体" w:hAnsi="宋体" w:eastAsia="宋体" w:cs="宋体"/>
                <w:kern w:val="0"/>
                <w:sz w:val="24"/>
                <w:lang w:val="en-US" w:eastAsia="zh-CN" w:bidi="ar"/>
              </w:rPr>
              <w:t>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F022">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单眼低汤炉</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202E">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≥700*700*500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7D52">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CB2B">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4241">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采用304不锈钢板制作；2、台面δ1.5mm不锈钢板，侧板δ1.0mm不锈钢板；3、铸铁自然风炉头，矮汤炉可以承载550mm直径之汤锅，矮汤炉主架采用国标40*40*4mm角铁造，所有角铁架涂有防锈漆，炉上面设有铁炉花，炉花是铸铁制造，炉后设有背挡板，燃烧器需附有火种，火种设有独立开关，燃烧器为铸铁大气压式燃烧器，并装有熄火保护安全制控制开关，开关能任意调节；4、配4只不锈钢子弹脚；</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5、炉脚：1.2*φ50mm不锈钢可调</w:t>
            </w:r>
          </w:p>
        </w:tc>
      </w:tr>
      <w:tr w14:paraId="186B80A8">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1148">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5</w:t>
            </w:r>
            <w:r>
              <w:rPr>
                <w:rFonts w:hint="eastAsia" w:ascii="宋体" w:hAnsi="宋体" w:eastAsia="宋体" w:cs="宋体"/>
                <w:kern w:val="0"/>
                <w:sz w:val="24"/>
                <w:lang w:val="en-US" w:eastAsia="zh-CN" w:bidi="ar"/>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BA9A">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装饰烟罩</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3694">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≥9000*1400*600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A9BA">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59E4">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F6B9">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304不锈钢材质，板材厚度≥1.5mm</w:t>
            </w:r>
          </w:p>
        </w:tc>
      </w:tr>
      <w:tr w14:paraId="5C6A3B39">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2491">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5</w:t>
            </w:r>
            <w:r>
              <w:rPr>
                <w:rFonts w:hint="eastAsia" w:ascii="宋体" w:hAnsi="宋体" w:eastAsia="宋体" w:cs="宋体"/>
                <w:kern w:val="0"/>
                <w:sz w:val="24"/>
                <w:lang w:val="en-US" w:eastAsia="zh-CN" w:bidi="ar"/>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EDD9">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烟罩装饰板</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725A">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≥9000*1000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94ED">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15F1">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平米</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0125">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1、板材采用304厚≥1.0mm不锈钢板制作。</w:t>
            </w:r>
          </w:p>
        </w:tc>
      </w:tr>
      <w:tr w14:paraId="1DF6EBB4">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7A5C">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53</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6909">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烟罩灭火系统</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DEC6">
            <w:pPr>
              <w:widowControl/>
              <w:jc w:val="left"/>
              <w:textAlignment w:val="center"/>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8207">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7B69">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FCE4">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灭火系统应对厨房内的明火区域有扑灭及抑制能力，保护煮食炉具。灭火系统亦应有保护炉具上的通风系统连油烟罩及隔油网能力，该设备启动方式有自动启动、手动启动和应急启动功能。</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该系统应能够对第一失火灾区作出紧急反应，以防止火势扩散，造成更大灾害。</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1、箱体全身采用优质不锈钢材质，双瓶组带18个高压细水雾喷嘴，保护灶台长度10米，灭火剂喷射时间不得小于26s。</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2、产品为绿色环保型灭火药剂，无色、无味、无毒、无腐蚀、灭火效率快且不复燃等特点，灭火时间：≤1.8s；重：29kg，保质期：有效期为3年。</w:t>
            </w:r>
          </w:p>
        </w:tc>
      </w:tr>
      <w:tr w14:paraId="532C96EB">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C8D2">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54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5EA8">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二层四盘电烤箱连醒发箱</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2C26">
            <w:pPr>
              <w:widowControl/>
              <w:jc w:val="left"/>
              <w:textAlignment w:val="center"/>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43A7">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B67A">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DB88">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电压：380v 功率：≥13.2kw</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1.全不不锈钢机身，符合卫生要求发泡保温层，炉门带密封胶条</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2.手拉排气阀门，可将烘烤过程中产生的过多水蒸气排出</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3.加热技术采用优质加热管，稳定性能佳，节省烘烤时间，减少水分流失上下火双重受热，使面团在短的时间内接收更多热量，整体膨胀</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同时增大表面延展，给膨胀保留更大的空间，使面团拥有理想塑形。</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4.发酵箱自动进水，节能蒸汽发生器，喷雾系统通过柜内输送，输出蒸汽。使柜内温度均匀</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5.自动/手动双控制模式，每层独立控制，可预设 12 个程序，上下火单独设定直观的操控界面 &amp;设定图标，全盘掌控烘烤流程。</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6.镀铝板炉膛传热快发泡保温层，炒炉 门带密封胶条，言蓄热性能好，有助于面包形成理想的孔洞组织与湿软内芯。</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7.镀膜钢化玻璃视窗耐高温照明灯。</w:t>
            </w:r>
          </w:p>
        </w:tc>
      </w:tr>
      <w:tr w14:paraId="3B9EE556">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B4A4">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55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EF95">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双头开水器</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8D3E">
            <w:pPr>
              <w:widowControl/>
              <w:jc w:val="left"/>
              <w:textAlignment w:val="center"/>
              <w:rPr>
                <w:rFonts w:hint="eastAsia" w:ascii="宋体" w:hAnsi="宋体" w:eastAsia="宋体" w:cs="宋体"/>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CEE0">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FDC2">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E1B7">
            <w:pPr>
              <w:widowControl/>
              <w:numPr>
                <w:ilvl w:val="0"/>
                <w:numId w:val="0"/>
              </w:numPr>
              <w:jc w:val="left"/>
              <w:textAlignment w:val="center"/>
              <w:rPr>
                <w:rFonts w:hint="eastAsia" w:ascii="宋体" w:hAnsi="宋体" w:eastAsia="宋体" w:cs="宋体"/>
                <w:kern w:val="0"/>
                <w:sz w:val="24"/>
                <w:lang w:bidi="ar"/>
              </w:rPr>
            </w:pPr>
            <w:r>
              <w:rPr>
                <w:rFonts w:hint="eastAsia" w:ascii="宋体" w:hAnsi="宋体" w:eastAsia="宋体" w:cs="宋体"/>
                <w:kern w:val="0"/>
                <w:sz w:val="24"/>
                <w:szCs w:val="24"/>
                <w:lang w:val="en-US" w:eastAsia="zh-CN" w:bidi="ar"/>
              </w:rPr>
              <w:t>1.</w:t>
            </w:r>
            <w:r>
              <w:rPr>
                <w:rFonts w:hint="eastAsia" w:ascii="宋体" w:hAnsi="宋体" w:eastAsia="宋体" w:cs="宋体"/>
                <w:kern w:val="0"/>
                <w:sz w:val="24"/>
                <w:lang w:bidi="ar"/>
              </w:rPr>
              <w:t>整机外壳采用厚度：0.5mm优质不锈钢，外壳颜色：拉丝黑、无指纹油；内胆材质：食品级304#不锈钢，内胆厚度：0.4mm；</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2.双出水龙头，水龙头采用纯铜镀镍。</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3.数码触控面板，功能一键启动开关机，</w:t>
            </w:r>
          </w:p>
          <w:p w14:paraId="601DD46F">
            <w:pPr>
              <w:widowControl/>
              <w:numPr>
                <w:ilvl w:val="0"/>
                <w:numId w:val="0"/>
              </w:numPr>
              <w:jc w:val="left"/>
              <w:textAlignment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4.3mm钢化玻璃面板外观设计 </w:t>
            </w:r>
          </w:p>
          <w:p w14:paraId="048238DD">
            <w:pPr>
              <w:widowControl/>
              <w:numPr>
                <w:ilvl w:val="0"/>
                <w:numId w:val="0"/>
              </w:numPr>
              <w:jc w:val="left"/>
              <w:textAlignment w:val="center"/>
              <w:rPr>
                <w:rFonts w:hint="eastAsia" w:ascii="宋体" w:hAnsi="宋体" w:eastAsia="宋体" w:cs="宋体"/>
                <w:sz w:val="24"/>
              </w:rPr>
            </w:pPr>
            <w:r>
              <w:rPr>
                <w:rFonts w:hint="eastAsia" w:ascii="宋体" w:hAnsi="宋体" w:eastAsia="宋体" w:cs="宋体"/>
                <w:kern w:val="0"/>
                <w:sz w:val="24"/>
                <w:lang w:bidi="ar"/>
              </w:rPr>
              <w:t xml:space="preserve">5.智能温控，多段温度可选，可自主设定出水温度40度~99度；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6.紫铜发热管，干烧保护功能；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7.防滑脚垫，防止机器滑动，机身稳固；机器可放台面，配支撑底座 ；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8.快速烧水，无需等待；步进加热，可连续使用热水；</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9.微电脑控制；智能预约开关机功能，机器有记忆功能；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10.每小时热水产水量：160升/时；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11.内胆容量：45升；</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12.电压功率：≥380V/9KW，50HZ，空气开关接线</w:t>
            </w:r>
          </w:p>
        </w:tc>
      </w:tr>
      <w:tr w14:paraId="1393F522">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6F26">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56</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6745">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活动垃圾桶收残车</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8808">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≥1000*800*800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9A79">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E121">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685C">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1、板材采用304不锈钢板；</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2、车体为38*38*1.5方管；</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3、装配4"耐磨脚轮4个,其中2个后车轮是刹车功能。</w:t>
            </w:r>
          </w:p>
        </w:tc>
      </w:tr>
      <w:tr w14:paraId="0A0AC9D6">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0647">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57</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86B8">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水洗排烟风柜</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B278">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≥20000风量11KW</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D250">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65F4">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1ACC">
            <w:pPr>
              <w:widowControl/>
              <w:jc w:val="left"/>
              <w:textAlignment w:val="center"/>
              <w:rPr>
                <w:rFonts w:hint="eastAsia" w:ascii="宋体" w:hAnsi="宋体" w:eastAsia="宋体" w:cs="宋体"/>
                <w:kern w:val="0"/>
                <w:sz w:val="24"/>
                <w:lang w:bidi="ar"/>
              </w:rPr>
            </w:pPr>
            <w:r>
              <w:rPr>
                <w:rFonts w:hint="eastAsia" w:ascii="宋体" w:hAnsi="宋体" w:eastAsia="宋体" w:cs="宋体"/>
                <w:kern w:val="0"/>
                <w:sz w:val="24"/>
                <w:lang w:bidi="ar"/>
              </w:rPr>
              <w:t>1.内部采用双层静音处理技术，全网加静音棉，静音棉材质为铝硅阻燃材料，厚度≥25MM</w:t>
            </w:r>
          </w:p>
          <w:p w14:paraId="561E8D42">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2.采用耐高温耐腐蚀风机专用轴承，精度高，抗磨损性好，增加风机使用寿命，减少维护成本。</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3.产品可配备自动定时变频功能，可调节风量风压，多重保护，缺项，过载，绝缘损坏等运行故障. 定时模式：支持 8/12/24 小时循环启停，适配餐饮午晚餐高峰（如 11:00-14:00 自动满功率运行）</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4.角钢：采用镀锌角钢制作，结构更牢固，风机设有检修门，方便日后维护； 底部自带槽钢支架，便于安装。</w:t>
            </w:r>
          </w:p>
        </w:tc>
      </w:tr>
      <w:tr w14:paraId="2D8F7688">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833A">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58</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2F52">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油烟净化器</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487F">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≥20000风量3KW</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0754">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CFDC">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4173">
            <w:pPr>
              <w:widowControl/>
              <w:jc w:val="left"/>
              <w:textAlignment w:val="center"/>
              <w:rPr>
                <w:rFonts w:hint="eastAsia" w:ascii="宋体" w:hAnsi="宋体" w:eastAsia="宋体" w:cs="宋体"/>
                <w:kern w:val="0"/>
                <w:sz w:val="24"/>
                <w:lang w:bidi="ar"/>
              </w:rPr>
            </w:pPr>
            <w:r>
              <w:rPr>
                <w:rFonts w:hint="eastAsia" w:ascii="宋体" w:hAnsi="宋体" w:eastAsia="宋体" w:cs="宋体"/>
                <w:kern w:val="0"/>
                <w:sz w:val="24"/>
                <w:lang w:bidi="ar"/>
              </w:rPr>
              <w:t>1、外壳全部为≥1.2mm以上厚度的碳钢冷板，设备外壳喷涂工艺上采用的是热固性纯聚酯粉末涂料，预处理工艺要脱脂、除锈、中和、表调、磷化和烘干等工艺。</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2、各级收集组件都有自己的检修门和高压电源以于检查维护时不影响别的组件。</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3、电场主体为不锈钢电场同时满足可单独拆卸，方便设备清洗维护。</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4、机体内部联接处的密封条能把电离和收集组伴与内部结构隔离开以防止组件周围的污染。</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5、电场主体绝缘子采用陶瓷绝缘子，不得采用塑胶等普通材质进行绝缘。</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6、设备高压电源输出绝缘子采用陶瓷绝缘子，不得采用塑胶等普通材质进行绝缘。</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7、检修时通过检修门，可以直接接触到电场主体。</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8、每个组体都独立含有：工作指示灯、电源指示灯、设备状态灯,可提醒用户清洗电场，用户还可以根据数字显示来判断设备的状态。</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9、高压电源与电场主体采用不锈钢顶针方式连接，不可采用高压线连接。</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10、高压数字电源发生器需配置有电流调节功能，并带有多项保护功能，包括软启动、电场短路保护，放电跳停保护、电源过载保护和变压器过温保护等多重保护功能，确保设备安全。</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11、所有高压线路都不可暴露在废气流中。</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12、设备每个净化单元装有数字显示面板及工作指示灯，能数字显示工作电流，故障代码等。</w:t>
            </w:r>
          </w:p>
          <w:p w14:paraId="666FED43">
            <w:pPr>
              <w:widowControl/>
              <w:jc w:val="left"/>
              <w:textAlignment w:val="center"/>
              <w:rPr>
                <w:rFonts w:hint="eastAsia" w:ascii="宋体" w:hAnsi="宋体" w:eastAsia="宋体" w:cs="宋体"/>
                <w:kern w:val="0"/>
                <w:sz w:val="24"/>
                <w:lang w:bidi="ar"/>
              </w:rPr>
            </w:pPr>
            <w:r>
              <w:rPr>
                <w:rFonts w:hint="eastAsia" w:ascii="宋体" w:hAnsi="宋体" w:eastAsia="宋体" w:cs="宋体"/>
                <w:kern w:val="0"/>
                <w:sz w:val="24"/>
                <w:lang w:bidi="ar"/>
              </w:rPr>
              <w:t>13、符合DB11/1488-2018《餐饮业大气污染物排放标准》。</w:t>
            </w:r>
          </w:p>
        </w:tc>
      </w:tr>
      <w:tr w14:paraId="4CFE1526">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B7D0">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59</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FD5C">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变径</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D2ED">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0D4E">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FB16">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个</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91E6">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采用1.0mm镀锌板做,用30*30角铁做法兰连接，接驳处采用密封条及玻璃胶密封。</w:t>
            </w:r>
          </w:p>
        </w:tc>
      </w:tr>
      <w:tr w14:paraId="24E9197E">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C943">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6</w:t>
            </w:r>
            <w:r>
              <w:rPr>
                <w:rFonts w:hint="eastAsia" w:ascii="宋体" w:hAnsi="宋体" w:eastAsia="宋体" w:cs="宋体"/>
                <w:kern w:val="0"/>
                <w:sz w:val="24"/>
                <w:lang w:val="en-US" w:eastAsia="zh-CN" w:bidi="ar"/>
              </w:rPr>
              <w:t>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66EC">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90℃弯头</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ABF1">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53DA">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813E">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个</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2D25">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采用1.0mm镀锌板做,用30*30角铁做法兰连接，接驳处采用密封条及玻璃胶密封。</w:t>
            </w:r>
          </w:p>
        </w:tc>
      </w:tr>
      <w:tr w14:paraId="59FF11EA">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F15C">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61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34A1">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45℃弯头</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39E2">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30AB">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3C45">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个</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494C">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采用1.0mm镀锌板做,用30*30角铁做法兰连接，接驳处采用密封条及玻璃胶密封。</w:t>
            </w:r>
          </w:p>
        </w:tc>
      </w:tr>
      <w:tr w14:paraId="249584B5">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27FA">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62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79C5">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150℃防火阀</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6FA8">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9651">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217F">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E14C">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自动，当风管内温度达到 150 度时，防火阀内热熔线融化并自动切断阀门已达到防火目的。</w:t>
            </w:r>
          </w:p>
        </w:tc>
      </w:tr>
      <w:tr w14:paraId="198C2955">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24C4">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63</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06EE">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软连接</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116B">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2583">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88E1">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个</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23A8">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采用国标 30*30*3mm 角钢焊接制作,配帆布连接</w:t>
            </w:r>
          </w:p>
        </w:tc>
      </w:tr>
      <w:tr w14:paraId="5AA5B2B4">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55AA">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64</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3E17">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法兰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7BBD">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D2AA">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60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BF81">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个</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64CD">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用30*30角铁做法兰连接</w:t>
            </w:r>
          </w:p>
        </w:tc>
      </w:tr>
      <w:tr w14:paraId="78AFC8FE">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BC80">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65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7652">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风柜支架</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08B1">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0BC2">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787F">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个</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499D">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采用50×50角钢，防锈处理。</w:t>
            </w:r>
          </w:p>
        </w:tc>
      </w:tr>
      <w:tr w14:paraId="7B252DEE">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A1FC">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66</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F234">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油烟净化器支架</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BCA7">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772B">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FAA9">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个</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19EF">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采用50×50角钢，防锈处理。</w:t>
            </w:r>
          </w:p>
        </w:tc>
      </w:tr>
      <w:tr w14:paraId="029B6EE8">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D604">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67</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2046">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风柜减震器</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D96F">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112D">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E1FF">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个</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DE71">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符合国家标准</w:t>
            </w:r>
          </w:p>
        </w:tc>
      </w:tr>
      <w:tr w14:paraId="49B08E95">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3B2F">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68</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68FA">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进出口消音管</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E966">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4222">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CB4F">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组</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BF18">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内部采用0.8不锈镀锌穿孔板，夹层采用消音棉；外部用1.0mm不锈镀锌板；</w:t>
            </w:r>
          </w:p>
        </w:tc>
      </w:tr>
      <w:tr w14:paraId="525D3F7E">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CAD9">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69</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04EC">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风机专用7寸触摸屏控制箱</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F156">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D86B">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1B85">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787E">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1.不锈钢拉丝箱体，智能LCD屏幕，变频启停，一键切换静音，节能，强排模式，平缓无冲击，减少风机皮带，轴承等磨损。</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2.节省用电，可调整风机输出功率实现节能运行，风机、净化器同步控制/可联动新风，无级变速，有效降低共振及消除电机电磁噪音。</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3.自动调整风量风压，设计施工方便，设备具备缺相、短路、过载、绝缘损坏等多重保护功能。</w:t>
            </w:r>
          </w:p>
        </w:tc>
      </w:tr>
      <w:tr w14:paraId="52FC65BA">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6F2D">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7</w:t>
            </w:r>
            <w:r>
              <w:rPr>
                <w:rFonts w:hint="eastAsia" w:ascii="宋体" w:hAnsi="宋体" w:eastAsia="宋体" w:cs="宋体"/>
                <w:kern w:val="0"/>
                <w:sz w:val="24"/>
                <w:lang w:val="en-US" w:eastAsia="zh-CN" w:bidi="ar"/>
              </w:rPr>
              <w:t>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1B3D">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排烟管道</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D682">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9085">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374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8EFA">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平米</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6ABC">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304不锈钢材质，板材厚度1.5mm</w:t>
            </w:r>
          </w:p>
        </w:tc>
      </w:tr>
      <w:tr w14:paraId="01C5FC46">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5090">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71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E3C0">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风柜消音箱</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3A5D">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A869">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D26F">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个</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72C8">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内部采用0.8不锈镀锌穿孔板，夹层采用消音棉；外部用≥1.0mm不锈镀锌板；</w:t>
            </w:r>
          </w:p>
        </w:tc>
      </w:tr>
      <w:tr w14:paraId="73F7DBB6">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D197">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72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6072">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预留环保检测口</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35C9">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D6AA">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D7BC">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个</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DDA9">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符合环保要求预留环测口，加密封圈，方便环保检测。</w:t>
            </w:r>
          </w:p>
        </w:tc>
      </w:tr>
      <w:tr w14:paraId="0E7BD002">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B907">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73</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CF71">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环保检测服务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8F71">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7F8C">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9ABD">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项</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206F">
            <w:pPr>
              <w:widowControl/>
              <w:jc w:val="left"/>
              <w:textAlignment w:val="center"/>
              <w:rPr>
                <w:rFonts w:hint="eastAsia" w:ascii="宋体" w:hAnsi="宋体" w:eastAsia="宋体" w:cs="宋体"/>
                <w:sz w:val="24"/>
              </w:rPr>
            </w:pPr>
            <w:r>
              <w:rPr>
                <w:rFonts w:hint="eastAsia" w:ascii="宋体" w:hAnsi="宋体" w:cs="宋体"/>
                <w:kern w:val="0"/>
                <w:sz w:val="24"/>
                <w:lang w:val="en-US" w:eastAsia="zh-CN" w:bidi="ar"/>
              </w:rPr>
              <w:t>#</w:t>
            </w:r>
            <w:r>
              <w:rPr>
                <w:rFonts w:hint="eastAsia" w:ascii="宋体" w:hAnsi="宋体" w:eastAsia="宋体" w:cs="宋体"/>
                <w:kern w:val="0"/>
                <w:sz w:val="24"/>
                <w:lang w:bidi="ar"/>
              </w:rPr>
              <w:t>依据北京地区DB11/1488-2018《餐饮业大气污染物排放标准》进行检测，出具检测报告。</w:t>
            </w:r>
          </w:p>
        </w:tc>
      </w:tr>
      <w:tr w14:paraId="3D9A0BA5">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C172">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74</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1105">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送风风柜</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C93A">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≥14000风量5.5KW</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FBCD">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6DD6">
            <w:pPr>
              <w:jc w:val="center"/>
              <w:rPr>
                <w:rFonts w:hint="eastAsia" w:ascii="宋体" w:hAnsi="宋体" w:eastAsia="宋体" w:cs="宋体"/>
                <w:sz w:val="24"/>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500B">
            <w:pPr>
              <w:widowControl/>
              <w:jc w:val="left"/>
              <w:textAlignment w:val="center"/>
              <w:rPr>
                <w:rFonts w:hint="eastAsia" w:ascii="宋体" w:hAnsi="宋体" w:eastAsia="宋体" w:cs="宋体"/>
                <w:kern w:val="0"/>
                <w:sz w:val="24"/>
                <w:lang w:bidi="ar"/>
              </w:rPr>
            </w:pPr>
            <w:r>
              <w:rPr>
                <w:rFonts w:hint="eastAsia" w:ascii="宋体" w:hAnsi="宋体" w:eastAsia="宋体" w:cs="宋体"/>
                <w:kern w:val="0"/>
                <w:sz w:val="24"/>
                <w:lang w:bidi="ar"/>
              </w:rPr>
              <w:t>1.整机外壳采用汽车金属烤漆钢板制作工艺，不易褪色，防腐等级高，使用寿命长。</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2.根据离心力和动量守恒定律设计的风机专用高压叶轮。叶片采用压铆激光焊接工艺制作，更牢固，具有风量大，压力高，运行稳定等特点。</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3.内部采用双层静音处理技术，全网加静音棉，静音棉材质为铝硅阻燃材料，厚度≥25MM</w:t>
            </w:r>
          </w:p>
          <w:p w14:paraId="2A829C86">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4.采用进口耐高温耐腐蚀风机专用轴承，精度高，抗磨损性好，增加风机使用寿命，减少维护成本。</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5.产品可配备自动定时变频功能，可调节风量风压，多重保护，缺项，过载，绝缘损坏等运行故障. 定时模式：支持 8/12/24 小时循环启停，适配餐饮午晚餐高峰（如 11:00-14:00 自动满功率运行）</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6.角钢：采用镀锌角钢制作，结构更牢固，风机设有检修门，方便日后维护； 底部自带槽钢支架，便于安装。</w:t>
            </w:r>
          </w:p>
        </w:tc>
      </w:tr>
      <w:tr w14:paraId="36C9C37E">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58A0">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75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6CC9">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送风管道</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62BD">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C99A">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279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FFB4">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平米</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BF58">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304不锈钢材质，板材厚度≥1.5mm</w:t>
            </w:r>
          </w:p>
        </w:tc>
      </w:tr>
      <w:tr w14:paraId="5D5A059C">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54BE">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76</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DB43">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变径</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FB5D">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D7AA">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B2AE">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个</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1355">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采用≥1.0mm镀锌板做,用30*30角铁做法兰连接，接驳处采用密封条及玻璃胶密封。</w:t>
            </w:r>
          </w:p>
        </w:tc>
      </w:tr>
      <w:tr w14:paraId="53891C0F">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EE2F">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77</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71AD">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90℃弯头</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BDF4">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641B">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C015">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个</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2FB7">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采用≥1.0mm镀锌板做,用30*30角铁做法兰连接，接驳处采用密封条及玻璃胶密封。</w:t>
            </w:r>
          </w:p>
        </w:tc>
      </w:tr>
      <w:tr w14:paraId="604D104E">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D36E">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78</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E13C">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45℃弯头</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059D">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10AD">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E6F5">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个</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8FC7">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采用≥1.0mm镀锌板做,用30*30角铁做法兰连接，接驳处采用密封条及玻璃胶密封。</w:t>
            </w:r>
          </w:p>
        </w:tc>
      </w:tr>
      <w:tr w14:paraId="2B609052">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FFCB">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79</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D12B">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70℃防火阀</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C1A1">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173D">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B58A">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5C60">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自动，当风管内温度达到70度时，防火阀内热熔线融化并自动切断阀门已达到防火目的。</w:t>
            </w:r>
          </w:p>
        </w:tc>
      </w:tr>
      <w:tr w14:paraId="079F3095">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0E0F">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8</w:t>
            </w:r>
            <w:r>
              <w:rPr>
                <w:rFonts w:hint="eastAsia" w:ascii="宋体" w:hAnsi="宋体" w:eastAsia="宋体" w:cs="宋体"/>
                <w:kern w:val="0"/>
                <w:sz w:val="24"/>
                <w:lang w:val="en-US" w:eastAsia="zh-CN" w:bidi="ar"/>
              </w:rPr>
              <w:t>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78A5">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软连接</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2F7D">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CA11">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EE2E">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个</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EE94">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采用国标 30*30*3mm 角钢焊接制作,配帆布连接</w:t>
            </w:r>
          </w:p>
        </w:tc>
      </w:tr>
      <w:tr w14:paraId="107A9094">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1849">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81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F4F2">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法兰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52AC">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AF20">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60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9A22">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个</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A6A9">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用30*30角铁做法兰连接</w:t>
            </w:r>
          </w:p>
        </w:tc>
      </w:tr>
      <w:tr w14:paraId="5B5124C6">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9031">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82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0B95">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风柜支架</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5307">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6729">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95E9">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个</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3C8C">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采用50×50角钢，防锈处理。</w:t>
            </w:r>
          </w:p>
        </w:tc>
      </w:tr>
      <w:tr w14:paraId="2E327603">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1473">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83</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AD41">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风柜减震器</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4FCD">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C11A">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CD02">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个</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ACCA">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符合国家标准</w:t>
            </w:r>
          </w:p>
        </w:tc>
      </w:tr>
      <w:tr w14:paraId="1B95C2A7">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220E">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84</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8AD3">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进出口消音管</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D90F">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550C">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A4CE">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组</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849B">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内部采用0.8不锈镀锌穿孔板，夹层采用消音棉；外部用1.0mm不锈镀锌板；</w:t>
            </w:r>
          </w:p>
        </w:tc>
      </w:tr>
      <w:tr w14:paraId="7A97A1A7">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7FD9">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85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4A74">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风机专用7寸触摸屏控制箱</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5310">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73A2">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BA87">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3629">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1.不锈钢拉丝箱体，智能LCD屏幕，变频启停，一键切换静音，节能，强排模式，平缓无冲击，减少风机皮带，轴承等磨损。</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2.节省用电，可调整风机输出功率实现节能运行，风机、净化器同步控制/可联动新风，无级变速，有效降低共振及消除电机电磁噪音。</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3.自动调整风量风压，设计施工方便，设备具备缺相、短路、过载、绝缘损坏等多重保护功能。</w:t>
            </w:r>
          </w:p>
        </w:tc>
      </w:tr>
      <w:tr w14:paraId="32EF8BB6">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341A">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86</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FAE0">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送烟管道</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C252">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736E">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285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C904">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平米</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2A05">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304不锈钢材质，板材厚度≥1.5mm</w:t>
            </w:r>
          </w:p>
        </w:tc>
      </w:tr>
      <w:tr w14:paraId="55977C20">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80D2">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87</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2AF1">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风柜消音箱</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2D62">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459E">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452A">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个</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604E">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内部采用0.8不锈镀锌穿孔板，夹层采用消音棉；外部用≥1.0mm不锈镀锌板；</w:t>
            </w:r>
          </w:p>
        </w:tc>
      </w:tr>
      <w:tr w14:paraId="55601426">
        <w:tblPrEx>
          <w:tblCellMar>
            <w:top w:w="0" w:type="dxa"/>
            <w:left w:w="108" w:type="dxa"/>
            <w:bottom w:w="0" w:type="dxa"/>
            <w:right w:w="108" w:type="dxa"/>
          </w:tblCellMar>
        </w:tblPrEx>
        <w:trPr>
          <w:trHeight w:val="2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D955">
            <w:pPr>
              <w:widowControl/>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88</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60A2">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送风百叶</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E952">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E8BB">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D125">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个</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3781">
            <w:pPr>
              <w:widowControl/>
              <w:jc w:val="left"/>
              <w:textAlignment w:val="center"/>
              <w:rPr>
                <w:rFonts w:hint="eastAsia" w:ascii="宋体" w:hAnsi="宋体" w:eastAsia="宋体" w:cs="宋体"/>
                <w:sz w:val="24"/>
              </w:rPr>
            </w:pPr>
            <w:r>
              <w:rPr>
                <w:rFonts w:hint="eastAsia" w:ascii="宋体" w:hAnsi="宋体" w:eastAsia="宋体" w:cs="宋体"/>
                <w:kern w:val="0"/>
                <w:sz w:val="24"/>
                <w:lang w:bidi="ar"/>
              </w:rPr>
              <w:t>双层</w:t>
            </w:r>
          </w:p>
        </w:tc>
      </w:tr>
    </w:tbl>
    <w:p w14:paraId="0C5B931F">
      <w:pPr>
        <w:widowControl/>
        <w:jc w:val="left"/>
        <w:textAlignment w:val="center"/>
        <w:rPr>
          <w:rFonts w:ascii="宋体" w:hAnsi="宋体" w:eastAsia="宋体" w:cs="宋体"/>
          <w:b/>
          <w:bCs/>
          <w:kern w:val="0"/>
          <w:sz w:val="24"/>
          <w:lang w:bidi="ar"/>
        </w:rPr>
      </w:pPr>
      <w:bookmarkStart w:id="49" w:name="_Toc3983"/>
      <w:bookmarkStart w:id="50" w:name="_Toc99301425"/>
      <w:r>
        <w:rPr>
          <w:rFonts w:hint="eastAsia"/>
          <w:lang w:val="en-US" w:eastAsia="zh-CN"/>
        </w:rPr>
        <w:br w:type="textWrapping"/>
      </w:r>
      <w:r>
        <w:rPr>
          <w:rFonts w:hint="eastAsia" w:ascii="宋体" w:hAnsi="宋体" w:eastAsia="宋体" w:cs="宋体"/>
          <w:b/>
          <w:bCs/>
          <w:kern w:val="0"/>
          <w:sz w:val="24"/>
          <w:lang w:bidi="ar"/>
        </w:rPr>
        <w:t>2、培训设备</w:t>
      </w:r>
    </w:p>
    <w:tbl>
      <w:tblPr>
        <w:tblStyle w:val="46"/>
        <w:tblW w:w="0" w:type="auto"/>
        <w:tblInd w:w="96" w:type="dxa"/>
        <w:tblLayout w:type="autofit"/>
        <w:tblCellMar>
          <w:top w:w="0" w:type="dxa"/>
          <w:left w:w="108" w:type="dxa"/>
          <w:bottom w:w="0" w:type="dxa"/>
          <w:right w:w="108" w:type="dxa"/>
        </w:tblCellMar>
      </w:tblPr>
      <w:tblGrid>
        <w:gridCol w:w="458"/>
        <w:gridCol w:w="1422"/>
        <w:gridCol w:w="2017"/>
        <w:gridCol w:w="576"/>
        <w:gridCol w:w="458"/>
        <w:gridCol w:w="4930"/>
      </w:tblGrid>
      <w:tr w14:paraId="4FA75E1C">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3789D">
            <w:pPr>
              <w:widowControl/>
              <w:jc w:val="center"/>
              <w:textAlignment w:val="center"/>
              <w:rPr>
                <w:rFonts w:ascii="宋体" w:hAnsi="宋体" w:eastAsia="宋体" w:cs="宋体"/>
                <w:b/>
                <w:bCs/>
                <w:sz w:val="24"/>
              </w:rPr>
            </w:pPr>
            <w:r>
              <w:rPr>
                <w:rFonts w:hint="eastAsia" w:ascii="宋体" w:hAnsi="宋体" w:eastAsia="宋体" w:cs="宋体"/>
                <w:b/>
                <w:bCs/>
                <w:kern w:val="0"/>
                <w:sz w:val="24"/>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EA244">
            <w:pPr>
              <w:widowControl/>
              <w:jc w:val="center"/>
              <w:textAlignment w:val="center"/>
              <w:rPr>
                <w:rFonts w:ascii="宋体" w:hAnsi="宋体" w:eastAsia="宋体" w:cs="宋体"/>
                <w:b/>
                <w:bCs/>
                <w:sz w:val="24"/>
              </w:rPr>
            </w:pPr>
            <w:r>
              <w:rPr>
                <w:rFonts w:hint="eastAsia" w:ascii="宋体" w:hAnsi="宋体" w:eastAsia="宋体" w:cs="宋体"/>
                <w:b/>
                <w:bCs/>
                <w:kern w:val="0"/>
                <w:sz w:val="24"/>
                <w:lang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3C313">
            <w:pPr>
              <w:widowControl/>
              <w:jc w:val="center"/>
              <w:textAlignment w:val="center"/>
              <w:rPr>
                <w:rFonts w:ascii="宋体" w:hAnsi="宋体" w:eastAsia="宋体" w:cs="宋体"/>
                <w:b/>
                <w:bCs/>
                <w:sz w:val="24"/>
              </w:rPr>
            </w:pPr>
            <w:r>
              <w:rPr>
                <w:rFonts w:hint="eastAsia" w:ascii="宋体" w:hAnsi="宋体" w:eastAsia="宋体" w:cs="宋体"/>
                <w:b/>
                <w:bCs/>
                <w:kern w:val="0"/>
                <w:sz w:val="24"/>
                <w:lang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E26FB">
            <w:pPr>
              <w:widowControl/>
              <w:jc w:val="center"/>
              <w:textAlignment w:val="center"/>
              <w:rPr>
                <w:rFonts w:ascii="宋体" w:hAnsi="宋体" w:eastAsia="宋体" w:cs="宋体"/>
                <w:b/>
                <w:bCs/>
                <w:sz w:val="24"/>
              </w:rPr>
            </w:pPr>
            <w:r>
              <w:rPr>
                <w:rFonts w:hint="eastAsia" w:ascii="宋体" w:hAnsi="宋体" w:eastAsia="宋体" w:cs="宋体"/>
                <w:b/>
                <w:bCs/>
                <w:kern w:val="0"/>
                <w:sz w:val="24"/>
                <w:lang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8C90A">
            <w:pPr>
              <w:widowControl/>
              <w:jc w:val="center"/>
              <w:textAlignment w:val="center"/>
              <w:rPr>
                <w:rFonts w:ascii="宋体" w:hAnsi="宋体" w:eastAsia="宋体" w:cs="宋体"/>
                <w:b/>
                <w:bCs/>
                <w:sz w:val="24"/>
              </w:rPr>
            </w:pPr>
            <w:r>
              <w:rPr>
                <w:rFonts w:hint="eastAsia" w:ascii="宋体" w:hAnsi="宋体" w:eastAsia="宋体" w:cs="宋体"/>
                <w:b/>
                <w:bCs/>
                <w:kern w:val="0"/>
                <w:sz w:val="24"/>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9A68">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技术参数</w:t>
            </w:r>
          </w:p>
        </w:tc>
      </w:tr>
      <w:tr w14:paraId="46DDADFC">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ACAC">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D167">
            <w:pPr>
              <w:widowControl/>
              <w:jc w:val="left"/>
              <w:textAlignment w:val="center"/>
              <w:rPr>
                <w:rFonts w:ascii="宋体" w:hAnsi="宋体" w:eastAsia="宋体" w:cs="宋体"/>
                <w:sz w:val="24"/>
              </w:rPr>
            </w:pPr>
            <w:r>
              <w:rPr>
                <w:rFonts w:hint="eastAsia" w:ascii="宋体" w:hAnsi="宋体" w:eastAsia="宋体" w:cs="宋体"/>
                <w:kern w:val="0"/>
                <w:sz w:val="24"/>
                <w:lang w:bidi="ar"/>
              </w:rPr>
              <w:t>烘干器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7263">
            <w:pPr>
              <w:widowControl/>
              <w:jc w:val="left"/>
              <w:textAlignment w:val="center"/>
              <w:rPr>
                <w:rFonts w:ascii="宋体" w:hAnsi="宋体" w:eastAsia="宋体"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259C">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14E3">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34C3D">
            <w:pPr>
              <w:widowControl/>
              <w:jc w:val="left"/>
              <w:textAlignment w:val="center"/>
              <w:rPr>
                <w:rFonts w:hint="eastAsia" w:ascii="宋体" w:hAnsi="宋体" w:eastAsia="宋体" w:cs="宋体"/>
                <w:sz w:val="24"/>
                <w:lang w:eastAsia="zh-CN"/>
              </w:rPr>
            </w:pPr>
            <w:r>
              <w:rPr>
                <w:rFonts w:hint="eastAsia" w:ascii="宋体" w:hAnsi="宋体" w:eastAsia="宋体" w:cs="宋体"/>
                <w:kern w:val="0"/>
                <w:sz w:val="24"/>
                <w:lang w:bidi="ar"/>
              </w:rPr>
              <w:t>1、电压：220V</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2、功率：≥1300W</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3、传感器范围：50-120MM</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4、风速：&gt;85M/S</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5、安装方式：挂壁</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6、全自动免接触智能红外感应，伸手即开、收手即停，性能稳定</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7、排式高速气流柱出风口设计，风速强劲，干燥时间5-8秒，具有智能控制模板，可根据需要选择自然风、加热风两档调节。</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8、安装方便，用膨胀螺钉固定好不锈钢挂件后再将机器挂上并固定稳即可使用</w:t>
            </w:r>
            <w:r>
              <w:rPr>
                <w:rFonts w:hint="eastAsia" w:ascii="宋体" w:hAnsi="宋体" w:eastAsia="宋体" w:cs="宋体"/>
                <w:kern w:val="0"/>
                <w:sz w:val="24"/>
                <w:lang w:eastAsia="zh-CN" w:bidi="ar"/>
              </w:rPr>
              <w:t>。</w:t>
            </w:r>
          </w:p>
        </w:tc>
      </w:tr>
      <w:tr w14:paraId="17AD938C">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894D">
            <w:pPr>
              <w:widowControl/>
              <w:jc w:val="center"/>
              <w:textAlignment w:val="center"/>
              <w:rPr>
                <w:rFonts w:ascii="宋体" w:hAnsi="宋体" w:eastAsia="宋体" w:cs="宋体"/>
                <w:sz w:val="24"/>
              </w:rPr>
            </w:pPr>
            <w:r>
              <w:rPr>
                <w:rFonts w:hint="eastAsia" w:ascii="宋体" w:hAnsi="宋体" w:eastAsia="宋体" w:cs="宋体"/>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5E7F">
            <w:pPr>
              <w:widowControl/>
              <w:jc w:val="left"/>
              <w:textAlignment w:val="center"/>
              <w:rPr>
                <w:rFonts w:ascii="宋体" w:hAnsi="宋体" w:eastAsia="宋体" w:cs="宋体"/>
                <w:sz w:val="24"/>
              </w:rPr>
            </w:pPr>
            <w:r>
              <w:rPr>
                <w:rFonts w:hint="eastAsia" w:ascii="宋体" w:hAnsi="宋体" w:eastAsia="宋体" w:cs="宋体"/>
                <w:kern w:val="0"/>
                <w:sz w:val="24"/>
                <w:lang w:bidi="ar"/>
              </w:rPr>
              <w:t>灭蝇灯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2ADC5">
            <w:pPr>
              <w:widowControl/>
              <w:jc w:val="left"/>
              <w:textAlignment w:val="center"/>
              <w:rPr>
                <w:rFonts w:ascii="宋体" w:hAnsi="宋体" w:eastAsia="宋体"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1638">
            <w:pPr>
              <w:widowControl/>
              <w:jc w:val="center"/>
              <w:textAlignment w:val="center"/>
              <w:rPr>
                <w:rFonts w:ascii="宋体" w:hAnsi="宋体" w:eastAsia="宋体" w:cs="宋体"/>
                <w:sz w:val="24"/>
              </w:rPr>
            </w:pPr>
            <w:r>
              <w:rPr>
                <w:rFonts w:hint="eastAsia" w:ascii="宋体" w:hAnsi="宋体" w:eastAsia="宋体" w:cs="宋体"/>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1CC9">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A9584">
            <w:pPr>
              <w:widowControl/>
              <w:jc w:val="left"/>
              <w:textAlignment w:val="center"/>
              <w:rPr>
                <w:rFonts w:ascii="宋体" w:hAnsi="宋体" w:eastAsia="宋体" w:cs="宋体"/>
                <w:sz w:val="24"/>
              </w:rPr>
            </w:pPr>
            <w:r>
              <w:rPr>
                <w:rFonts w:hint="eastAsia" w:ascii="宋体" w:hAnsi="宋体" w:eastAsia="宋体" w:cs="宋体"/>
                <w:kern w:val="0"/>
                <w:sz w:val="24"/>
                <w:lang w:bidi="ar"/>
              </w:rPr>
              <w:t>1、电压：220V</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2、功率：≥30W</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3、灯管：2*15w灭蝇灯灯管，灯光波长在365nm最有效吸引蚊虫苍蝇。</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4、覆盖面积≥80㎡</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5、外壳ABS防阻燃材料</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6、双面粘板在使用过程能保持完全敞开，通过粘捕纸粘黏蚊蝇。耗能低，无异味，无辐射</w:t>
            </w:r>
          </w:p>
        </w:tc>
      </w:tr>
      <w:tr w14:paraId="35D1993F">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43D9">
            <w:pPr>
              <w:widowControl/>
              <w:jc w:val="center"/>
              <w:textAlignment w:val="center"/>
              <w:rPr>
                <w:rFonts w:ascii="宋体" w:hAnsi="宋体" w:eastAsia="宋体" w:cs="宋体"/>
                <w:sz w:val="24"/>
              </w:rPr>
            </w:pPr>
            <w:r>
              <w:rPr>
                <w:rFonts w:hint="eastAsia" w:ascii="宋体" w:hAnsi="宋体" w:eastAsia="宋体" w:cs="宋体"/>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989D0">
            <w:pPr>
              <w:widowControl/>
              <w:jc w:val="left"/>
              <w:textAlignment w:val="center"/>
              <w:rPr>
                <w:rFonts w:ascii="宋体" w:hAnsi="宋体" w:eastAsia="宋体" w:cs="宋体"/>
                <w:sz w:val="24"/>
              </w:rPr>
            </w:pPr>
            <w:r>
              <w:rPr>
                <w:rFonts w:hint="eastAsia" w:ascii="宋体" w:hAnsi="宋体" w:eastAsia="宋体" w:cs="宋体"/>
                <w:kern w:val="0"/>
                <w:sz w:val="24"/>
                <w:lang w:bidi="ar"/>
              </w:rPr>
              <w:t>单通工作台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41A94">
            <w:pPr>
              <w:widowControl/>
              <w:jc w:val="left"/>
              <w:textAlignment w:val="center"/>
              <w:rPr>
                <w:rFonts w:ascii="宋体" w:hAnsi="宋体" w:eastAsia="宋体" w:cs="宋体"/>
                <w:sz w:val="24"/>
              </w:rPr>
            </w:pPr>
            <w:r>
              <w:rPr>
                <w:rFonts w:hint="eastAsia" w:ascii="宋体" w:hAnsi="宋体" w:eastAsia="宋体" w:cs="宋体"/>
                <w:kern w:val="0"/>
                <w:sz w:val="24"/>
                <w:lang w:bidi="ar"/>
              </w:rPr>
              <w:t>≥1800*800*800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2AD22">
            <w:pPr>
              <w:widowControl/>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AC146">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8A93C">
            <w:pPr>
              <w:widowControl/>
              <w:jc w:val="left"/>
              <w:textAlignment w:val="center"/>
              <w:rPr>
                <w:rFonts w:ascii="宋体" w:hAnsi="宋体" w:eastAsia="宋体" w:cs="宋体"/>
                <w:sz w:val="24"/>
              </w:rPr>
            </w:pPr>
            <w:r>
              <w:rPr>
                <w:rFonts w:hint="eastAsia" w:ascii="宋体" w:hAnsi="宋体" w:eastAsia="宋体" w:cs="宋体"/>
                <w:kern w:val="0"/>
                <w:sz w:val="24"/>
                <w:lang w:bidi="ar"/>
              </w:rPr>
              <w:t>1.台面板采用304不锈钢板厚度≥1.5mm，配厚度≥1.2mm不锈钢板做补强撑。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2.层板采用304不锈钢板厚度≥1.2mm，配厚度≥1.2mm做补强撑。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3.脚通采用Φ38mm厚度≥1.5mm不锈钢圆通，配可调不锈钢子弹脚≥4个。</w:t>
            </w:r>
          </w:p>
        </w:tc>
      </w:tr>
      <w:tr w14:paraId="67FA687A">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B46C">
            <w:pPr>
              <w:widowControl/>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BA9F2">
            <w:pPr>
              <w:widowControl/>
              <w:jc w:val="left"/>
              <w:textAlignment w:val="center"/>
              <w:rPr>
                <w:rFonts w:ascii="宋体" w:hAnsi="宋体" w:eastAsia="宋体" w:cs="宋体"/>
                <w:sz w:val="24"/>
              </w:rPr>
            </w:pPr>
            <w:r>
              <w:rPr>
                <w:rFonts w:hint="eastAsia" w:ascii="宋体" w:hAnsi="宋体" w:eastAsia="宋体" w:cs="宋体"/>
                <w:kern w:val="0"/>
                <w:sz w:val="24"/>
                <w:lang w:bidi="ar"/>
              </w:rPr>
              <w:t>木面案工作台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55A4E">
            <w:pPr>
              <w:widowControl/>
              <w:jc w:val="left"/>
              <w:textAlignment w:val="center"/>
              <w:rPr>
                <w:rFonts w:ascii="宋体" w:hAnsi="宋体" w:eastAsia="宋体" w:cs="宋体"/>
                <w:sz w:val="24"/>
              </w:rPr>
            </w:pPr>
            <w:r>
              <w:rPr>
                <w:rFonts w:hint="eastAsia" w:ascii="宋体" w:hAnsi="宋体" w:eastAsia="宋体" w:cs="宋体"/>
                <w:kern w:val="0"/>
                <w:sz w:val="24"/>
                <w:lang w:bidi="ar"/>
              </w:rPr>
              <w:t>≥1800*800*800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E780E">
            <w:pPr>
              <w:widowControl/>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E5F4A">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9723B">
            <w:pPr>
              <w:widowControl/>
              <w:jc w:val="left"/>
              <w:textAlignment w:val="center"/>
              <w:rPr>
                <w:rFonts w:ascii="宋体" w:hAnsi="宋体" w:eastAsia="宋体" w:cs="宋体"/>
                <w:sz w:val="24"/>
              </w:rPr>
            </w:pPr>
            <w:r>
              <w:rPr>
                <w:rFonts w:hint="eastAsia" w:ascii="宋体" w:hAnsi="宋体" w:eastAsia="宋体" w:cs="宋体"/>
                <w:kern w:val="0"/>
                <w:sz w:val="24"/>
                <w:lang w:bidi="ar"/>
              </w:rPr>
              <w:t>①面板为橡木厚度为≥100mm；</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②框架用50*50*1.2mm厚不锈钢方管焊接，连加固横梁；</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③Φ38mm不锈钢腿及调节脚。</w:t>
            </w:r>
          </w:p>
        </w:tc>
      </w:tr>
      <w:tr w14:paraId="051E23ED">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DE5B">
            <w:pPr>
              <w:widowControl/>
              <w:jc w:val="center"/>
              <w:textAlignment w:val="center"/>
              <w:rPr>
                <w:rFonts w:ascii="宋体" w:hAnsi="宋体" w:eastAsia="宋体" w:cs="宋体"/>
                <w:sz w:val="24"/>
              </w:rPr>
            </w:pPr>
            <w:r>
              <w:rPr>
                <w:rFonts w:hint="eastAsia" w:ascii="宋体" w:hAnsi="宋体" w:eastAsia="宋体" w:cs="宋体"/>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856F3">
            <w:pPr>
              <w:widowControl/>
              <w:jc w:val="left"/>
              <w:textAlignment w:val="center"/>
              <w:rPr>
                <w:rFonts w:ascii="宋体" w:hAnsi="宋体" w:eastAsia="宋体" w:cs="宋体"/>
                <w:sz w:val="24"/>
              </w:rPr>
            </w:pPr>
            <w:r>
              <w:rPr>
                <w:rFonts w:hint="eastAsia" w:ascii="宋体" w:hAnsi="宋体" w:eastAsia="宋体" w:cs="宋体"/>
                <w:kern w:val="0"/>
                <w:sz w:val="24"/>
                <w:lang w:bidi="ar"/>
              </w:rPr>
              <w:t>面粉车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411D3">
            <w:pPr>
              <w:widowControl/>
              <w:jc w:val="left"/>
              <w:textAlignment w:val="center"/>
              <w:rPr>
                <w:rFonts w:ascii="宋体" w:hAnsi="宋体" w:eastAsia="宋体" w:cs="宋体"/>
                <w:sz w:val="24"/>
              </w:rPr>
            </w:pPr>
            <w:r>
              <w:rPr>
                <w:rFonts w:hint="eastAsia" w:ascii="宋体" w:hAnsi="宋体" w:eastAsia="宋体" w:cs="宋体"/>
                <w:kern w:val="0"/>
                <w:sz w:val="24"/>
                <w:lang w:bidi="ar"/>
              </w:rPr>
              <w:t>≥500*500*500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BB8A4">
            <w:pPr>
              <w:widowControl/>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EFF94">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EA3A1">
            <w:pPr>
              <w:widowControl/>
              <w:jc w:val="left"/>
              <w:textAlignment w:val="center"/>
              <w:rPr>
                <w:rFonts w:ascii="宋体" w:hAnsi="宋体" w:eastAsia="宋体" w:cs="宋体"/>
                <w:sz w:val="24"/>
              </w:rPr>
            </w:pPr>
            <w:r>
              <w:rPr>
                <w:rFonts w:hint="eastAsia" w:ascii="宋体" w:hAnsi="宋体" w:eastAsia="宋体" w:cs="宋体"/>
                <w:kern w:val="0"/>
                <w:sz w:val="24"/>
                <w:lang w:bidi="ar"/>
              </w:rPr>
              <w:t>①全部采用304#不锈钢板；</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②粉箱体采用≥1.2mm厚304#不锈钢制造；</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③配备4个静音轮连轮刹。</w:t>
            </w:r>
          </w:p>
        </w:tc>
      </w:tr>
      <w:tr w14:paraId="28910126">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AA84">
            <w:pPr>
              <w:widowControl/>
              <w:jc w:val="center"/>
              <w:textAlignment w:val="center"/>
              <w:rPr>
                <w:rFonts w:ascii="宋体" w:hAnsi="宋体" w:eastAsia="宋体" w:cs="宋体"/>
                <w:sz w:val="24"/>
              </w:rPr>
            </w:pPr>
            <w:r>
              <w:rPr>
                <w:rFonts w:hint="eastAsia" w:ascii="宋体" w:hAnsi="宋体" w:eastAsia="宋体" w:cs="宋体"/>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81B95">
            <w:pPr>
              <w:widowControl/>
              <w:jc w:val="left"/>
              <w:textAlignment w:val="center"/>
              <w:rPr>
                <w:rFonts w:ascii="宋体" w:hAnsi="宋体" w:eastAsia="宋体" w:cs="宋体"/>
                <w:sz w:val="24"/>
              </w:rPr>
            </w:pPr>
            <w:r>
              <w:rPr>
                <w:rFonts w:hint="eastAsia" w:ascii="宋体" w:hAnsi="宋体" w:eastAsia="宋体" w:cs="宋体"/>
                <w:kern w:val="0"/>
                <w:sz w:val="24"/>
                <w:lang w:bidi="ar"/>
              </w:rPr>
              <w:t>搅拌机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F1FCA">
            <w:pPr>
              <w:widowControl/>
              <w:jc w:val="left"/>
              <w:textAlignment w:val="center"/>
              <w:rPr>
                <w:rFonts w:ascii="宋体" w:hAnsi="宋体" w:eastAsia="宋体"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10FA0">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BC0A5">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BF0B3">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1、电压：380V；</w:t>
            </w:r>
          </w:p>
          <w:p w14:paraId="3CD36C41">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2、搅拌桶食品级304#不锈钢，铜芯变频电机</w:t>
            </w:r>
          </w:p>
          <w:p w14:paraId="2CFDBBE5">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3、料桶容量20L-30L，速度可调，高度可调节；</w:t>
            </w:r>
          </w:p>
          <w:p w14:paraId="124A3039">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4、安装外接漏电保护开关，配置安全防护罩，配有紧急停止开关；</w:t>
            </w:r>
          </w:p>
          <w:p w14:paraId="162CB216">
            <w:pPr>
              <w:widowControl/>
              <w:jc w:val="left"/>
              <w:textAlignment w:val="center"/>
              <w:rPr>
                <w:rFonts w:ascii="宋体" w:hAnsi="宋体" w:eastAsia="宋体" w:cs="宋体"/>
                <w:sz w:val="24"/>
              </w:rPr>
            </w:pPr>
            <w:r>
              <w:rPr>
                <w:rFonts w:hint="eastAsia" w:ascii="宋体" w:hAnsi="宋体" w:eastAsia="宋体" w:cs="宋体"/>
                <w:kern w:val="0"/>
                <w:sz w:val="24"/>
                <w:lang w:bidi="ar"/>
              </w:rPr>
              <w:t>5、配搅拌勾、桨、笼。</w:t>
            </w:r>
          </w:p>
        </w:tc>
      </w:tr>
      <w:tr w14:paraId="04E53A7D">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FD84">
            <w:pPr>
              <w:widowControl/>
              <w:jc w:val="center"/>
              <w:textAlignment w:val="center"/>
              <w:rPr>
                <w:rFonts w:ascii="宋体" w:hAnsi="宋体" w:eastAsia="宋体" w:cs="宋体"/>
                <w:sz w:val="24"/>
              </w:rPr>
            </w:pPr>
            <w:r>
              <w:rPr>
                <w:rFonts w:hint="eastAsia" w:ascii="宋体" w:hAnsi="宋体" w:eastAsia="宋体" w:cs="宋体"/>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11E33">
            <w:pPr>
              <w:widowControl/>
              <w:jc w:val="left"/>
              <w:textAlignment w:val="center"/>
              <w:rPr>
                <w:rFonts w:ascii="宋体" w:hAnsi="宋体" w:eastAsia="宋体" w:cs="宋体"/>
                <w:sz w:val="24"/>
              </w:rPr>
            </w:pPr>
            <w:r>
              <w:rPr>
                <w:rFonts w:hint="eastAsia" w:ascii="宋体" w:hAnsi="宋体" w:eastAsia="宋体" w:cs="宋体"/>
                <w:kern w:val="0"/>
                <w:sz w:val="24"/>
                <w:lang w:bidi="ar"/>
              </w:rPr>
              <w:t>压面机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4AF2B">
            <w:pPr>
              <w:widowControl/>
              <w:jc w:val="left"/>
              <w:textAlignment w:val="center"/>
              <w:rPr>
                <w:rFonts w:ascii="宋体" w:hAnsi="宋体" w:eastAsia="宋体"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583EB">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18087">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E9794">
            <w:pPr>
              <w:widowControl/>
              <w:jc w:val="left"/>
              <w:textAlignment w:val="center"/>
              <w:rPr>
                <w:rFonts w:ascii="宋体" w:hAnsi="宋体" w:eastAsia="宋体" w:cs="宋体"/>
                <w:sz w:val="24"/>
              </w:rPr>
            </w:pPr>
            <w:r>
              <w:rPr>
                <w:rFonts w:hint="eastAsia" w:ascii="宋体" w:hAnsi="宋体" w:eastAsia="宋体" w:cs="宋体"/>
                <w:kern w:val="0"/>
                <w:sz w:val="24"/>
                <w:lang w:bidi="ar"/>
              </w:rPr>
              <w:t>1、功率：≥2200W-3000W；</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2、电压：380V；</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3、产量≥250Kg/h，轧辊、料斗、接料板采用食品级304#不锈钢；</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4、压面厚度可调节，配备铜芯变频电机，转速可调节；</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5、配有紧急停止开关,带安全防护罩，安装外接漏电保护开关。</w:t>
            </w:r>
          </w:p>
        </w:tc>
      </w:tr>
      <w:tr w14:paraId="07031AC2">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AE03">
            <w:pPr>
              <w:widowControl/>
              <w:jc w:val="center"/>
              <w:textAlignment w:val="center"/>
              <w:rPr>
                <w:rFonts w:ascii="宋体" w:hAnsi="宋体" w:eastAsia="宋体" w:cs="宋体"/>
                <w:sz w:val="24"/>
              </w:rPr>
            </w:pPr>
            <w:r>
              <w:rPr>
                <w:rFonts w:hint="eastAsia" w:ascii="宋体" w:hAnsi="宋体" w:eastAsia="宋体" w:cs="宋体"/>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33981">
            <w:pPr>
              <w:widowControl/>
              <w:jc w:val="left"/>
              <w:textAlignment w:val="center"/>
              <w:rPr>
                <w:rFonts w:ascii="宋体" w:hAnsi="宋体" w:eastAsia="宋体" w:cs="宋体"/>
                <w:sz w:val="24"/>
              </w:rPr>
            </w:pPr>
            <w:r>
              <w:rPr>
                <w:rFonts w:hint="eastAsia" w:ascii="宋体" w:hAnsi="宋体" w:eastAsia="宋体" w:cs="宋体"/>
                <w:kern w:val="0"/>
                <w:sz w:val="24"/>
                <w:lang w:bidi="ar"/>
              </w:rPr>
              <w:t>打蛋器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4507B">
            <w:pPr>
              <w:widowControl/>
              <w:jc w:val="left"/>
              <w:textAlignment w:val="center"/>
              <w:rPr>
                <w:rFonts w:ascii="宋体" w:hAnsi="宋体" w:eastAsia="宋体"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43C35">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95F65">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B6C9A">
            <w:pPr>
              <w:widowControl/>
              <w:jc w:val="left"/>
              <w:textAlignment w:val="center"/>
              <w:rPr>
                <w:rFonts w:ascii="宋体" w:hAnsi="宋体" w:eastAsia="宋体" w:cs="宋体"/>
                <w:sz w:val="24"/>
              </w:rPr>
            </w:pPr>
            <w:r>
              <w:rPr>
                <w:rFonts w:hint="eastAsia" w:ascii="宋体" w:hAnsi="宋体" w:eastAsia="宋体" w:cs="宋体"/>
                <w:kern w:val="0"/>
                <w:sz w:val="24"/>
                <w:lang w:bidi="ar"/>
              </w:rPr>
              <w:t xml:space="preserve">容量：20L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电压：220v/380V</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功率：≥0.7kW</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频率：50Hz 搅拌转速：108/180/30r/min</w:t>
            </w:r>
          </w:p>
        </w:tc>
      </w:tr>
      <w:tr w14:paraId="64E158BF">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2D6A">
            <w:pPr>
              <w:widowControl/>
              <w:jc w:val="center"/>
              <w:textAlignment w:val="center"/>
              <w:rPr>
                <w:rFonts w:ascii="宋体" w:hAnsi="宋体" w:eastAsia="宋体" w:cs="宋体"/>
                <w:sz w:val="24"/>
              </w:rPr>
            </w:pPr>
            <w:r>
              <w:rPr>
                <w:rFonts w:hint="eastAsia" w:ascii="宋体" w:hAnsi="宋体" w:eastAsia="宋体" w:cs="宋体"/>
                <w:kern w:val="0"/>
                <w:sz w:val="24"/>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4B48F">
            <w:pPr>
              <w:widowControl/>
              <w:jc w:val="left"/>
              <w:textAlignment w:val="center"/>
              <w:rPr>
                <w:rFonts w:ascii="宋体" w:hAnsi="宋体" w:eastAsia="宋体" w:cs="宋体"/>
                <w:sz w:val="24"/>
              </w:rPr>
            </w:pPr>
            <w:r>
              <w:rPr>
                <w:rFonts w:hint="eastAsia" w:ascii="宋体" w:hAnsi="宋体" w:eastAsia="宋体" w:cs="宋体"/>
                <w:kern w:val="0"/>
                <w:sz w:val="24"/>
                <w:lang w:bidi="ar"/>
              </w:rPr>
              <w:t>四门高身雪柜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3AA0E">
            <w:pPr>
              <w:widowControl/>
              <w:jc w:val="left"/>
              <w:textAlignment w:val="center"/>
              <w:rPr>
                <w:rFonts w:ascii="宋体" w:hAnsi="宋体" w:eastAsia="宋体"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EEEC8">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1F82D">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48668">
            <w:pPr>
              <w:widowControl/>
              <w:jc w:val="left"/>
              <w:textAlignment w:val="center"/>
              <w:rPr>
                <w:rFonts w:ascii="宋体" w:hAnsi="宋体" w:eastAsia="宋体" w:cs="宋体"/>
                <w:sz w:val="24"/>
              </w:rPr>
            </w:pPr>
            <w:r>
              <w:rPr>
                <w:rFonts w:hint="eastAsia" w:ascii="宋体" w:hAnsi="宋体" w:eastAsia="宋体" w:cs="宋体"/>
                <w:kern w:val="0"/>
                <w:sz w:val="24"/>
                <w:lang w:bidi="ar"/>
              </w:rPr>
              <w:t>1、产品按38℃环温设计，采用国内知名压缩机、温控器，全铜管制造，优质不锈钢板，板材表面无指纹处理，经久耐锈，整体采用优质加厚不锈钢制作，采用绿色环保的环戊烷发泡剂整体发泡，超厚发泡层，保温隔热效果好，箱体强度高，提高承重能力，内置蒸发器盘管全铜管制作，自动回归门设计，避免冷量流失，易拆卸磁性门封，内箱底板采用圆弧拉伸，配合围板大圆弧设计，易清洁；</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2、温度范围：-18℃~-5℃/+2℃-+8℃；</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3、容积：≥900L；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4、制冷方式：直冷；</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5、物架层数：2层2个，智能电子数字温控；</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6、功率：≥350W/220V。</w:t>
            </w:r>
          </w:p>
        </w:tc>
      </w:tr>
      <w:tr w14:paraId="1B661BA6">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C71E">
            <w:pPr>
              <w:widowControl/>
              <w:jc w:val="center"/>
              <w:textAlignment w:val="center"/>
              <w:rPr>
                <w:rFonts w:ascii="宋体" w:hAnsi="宋体" w:eastAsia="宋体" w:cs="宋体"/>
                <w:sz w:val="24"/>
              </w:rPr>
            </w:pPr>
            <w:r>
              <w:rPr>
                <w:rFonts w:hint="eastAsia" w:ascii="宋体" w:hAnsi="宋体" w:eastAsia="宋体" w:cs="宋体"/>
                <w:kern w:val="0"/>
                <w:sz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FE1AE">
            <w:pPr>
              <w:widowControl/>
              <w:jc w:val="left"/>
              <w:textAlignment w:val="center"/>
              <w:rPr>
                <w:rFonts w:ascii="宋体" w:hAnsi="宋体" w:eastAsia="宋体" w:cs="宋体"/>
                <w:sz w:val="24"/>
              </w:rPr>
            </w:pPr>
            <w:r>
              <w:rPr>
                <w:rFonts w:hint="eastAsia" w:ascii="宋体" w:hAnsi="宋体" w:eastAsia="宋体" w:cs="宋体"/>
                <w:kern w:val="0"/>
                <w:sz w:val="24"/>
                <w:lang w:bidi="ar"/>
              </w:rPr>
              <w:t>单通工作台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3F6B4">
            <w:pPr>
              <w:widowControl/>
              <w:jc w:val="left"/>
              <w:textAlignment w:val="center"/>
              <w:rPr>
                <w:rFonts w:ascii="宋体" w:hAnsi="宋体" w:eastAsia="宋体" w:cs="宋体"/>
                <w:sz w:val="24"/>
              </w:rPr>
            </w:pPr>
            <w:r>
              <w:rPr>
                <w:rFonts w:hint="eastAsia" w:ascii="宋体" w:hAnsi="宋体" w:eastAsia="宋体" w:cs="宋体"/>
                <w:kern w:val="0"/>
                <w:sz w:val="24"/>
                <w:lang w:bidi="ar"/>
              </w:rPr>
              <w:t>≥1500*760*800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C7FAD">
            <w:pPr>
              <w:widowControl/>
              <w:jc w:val="center"/>
              <w:textAlignment w:val="center"/>
              <w:rPr>
                <w:rFonts w:ascii="宋体" w:hAnsi="宋体" w:eastAsia="宋体" w:cs="宋体"/>
                <w:sz w:val="24"/>
              </w:rPr>
            </w:pPr>
            <w:r>
              <w:rPr>
                <w:rFonts w:hint="eastAsia" w:ascii="宋体" w:hAnsi="宋体" w:eastAsia="宋体" w:cs="宋体"/>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B345C">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13DAE">
            <w:pPr>
              <w:widowControl/>
              <w:jc w:val="left"/>
              <w:textAlignment w:val="center"/>
              <w:rPr>
                <w:rFonts w:ascii="宋体" w:hAnsi="宋体" w:eastAsia="宋体" w:cs="宋体"/>
                <w:sz w:val="24"/>
              </w:rPr>
            </w:pPr>
            <w:r>
              <w:rPr>
                <w:rFonts w:hint="eastAsia" w:ascii="宋体" w:hAnsi="宋体" w:eastAsia="宋体" w:cs="宋体"/>
                <w:kern w:val="0"/>
                <w:sz w:val="24"/>
                <w:lang w:bidi="ar"/>
              </w:rPr>
              <w:t>1.台面板采用304不锈钢板厚度≥1.5mm，配厚度≥1.2mm不锈钢板做补强撑。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2.层板采用304不锈钢板厚度≥1.2mm，配厚度≥1.2mm做补强撑。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3.脚通采用Φ38mm厚度≥1.5mm不锈钢圆通，配可调不锈钢子弹脚≥4个。</w:t>
            </w:r>
          </w:p>
        </w:tc>
      </w:tr>
      <w:tr w14:paraId="7501DB69">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9029">
            <w:pPr>
              <w:widowControl/>
              <w:jc w:val="center"/>
              <w:textAlignment w:val="center"/>
              <w:rPr>
                <w:rFonts w:ascii="宋体" w:hAnsi="宋体" w:eastAsia="宋体" w:cs="宋体"/>
                <w:sz w:val="24"/>
              </w:rPr>
            </w:pPr>
            <w:r>
              <w:rPr>
                <w:rFonts w:hint="eastAsia" w:ascii="宋体" w:hAnsi="宋体" w:eastAsia="宋体" w:cs="宋体"/>
                <w:kern w:val="0"/>
                <w:sz w:val="24"/>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6F8DD">
            <w:pPr>
              <w:widowControl/>
              <w:jc w:val="left"/>
              <w:textAlignment w:val="center"/>
              <w:rPr>
                <w:rFonts w:ascii="宋体" w:hAnsi="宋体" w:eastAsia="宋体" w:cs="宋体"/>
                <w:sz w:val="24"/>
              </w:rPr>
            </w:pPr>
            <w:r>
              <w:rPr>
                <w:rFonts w:hint="eastAsia" w:ascii="宋体" w:hAnsi="宋体" w:eastAsia="宋体" w:cs="宋体"/>
                <w:kern w:val="0"/>
                <w:sz w:val="24"/>
                <w:lang w:bidi="ar"/>
              </w:rPr>
              <w:t>三星水池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8C639">
            <w:pPr>
              <w:widowControl/>
              <w:jc w:val="left"/>
              <w:textAlignment w:val="center"/>
              <w:rPr>
                <w:rFonts w:ascii="宋体" w:hAnsi="宋体" w:eastAsia="宋体" w:cs="宋体"/>
                <w:sz w:val="24"/>
              </w:rPr>
            </w:pPr>
            <w:r>
              <w:rPr>
                <w:rFonts w:hint="eastAsia" w:ascii="宋体" w:hAnsi="宋体" w:eastAsia="宋体" w:cs="宋体"/>
                <w:kern w:val="0"/>
                <w:sz w:val="24"/>
                <w:lang w:bidi="ar"/>
              </w:rPr>
              <w:t>≥1800*760*800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BB8F0">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70156">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76CB3">
            <w:pPr>
              <w:widowControl/>
              <w:jc w:val="left"/>
              <w:textAlignment w:val="center"/>
              <w:rPr>
                <w:rFonts w:ascii="宋体" w:hAnsi="宋体" w:eastAsia="宋体" w:cs="宋体"/>
                <w:sz w:val="24"/>
              </w:rPr>
            </w:pPr>
            <w:r>
              <w:rPr>
                <w:rFonts w:hint="eastAsia" w:ascii="宋体" w:hAnsi="宋体" w:eastAsia="宋体" w:cs="宋体"/>
                <w:kern w:val="0"/>
                <w:sz w:val="24"/>
                <w:lang w:bidi="ar"/>
              </w:rPr>
              <w:t>1.整体采用304不锈钢制作。</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2.台面板采用304不锈钢板厚度≥1.5mm，配厚度≥1.2mm不锈钢方管做加力筋。</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3.星盆采用304不锈钢板，厚度≥1.5mm。</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4.台脚采用Φ38mm厚度为≥1.5mm不锈钢圆通，横撑φ25*1.5mm不锈钢圆管，配可调不锈钢子弹脚。</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5.水槽底部承受≥100KG载荷，其变形量≤0.30mm。</w:t>
            </w:r>
          </w:p>
        </w:tc>
      </w:tr>
      <w:tr w14:paraId="273F5717">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DB47">
            <w:pPr>
              <w:widowControl/>
              <w:jc w:val="center"/>
              <w:textAlignment w:val="center"/>
              <w:rPr>
                <w:rFonts w:ascii="宋体" w:hAnsi="宋体" w:eastAsia="宋体" w:cs="宋体"/>
                <w:sz w:val="24"/>
              </w:rPr>
            </w:pPr>
            <w:r>
              <w:rPr>
                <w:rFonts w:hint="eastAsia" w:ascii="宋体" w:hAnsi="宋体" w:eastAsia="宋体" w:cs="宋体"/>
                <w:kern w:val="0"/>
                <w:sz w:val="24"/>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C21E1">
            <w:pPr>
              <w:widowControl/>
              <w:jc w:val="left"/>
              <w:textAlignment w:val="center"/>
              <w:rPr>
                <w:rFonts w:ascii="宋体" w:hAnsi="宋体" w:eastAsia="宋体" w:cs="宋体"/>
                <w:sz w:val="24"/>
              </w:rPr>
            </w:pPr>
            <w:r>
              <w:rPr>
                <w:rFonts w:hint="eastAsia" w:ascii="宋体" w:hAnsi="宋体" w:eastAsia="宋体" w:cs="宋体"/>
                <w:kern w:val="0"/>
                <w:sz w:val="24"/>
                <w:lang w:bidi="ar"/>
              </w:rPr>
              <w:t>冷热混水龙头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6442A">
            <w:pPr>
              <w:jc w:val="left"/>
              <w:rPr>
                <w:rFonts w:ascii="宋体" w:hAnsi="宋体" w:eastAsia="宋体"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1FF9F">
            <w:pPr>
              <w:widowControl/>
              <w:jc w:val="center"/>
              <w:textAlignment w:val="center"/>
              <w:rPr>
                <w:rFonts w:ascii="宋体" w:hAnsi="宋体" w:eastAsia="宋体" w:cs="宋体"/>
                <w:sz w:val="24"/>
              </w:rPr>
            </w:pPr>
            <w:r>
              <w:rPr>
                <w:rFonts w:hint="eastAsia" w:ascii="宋体" w:hAnsi="宋体" w:eastAsia="宋体" w:cs="宋体"/>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35B72">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EF7B9">
            <w:pPr>
              <w:widowControl/>
              <w:jc w:val="left"/>
              <w:textAlignment w:val="center"/>
              <w:rPr>
                <w:rFonts w:ascii="宋体" w:hAnsi="宋体" w:eastAsia="宋体" w:cs="宋体"/>
                <w:sz w:val="24"/>
              </w:rPr>
            </w:pPr>
            <w:r>
              <w:rPr>
                <w:rFonts w:hint="eastAsia" w:ascii="宋体" w:hAnsi="宋体" w:eastAsia="宋体" w:cs="宋体"/>
                <w:kern w:val="0"/>
                <w:sz w:val="24"/>
                <w:lang w:bidi="ar"/>
              </w:rPr>
              <w:t xml:space="preserve">1  座台式双孔双温低铅铜铸造本体，表面抛光镀铬处理，增加表面硬度防止磕碰造成划痕的同时提升了外观光洁与美观度。                                                                    2  配1/4转陶瓷阀芯一字型手柄。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3 开孔尺寸≥25mm*2,左右开孔间距203mm(偏芯设计可调范围15mm)，进水接口为标准G1/2外螺纹。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 通体材质为低铅铜，有益于饮用水健康，杜绝饮用水铅含量超标。</w:t>
            </w:r>
          </w:p>
        </w:tc>
      </w:tr>
      <w:tr w14:paraId="4CB773EE">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C4E1">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1</w:t>
            </w:r>
            <w:r>
              <w:rPr>
                <w:rFonts w:hint="eastAsia" w:ascii="宋体" w:hAnsi="宋体" w:eastAsia="宋体" w:cs="宋体"/>
                <w:kern w:val="0"/>
                <w:sz w:val="24"/>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88D95">
            <w:pPr>
              <w:widowControl/>
              <w:jc w:val="left"/>
              <w:textAlignment w:val="center"/>
              <w:rPr>
                <w:rFonts w:ascii="宋体" w:hAnsi="宋体" w:eastAsia="宋体" w:cs="宋体"/>
                <w:sz w:val="24"/>
              </w:rPr>
            </w:pPr>
            <w:r>
              <w:rPr>
                <w:rFonts w:hint="eastAsia" w:ascii="宋体" w:hAnsi="宋体" w:eastAsia="宋体" w:cs="宋体"/>
                <w:kern w:val="0"/>
                <w:sz w:val="24"/>
                <w:lang w:bidi="ar"/>
              </w:rPr>
              <w:t>全自动咖啡机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CA197">
            <w:pPr>
              <w:widowControl/>
              <w:jc w:val="left"/>
              <w:textAlignment w:val="center"/>
              <w:rPr>
                <w:rFonts w:ascii="宋体" w:hAnsi="宋体" w:eastAsia="宋体"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BBD75">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61C33">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7AC15">
            <w:pPr>
              <w:widowControl/>
              <w:jc w:val="left"/>
              <w:textAlignment w:val="center"/>
              <w:rPr>
                <w:rFonts w:ascii="宋体" w:hAnsi="宋体" w:eastAsia="宋体" w:cs="宋体"/>
                <w:sz w:val="24"/>
              </w:rPr>
            </w:pPr>
            <w:r>
              <w:rPr>
                <w:rFonts w:hint="eastAsia" w:ascii="宋体" w:hAnsi="宋体" w:eastAsia="宋体" w:cs="宋体"/>
                <w:kern w:val="0"/>
                <w:sz w:val="24"/>
                <w:lang w:bidi="ar"/>
              </w:rPr>
              <w:t>每小时出杯量（杯）:70</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水箱容量（L）:2/8</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豆盒容量（g）:1200*1</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废渣盒容量（g）:700</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显示屏大小:10.1"</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电压功率:≥220v/1.5kw</w:t>
            </w:r>
          </w:p>
        </w:tc>
      </w:tr>
      <w:tr w14:paraId="4D95A58C">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F675">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1</w:t>
            </w:r>
            <w:r>
              <w:rPr>
                <w:rFonts w:hint="eastAsia" w:ascii="宋体" w:hAnsi="宋体" w:eastAsia="宋体" w:cs="宋体"/>
                <w:kern w:val="0"/>
                <w:sz w:val="24"/>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A726">
            <w:pPr>
              <w:widowControl/>
              <w:jc w:val="left"/>
              <w:textAlignment w:val="center"/>
              <w:rPr>
                <w:rFonts w:ascii="宋体" w:hAnsi="宋体" w:eastAsia="宋体" w:cs="宋体"/>
                <w:sz w:val="24"/>
              </w:rPr>
            </w:pPr>
            <w:r>
              <w:rPr>
                <w:rFonts w:hint="eastAsia" w:ascii="宋体" w:hAnsi="宋体" w:eastAsia="宋体" w:cs="宋体"/>
                <w:kern w:val="0"/>
                <w:sz w:val="24"/>
                <w:lang w:bidi="ar"/>
              </w:rPr>
              <w:t>炉拼台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12EF">
            <w:pPr>
              <w:widowControl/>
              <w:jc w:val="left"/>
              <w:textAlignment w:val="center"/>
              <w:rPr>
                <w:rFonts w:ascii="宋体" w:hAnsi="宋体" w:eastAsia="宋体" w:cs="宋体"/>
                <w:sz w:val="24"/>
              </w:rPr>
            </w:pPr>
            <w:r>
              <w:rPr>
                <w:rFonts w:hint="eastAsia" w:ascii="宋体" w:hAnsi="宋体" w:eastAsia="宋体" w:cs="宋体"/>
                <w:kern w:val="0"/>
                <w:sz w:val="24"/>
                <w:lang w:bidi="ar"/>
              </w:rPr>
              <w:t>≥400*1000*800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6DB3">
            <w:pPr>
              <w:widowControl/>
              <w:jc w:val="center"/>
              <w:textAlignment w:val="center"/>
              <w:rPr>
                <w:rFonts w:ascii="宋体" w:hAnsi="宋体" w:eastAsia="宋体" w:cs="宋体"/>
                <w:sz w:val="24"/>
              </w:rPr>
            </w:pPr>
            <w:r>
              <w:rPr>
                <w:rFonts w:hint="eastAsia" w:ascii="宋体" w:hAnsi="宋体" w:eastAsia="宋体" w:cs="宋体"/>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1AD3">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5B245">
            <w:pPr>
              <w:widowControl/>
              <w:jc w:val="left"/>
              <w:textAlignment w:val="center"/>
              <w:rPr>
                <w:rFonts w:ascii="宋体" w:hAnsi="宋体" w:eastAsia="宋体" w:cs="宋体"/>
                <w:sz w:val="24"/>
              </w:rPr>
            </w:pPr>
            <w:r>
              <w:rPr>
                <w:rFonts w:hint="eastAsia" w:ascii="宋体" w:hAnsi="宋体" w:eastAsia="宋体" w:cs="宋体"/>
                <w:kern w:val="0"/>
                <w:sz w:val="24"/>
                <w:lang w:bidi="ar"/>
              </w:rPr>
              <w:t>1.整体采用304不锈钢制作。</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2.台面板采用304不锈钢板厚≥1.5mm。</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3.前面板与灶台面板一致。</w:t>
            </w:r>
          </w:p>
        </w:tc>
      </w:tr>
      <w:tr w14:paraId="451A872C">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855E">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1</w:t>
            </w:r>
            <w:r>
              <w:rPr>
                <w:rFonts w:hint="eastAsia" w:ascii="宋体" w:hAnsi="宋体" w:eastAsia="宋体" w:cs="宋体"/>
                <w:kern w:val="0"/>
                <w:sz w:val="24"/>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198D">
            <w:pPr>
              <w:widowControl/>
              <w:jc w:val="left"/>
              <w:textAlignment w:val="center"/>
              <w:rPr>
                <w:rFonts w:ascii="宋体" w:hAnsi="宋体" w:eastAsia="宋体" w:cs="宋体"/>
                <w:sz w:val="24"/>
              </w:rPr>
            </w:pPr>
            <w:r>
              <w:rPr>
                <w:rFonts w:hint="eastAsia" w:ascii="宋体" w:hAnsi="宋体" w:eastAsia="宋体" w:cs="宋体"/>
                <w:kern w:val="0"/>
                <w:sz w:val="24"/>
                <w:lang w:bidi="ar"/>
              </w:rPr>
              <w:t>电扒炉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BFF42">
            <w:pPr>
              <w:widowControl/>
              <w:jc w:val="left"/>
              <w:textAlignment w:val="center"/>
              <w:rPr>
                <w:rFonts w:ascii="宋体" w:hAnsi="宋体" w:eastAsia="宋体"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5A65">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1C94">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6DCF2">
            <w:pPr>
              <w:widowControl/>
              <w:jc w:val="left"/>
              <w:textAlignment w:val="center"/>
              <w:rPr>
                <w:rFonts w:ascii="宋体" w:hAnsi="宋体" w:eastAsia="宋体" w:cs="宋体"/>
                <w:sz w:val="24"/>
              </w:rPr>
            </w:pPr>
            <w:r>
              <w:rPr>
                <w:rFonts w:hint="eastAsia" w:ascii="宋体" w:hAnsi="宋体" w:eastAsia="宋体" w:cs="宋体"/>
                <w:kern w:val="0"/>
                <w:sz w:val="24"/>
                <w:lang w:bidi="ar"/>
              </w:rPr>
              <w:t>1.采用温控器调节温度，用以控制电热管的发热温度，从而保证扒板使用温度</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2.配置抽拉式活动的盛油盆，易于油脂收集及清洁</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3.内设置隔热板，提高热效率，防止外部过热</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4.功率电压：≥9KW/380V</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5.台面201/1.2余201/1.0</w:t>
            </w:r>
          </w:p>
        </w:tc>
      </w:tr>
      <w:tr w14:paraId="509E4378">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90C1">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1</w:t>
            </w:r>
            <w:r>
              <w:rPr>
                <w:rFonts w:hint="eastAsia" w:ascii="宋体" w:hAnsi="宋体" w:eastAsia="宋体" w:cs="宋体"/>
                <w:kern w:val="0"/>
                <w:sz w:val="24"/>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6C4A">
            <w:pPr>
              <w:widowControl/>
              <w:jc w:val="left"/>
              <w:textAlignment w:val="center"/>
              <w:rPr>
                <w:rFonts w:ascii="宋体" w:hAnsi="宋体" w:eastAsia="宋体" w:cs="宋体"/>
                <w:sz w:val="24"/>
              </w:rPr>
            </w:pPr>
            <w:r>
              <w:rPr>
                <w:rFonts w:hint="eastAsia" w:ascii="宋体" w:hAnsi="宋体" w:eastAsia="宋体" w:cs="宋体"/>
                <w:kern w:val="0"/>
                <w:sz w:val="24"/>
                <w:lang w:bidi="ar"/>
              </w:rPr>
              <w:t>四头电磁炉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C8EEC">
            <w:pPr>
              <w:widowControl/>
              <w:jc w:val="left"/>
              <w:textAlignment w:val="center"/>
              <w:rPr>
                <w:rFonts w:ascii="宋体" w:hAnsi="宋体" w:eastAsia="宋体"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6A9A">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FCE8">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DEADD">
            <w:pPr>
              <w:widowControl/>
              <w:jc w:val="left"/>
              <w:textAlignment w:val="center"/>
              <w:rPr>
                <w:rFonts w:ascii="宋体" w:hAnsi="宋体" w:eastAsia="宋体" w:cs="宋体"/>
                <w:sz w:val="24"/>
              </w:rPr>
            </w:pPr>
            <w:r>
              <w:rPr>
                <w:rFonts w:hint="eastAsia" w:ascii="宋体" w:hAnsi="宋体" w:eastAsia="宋体" w:cs="宋体"/>
                <w:kern w:val="0"/>
                <w:sz w:val="24"/>
                <w:lang w:bidi="ar"/>
              </w:rPr>
              <w:t>1、采用304#不锈钢制作，面板厚度≥1.2mm ；侧板厚度≥1.0mm；</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采用全铜搭桥设计机芯，抗高强度电流、机芯内部过高过低温度状态，具有热风对流变频技术等多重安全保护设置，具有多项故障自动诊断功能。磁电引擎，数字驱动，全封闭式具有防水、防潮、防虫、防油烟功能，适合各种厨房环境。配件采用工业级配置，强弱电分离设计，控制性能稳定，有效延长使用寿命；</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3、采用变频防水风机，抽风、送风相结合，超静音风机配合流线型线圈盘散热风道，散热充分，热风对流风道设计，散热快；</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4、采用齿形线盘组件，磁强分布均匀不偏火加热盘且具有防干烧，无盲区快速加热；</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5、配置八档360度旋转磁感火力调节开关，触摸式LED显示器；配置直径300mm微晶玻璃；</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6、功率/电压：≥4*3.5KW/380V；</w:t>
            </w:r>
          </w:p>
        </w:tc>
      </w:tr>
      <w:tr w14:paraId="5C8584A3">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180E">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1</w:t>
            </w:r>
            <w:r>
              <w:rPr>
                <w:rFonts w:hint="eastAsia" w:ascii="宋体" w:hAnsi="宋体" w:eastAsia="宋体" w:cs="宋体"/>
                <w:kern w:val="0"/>
                <w:sz w:val="24"/>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B445">
            <w:pPr>
              <w:widowControl/>
              <w:jc w:val="left"/>
              <w:textAlignment w:val="center"/>
              <w:rPr>
                <w:rFonts w:ascii="宋体" w:hAnsi="宋体" w:eastAsia="宋体" w:cs="宋体"/>
                <w:sz w:val="24"/>
              </w:rPr>
            </w:pPr>
            <w:r>
              <w:rPr>
                <w:rFonts w:hint="eastAsia" w:ascii="宋体" w:hAnsi="宋体" w:eastAsia="宋体" w:cs="宋体"/>
                <w:kern w:val="0"/>
                <w:sz w:val="24"/>
                <w:lang w:bidi="ar"/>
              </w:rPr>
              <w:t>双缸炸炉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B3043">
            <w:pPr>
              <w:widowControl/>
              <w:jc w:val="left"/>
              <w:textAlignment w:val="center"/>
              <w:rPr>
                <w:rFonts w:ascii="宋体" w:hAnsi="宋体" w:eastAsia="宋体"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471E">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ECBA">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FEE38">
            <w:pPr>
              <w:widowControl/>
              <w:jc w:val="left"/>
              <w:textAlignment w:val="center"/>
              <w:rPr>
                <w:rFonts w:ascii="宋体" w:hAnsi="宋体" w:eastAsia="宋体" w:cs="宋体"/>
                <w:sz w:val="24"/>
              </w:rPr>
            </w:pPr>
            <w:r>
              <w:rPr>
                <w:rFonts w:hint="eastAsia" w:ascii="宋体" w:hAnsi="宋体" w:eastAsia="宋体" w:cs="宋体"/>
                <w:kern w:val="0"/>
                <w:sz w:val="24"/>
                <w:lang w:bidi="ar"/>
              </w:rPr>
              <w:t>1.优质不锈钢制作，台面201/1.2余201/1.0</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2.全不锈钢150mm调节脚，可拆卸</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3.EGO温控调节，设有230℃手动复位超温保护装置</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4.油缸V形底，带冷油区沉积残渣。DN25带锁排油阀，防止误触</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5.功率电压：≥24KW/380V</w:t>
            </w:r>
          </w:p>
        </w:tc>
      </w:tr>
      <w:tr w14:paraId="5E1F6630">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0B40">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1</w:t>
            </w:r>
            <w:r>
              <w:rPr>
                <w:rFonts w:hint="eastAsia" w:ascii="宋体" w:hAnsi="宋体" w:eastAsia="宋体" w:cs="宋体"/>
                <w:kern w:val="0"/>
                <w:sz w:val="24"/>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FEF6">
            <w:pPr>
              <w:widowControl/>
              <w:jc w:val="left"/>
              <w:textAlignment w:val="center"/>
              <w:rPr>
                <w:rFonts w:ascii="宋体" w:hAnsi="宋体" w:eastAsia="宋体" w:cs="宋体"/>
                <w:sz w:val="24"/>
              </w:rPr>
            </w:pPr>
            <w:r>
              <w:rPr>
                <w:rFonts w:hint="eastAsia" w:ascii="宋体" w:hAnsi="宋体" w:eastAsia="宋体" w:cs="宋体"/>
                <w:kern w:val="0"/>
                <w:sz w:val="24"/>
                <w:lang w:bidi="ar"/>
              </w:rPr>
              <w:t>单门醒发箱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93179">
            <w:pPr>
              <w:widowControl/>
              <w:jc w:val="left"/>
              <w:textAlignment w:val="center"/>
              <w:rPr>
                <w:rFonts w:ascii="宋体" w:hAnsi="宋体" w:eastAsia="宋体"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6DE9">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8588">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70717">
            <w:pPr>
              <w:widowControl/>
              <w:numPr>
                <w:ilvl w:val="0"/>
                <w:numId w:val="64"/>
              </w:numPr>
              <w:jc w:val="left"/>
              <w:textAlignment w:val="center"/>
              <w:rPr>
                <w:rFonts w:hint="eastAsia" w:ascii="宋体" w:hAnsi="宋体" w:eastAsia="宋体" w:cs="宋体"/>
                <w:kern w:val="0"/>
                <w:sz w:val="24"/>
                <w:lang w:bidi="ar"/>
              </w:rPr>
            </w:pPr>
            <w:r>
              <w:rPr>
                <w:rFonts w:hint="eastAsia" w:ascii="宋体" w:hAnsi="宋体" w:eastAsia="宋体" w:cs="宋体"/>
                <w:kern w:val="0"/>
                <w:sz w:val="24"/>
                <w:lang w:bidi="ar"/>
              </w:rPr>
              <w:t>产品整体结构采用优质无磁不锈钢板材，坚固耐用，清洁卫生</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2、全视窗欧式流行时尚外观设计</w:t>
            </w:r>
          </w:p>
          <w:p w14:paraId="24D1D5EC">
            <w:pPr>
              <w:widowControl/>
              <w:numPr>
                <w:ilvl w:val="0"/>
                <w:numId w:val="0"/>
              </w:numPr>
              <w:jc w:val="left"/>
              <w:textAlignment w:val="center"/>
              <w:rPr>
                <w:rFonts w:ascii="宋体" w:hAnsi="宋体" w:eastAsia="宋体" w:cs="宋体"/>
                <w:sz w:val="24"/>
              </w:rPr>
            </w:pPr>
            <w:r>
              <w:rPr>
                <w:rFonts w:hint="eastAsia" w:ascii="宋体" w:hAnsi="宋体" w:eastAsia="宋体" w:cs="宋体"/>
                <w:kern w:val="0"/>
                <w:sz w:val="24"/>
                <w:lang w:bidi="ar"/>
              </w:rPr>
              <w:t>3、利用发热元件对水和空气进行加热、使其产生相对湿度为80-85%RH温度为35℃-45℃的气温，面包胚再该环境中完成二次发酵过程</w:t>
            </w:r>
          </w:p>
        </w:tc>
      </w:tr>
      <w:tr w14:paraId="2CCE416E">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BA4A">
            <w:pPr>
              <w:widowControl/>
              <w:jc w:val="center"/>
              <w:textAlignment w:val="center"/>
              <w:rPr>
                <w:rFonts w:hint="default" w:ascii="宋体" w:hAnsi="宋体" w:eastAsia="宋体" w:cs="宋体"/>
                <w:sz w:val="24"/>
                <w:lang w:val="en-US" w:eastAsia="zh-CN"/>
              </w:rPr>
            </w:pPr>
            <w:r>
              <w:rPr>
                <w:rFonts w:hint="eastAsia" w:ascii="宋体" w:hAnsi="宋体" w:eastAsia="宋体" w:cs="宋体"/>
                <w:kern w:val="0"/>
                <w:sz w:val="24"/>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F272">
            <w:pPr>
              <w:widowControl/>
              <w:jc w:val="left"/>
              <w:textAlignment w:val="center"/>
              <w:rPr>
                <w:rFonts w:ascii="宋体" w:hAnsi="宋体" w:eastAsia="宋体" w:cs="宋体"/>
                <w:sz w:val="24"/>
              </w:rPr>
            </w:pPr>
            <w:r>
              <w:rPr>
                <w:rFonts w:hint="eastAsia" w:ascii="宋体" w:hAnsi="宋体" w:eastAsia="宋体" w:cs="宋体"/>
                <w:kern w:val="0"/>
                <w:sz w:val="24"/>
                <w:lang w:bidi="ar"/>
              </w:rPr>
              <w:t>万能蒸烤箱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4D0B2">
            <w:pPr>
              <w:widowControl/>
              <w:jc w:val="left"/>
              <w:textAlignment w:val="center"/>
              <w:rPr>
                <w:rFonts w:ascii="宋体" w:hAnsi="宋体" w:eastAsia="宋体"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509F">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9DE2">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59FEC">
            <w:pPr>
              <w:widowControl/>
              <w:jc w:val="left"/>
              <w:textAlignment w:val="center"/>
              <w:rPr>
                <w:rFonts w:ascii="宋体" w:hAnsi="宋体" w:eastAsia="宋体" w:cs="宋体"/>
                <w:sz w:val="24"/>
              </w:rPr>
            </w:pPr>
            <w:r>
              <w:rPr>
                <w:rFonts w:hint="eastAsia" w:ascii="宋体" w:hAnsi="宋体" w:eastAsia="宋体" w:cs="宋体"/>
                <w:kern w:val="0"/>
                <w:sz w:val="24"/>
                <w:lang w:bidi="ar"/>
              </w:rPr>
              <w:t>1.功率电压：≥18.4KW/380V</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2.烤箱控制面板采用特质铝制面框，整体外观自有设计；</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3.外壳采用304不锈钢板制作，内胆采用316不锈钢亮光板制作；</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4.具备烤、蒸、蒸烤三种烹饪模式,加热温度最高可达250℃；</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5.高清彩色TFT电容触摸屏，触摸灵敏，中文操作界面以及USB接口；</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6.额外配备调节旋钮，可通过旋钮设置触摸屏相关参数；</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7.可个性化定制开机和待机界面，展现客户品牌。</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8.菜单八大分类，可存储一百多种菜单，显示所有菜单的实际烹饪温度湿度等参数；</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9.可同时设置6个烹饪步骤；</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10.具备10档风速调节，涡流风扇正反转，加热更加均匀；</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11.具备分层模式，可同时烹饪10种不同菜品；</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12.具备预约、发酵模式、回温、快速降温等功能；</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13.配备自动旋转清洗臂，具备全自动清洗功能，自动抽取清洗剂，360°无死角冲洗，三个清洗等级，五个清洗步骤，无须看管，省时省力；</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14.具备快速排气功能，快速排除烤箱内部湿气和烟气；</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15.具备自动恢复功能，如遇突然断电等非正常关机情况，在60min内重新开机，烤箱将自动恢复关机前的烹饪步骤并自动开始烹饪，无需人为恢复；</w:t>
            </w:r>
          </w:p>
        </w:tc>
      </w:tr>
      <w:tr w14:paraId="0DD829A6">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FD5E">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2</w:t>
            </w:r>
            <w:r>
              <w:rPr>
                <w:rFonts w:hint="eastAsia" w:ascii="宋体" w:hAnsi="宋体" w:eastAsia="宋体" w:cs="宋体"/>
                <w:kern w:val="0"/>
                <w:sz w:val="24"/>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0A34">
            <w:pPr>
              <w:widowControl/>
              <w:jc w:val="left"/>
              <w:textAlignment w:val="center"/>
              <w:rPr>
                <w:rFonts w:ascii="宋体" w:hAnsi="宋体" w:eastAsia="宋体" w:cs="宋体"/>
                <w:sz w:val="24"/>
              </w:rPr>
            </w:pPr>
            <w:r>
              <w:rPr>
                <w:rFonts w:hint="eastAsia" w:ascii="宋体" w:hAnsi="宋体" w:eastAsia="宋体" w:cs="宋体"/>
                <w:kern w:val="0"/>
                <w:sz w:val="24"/>
                <w:lang w:bidi="ar"/>
              </w:rPr>
              <w:t>米面架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5FAB">
            <w:pPr>
              <w:widowControl/>
              <w:jc w:val="left"/>
              <w:textAlignment w:val="center"/>
              <w:rPr>
                <w:rFonts w:ascii="宋体" w:hAnsi="宋体" w:eastAsia="宋体" w:cs="宋体"/>
                <w:sz w:val="24"/>
              </w:rPr>
            </w:pPr>
            <w:r>
              <w:rPr>
                <w:rFonts w:hint="eastAsia" w:ascii="宋体" w:hAnsi="宋体" w:eastAsia="宋体" w:cs="宋体"/>
                <w:kern w:val="0"/>
                <w:sz w:val="24"/>
                <w:lang w:bidi="ar"/>
              </w:rPr>
              <w:t>≥1200*500*200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0478">
            <w:pPr>
              <w:widowControl/>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E702">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E26C7">
            <w:pPr>
              <w:widowControl/>
              <w:jc w:val="left"/>
              <w:textAlignment w:val="center"/>
              <w:rPr>
                <w:rFonts w:ascii="宋体" w:hAnsi="宋体" w:eastAsia="宋体" w:cs="宋体"/>
                <w:sz w:val="24"/>
              </w:rPr>
            </w:pPr>
            <w:r>
              <w:rPr>
                <w:rFonts w:hint="eastAsia" w:ascii="宋体" w:hAnsi="宋体" w:eastAsia="宋体" w:cs="宋体"/>
                <w:kern w:val="0"/>
                <w:sz w:val="24"/>
                <w:lang w:bidi="ar"/>
              </w:rPr>
              <w:t>1.台面板采用304不锈钢板厚度≥1.5mm，配厚度≥1.2mm不锈钢板做补强撑。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2.层板采用304不锈钢板厚度≥1.2mm，配厚度≥1.2mm做补强撑。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3.脚通采用Φ38mm厚度≥1.5mm不锈钢圆通，配可调不锈钢子弹脚≥4个。</w:t>
            </w:r>
          </w:p>
        </w:tc>
      </w:tr>
      <w:tr w14:paraId="6B02AD84">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F200">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2</w:t>
            </w:r>
            <w:r>
              <w:rPr>
                <w:rFonts w:hint="eastAsia" w:ascii="宋体" w:hAnsi="宋体" w:eastAsia="宋体" w:cs="宋体"/>
                <w:kern w:val="0"/>
                <w:sz w:val="24"/>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8667">
            <w:pPr>
              <w:widowControl/>
              <w:jc w:val="left"/>
              <w:textAlignment w:val="center"/>
              <w:rPr>
                <w:rFonts w:ascii="宋体" w:hAnsi="宋体" w:eastAsia="宋体" w:cs="宋体"/>
                <w:sz w:val="24"/>
              </w:rPr>
            </w:pPr>
            <w:r>
              <w:rPr>
                <w:rFonts w:hint="eastAsia" w:ascii="宋体" w:hAnsi="宋体" w:eastAsia="宋体" w:cs="宋体"/>
                <w:kern w:val="0"/>
                <w:sz w:val="24"/>
                <w:lang w:bidi="ar"/>
              </w:rPr>
              <w:t>烟罩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562D">
            <w:pPr>
              <w:widowControl/>
              <w:jc w:val="left"/>
              <w:textAlignment w:val="center"/>
              <w:rPr>
                <w:rFonts w:ascii="宋体" w:hAnsi="宋体" w:eastAsia="宋体" w:cs="宋体"/>
                <w:sz w:val="24"/>
              </w:rPr>
            </w:pPr>
            <w:r>
              <w:rPr>
                <w:rFonts w:hint="eastAsia" w:ascii="宋体" w:hAnsi="宋体" w:eastAsia="宋体" w:cs="宋体"/>
                <w:kern w:val="0"/>
                <w:sz w:val="24"/>
                <w:lang w:bidi="ar"/>
              </w:rPr>
              <w:t>≥6000*1200*500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167B">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E32E">
            <w:pPr>
              <w:jc w:val="center"/>
              <w:rPr>
                <w:rFonts w:ascii="宋体" w:hAnsi="宋体" w:eastAsia="宋体"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1496">
            <w:pPr>
              <w:widowControl/>
              <w:jc w:val="left"/>
              <w:textAlignment w:val="center"/>
              <w:rPr>
                <w:rFonts w:ascii="宋体" w:hAnsi="宋体" w:eastAsia="宋体" w:cs="宋体"/>
                <w:sz w:val="24"/>
              </w:rPr>
            </w:pPr>
            <w:r>
              <w:rPr>
                <w:rFonts w:hint="eastAsia" w:ascii="宋体" w:hAnsi="宋体" w:eastAsia="宋体" w:cs="宋体"/>
                <w:kern w:val="0"/>
                <w:sz w:val="24"/>
                <w:lang w:bidi="ar"/>
              </w:rPr>
              <w:t>304不锈钢材质，板材厚度≥1.5mm</w:t>
            </w:r>
          </w:p>
        </w:tc>
      </w:tr>
      <w:tr w14:paraId="33F95249">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BAD7">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2</w:t>
            </w:r>
            <w:r>
              <w:rPr>
                <w:rFonts w:hint="eastAsia" w:ascii="宋体" w:hAnsi="宋体" w:eastAsia="宋体" w:cs="宋体"/>
                <w:kern w:val="0"/>
                <w:sz w:val="24"/>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4FF3">
            <w:pPr>
              <w:widowControl/>
              <w:jc w:val="left"/>
              <w:textAlignment w:val="center"/>
              <w:rPr>
                <w:rFonts w:ascii="宋体" w:hAnsi="宋体" w:eastAsia="宋体" w:cs="宋体"/>
                <w:sz w:val="24"/>
              </w:rPr>
            </w:pPr>
            <w:r>
              <w:rPr>
                <w:rFonts w:hint="eastAsia" w:ascii="宋体" w:hAnsi="宋体" w:eastAsia="宋体" w:cs="宋体"/>
                <w:kern w:val="0"/>
                <w:sz w:val="24"/>
                <w:lang w:bidi="ar"/>
              </w:rPr>
              <w:t>烟罩装饰板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A587">
            <w:pPr>
              <w:widowControl/>
              <w:jc w:val="left"/>
              <w:textAlignment w:val="center"/>
              <w:rPr>
                <w:rFonts w:ascii="宋体" w:hAnsi="宋体" w:eastAsia="宋体" w:cs="宋体"/>
                <w:sz w:val="24"/>
              </w:rPr>
            </w:pPr>
            <w:r>
              <w:rPr>
                <w:rFonts w:hint="eastAsia" w:ascii="宋体" w:hAnsi="宋体" w:eastAsia="宋体" w:cs="宋体"/>
                <w:kern w:val="0"/>
                <w:sz w:val="24"/>
                <w:lang w:bidi="ar"/>
              </w:rPr>
              <w:t>≥6000*1000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8595">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005A">
            <w:pPr>
              <w:jc w:val="center"/>
              <w:rPr>
                <w:rFonts w:ascii="宋体" w:hAnsi="宋体" w:eastAsia="宋体"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29C5">
            <w:pPr>
              <w:widowControl/>
              <w:jc w:val="left"/>
              <w:textAlignment w:val="center"/>
              <w:rPr>
                <w:rFonts w:ascii="宋体" w:hAnsi="宋体" w:eastAsia="宋体" w:cs="宋体"/>
                <w:sz w:val="24"/>
              </w:rPr>
            </w:pPr>
            <w:r>
              <w:rPr>
                <w:rFonts w:hint="eastAsia" w:ascii="宋体" w:hAnsi="宋体" w:eastAsia="宋体" w:cs="宋体"/>
                <w:kern w:val="0"/>
                <w:sz w:val="24"/>
                <w:lang w:bidi="ar"/>
              </w:rPr>
              <w:t>1、板材采用304厚≥1.0mm不锈钢板制作。</w:t>
            </w:r>
          </w:p>
        </w:tc>
      </w:tr>
      <w:tr w14:paraId="5F52D38A">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7DE3">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2</w:t>
            </w:r>
            <w:r>
              <w:rPr>
                <w:rFonts w:hint="eastAsia" w:ascii="宋体" w:hAnsi="宋体" w:eastAsia="宋体" w:cs="宋体"/>
                <w:kern w:val="0"/>
                <w:sz w:val="24"/>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F4402">
            <w:pPr>
              <w:widowControl/>
              <w:jc w:val="left"/>
              <w:textAlignment w:val="center"/>
              <w:rPr>
                <w:rFonts w:ascii="宋体" w:hAnsi="宋体" w:eastAsia="宋体" w:cs="宋体"/>
                <w:sz w:val="24"/>
              </w:rPr>
            </w:pPr>
            <w:r>
              <w:rPr>
                <w:rFonts w:hint="eastAsia" w:ascii="宋体" w:hAnsi="宋体" w:eastAsia="宋体" w:cs="宋体"/>
                <w:kern w:val="0"/>
                <w:sz w:val="24"/>
                <w:lang w:bidi="ar"/>
              </w:rPr>
              <w:t>水洗排烟风柜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E4DCA">
            <w:pPr>
              <w:widowControl/>
              <w:jc w:val="left"/>
              <w:textAlignment w:val="center"/>
              <w:rPr>
                <w:rFonts w:ascii="宋体" w:hAnsi="宋体" w:eastAsia="宋体" w:cs="宋体"/>
                <w:sz w:val="24"/>
              </w:rPr>
            </w:pPr>
            <w:r>
              <w:rPr>
                <w:rFonts w:hint="eastAsia" w:ascii="宋体" w:hAnsi="宋体" w:eastAsia="宋体" w:cs="宋体"/>
                <w:kern w:val="0"/>
                <w:sz w:val="24"/>
                <w:lang w:bidi="ar"/>
              </w:rPr>
              <w:t>≥15000风量11KW</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E7042">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66CF9">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9A992">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1.内部采用双层静音处理技术，全网加静音棉，静音棉材质为铝硅阻燃材料，厚度≥25MM</w:t>
            </w:r>
          </w:p>
          <w:p w14:paraId="3666408A">
            <w:pPr>
              <w:widowControl/>
              <w:jc w:val="left"/>
              <w:textAlignment w:val="center"/>
              <w:rPr>
                <w:rFonts w:ascii="宋体" w:hAnsi="宋体" w:eastAsia="宋体" w:cs="宋体"/>
                <w:sz w:val="24"/>
              </w:rPr>
            </w:pPr>
            <w:r>
              <w:rPr>
                <w:rFonts w:hint="eastAsia" w:ascii="宋体" w:hAnsi="宋体" w:eastAsia="宋体" w:cs="宋体"/>
                <w:kern w:val="0"/>
                <w:sz w:val="24"/>
                <w:lang w:bidi="ar"/>
              </w:rPr>
              <w:t>2.采用耐高温耐腐蚀风机专用轴承，精度高，抗磨损性好，增加风机使用寿命，减少维护成本。</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3.产品可配备自动定时变频功能，可调节风量风压，多重保护，缺项，过载，绝缘损坏等运行故障. 定时模式：支持 8/12/24 小时循环启停，适配餐饮午晚餐高峰（如 11:00-14:00 自动满功率运行）</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4.角钢：采用镀锌角钢制作，结构更牢固，风机设有检修门，方便日后维护； 底部自带槽钢支架，便于安装。</w:t>
            </w:r>
          </w:p>
        </w:tc>
      </w:tr>
      <w:tr w14:paraId="55B1D8C7">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B31A">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2</w:t>
            </w:r>
            <w:r>
              <w:rPr>
                <w:rFonts w:hint="eastAsia" w:ascii="宋体" w:hAnsi="宋体" w:eastAsia="宋体" w:cs="宋体"/>
                <w:kern w:val="0"/>
                <w:sz w:val="24"/>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62E5A">
            <w:pPr>
              <w:widowControl/>
              <w:jc w:val="left"/>
              <w:textAlignment w:val="center"/>
              <w:rPr>
                <w:rFonts w:ascii="宋体" w:hAnsi="宋体" w:eastAsia="宋体" w:cs="宋体"/>
                <w:sz w:val="24"/>
              </w:rPr>
            </w:pPr>
            <w:r>
              <w:rPr>
                <w:rFonts w:hint="eastAsia" w:ascii="宋体" w:hAnsi="宋体" w:eastAsia="宋体" w:cs="宋体"/>
                <w:kern w:val="0"/>
                <w:sz w:val="24"/>
                <w:lang w:bidi="ar"/>
              </w:rPr>
              <w:t>油烟净化器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119AD">
            <w:pPr>
              <w:widowControl/>
              <w:jc w:val="left"/>
              <w:textAlignment w:val="center"/>
              <w:rPr>
                <w:rFonts w:ascii="宋体" w:hAnsi="宋体" w:eastAsia="宋体" w:cs="宋体"/>
                <w:sz w:val="24"/>
              </w:rPr>
            </w:pPr>
            <w:r>
              <w:rPr>
                <w:rFonts w:hint="eastAsia" w:ascii="宋体" w:hAnsi="宋体" w:eastAsia="宋体" w:cs="宋体"/>
                <w:kern w:val="0"/>
                <w:sz w:val="24"/>
                <w:lang w:bidi="ar"/>
              </w:rPr>
              <w:t>≥15000风量3KW</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411BA">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C445B">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4A74D">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1、外壳全部为≥1.2mm以上厚度的碳钢冷板，设备外壳喷涂工艺上采用的是热固性纯聚酯粉末涂料，预处理工艺要脱脂、除锈、中和、表调、磷化和烘干等工艺。</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2、各级收集组件都有自己的检修门和高压电源以于检查维护时不影响别的组件。</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3、电场主体为不锈钢电场同时满足可单独拆卸，方便设备清洗维护。</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4、机体内部联接处的密封条能把电离和收集组伴与内部结构隔离开以防止组件周围的污染。</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5、电场主体绝缘子采用陶瓷绝缘子，不得采用塑胶等普通材质进行绝缘。</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6、设备高压电源输出绝缘子采用陶瓷绝缘子，不得采用塑胶等普通材质进行绝缘。</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7、检修时通过检修门，可以直接接触到电场主体。</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8、每个组体都独立含有：工作指示灯、电源指示灯、设备状态灯,可提醒用户清洗电场，用户还可以根据数字显示来判断设备的状态。</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9、高压电源与电场主体采用不锈钢顶针方式连接，不可采用高压线连接。</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10、高压数字电源发生器需配置有电流调节功能，并带有多项保护功能，包括软启动、电场短路保护，放电跳停保护、电源过载保护和变压器过温保护等多重保护功能，确保设备安全。</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11、所有高压线路都不可暴露在废气流中。</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12、设备每个净化单元装有数字显示面板及工作指示灯，能数字显示工作电流，故障代码等。</w:t>
            </w:r>
          </w:p>
          <w:p w14:paraId="7E4843FF">
            <w:pPr>
              <w:widowControl/>
              <w:jc w:val="left"/>
              <w:textAlignment w:val="center"/>
              <w:rPr>
                <w:rFonts w:ascii="宋体" w:hAnsi="宋体" w:eastAsia="宋体" w:cs="宋体"/>
                <w:sz w:val="24"/>
              </w:rPr>
            </w:pPr>
            <w:r>
              <w:rPr>
                <w:rFonts w:hint="eastAsia" w:ascii="宋体" w:hAnsi="宋体" w:eastAsia="宋体" w:cs="宋体"/>
                <w:kern w:val="0"/>
                <w:sz w:val="24"/>
                <w:lang w:bidi="ar"/>
              </w:rPr>
              <w:t>13、符合DB11/1488-2018《餐饮业大气污染物排放标准》。</w:t>
            </w:r>
          </w:p>
        </w:tc>
      </w:tr>
      <w:tr w14:paraId="5FAF6E1A">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EAA4">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2</w:t>
            </w:r>
            <w:r>
              <w:rPr>
                <w:rFonts w:hint="eastAsia" w:ascii="宋体" w:hAnsi="宋体" w:eastAsia="宋体" w:cs="宋体"/>
                <w:kern w:val="0"/>
                <w:sz w:val="24"/>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55E04">
            <w:pPr>
              <w:widowControl/>
              <w:jc w:val="left"/>
              <w:textAlignment w:val="center"/>
              <w:rPr>
                <w:rFonts w:ascii="宋体" w:hAnsi="宋体" w:eastAsia="宋体" w:cs="宋体"/>
                <w:sz w:val="24"/>
              </w:rPr>
            </w:pPr>
            <w:r>
              <w:rPr>
                <w:rFonts w:hint="eastAsia" w:ascii="宋体" w:hAnsi="宋体" w:eastAsia="宋体" w:cs="宋体"/>
                <w:kern w:val="0"/>
                <w:sz w:val="24"/>
                <w:lang w:bidi="ar"/>
              </w:rPr>
              <w:t>变径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D8B6F">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2B1B8">
            <w:pPr>
              <w:widowControl/>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E6F18">
            <w:pPr>
              <w:widowControl/>
              <w:jc w:val="center"/>
              <w:textAlignment w:val="center"/>
              <w:rPr>
                <w:rFonts w:ascii="宋体" w:hAnsi="宋体" w:eastAsia="宋体" w:cs="宋体"/>
                <w:sz w:val="24"/>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A736C">
            <w:pPr>
              <w:widowControl/>
              <w:jc w:val="left"/>
              <w:textAlignment w:val="center"/>
              <w:rPr>
                <w:rFonts w:ascii="宋体" w:hAnsi="宋体" w:eastAsia="宋体" w:cs="宋体"/>
                <w:sz w:val="24"/>
              </w:rPr>
            </w:pPr>
            <w:r>
              <w:rPr>
                <w:rFonts w:hint="eastAsia" w:ascii="宋体" w:hAnsi="宋体" w:eastAsia="宋体" w:cs="宋体"/>
                <w:kern w:val="0"/>
                <w:sz w:val="24"/>
                <w:lang w:bidi="ar"/>
              </w:rPr>
              <w:t>采用≥1.0mm镀锌板做,用30*30角铁做法兰连接，接驳处采用密封条及玻璃胶密封。</w:t>
            </w:r>
          </w:p>
        </w:tc>
      </w:tr>
      <w:tr w14:paraId="4C4C8558">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4F52">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2</w:t>
            </w:r>
            <w:r>
              <w:rPr>
                <w:rFonts w:hint="eastAsia" w:ascii="宋体" w:hAnsi="宋体" w:eastAsia="宋体" w:cs="宋体"/>
                <w:kern w:val="0"/>
                <w:sz w:val="24"/>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68B96">
            <w:pPr>
              <w:widowControl/>
              <w:jc w:val="left"/>
              <w:textAlignment w:val="center"/>
              <w:rPr>
                <w:rFonts w:ascii="宋体" w:hAnsi="宋体" w:eastAsia="宋体" w:cs="宋体"/>
                <w:sz w:val="24"/>
              </w:rPr>
            </w:pPr>
            <w:r>
              <w:rPr>
                <w:rFonts w:hint="eastAsia" w:ascii="宋体" w:hAnsi="宋体" w:eastAsia="宋体" w:cs="宋体"/>
                <w:kern w:val="0"/>
                <w:sz w:val="24"/>
                <w:lang w:bidi="ar"/>
              </w:rPr>
              <w:t>90℃弯头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5B61B">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33C1D">
            <w:pPr>
              <w:widowControl/>
              <w:jc w:val="center"/>
              <w:textAlignment w:val="center"/>
              <w:rPr>
                <w:rFonts w:ascii="宋体" w:hAnsi="宋体" w:eastAsia="宋体" w:cs="宋体"/>
                <w:sz w:val="24"/>
              </w:rPr>
            </w:pPr>
            <w:r>
              <w:rPr>
                <w:rFonts w:hint="eastAsia" w:ascii="宋体" w:hAnsi="宋体" w:eastAsia="宋体" w:cs="宋体"/>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127BD">
            <w:pPr>
              <w:widowControl/>
              <w:jc w:val="center"/>
              <w:textAlignment w:val="center"/>
              <w:rPr>
                <w:rFonts w:ascii="宋体" w:hAnsi="宋体" w:eastAsia="宋体" w:cs="宋体"/>
                <w:sz w:val="24"/>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AF122">
            <w:pPr>
              <w:widowControl/>
              <w:jc w:val="left"/>
              <w:textAlignment w:val="center"/>
              <w:rPr>
                <w:rFonts w:ascii="宋体" w:hAnsi="宋体" w:eastAsia="宋体" w:cs="宋体"/>
                <w:sz w:val="24"/>
              </w:rPr>
            </w:pPr>
            <w:r>
              <w:rPr>
                <w:rFonts w:hint="eastAsia" w:ascii="宋体" w:hAnsi="宋体" w:eastAsia="宋体" w:cs="宋体"/>
                <w:kern w:val="0"/>
                <w:sz w:val="24"/>
                <w:lang w:bidi="ar"/>
              </w:rPr>
              <w:t>采用≥1.0mm镀锌板做,用30*30角铁做法兰连接，接驳处采用密封条及玻璃胶密封。</w:t>
            </w:r>
          </w:p>
        </w:tc>
      </w:tr>
      <w:tr w14:paraId="356B1A85">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5DD3">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2</w:t>
            </w:r>
            <w:r>
              <w:rPr>
                <w:rFonts w:hint="eastAsia" w:ascii="宋体" w:hAnsi="宋体" w:eastAsia="宋体" w:cs="宋体"/>
                <w:kern w:val="0"/>
                <w:sz w:val="24"/>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30FE6">
            <w:pPr>
              <w:widowControl/>
              <w:jc w:val="left"/>
              <w:textAlignment w:val="center"/>
              <w:rPr>
                <w:rFonts w:ascii="宋体" w:hAnsi="宋体" w:eastAsia="宋体" w:cs="宋体"/>
                <w:sz w:val="24"/>
              </w:rPr>
            </w:pPr>
            <w:r>
              <w:rPr>
                <w:rFonts w:hint="eastAsia" w:ascii="宋体" w:hAnsi="宋体" w:eastAsia="宋体" w:cs="宋体"/>
                <w:kern w:val="0"/>
                <w:sz w:val="24"/>
                <w:lang w:bidi="ar"/>
              </w:rPr>
              <w:t>45℃弯头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E2311">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7F860">
            <w:pPr>
              <w:widowControl/>
              <w:jc w:val="center"/>
              <w:textAlignment w:val="center"/>
              <w:rPr>
                <w:rFonts w:ascii="宋体" w:hAnsi="宋体" w:eastAsia="宋体" w:cs="宋体"/>
                <w:sz w:val="24"/>
              </w:rPr>
            </w:pPr>
            <w:r>
              <w:rPr>
                <w:rFonts w:hint="eastAsia" w:ascii="宋体" w:hAnsi="宋体" w:eastAsia="宋体" w:cs="宋体"/>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55707">
            <w:pPr>
              <w:widowControl/>
              <w:jc w:val="center"/>
              <w:textAlignment w:val="center"/>
              <w:rPr>
                <w:rFonts w:ascii="宋体" w:hAnsi="宋体" w:eastAsia="宋体" w:cs="宋体"/>
                <w:sz w:val="24"/>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504C0">
            <w:pPr>
              <w:widowControl/>
              <w:jc w:val="left"/>
              <w:textAlignment w:val="center"/>
              <w:rPr>
                <w:rFonts w:ascii="宋体" w:hAnsi="宋体" w:eastAsia="宋体" w:cs="宋体"/>
                <w:sz w:val="24"/>
              </w:rPr>
            </w:pPr>
            <w:r>
              <w:rPr>
                <w:rFonts w:hint="eastAsia" w:ascii="宋体" w:hAnsi="宋体" w:eastAsia="宋体" w:cs="宋体"/>
                <w:kern w:val="0"/>
                <w:sz w:val="24"/>
                <w:lang w:bidi="ar"/>
              </w:rPr>
              <w:t>采用≥1.0mm镀锌板做,用30*30角铁做法兰连接，接驳处采用密封条及玻璃胶密封。</w:t>
            </w:r>
          </w:p>
        </w:tc>
      </w:tr>
      <w:tr w14:paraId="6AF550FC">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CB3D">
            <w:pPr>
              <w:widowControl/>
              <w:jc w:val="center"/>
              <w:textAlignment w:val="center"/>
              <w:rPr>
                <w:rFonts w:hint="default" w:ascii="宋体" w:hAnsi="宋体" w:eastAsia="宋体" w:cs="宋体"/>
                <w:sz w:val="24"/>
                <w:lang w:val="en-US" w:eastAsia="zh-CN"/>
              </w:rPr>
            </w:pPr>
            <w:r>
              <w:rPr>
                <w:rFonts w:hint="eastAsia" w:ascii="宋体" w:hAnsi="宋体" w:eastAsia="宋体" w:cs="宋体"/>
                <w:kern w:val="0"/>
                <w:sz w:val="24"/>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0176C">
            <w:pPr>
              <w:widowControl/>
              <w:jc w:val="left"/>
              <w:textAlignment w:val="center"/>
              <w:rPr>
                <w:rFonts w:ascii="宋体" w:hAnsi="宋体" w:eastAsia="宋体" w:cs="宋体"/>
                <w:sz w:val="24"/>
              </w:rPr>
            </w:pPr>
            <w:r>
              <w:rPr>
                <w:rFonts w:hint="eastAsia" w:ascii="宋体" w:hAnsi="宋体" w:eastAsia="宋体" w:cs="宋体"/>
                <w:kern w:val="0"/>
                <w:sz w:val="24"/>
                <w:lang w:bidi="ar"/>
              </w:rPr>
              <w:t>150℃防火阀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A765A">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4D3E">
            <w:pPr>
              <w:widowControl/>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B2086">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AD74D">
            <w:pPr>
              <w:widowControl/>
              <w:jc w:val="left"/>
              <w:textAlignment w:val="center"/>
              <w:rPr>
                <w:rFonts w:ascii="宋体" w:hAnsi="宋体" w:eastAsia="宋体" w:cs="宋体"/>
                <w:sz w:val="24"/>
              </w:rPr>
            </w:pPr>
            <w:r>
              <w:rPr>
                <w:rFonts w:hint="eastAsia" w:ascii="宋体" w:hAnsi="宋体" w:eastAsia="宋体" w:cs="宋体"/>
                <w:kern w:val="0"/>
                <w:sz w:val="24"/>
                <w:lang w:bidi="ar"/>
              </w:rPr>
              <w:t>自动，当风管内温度达到 150 度时，防火阀内热熔线融化并自动切断阀门已达到防火目的。</w:t>
            </w:r>
          </w:p>
        </w:tc>
      </w:tr>
      <w:tr w14:paraId="34712515">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436E">
            <w:pPr>
              <w:widowControl/>
              <w:jc w:val="center"/>
              <w:textAlignment w:val="center"/>
              <w:rPr>
                <w:rFonts w:hint="default" w:ascii="宋体" w:hAnsi="宋体" w:eastAsia="宋体" w:cs="宋体"/>
                <w:sz w:val="24"/>
                <w:lang w:val="en-US" w:eastAsia="zh-CN"/>
              </w:rPr>
            </w:pPr>
            <w:r>
              <w:rPr>
                <w:rFonts w:hint="eastAsia" w:ascii="宋体" w:hAnsi="宋体" w:eastAsia="宋体" w:cs="宋体"/>
                <w:kern w:val="0"/>
                <w:sz w:val="24"/>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59BDB">
            <w:pPr>
              <w:widowControl/>
              <w:jc w:val="left"/>
              <w:textAlignment w:val="center"/>
              <w:rPr>
                <w:rFonts w:ascii="宋体" w:hAnsi="宋体" w:eastAsia="宋体" w:cs="宋体"/>
                <w:sz w:val="24"/>
              </w:rPr>
            </w:pPr>
            <w:r>
              <w:rPr>
                <w:rFonts w:hint="eastAsia" w:ascii="宋体" w:hAnsi="宋体" w:eastAsia="宋体" w:cs="宋体"/>
                <w:kern w:val="0"/>
                <w:sz w:val="24"/>
                <w:lang w:bidi="ar"/>
              </w:rPr>
              <w:t>软连接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02947">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839F2">
            <w:pPr>
              <w:widowControl/>
              <w:jc w:val="center"/>
              <w:textAlignment w:val="center"/>
              <w:rPr>
                <w:rFonts w:ascii="宋体" w:hAnsi="宋体" w:eastAsia="宋体" w:cs="宋体"/>
                <w:sz w:val="24"/>
              </w:rPr>
            </w:pPr>
            <w:r>
              <w:rPr>
                <w:rFonts w:hint="eastAsia" w:ascii="宋体" w:hAnsi="宋体" w:eastAsia="宋体" w:cs="宋体"/>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3AC74">
            <w:pPr>
              <w:widowControl/>
              <w:jc w:val="center"/>
              <w:textAlignment w:val="center"/>
              <w:rPr>
                <w:rFonts w:ascii="宋体" w:hAnsi="宋体" w:eastAsia="宋体" w:cs="宋体"/>
                <w:sz w:val="24"/>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BE96F">
            <w:pPr>
              <w:widowControl/>
              <w:jc w:val="left"/>
              <w:textAlignment w:val="center"/>
              <w:rPr>
                <w:rFonts w:ascii="宋体" w:hAnsi="宋体" w:eastAsia="宋体" w:cs="宋体"/>
                <w:sz w:val="24"/>
              </w:rPr>
            </w:pPr>
            <w:r>
              <w:rPr>
                <w:rFonts w:hint="eastAsia" w:ascii="宋体" w:hAnsi="宋体" w:eastAsia="宋体" w:cs="宋体"/>
                <w:kern w:val="0"/>
                <w:sz w:val="24"/>
                <w:lang w:bidi="ar"/>
              </w:rPr>
              <w:t>采用国标 30*30*3mm 角钢焊接制作,配帆布连接</w:t>
            </w:r>
          </w:p>
        </w:tc>
      </w:tr>
      <w:tr w14:paraId="519BD941">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9DA8">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3</w:t>
            </w:r>
            <w:r>
              <w:rPr>
                <w:rFonts w:hint="eastAsia" w:ascii="宋体" w:hAnsi="宋体" w:eastAsia="宋体" w:cs="宋体"/>
                <w:kern w:val="0"/>
                <w:sz w:val="24"/>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F93F7">
            <w:pPr>
              <w:widowControl/>
              <w:jc w:val="left"/>
              <w:textAlignment w:val="center"/>
              <w:rPr>
                <w:rFonts w:ascii="宋体" w:hAnsi="宋体" w:eastAsia="宋体" w:cs="宋体"/>
                <w:sz w:val="24"/>
              </w:rPr>
            </w:pPr>
            <w:r>
              <w:rPr>
                <w:rFonts w:hint="eastAsia" w:ascii="宋体" w:hAnsi="宋体" w:eastAsia="宋体" w:cs="宋体"/>
                <w:kern w:val="0"/>
                <w:sz w:val="24"/>
                <w:lang w:bidi="ar"/>
              </w:rPr>
              <w:t>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0FBEC">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9513E">
            <w:pPr>
              <w:widowControl/>
              <w:jc w:val="center"/>
              <w:textAlignment w:val="center"/>
              <w:rPr>
                <w:rFonts w:ascii="宋体" w:hAnsi="宋体" w:eastAsia="宋体" w:cs="宋体"/>
                <w:sz w:val="24"/>
              </w:rPr>
            </w:pPr>
            <w:r>
              <w:rPr>
                <w:rFonts w:hint="eastAsia" w:ascii="宋体" w:hAnsi="宋体" w:eastAsia="宋体" w:cs="宋体"/>
                <w:kern w:val="0"/>
                <w:sz w:val="24"/>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2E261">
            <w:pPr>
              <w:widowControl/>
              <w:jc w:val="center"/>
              <w:textAlignment w:val="center"/>
              <w:rPr>
                <w:rFonts w:ascii="宋体" w:hAnsi="宋体" w:eastAsia="宋体" w:cs="宋体"/>
                <w:sz w:val="24"/>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AB78A">
            <w:pPr>
              <w:widowControl/>
              <w:jc w:val="left"/>
              <w:textAlignment w:val="center"/>
              <w:rPr>
                <w:rFonts w:ascii="宋体" w:hAnsi="宋体" w:eastAsia="宋体" w:cs="宋体"/>
                <w:sz w:val="24"/>
              </w:rPr>
            </w:pPr>
            <w:r>
              <w:rPr>
                <w:rFonts w:hint="eastAsia" w:ascii="宋体" w:hAnsi="宋体" w:eastAsia="宋体" w:cs="宋体"/>
                <w:kern w:val="0"/>
                <w:sz w:val="24"/>
                <w:lang w:bidi="ar"/>
              </w:rPr>
              <w:t>用30*30角铁做法兰连接</w:t>
            </w:r>
          </w:p>
        </w:tc>
      </w:tr>
      <w:tr w14:paraId="3656CF6C">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E408">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3</w:t>
            </w:r>
            <w:r>
              <w:rPr>
                <w:rFonts w:hint="eastAsia" w:ascii="宋体" w:hAnsi="宋体" w:eastAsia="宋体" w:cs="宋体"/>
                <w:kern w:val="0"/>
                <w:sz w:val="24"/>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138E0">
            <w:pPr>
              <w:widowControl/>
              <w:jc w:val="left"/>
              <w:textAlignment w:val="center"/>
              <w:rPr>
                <w:rFonts w:ascii="宋体" w:hAnsi="宋体" w:eastAsia="宋体" w:cs="宋体"/>
                <w:sz w:val="24"/>
              </w:rPr>
            </w:pPr>
            <w:r>
              <w:rPr>
                <w:rFonts w:hint="eastAsia" w:ascii="宋体" w:hAnsi="宋体" w:eastAsia="宋体" w:cs="宋体"/>
                <w:kern w:val="0"/>
                <w:sz w:val="24"/>
                <w:lang w:bidi="ar"/>
              </w:rPr>
              <w:t>风柜支架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1AD05">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A3F70">
            <w:pPr>
              <w:widowControl/>
              <w:jc w:val="center"/>
              <w:textAlignment w:val="center"/>
              <w:rPr>
                <w:rFonts w:ascii="宋体" w:hAnsi="宋体" w:eastAsia="宋体" w:cs="宋体"/>
                <w:sz w:val="24"/>
              </w:rPr>
            </w:pPr>
            <w:r>
              <w:rPr>
                <w:rFonts w:hint="eastAsia" w:ascii="宋体" w:hAnsi="宋体" w:eastAsia="宋体" w:cs="宋体"/>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AAE659">
            <w:pPr>
              <w:widowControl/>
              <w:jc w:val="center"/>
              <w:textAlignment w:val="center"/>
              <w:rPr>
                <w:rFonts w:ascii="宋体" w:hAnsi="宋体" w:eastAsia="宋体" w:cs="宋体"/>
                <w:sz w:val="24"/>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6A383">
            <w:pPr>
              <w:widowControl/>
              <w:jc w:val="left"/>
              <w:textAlignment w:val="center"/>
              <w:rPr>
                <w:rFonts w:ascii="宋体" w:hAnsi="宋体" w:eastAsia="宋体" w:cs="宋体"/>
                <w:sz w:val="24"/>
              </w:rPr>
            </w:pPr>
            <w:r>
              <w:rPr>
                <w:rFonts w:hint="eastAsia" w:ascii="宋体" w:hAnsi="宋体" w:eastAsia="宋体" w:cs="宋体"/>
                <w:kern w:val="0"/>
                <w:sz w:val="24"/>
                <w:lang w:bidi="ar"/>
              </w:rPr>
              <w:t>采用50×50角钢，防锈处理。</w:t>
            </w:r>
          </w:p>
        </w:tc>
      </w:tr>
      <w:tr w14:paraId="1F8DF5CE">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F990">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3</w:t>
            </w:r>
            <w:r>
              <w:rPr>
                <w:rFonts w:hint="eastAsia" w:ascii="宋体" w:hAnsi="宋体" w:eastAsia="宋体" w:cs="宋体"/>
                <w:kern w:val="0"/>
                <w:sz w:val="24"/>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E0AB5">
            <w:pPr>
              <w:widowControl/>
              <w:jc w:val="left"/>
              <w:textAlignment w:val="center"/>
              <w:rPr>
                <w:rFonts w:ascii="宋体" w:hAnsi="宋体" w:eastAsia="宋体" w:cs="宋体"/>
                <w:sz w:val="24"/>
              </w:rPr>
            </w:pPr>
            <w:r>
              <w:rPr>
                <w:rFonts w:hint="eastAsia" w:ascii="宋体" w:hAnsi="宋体" w:eastAsia="宋体" w:cs="宋体"/>
                <w:kern w:val="0"/>
                <w:sz w:val="24"/>
                <w:lang w:bidi="ar"/>
              </w:rPr>
              <w:t>油烟净化器支架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C2892">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05065">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E8D27">
            <w:pPr>
              <w:widowControl/>
              <w:jc w:val="center"/>
              <w:textAlignment w:val="center"/>
              <w:rPr>
                <w:rFonts w:ascii="宋体" w:hAnsi="宋体" w:eastAsia="宋体" w:cs="宋体"/>
                <w:sz w:val="24"/>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2555F">
            <w:pPr>
              <w:widowControl/>
              <w:jc w:val="left"/>
              <w:textAlignment w:val="center"/>
              <w:rPr>
                <w:rFonts w:ascii="宋体" w:hAnsi="宋体" w:eastAsia="宋体" w:cs="宋体"/>
                <w:sz w:val="24"/>
              </w:rPr>
            </w:pPr>
            <w:r>
              <w:rPr>
                <w:rFonts w:hint="eastAsia" w:ascii="宋体" w:hAnsi="宋体" w:eastAsia="宋体" w:cs="宋体"/>
                <w:kern w:val="0"/>
                <w:sz w:val="24"/>
                <w:lang w:bidi="ar"/>
              </w:rPr>
              <w:t>采用50×50角钢，防锈处理。</w:t>
            </w:r>
          </w:p>
        </w:tc>
      </w:tr>
      <w:tr w14:paraId="580C62D3">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DC25">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3</w:t>
            </w:r>
            <w:r>
              <w:rPr>
                <w:rFonts w:hint="eastAsia" w:ascii="宋体" w:hAnsi="宋体" w:eastAsia="宋体" w:cs="宋体"/>
                <w:kern w:val="0"/>
                <w:sz w:val="24"/>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E6674">
            <w:pPr>
              <w:widowControl/>
              <w:jc w:val="left"/>
              <w:textAlignment w:val="center"/>
              <w:rPr>
                <w:rFonts w:ascii="宋体" w:hAnsi="宋体" w:eastAsia="宋体" w:cs="宋体"/>
                <w:sz w:val="24"/>
              </w:rPr>
            </w:pPr>
            <w:r>
              <w:rPr>
                <w:rFonts w:hint="eastAsia" w:ascii="宋体" w:hAnsi="宋体" w:eastAsia="宋体" w:cs="宋体"/>
                <w:kern w:val="0"/>
                <w:sz w:val="24"/>
                <w:lang w:bidi="ar"/>
              </w:rPr>
              <w:t>风柜减震器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4AAC6">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CD3EA">
            <w:pPr>
              <w:widowControl/>
              <w:jc w:val="center"/>
              <w:textAlignment w:val="center"/>
              <w:rPr>
                <w:rFonts w:ascii="宋体" w:hAnsi="宋体" w:eastAsia="宋体" w:cs="宋体"/>
                <w:sz w:val="24"/>
              </w:rPr>
            </w:pPr>
            <w:r>
              <w:rPr>
                <w:rFonts w:hint="eastAsia" w:ascii="宋体" w:hAnsi="宋体" w:eastAsia="宋体" w:cs="宋体"/>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B6B4C">
            <w:pPr>
              <w:widowControl/>
              <w:jc w:val="center"/>
              <w:textAlignment w:val="center"/>
              <w:rPr>
                <w:rFonts w:ascii="宋体" w:hAnsi="宋体" w:eastAsia="宋体" w:cs="宋体"/>
                <w:sz w:val="24"/>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6A287">
            <w:pPr>
              <w:widowControl/>
              <w:jc w:val="left"/>
              <w:textAlignment w:val="center"/>
              <w:rPr>
                <w:rFonts w:ascii="宋体" w:hAnsi="宋体" w:eastAsia="宋体" w:cs="宋体"/>
                <w:sz w:val="24"/>
              </w:rPr>
            </w:pPr>
            <w:r>
              <w:rPr>
                <w:rFonts w:hint="eastAsia" w:ascii="宋体" w:hAnsi="宋体" w:eastAsia="宋体" w:cs="宋体"/>
                <w:kern w:val="0"/>
                <w:sz w:val="24"/>
                <w:lang w:bidi="ar"/>
              </w:rPr>
              <w:t>符合国家标准</w:t>
            </w:r>
          </w:p>
        </w:tc>
      </w:tr>
      <w:tr w14:paraId="4B60CD44">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9C12">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3</w:t>
            </w:r>
            <w:r>
              <w:rPr>
                <w:rFonts w:hint="eastAsia" w:ascii="宋体" w:hAnsi="宋体" w:eastAsia="宋体" w:cs="宋体"/>
                <w:kern w:val="0"/>
                <w:sz w:val="24"/>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59396">
            <w:pPr>
              <w:widowControl/>
              <w:jc w:val="left"/>
              <w:textAlignment w:val="center"/>
              <w:rPr>
                <w:rFonts w:ascii="宋体" w:hAnsi="宋体" w:eastAsia="宋体" w:cs="宋体"/>
                <w:sz w:val="24"/>
              </w:rPr>
            </w:pPr>
            <w:r>
              <w:rPr>
                <w:rFonts w:hint="eastAsia" w:ascii="宋体" w:hAnsi="宋体" w:eastAsia="宋体" w:cs="宋体"/>
                <w:kern w:val="0"/>
                <w:sz w:val="24"/>
                <w:lang w:bidi="ar"/>
              </w:rPr>
              <w:t>进出口消音管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78616">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753B2">
            <w:pPr>
              <w:widowControl/>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67918">
            <w:pPr>
              <w:widowControl/>
              <w:jc w:val="center"/>
              <w:textAlignment w:val="center"/>
              <w:rPr>
                <w:rFonts w:ascii="宋体" w:hAnsi="宋体" w:eastAsia="宋体" w:cs="宋体"/>
                <w:sz w:val="24"/>
              </w:rPr>
            </w:pPr>
            <w:r>
              <w:rPr>
                <w:rFonts w:hint="eastAsia" w:ascii="宋体" w:hAnsi="宋体" w:eastAsia="宋体" w:cs="宋体"/>
                <w:kern w:val="0"/>
                <w:sz w:val="24"/>
                <w:lang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A4C67">
            <w:pPr>
              <w:widowControl/>
              <w:jc w:val="left"/>
              <w:textAlignment w:val="center"/>
              <w:rPr>
                <w:rFonts w:ascii="宋体" w:hAnsi="宋体" w:eastAsia="宋体" w:cs="宋体"/>
                <w:sz w:val="24"/>
              </w:rPr>
            </w:pPr>
            <w:r>
              <w:rPr>
                <w:rFonts w:hint="eastAsia" w:ascii="宋体" w:hAnsi="宋体" w:eastAsia="宋体" w:cs="宋体"/>
                <w:kern w:val="0"/>
                <w:sz w:val="24"/>
                <w:lang w:bidi="ar"/>
              </w:rPr>
              <w:t>内部采用0.8不锈镀锌穿孔板，夹层采用消音棉；外部用≥1.0mm不锈镀锌板；</w:t>
            </w:r>
          </w:p>
        </w:tc>
      </w:tr>
      <w:tr w14:paraId="1D83A75C">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A5F7">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3</w:t>
            </w:r>
            <w:r>
              <w:rPr>
                <w:rFonts w:hint="eastAsia" w:ascii="宋体" w:hAnsi="宋体" w:eastAsia="宋体" w:cs="宋体"/>
                <w:kern w:val="0"/>
                <w:sz w:val="24"/>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0DD2F">
            <w:pPr>
              <w:widowControl/>
              <w:jc w:val="left"/>
              <w:textAlignment w:val="center"/>
              <w:rPr>
                <w:rFonts w:ascii="宋体" w:hAnsi="宋体" w:eastAsia="宋体" w:cs="宋体"/>
                <w:sz w:val="24"/>
              </w:rPr>
            </w:pPr>
            <w:r>
              <w:rPr>
                <w:rFonts w:hint="eastAsia" w:ascii="宋体" w:hAnsi="宋体" w:eastAsia="宋体" w:cs="宋体"/>
                <w:kern w:val="0"/>
                <w:sz w:val="24"/>
                <w:lang w:bidi="ar"/>
              </w:rPr>
              <w:t>风机专用控制箱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00CE5">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35034">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785CD">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FB212">
            <w:pPr>
              <w:widowControl/>
              <w:jc w:val="left"/>
              <w:textAlignment w:val="center"/>
              <w:rPr>
                <w:rFonts w:ascii="宋体" w:hAnsi="宋体" w:eastAsia="宋体" w:cs="宋体"/>
                <w:sz w:val="24"/>
              </w:rPr>
            </w:pPr>
            <w:r>
              <w:rPr>
                <w:rFonts w:hint="eastAsia" w:ascii="宋体" w:hAnsi="宋体" w:eastAsia="宋体" w:cs="宋体"/>
                <w:kern w:val="0"/>
                <w:sz w:val="24"/>
                <w:lang w:bidi="ar"/>
              </w:rPr>
              <w:t>1.不锈钢拉丝箱体，智能LCD屏幕，变频启停，一键切换静音，节能，强排模式，平缓无冲击，减少风机皮带，轴承等磨损。</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2.节省用电，可调整风机输出功率实现节能运行，风机、净化器同步控制/可联动新风，无级变速，有效降低共振及消除电机电磁噪音。</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3.自动调整风量风压，设计施工方便，设备具备缺相、短路、过载、绝缘损坏等多重保护功能。</w:t>
            </w:r>
          </w:p>
        </w:tc>
      </w:tr>
      <w:tr w14:paraId="53358279">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7D02">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3</w:t>
            </w:r>
            <w:r>
              <w:rPr>
                <w:rFonts w:hint="eastAsia" w:ascii="宋体" w:hAnsi="宋体" w:eastAsia="宋体" w:cs="宋体"/>
                <w:kern w:val="0"/>
                <w:sz w:val="24"/>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D88AF">
            <w:pPr>
              <w:widowControl/>
              <w:jc w:val="left"/>
              <w:textAlignment w:val="center"/>
              <w:rPr>
                <w:rFonts w:ascii="宋体" w:hAnsi="宋体" w:eastAsia="宋体" w:cs="宋体"/>
                <w:sz w:val="24"/>
              </w:rPr>
            </w:pPr>
            <w:r>
              <w:rPr>
                <w:rFonts w:hint="eastAsia" w:ascii="宋体" w:hAnsi="宋体" w:eastAsia="宋体" w:cs="宋体"/>
                <w:kern w:val="0"/>
                <w:sz w:val="24"/>
                <w:lang w:bidi="ar"/>
              </w:rPr>
              <w:t>排烟管道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3251D">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A00D5">
            <w:pPr>
              <w:widowControl/>
              <w:jc w:val="center"/>
              <w:textAlignment w:val="center"/>
              <w:rPr>
                <w:rFonts w:ascii="宋体" w:hAnsi="宋体" w:eastAsia="宋体" w:cs="宋体"/>
                <w:sz w:val="24"/>
              </w:rPr>
            </w:pPr>
            <w:r>
              <w:rPr>
                <w:rFonts w:hint="eastAsia" w:ascii="宋体" w:hAnsi="宋体" w:eastAsia="宋体" w:cs="宋体"/>
                <w:kern w:val="0"/>
                <w:sz w:val="24"/>
                <w:lang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698BB">
            <w:pPr>
              <w:widowControl/>
              <w:jc w:val="center"/>
              <w:textAlignment w:val="center"/>
              <w:rPr>
                <w:rFonts w:ascii="宋体" w:hAnsi="宋体" w:eastAsia="宋体" w:cs="宋体"/>
                <w:sz w:val="24"/>
              </w:rPr>
            </w:pPr>
            <w:r>
              <w:rPr>
                <w:rFonts w:hint="eastAsia" w:ascii="宋体" w:hAnsi="宋体" w:eastAsia="宋体" w:cs="宋体"/>
                <w:kern w:val="0"/>
                <w:sz w:val="24"/>
                <w:lang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0D351">
            <w:pPr>
              <w:widowControl/>
              <w:jc w:val="left"/>
              <w:textAlignment w:val="center"/>
              <w:rPr>
                <w:rFonts w:ascii="宋体" w:hAnsi="宋体" w:eastAsia="宋体" w:cs="宋体"/>
                <w:sz w:val="24"/>
              </w:rPr>
            </w:pPr>
            <w:r>
              <w:rPr>
                <w:rFonts w:hint="eastAsia" w:ascii="宋体" w:hAnsi="宋体" w:eastAsia="宋体" w:cs="宋体"/>
                <w:kern w:val="0"/>
                <w:sz w:val="24"/>
                <w:lang w:bidi="ar"/>
              </w:rPr>
              <w:t>304不锈钢材质，板材厚度≥1.5mm</w:t>
            </w:r>
          </w:p>
        </w:tc>
      </w:tr>
      <w:tr w14:paraId="79F58040">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1BCD">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3</w:t>
            </w:r>
            <w:r>
              <w:rPr>
                <w:rFonts w:hint="eastAsia" w:ascii="宋体" w:hAnsi="宋体" w:eastAsia="宋体" w:cs="宋体"/>
                <w:kern w:val="0"/>
                <w:sz w:val="24"/>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DDE01">
            <w:pPr>
              <w:widowControl/>
              <w:jc w:val="left"/>
              <w:textAlignment w:val="center"/>
              <w:rPr>
                <w:rFonts w:ascii="宋体" w:hAnsi="宋体" w:eastAsia="宋体" w:cs="宋体"/>
                <w:sz w:val="24"/>
              </w:rPr>
            </w:pPr>
            <w:r>
              <w:rPr>
                <w:rFonts w:hint="eastAsia" w:ascii="宋体" w:hAnsi="宋体" w:eastAsia="宋体" w:cs="宋体"/>
                <w:kern w:val="0"/>
                <w:sz w:val="24"/>
                <w:lang w:bidi="ar"/>
              </w:rPr>
              <w:t>风柜消音箱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BF95F">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74886">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944E9">
            <w:pPr>
              <w:widowControl/>
              <w:jc w:val="center"/>
              <w:textAlignment w:val="center"/>
              <w:rPr>
                <w:rFonts w:ascii="宋体" w:hAnsi="宋体" w:eastAsia="宋体" w:cs="宋体"/>
                <w:sz w:val="24"/>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4815F">
            <w:pPr>
              <w:widowControl/>
              <w:jc w:val="left"/>
              <w:textAlignment w:val="center"/>
              <w:rPr>
                <w:rFonts w:ascii="宋体" w:hAnsi="宋体" w:eastAsia="宋体" w:cs="宋体"/>
                <w:sz w:val="24"/>
              </w:rPr>
            </w:pPr>
            <w:r>
              <w:rPr>
                <w:rFonts w:hint="eastAsia" w:ascii="宋体" w:hAnsi="宋体" w:eastAsia="宋体" w:cs="宋体"/>
                <w:kern w:val="0"/>
                <w:sz w:val="24"/>
                <w:lang w:bidi="ar"/>
              </w:rPr>
              <w:t>内部采用0.8不锈镀锌穿孔板，夹层采用消音棉；外部用≥1.0mm不锈镀锌板；</w:t>
            </w:r>
          </w:p>
        </w:tc>
      </w:tr>
      <w:tr w14:paraId="687EFC25">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27BF">
            <w:pPr>
              <w:widowControl/>
              <w:jc w:val="center"/>
              <w:textAlignment w:val="center"/>
              <w:rPr>
                <w:rFonts w:hint="default" w:ascii="宋体" w:hAnsi="宋体" w:eastAsia="宋体" w:cs="宋体"/>
                <w:sz w:val="24"/>
                <w:lang w:val="en-US" w:eastAsia="zh-CN"/>
              </w:rPr>
            </w:pPr>
            <w:r>
              <w:rPr>
                <w:rFonts w:hint="eastAsia" w:ascii="宋体" w:hAnsi="宋体" w:eastAsia="宋体" w:cs="宋体"/>
                <w:kern w:val="0"/>
                <w:sz w:val="24"/>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F4E6D">
            <w:pPr>
              <w:widowControl/>
              <w:jc w:val="left"/>
              <w:textAlignment w:val="center"/>
              <w:rPr>
                <w:rFonts w:ascii="宋体" w:hAnsi="宋体" w:eastAsia="宋体" w:cs="宋体"/>
                <w:sz w:val="24"/>
              </w:rPr>
            </w:pPr>
            <w:r>
              <w:rPr>
                <w:rFonts w:hint="eastAsia" w:ascii="宋体" w:hAnsi="宋体" w:eastAsia="宋体" w:cs="宋体"/>
                <w:kern w:val="0"/>
                <w:sz w:val="24"/>
                <w:lang w:bidi="ar"/>
              </w:rPr>
              <w:t>预留环保检测口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78F98">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424FE">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B1DE5">
            <w:pPr>
              <w:widowControl/>
              <w:jc w:val="center"/>
              <w:textAlignment w:val="center"/>
              <w:rPr>
                <w:rFonts w:ascii="宋体" w:hAnsi="宋体" w:eastAsia="宋体" w:cs="宋体"/>
                <w:sz w:val="24"/>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7AD40">
            <w:pPr>
              <w:widowControl/>
              <w:jc w:val="left"/>
              <w:textAlignment w:val="center"/>
              <w:rPr>
                <w:rFonts w:ascii="宋体" w:hAnsi="宋体" w:eastAsia="宋体" w:cs="宋体"/>
                <w:sz w:val="24"/>
              </w:rPr>
            </w:pPr>
            <w:r>
              <w:rPr>
                <w:rFonts w:hint="eastAsia" w:ascii="宋体" w:hAnsi="宋体" w:eastAsia="宋体" w:cs="宋体"/>
                <w:kern w:val="0"/>
                <w:sz w:val="24"/>
                <w:lang w:bidi="ar"/>
              </w:rPr>
              <w:t>符合环保检测要求预留检测口，加密封圈，方便环保检测。</w:t>
            </w:r>
          </w:p>
        </w:tc>
      </w:tr>
      <w:tr w14:paraId="5A4543F8">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FF12">
            <w:pPr>
              <w:widowControl/>
              <w:jc w:val="center"/>
              <w:textAlignment w:val="center"/>
              <w:rPr>
                <w:rFonts w:hint="default" w:ascii="宋体" w:hAnsi="宋体" w:eastAsia="宋体" w:cs="宋体"/>
                <w:sz w:val="24"/>
                <w:lang w:val="en-US" w:eastAsia="zh-CN"/>
              </w:rPr>
            </w:pPr>
            <w:r>
              <w:rPr>
                <w:rFonts w:hint="eastAsia" w:ascii="宋体" w:hAnsi="宋体" w:eastAsia="宋体" w:cs="宋体"/>
                <w:kern w:val="0"/>
                <w:sz w:val="24"/>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D68D8">
            <w:pPr>
              <w:widowControl/>
              <w:jc w:val="left"/>
              <w:textAlignment w:val="center"/>
              <w:rPr>
                <w:rFonts w:ascii="宋体" w:hAnsi="宋体" w:eastAsia="宋体" w:cs="宋体"/>
                <w:sz w:val="24"/>
              </w:rPr>
            </w:pPr>
            <w:r>
              <w:rPr>
                <w:rFonts w:hint="eastAsia" w:ascii="宋体" w:hAnsi="宋体" w:eastAsia="宋体" w:cs="宋体"/>
                <w:kern w:val="0"/>
                <w:sz w:val="24"/>
                <w:lang w:bidi="ar"/>
              </w:rPr>
              <w:t>环保检测服务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1F133">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89430">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9AC05">
            <w:pPr>
              <w:widowControl/>
              <w:jc w:val="center"/>
              <w:textAlignment w:val="center"/>
              <w:rPr>
                <w:rFonts w:ascii="宋体" w:hAnsi="宋体" w:eastAsia="宋体" w:cs="宋体"/>
                <w:sz w:val="24"/>
              </w:rPr>
            </w:pPr>
            <w:r>
              <w:rPr>
                <w:rFonts w:hint="eastAsia" w:ascii="宋体" w:hAnsi="宋体" w:eastAsia="宋体" w:cs="宋体"/>
                <w:kern w:val="0"/>
                <w:sz w:val="24"/>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B5F55">
            <w:pPr>
              <w:widowControl/>
              <w:jc w:val="left"/>
              <w:textAlignment w:val="center"/>
              <w:rPr>
                <w:rFonts w:ascii="宋体" w:hAnsi="宋体" w:eastAsia="宋体" w:cs="宋体"/>
                <w:sz w:val="24"/>
              </w:rPr>
            </w:pPr>
            <w:r>
              <w:rPr>
                <w:rFonts w:hint="eastAsia" w:ascii="宋体" w:hAnsi="宋体" w:eastAsia="宋体" w:cs="宋体"/>
                <w:kern w:val="0"/>
                <w:sz w:val="24"/>
                <w:lang w:bidi="ar"/>
              </w:rPr>
              <w:t>依据北京地区DB11/1488-2018《餐饮业大气污染物排放标准》进行检测，出具检测报告。</w:t>
            </w:r>
          </w:p>
        </w:tc>
      </w:tr>
      <w:tr w14:paraId="67B6AF2B">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C00F">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4</w:t>
            </w:r>
            <w:r>
              <w:rPr>
                <w:rFonts w:hint="eastAsia" w:ascii="宋体" w:hAnsi="宋体" w:eastAsia="宋体" w:cs="宋体"/>
                <w:kern w:val="0"/>
                <w:sz w:val="24"/>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CBA45">
            <w:pPr>
              <w:widowControl/>
              <w:jc w:val="left"/>
              <w:textAlignment w:val="center"/>
              <w:rPr>
                <w:rFonts w:ascii="宋体" w:hAnsi="宋体" w:eastAsia="宋体" w:cs="宋体"/>
                <w:sz w:val="24"/>
              </w:rPr>
            </w:pPr>
            <w:r>
              <w:rPr>
                <w:rFonts w:hint="eastAsia" w:ascii="宋体" w:hAnsi="宋体" w:eastAsia="宋体" w:cs="宋体"/>
                <w:kern w:val="0"/>
                <w:sz w:val="24"/>
                <w:lang w:bidi="ar"/>
              </w:rPr>
              <w:t>送风风柜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58C34">
            <w:pPr>
              <w:widowControl/>
              <w:jc w:val="left"/>
              <w:textAlignment w:val="center"/>
              <w:rPr>
                <w:rFonts w:ascii="宋体" w:hAnsi="宋体" w:eastAsia="宋体" w:cs="宋体"/>
                <w:sz w:val="24"/>
              </w:rPr>
            </w:pPr>
            <w:r>
              <w:rPr>
                <w:rFonts w:hint="eastAsia" w:ascii="宋体" w:hAnsi="宋体" w:eastAsia="宋体" w:cs="宋体"/>
                <w:kern w:val="0"/>
                <w:sz w:val="24"/>
                <w:lang w:bidi="ar"/>
              </w:rPr>
              <w:t>≥10000风量5.5KW</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06573">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889EE">
            <w:pPr>
              <w:jc w:val="center"/>
              <w:rPr>
                <w:rFonts w:ascii="宋体" w:hAnsi="宋体" w:eastAsia="宋体"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FBCC0">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1.整机外壳采用汽车金属烤漆钢板制作工艺，不易褪色，防腐等级高，使用寿命长。</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2.根据离心力和动量守恒定律设计的风机专用高压叶轮。叶片采用压铆激光焊接工艺制作，更牢固，具有风量大，压力高，运行稳定等特点。</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3.内部采用双层静音处理技术，全网加静音棉，静音棉材质为铝硅阻燃材料，厚度≥25MM</w:t>
            </w:r>
          </w:p>
          <w:p w14:paraId="675D39CC">
            <w:pPr>
              <w:widowControl/>
              <w:jc w:val="left"/>
              <w:textAlignment w:val="center"/>
              <w:rPr>
                <w:rFonts w:ascii="宋体" w:hAnsi="宋体" w:eastAsia="宋体" w:cs="宋体"/>
                <w:sz w:val="24"/>
              </w:rPr>
            </w:pPr>
            <w:r>
              <w:rPr>
                <w:rFonts w:hint="eastAsia" w:ascii="宋体" w:hAnsi="宋体" w:eastAsia="宋体" w:cs="宋体"/>
                <w:kern w:val="0"/>
                <w:sz w:val="24"/>
                <w:lang w:bidi="ar"/>
              </w:rPr>
              <w:t>4.采用进口耐高温耐腐蚀风机专用轴承，精度高，抗磨损性好，增加风机使用寿命，减少维护成本。</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5.产品可配备自动定时变频功能，可调节风量风压，多重保护，缺项，过载，绝缘损坏等运行故障. 定时模式：支持 8/12/24 小时循环启停，适配餐饮午晚餐高峰（如 11:00-14:00 自动满功率运行）</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6.角钢：采用镀锌角钢制作，结构更牢固，风机设有检修门，方便日后维护； 底部自带槽钢支架，便于安装。</w:t>
            </w:r>
          </w:p>
        </w:tc>
      </w:tr>
      <w:tr w14:paraId="3342A519">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DA2A">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4</w:t>
            </w:r>
            <w:r>
              <w:rPr>
                <w:rFonts w:hint="eastAsia" w:ascii="宋体" w:hAnsi="宋体" w:eastAsia="宋体" w:cs="宋体"/>
                <w:kern w:val="0"/>
                <w:sz w:val="24"/>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92759">
            <w:pPr>
              <w:widowControl/>
              <w:jc w:val="left"/>
              <w:textAlignment w:val="center"/>
              <w:rPr>
                <w:rFonts w:ascii="宋体" w:hAnsi="宋体" w:eastAsia="宋体" w:cs="宋体"/>
                <w:sz w:val="24"/>
              </w:rPr>
            </w:pPr>
            <w:r>
              <w:rPr>
                <w:rFonts w:hint="eastAsia" w:ascii="宋体" w:hAnsi="宋体" w:eastAsia="宋体" w:cs="宋体"/>
                <w:kern w:val="0"/>
                <w:sz w:val="24"/>
                <w:lang w:bidi="ar"/>
              </w:rPr>
              <w:t>送风管道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A584C">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3F9E1">
            <w:pPr>
              <w:widowControl/>
              <w:jc w:val="center"/>
              <w:textAlignment w:val="center"/>
              <w:rPr>
                <w:rFonts w:ascii="宋体" w:hAnsi="宋体" w:eastAsia="宋体" w:cs="宋体"/>
                <w:sz w:val="24"/>
              </w:rPr>
            </w:pPr>
            <w:r>
              <w:rPr>
                <w:rFonts w:hint="eastAsia" w:ascii="宋体" w:hAnsi="宋体" w:eastAsia="宋体" w:cs="宋体"/>
                <w:kern w:val="0"/>
                <w:sz w:val="24"/>
                <w:lang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4865E">
            <w:pPr>
              <w:widowControl/>
              <w:jc w:val="center"/>
              <w:textAlignment w:val="center"/>
              <w:rPr>
                <w:rFonts w:ascii="宋体" w:hAnsi="宋体" w:eastAsia="宋体" w:cs="宋体"/>
                <w:sz w:val="24"/>
              </w:rPr>
            </w:pPr>
            <w:r>
              <w:rPr>
                <w:rFonts w:hint="eastAsia" w:ascii="宋体" w:hAnsi="宋体" w:eastAsia="宋体" w:cs="宋体"/>
                <w:kern w:val="0"/>
                <w:sz w:val="24"/>
                <w:lang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2B559">
            <w:pPr>
              <w:widowControl/>
              <w:jc w:val="left"/>
              <w:textAlignment w:val="center"/>
              <w:rPr>
                <w:rFonts w:ascii="宋体" w:hAnsi="宋体" w:eastAsia="宋体" w:cs="宋体"/>
                <w:sz w:val="24"/>
              </w:rPr>
            </w:pPr>
            <w:r>
              <w:rPr>
                <w:rFonts w:hint="eastAsia" w:ascii="宋体" w:hAnsi="宋体" w:eastAsia="宋体" w:cs="宋体"/>
                <w:kern w:val="0"/>
                <w:sz w:val="24"/>
                <w:lang w:bidi="ar"/>
              </w:rPr>
              <w:t>304不锈钢材质，板材厚度≥1.5mm</w:t>
            </w:r>
          </w:p>
        </w:tc>
      </w:tr>
      <w:tr w14:paraId="7479A38E">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18D5">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4</w:t>
            </w:r>
            <w:r>
              <w:rPr>
                <w:rFonts w:hint="eastAsia" w:ascii="宋体" w:hAnsi="宋体" w:eastAsia="宋体" w:cs="宋体"/>
                <w:kern w:val="0"/>
                <w:sz w:val="24"/>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BD28C">
            <w:pPr>
              <w:widowControl/>
              <w:jc w:val="left"/>
              <w:textAlignment w:val="center"/>
              <w:rPr>
                <w:rFonts w:ascii="宋体" w:hAnsi="宋体" w:eastAsia="宋体" w:cs="宋体"/>
                <w:sz w:val="24"/>
              </w:rPr>
            </w:pPr>
            <w:r>
              <w:rPr>
                <w:rFonts w:hint="eastAsia" w:ascii="宋体" w:hAnsi="宋体" w:eastAsia="宋体" w:cs="宋体"/>
                <w:kern w:val="0"/>
                <w:sz w:val="24"/>
                <w:lang w:bidi="ar"/>
              </w:rPr>
              <w:t>变径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A3F34">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C1AF9">
            <w:pPr>
              <w:widowControl/>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5C524">
            <w:pPr>
              <w:widowControl/>
              <w:jc w:val="center"/>
              <w:textAlignment w:val="center"/>
              <w:rPr>
                <w:rFonts w:ascii="宋体" w:hAnsi="宋体" w:eastAsia="宋体" w:cs="宋体"/>
                <w:sz w:val="24"/>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9E0F5">
            <w:pPr>
              <w:widowControl/>
              <w:jc w:val="left"/>
              <w:textAlignment w:val="center"/>
              <w:rPr>
                <w:rFonts w:ascii="宋体" w:hAnsi="宋体" w:eastAsia="宋体" w:cs="宋体"/>
                <w:sz w:val="24"/>
              </w:rPr>
            </w:pPr>
            <w:r>
              <w:rPr>
                <w:rFonts w:hint="eastAsia" w:ascii="宋体" w:hAnsi="宋体" w:eastAsia="宋体" w:cs="宋体"/>
                <w:kern w:val="0"/>
                <w:sz w:val="24"/>
                <w:lang w:bidi="ar"/>
              </w:rPr>
              <w:t>采用≥1.0mm镀锌板做,用30*30角铁做法兰连接，接驳处采用密封条及玻璃胶密封。</w:t>
            </w:r>
          </w:p>
        </w:tc>
      </w:tr>
      <w:tr w14:paraId="6CD094DD">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F0F0">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4</w:t>
            </w:r>
            <w:r>
              <w:rPr>
                <w:rFonts w:hint="eastAsia" w:ascii="宋体" w:hAnsi="宋体" w:eastAsia="宋体" w:cs="宋体"/>
                <w:kern w:val="0"/>
                <w:sz w:val="24"/>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3EBBE">
            <w:pPr>
              <w:widowControl/>
              <w:jc w:val="left"/>
              <w:textAlignment w:val="center"/>
              <w:rPr>
                <w:rFonts w:ascii="宋体" w:hAnsi="宋体" w:eastAsia="宋体" w:cs="宋体"/>
                <w:sz w:val="24"/>
              </w:rPr>
            </w:pPr>
            <w:r>
              <w:rPr>
                <w:rFonts w:hint="eastAsia" w:ascii="宋体" w:hAnsi="宋体" w:eastAsia="宋体" w:cs="宋体"/>
                <w:kern w:val="0"/>
                <w:sz w:val="24"/>
                <w:lang w:bidi="ar"/>
              </w:rPr>
              <w:t>90℃弯头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00E82">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C7803">
            <w:pPr>
              <w:widowControl/>
              <w:jc w:val="center"/>
              <w:textAlignment w:val="center"/>
              <w:rPr>
                <w:rFonts w:ascii="宋体" w:hAnsi="宋体" w:eastAsia="宋体" w:cs="宋体"/>
                <w:sz w:val="24"/>
              </w:rPr>
            </w:pPr>
            <w:r>
              <w:rPr>
                <w:rFonts w:hint="eastAsia" w:ascii="宋体" w:hAnsi="宋体" w:eastAsia="宋体" w:cs="宋体"/>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36CCA">
            <w:pPr>
              <w:widowControl/>
              <w:jc w:val="center"/>
              <w:textAlignment w:val="center"/>
              <w:rPr>
                <w:rFonts w:ascii="宋体" w:hAnsi="宋体" w:eastAsia="宋体" w:cs="宋体"/>
                <w:sz w:val="24"/>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C1FDC">
            <w:pPr>
              <w:widowControl/>
              <w:jc w:val="left"/>
              <w:textAlignment w:val="center"/>
              <w:rPr>
                <w:rFonts w:ascii="宋体" w:hAnsi="宋体" w:eastAsia="宋体" w:cs="宋体"/>
                <w:sz w:val="24"/>
              </w:rPr>
            </w:pPr>
            <w:r>
              <w:rPr>
                <w:rFonts w:hint="eastAsia" w:ascii="宋体" w:hAnsi="宋体" w:eastAsia="宋体" w:cs="宋体"/>
                <w:kern w:val="0"/>
                <w:sz w:val="24"/>
                <w:lang w:bidi="ar"/>
              </w:rPr>
              <w:t>采用≥1.0mm镀锌板做,用30*30角铁做法兰连接，接驳处采用密封条及玻璃胶密封。</w:t>
            </w:r>
          </w:p>
        </w:tc>
      </w:tr>
      <w:tr w14:paraId="27B110DC">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10C8">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4</w:t>
            </w:r>
            <w:r>
              <w:rPr>
                <w:rFonts w:hint="eastAsia" w:ascii="宋体" w:hAnsi="宋体" w:eastAsia="宋体" w:cs="宋体"/>
                <w:kern w:val="0"/>
                <w:sz w:val="24"/>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7B22B">
            <w:pPr>
              <w:widowControl/>
              <w:jc w:val="left"/>
              <w:textAlignment w:val="center"/>
              <w:rPr>
                <w:rFonts w:ascii="宋体" w:hAnsi="宋体" w:eastAsia="宋体" w:cs="宋体"/>
                <w:sz w:val="24"/>
              </w:rPr>
            </w:pPr>
            <w:r>
              <w:rPr>
                <w:rFonts w:hint="eastAsia" w:ascii="宋体" w:hAnsi="宋体" w:eastAsia="宋体" w:cs="宋体"/>
                <w:kern w:val="0"/>
                <w:sz w:val="24"/>
                <w:lang w:bidi="ar"/>
              </w:rPr>
              <w:t>45℃弯头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FE2B7">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79D17">
            <w:pPr>
              <w:widowControl/>
              <w:jc w:val="center"/>
              <w:textAlignment w:val="center"/>
              <w:rPr>
                <w:rFonts w:ascii="宋体" w:hAnsi="宋体" w:eastAsia="宋体" w:cs="宋体"/>
                <w:sz w:val="24"/>
              </w:rPr>
            </w:pPr>
            <w:r>
              <w:rPr>
                <w:rFonts w:hint="eastAsia" w:ascii="宋体" w:hAnsi="宋体" w:eastAsia="宋体" w:cs="宋体"/>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60A6B">
            <w:pPr>
              <w:widowControl/>
              <w:jc w:val="center"/>
              <w:textAlignment w:val="center"/>
              <w:rPr>
                <w:rFonts w:ascii="宋体" w:hAnsi="宋体" w:eastAsia="宋体" w:cs="宋体"/>
                <w:sz w:val="24"/>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A86A7">
            <w:pPr>
              <w:widowControl/>
              <w:jc w:val="left"/>
              <w:textAlignment w:val="center"/>
              <w:rPr>
                <w:rFonts w:ascii="宋体" w:hAnsi="宋体" w:eastAsia="宋体" w:cs="宋体"/>
                <w:sz w:val="24"/>
              </w:rPr>
            </w:pPr>
            <w:r>
              <w:rPr>
                <w:rFonts w:hint="eastAsia" w:ascii="宋体" w:hAnsi="宋体" w:eastAsia="宋体" w:cs="宋体"/>
                <w:kern w:val="0"/>
                <w:sz w:val="24"/>
                <w:lang w:bidi="ar"/>
              </w:rPr>
              <w:t>采用≥1.0mm镀锌板做,用30*30角铁做法兰连接，接驳处采用密封条及玻璃胶密封。</w:t>
            </w:r>
          </w:p>
        </w:tc>
      </w:tr>
      <w:tr w14:paraId="72E2EA4F">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5389">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4</w:t>
            </w:r>
            <w:r>
              <w:rPr>
                <w:rFonts w:hint="eastAsia" w:ascii="宋体" w:hAnsi="宋体" w:eastAsia="宋体" w:cs="宋体"/>
                <w:kern w:val="0"/>
                <w:sz w:val="24"/>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EDC36">
            <w:pPr>
              <w:widowControl/>
              <w:jc w:val="left"/>
              <w:textAlignment w:val="center"/>
              <w:rPr>
                <w:rFonts w:ascii="宋体" w:hAnsi="宋体" w:eastAsia="宋体" w:cs="宋体"/>
                <w:sz w:val="24"/>
              </w:rPr>
            </w:pPr>
            <w:r>
              <w:rPr>
                <w:rFonts w:hint="eastAsia" w:ascii="宋体" w:hAnsi="宋体" w:eastAsia="宋体" w:cs="宋体"/>
                <w:kern w:val="0"/>
                <w:sz w:val="24"/>
                <w:lang w:bidi="ar"/>
              </w:rPr>
              <w:t>70℃防火阀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DEBA9">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49FB">
            <w:pPr>
              <w:widowControl/>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C695C">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3D62C">
            <w:pPr>
              <w:widowControl/>
              <w:jc w:val="left"/>
              <w:textAlignment w:val="center"/>
              <w:rPr>
                <w:rFonts w:ascii="宋体" w:hAnsi="宋体" w:eastAsia="宋体" w:cs="宋体"/>
                <w:sz w:val="24"/>
              </w:rPr>
            </w:pPr>
            <w:r>
              <w:rPr>
                <w:rFonts w:hint="eastAsia" w:ascii="宋体" w:hAnsi="宋体" w:eastAsia="宋体" w:cs="宋体"/>
                <w:kern w:val="0"/>
                <w:sz w:val="24"/>
                <w:lang w:bidi="ar"/>
              </w:rPr>
              <w:t>自动，当风管内温度达到70度时，防火阀内热熔线融化并自动切断阀门已达到防火目的。</w:t>
            </w:r>
          </w:p>
        </w:tc>
      </w:tr>
      <w:tr w14:paraId="3D106D5F">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57C9">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4</w:t>
            </w:r>
            <w:r>
              <w:rPr>
                <w:rFonts w:hint="eastAsia" w:ascii="宋体" w:hAnsi="宋体" w:eastAsia="宋体" w:cs="宋体"/>
                <w:kern w:val="0"/>
                <w:sz w:val="24"/>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19FA9">
            <w:pPr>
              <w:widowControl/>
              <w:jc w:val="left"/>
              <w:textAlignment w:val="center"/>
              <w:rPr>
                <w:rFonts w:ascii="宋体" w:hAnsi="宋体" w:eastAsia="宋体" w:cs="宋体"/>
                <w:sz w:val="24"/>
              </w:rPr>
            </w:pPr>
            <w:r>
              <w:rPr>
                <w:rFonts w:hint="eastAsia" w:ascii="宋体" w:hAnsi="宋体" w:eastAsia="宋体" w:cs="宋体"/>
                <w:kern w:val="0"/>
                <w:sz w:val="24"/>
                <w:lang w:bidi="ar"/>
              </w:rPr>
              <w:t>软连接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4AAEF">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CF28F">
            <w:pPr>
              <w:widowControl/>
              <w:jc w:val="center"/>
              <w:textAlignment w:val="center"/>
              <w:rPr>
                <w:rFonts w:ascii="宋体" w:hAnsi="宋体" w:eastAsia="宋体" w:cs="宋体"/>
                <w:sz w:val="24"/>
              </w:rPr>
            </w:pPr>
            <w:r>
              <w:rPr>
                <w:rFonts w:hint="eastAsia" w:ascii="宋体" w:hAnsi="宋体" w:eastAsia="宋体" w:cs="宋体"/>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73001">
            <w:pPr>
              <w:widowControl/>
              <w:jc w:val="center"/>
              <w:textAlignment w:val="center"/>
              <w:rPr>
                <w:rFonts w:ascii="宋体" w:hAnsi="宋体" w:eastAsia="宋体" w:cs="宋体"/>
                <w:sz w:val="24"/>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399F9">
            <w:pPr>
              <w:widowControl/>
              <w:jc w:val="left"/>
              <w:textAlignment w:val="center"/>
              <w:rPr>
                <w:rFonts w:ascii="宋体" w:hAnsi="宋体" w:eastAsia="宋体" w:cs="宋体"/>
                <w:sz w:val="24"/>
              </w:rPr>
            </w:pPr>
            <w:r>
              <w:rPr>
                <w:rFonts w:hint="eastAsia" w:ascii="宋体" w:hAnsi="宋体" w:eastAsia="宋体" w:cs="宋体"/>
                <w:kern w:val="0"/>
                <w:sz w:val="24"/>
                <w:lang w:bidi="ar"/>
              </w:rPr>
              <w:t>采用国标 30*30*3mm 角钢焊接制作,配帆布连接</w:t>
            </w:r>
          </w:p>
        </w:tc>
      </w:tr>
      <w:tr w14:paraId="3A2A5693">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C275">
            <w:pPr>
              <w:widowControl/>
              <w:jc w:val="center"/>
              <w:textAlignment w:val="center"/>
              <w:rPr>
                <w:rFonts w:hint="default" w:ascii="宋体" w:hAnsi="宋体" w:eastAsia="宋体" w:cs="宋体"/>
                <w:sz w:val="24"/>
                <w:lang w:val="en-US" w:eastAsia="zh-CN"/>
              </w:rPr>
            </w:pPr>
            <w:r>
              <w:rPr>
                <w:rFonts w:hint="eastAsia" w:ascii="宋体" w:hAnsi="宋体" w:eastAsia="宋体" w:cs="宋体"/>
                <w:kern w:val="0"/>
                <w:sz w:val="24"/>
                <w:lang w:bidi="ar"/>
              </w:rPr>
              <w:t>4</w:t>
            </w:r>
            <w:r>
              <w:rPr>
                <w:rFonts w:hint="eastAsia" w:ascii="宋体" w:hAnsi="宋体" w:eastAsia="宋体" w:cs="宋体"/>
                <w:kern w:val="0"/>
                <w:sz w:val="24"/>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B84BE">
            <w:pPr>
              <w:widowControl/>
              <w:jc w:val="left"/>
              <w:textAlignment w:val="center"/>
              <w:rPr>
                <w:rFonts w:ascii="宋体" w:hAnsi="宋体" w:eastAsia="宋体" w:cs="宋体"/>
                <w:sz w:val="24"/>
              </w:rPr>
            </w:pPr>
            <w:r>
              <w:rPr>
                <w:rFonts w:hint="eastAsia" w:ascii="宋体" w:hAnsi="宋体" w:eastAsia="宋体" w:cs="宋体"/>
                <w:kern w:val="0"/>
                <w:sz w:val="24"/>
                <w:lang w:bidi="ar"/>
              </w:rPr>
              <w:t>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9FBFE">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316FA">
            <w:pPr>
              <w:widowControl/>
              <w:jc w:val="center"/>
              <w:textAlignment w:val="center"/>
              <w:rPr>
                <w:rFonts w:ascii="宋体" w:hAnsi="宋体" w:eastAsia="宋体" w:cs="宋体"/>
                <w:sz w:val="24"/>
              </w:rPr>
            </w:pPr>
            <w:r>
              <w:rPr>
                <w:rFonts w:hint="eastAsia" w:ascii="宋体" w:hAnsi="宋体" w:eastAsia="宋体" w:cs="宋体"/>
                <w:kern w:val="0"/>
                <w:sz w:val="24"/>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2012B">
            <w:pPr>
              <w:widowControl/>
              <w:jc w:val="center"/>
              <w:textAlignment w:val="center"/>
              <w:rPr>
                <w:rFonts w:ascii="宋体" w:hAnsi="宋体" w:eastAsia="宋体" w:cs="宋体"/>
                <w:sz w:val="24"/>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97F45">
            <w:pPr>
              <w:widowControl/>
              <w:jc w:val="left"/>
              <w:textAlignment w:val="center"/>
              <w:rPr>
                <w:rFonts w:ascii="宋体" w:hAnsi="宋体" w:eastAsia="宋体" w:cs="宋体"/>
                <w:sz w:val="24"/>
              </w:rPr>
            </w:pPr>
            <w:r>
              <w:rPr>
                <w:rFonts w:hint="eastAsia" w:ascii="宋体" w:hAnsi="宋体" w:eastAsia="宋体" w:cs="宋体"/>
                <w:kern w:val="0"/>
                <w:sz w:val="24"/>
                <w:lang w:bidi="ar"/>
              </w:rPr>
              <w:t>用30*30角铁做法兰连接</w:t>
            </w:r>
          </w:p>
        </w:tc>
      </w:tr>
      <w:tr w14:paraId="754B3D84">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B1E5">
            <w:pPr>
              <w:widowControl/>
              <w:jc w:val="center"/>
              <w:textAlignment w:val="center"/>
              <w:rPr>
                <w:rFonts w:hint="default" w:ascii="宋体" w:hAnsi="宋体" w:eastAsia="宋体" w:cs="宋体"/>
                <w:sz w:val="24"/>
                <w:lang w:val="en-US" w:eastAsia="zh-CN"/>
              </w:rPr>
            </w:pPr>
            <w:r>
              <w:rPr>
                <w:rFonts w:hint="eastAsia" w:ascii="宋体" w:hAnsi="宋体" w:eastAsia="宋体" w:cs="宋体"/>
                <w:kern w:val="0"/>
                <w:sz w:val="24"/>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47371">
            <w:pPr>
              <w:widowControl/>
              <w:jc w:val="left"/>
              <w:textAlignment w:val="center"/>
              <w:rPr>
                <w:rFonts w:ascii="宋体" w:hAnsi="宋体" w:eastAsia="宋体" w:cs="宋体"/>
                <w:sz w:val="24"/>
              </w:rPr>
            </w:pPr>
            <w:r>
              <w:rPr>
                <w:rFonts w:hint="eastAsia" w:ascii="宋体" w:hAnsi="宋体" w:eastAsia="宋体" w:cs="宋体"/>
                <w:kern w:val="0"/>
                <w:sz w:val="24"/>
                <w:lang w:bidi="ar"/>
              </w:rPr>
              <w:t>风柜支架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B0435">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CEE63">
            <w:pPr>
              <w:widowControl/>
              <w:jc w:val="center"/>
              <w:textAlignment w:val="center"/>
              <w:rPr>
                <w:rFonts w:ascii="宋体" w:hAnsi="宋体" w:eastAsia="宋体" w:cs="宋体"/>
                <w:sz w:val="24"/>
              </w:rPr>
            </w:pPr>
            <w:r>
              <w:rPr>
                <w:rFonts w:hint="eastAsia" w:ascii="宋体" w:hAnsi="宋体" w:eastAsia="宋体" w:cs="宋体"/>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DC9BE">
            <w:pPr>
              <w:widowControl/>
              <w:jc w:val="center"/>
              <w:textAlignment w:val="center"/>
              <w:rPr>
                <w:rFonts w:ascii="宋体" w:hAnsi="宋体" w:eastAsia="宋体" w:cs="宋体"/>
                <w:sz w:val="24"/>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4406D">
            <w:pPr>
              <w:widowControl/>
              <w:jc w:val="left"/>
              <w:textAlignment w:val="center"/>
              <w:rPr>
                <w:rFonts w:ascii="宋体" w:hAnsi="宋体" w:eastAsia="宋体" w:cs="宋体"/>
                <w:sz w:val="24"/>
              </w:rPr>
            </w:pPr>
            <w:r>
              <w:rPr>
                <w:rFonts w:hint="eastAsia" w:ascii="宋体" w:hAnsi="宋体" w:eastAsia="宋体" w:cs="宋体"/>
                <w:kern w:val="0"/>
                <w:sz w:val="24"/>
                <w:lang w:bidi="ar"/>
              </w:rPr>
              <w:t>采用50×50角钢，防锈处理。</w:t>
            </w:r>
          </w:p>
        </w:tc>
      </w:tr>
      <w:tr w14:paraId="4A9640C3">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F0E5">
            <w:pPr>
              <w:widowControl/>
              <w:jc w:val="center"/>
              <w:textAlignment w:val="center"/>
              <w:rPr>
                <w:rFonts w:hint="default" w:ascii="宋体" w:hAnsi="宋体" w:eastAsia="宋体" w:cs="宋体"/>
                <w:sz w:val="24"/>
                <w:lang w:val="en-US" w:eastAsia="zh-CN"/>
              </w:rPr>
            </w:pPr>
            <w:r>
              <w:rPr>
                <w:rFonts w:hint="eastAsia" w:ascii="宋体" w:hAnsi="宋体" w:eastAsia="宋体" w:cs="宋体"/>
                <w:kern w:val="0"/>
                <w:sz w:val="24"/>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7F37E">
            <w:pPr>
              <w:widowControl/>
              <w:jc w:val="left"/>
              <w:textAlignment w:val="center"/>
              <w:rPr>
                <w:rFonts w:ascii="宋体" w:hAnsi="宋体" w:eastAsia="宋体" w:cs="宋体"/>
                <w:sz w:val="24"/>
              </w:rPr>
            </w:pPr>
            <w:r>
              <w:rPr>
                <w:rFonts w:hint="eastAsia" w:ascii="宋体" w:hAnsi="宋体" w:eastAsia="宋体" w:cs="宋体"/>
                <w:kern w:val="0"/>
                <w:sz w:val="24"/>
                <w:lang w:bidi="ar"/>
              </w:rPr>
              <w:t>风柜减震器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F94CF">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37722">
            <w:pPr>
              <w:widowControl/>
              <w:jc w:val="center"/>
              <w:textAlignment w:val="center"/>
              <w:rPr>
                <w:rFonts w:ascii="宋体" w:hAnsi="宋体" w:eastAsia="宋体" w:cs="宋体"/>
                <w:sz w:val="24"/>
              </w:rPr>
            </w:pPr>
            <w:r>
              <w:rPr>
                <w:rFonts w:hint="eastAsia" w:ascii="宋体" w:hAnsi="宋体" w:eastAsia="宋体" w:cs="宋体"/>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A459E">
            <w:pPr>
              <w:widowControl/>
              <w:jc w:val="center"/>
              <w:textAlignment w:val="center"/>
              <w:rPr>
                <w:rFonts w:ascii="宋体" w:hAnsi="宋体" w:eastAsia="宋体" w:cs="宋体"/>
                <w:sz w:val="24"/>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8462E">
            <w:pPr>
              <w:widowControl/>
              <w:jc w:val="left"/>
              <w:textAlignment w:val="center"/>
              <w:rPr>
                <w:rFonts w:ascii="宋体" w:hAnsi="宋体" w:eastAsia="宋体" w:cs="宋体"/>
                <w:sz w:val="24"/>
              </w:rPr>
            </w:pPr>
            <w:r>
              <w:rPr>
                <w:rFonts w:hint="eastAsia" w:ascii="宋体" w:hAnsi="宋体" w:eastAsia="宋体" w:cs="宋体"/>
                <w:kern w:val="0"/>
                <w:sz w:val="24"/>
                <w:lang w:bidi="ar"/>
              </w:rPr>
              <w:t>符合国家标准</w:t>
            </w:r>
          </w:p>
        </w:tc>
      </w:tr>
      <w:tr w14:paraId="55EFB5DD">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045F">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5</w:t>
            </w:r>
            <w:r>
              <w:rPr>
                <w:rFonts w:hint="eastAsia" w:ascii="宋体" w:hAnsi="宋体" w:eastAsia="宋体" w:cs="宋体"/>
                <w:kern w:val="0"/>
                <w:sz w:val="24"/>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84E44">
            <w:pPr>
              <w:widowControl/>
              <w:jc w:val="left"/>
              <w:textAlignment w:val="center"/>
              <w:rPr>
                <w:rFonts w:ascii="宋体" w:hAnsi="宋体" w:eastAsia="宋体" w:cs="宋体"/>
                <w:sz w:val="24"/>
              </w:rPr>
            </w:pPr>
            <w:r>
              <w:rPr>
                <w:rFonts w:hint="eastAsia" w:ascii="宋体" w:hAnsi="宋体" w:eastAsia="宋体" w:cs="宋体"/>
                <w:kern w:val="0"/>
                <w:sz w:val="24"/>
                <w:lang w:bidi="ar"/>
              </w:rPr>
              <w:t>进出口消音管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ED687">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C1DBD">
            <w:pPr>
              <w:widowControl/>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8260D">
            <w:pPr>
              <w:widowControl/>
              <w:jc w:val="center"/>
              <w:textAlignment w:val="center"/>
              <w:rPr>
                <w:rFonts w:ascii="宋体" w:hAnsi="宋体" w:eastAsia="宋体" w:cs="宋体"/>
                <w:sz w:val="24"/>
              </w:rPr>
            </w:pPr>
            <w:r>
              <w:rPr>
                <w:rFonts w:hint="eastAsia" w:ascii="宋体" w:hAnsi="宋体" w:eastAsia="宋体" w:cs="宋体"/>
                <w:kern w:val="0"/>
                <w:sz w:val="24"/>
                <w:lang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27BCD">
            <w:pPr>
              <w:widowControl/>
              <w:jc w:val="left"/>
              <w:textAlignment w:val="center"/>
              <w:rPr>
                <w:rFonts w:ascii="宋体" w:hAnsi="宋体" w:eastAsia="宋体" w:cs="宋体"/>
                <w:sz w:val="24"/>
              </w:rPr>
            </w:pPr>
            <w:r>
              <w:rPr>
                <w:rFonts w:hint="eastAsia" w:ascii="宋体" w:hAnsi="宋体" w:eastAsia="宋体" w:cs="宋体"/>
                <w:kern w:val="0"/>
                <w:sz w:val="24"/>
                <w:lang w:bidi="ar"/>
              </w:rPr>
              <w:t>内部采用0.8不锈镀锌穿孔板，夹层采用消音棉；外部用≥1.0mm不锈镀锌板；</w:t>
            </w:r>
          </w:p>
        </w:tc>
      </w:tr>
      <w:tr w14:paraId="34A2287F">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8316">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5</w:t>
            </w:r>
            <w:r>
              <w:rPr>
                <w:rFonts w:hint="eastAsia" w:ascii="宋体" w:hAnsi="宋体" w:eastAsia="宋体" w:cs="宋体"/>
                <w:kern w:val="0"/>
                <w:sz w:val="24"/>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09CC3">
            <w:pPr>
              <w:widowControl/>
              <w:jc w:val="left"/>
              <w:textAlignment w:val="center"/>
              <w:rPr>
                <w:rFonts w:ascii="宋体" w:hAnsi="宋体" w:eastAsia="宋体" w:cs="宋体"/>
                <w:sz w:val="24"/>
              </w:rPr>
            </w:pPr>
            <w:r>
              <w:rPr>
                <w:rFonts w:hint="eastAsia" w:ascii="宋体" w:hAnsi="宋体" w:eastAsia="宋体" w:cs="宋体"/>
                <w:kern w:val="0"/>
                <w:sz w:val="24"/>
                <w:lang w:bidi="ar"/>
              </w:rPr>
              <w:t>风机专用7寸触摸屏控制箱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36048">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92E75">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9D39F">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EB95A">
            <w:pPr>
              <w:widowControl/>
              <w:jc w:val="left"/>
              <w:textAlignment w:val="center"/>
              <w:rPr>
                <w:rFonts w:ascii="宋体" w:hAnsi="宋体" w:eastAsia="宋体" w:cs="宋体"/>
                <w:sz w:val="24"/>
              </w:rPr>
            </w:pPr>
            <w:r>
              <w:rPr>
                <w:rFonts w:hint="eastAsia" w:ascii="宋体" w:hAnsi="宋体" w:eastAsia="宋体" w:cs="宋体"/>
                <w:kern w:val="0"/>
                <w:sz w:val="24"/>
                <w:lang w:bidi="ar"/>
              </w:rPr>
              <w:t>1.不锈钢拉丝箱体，智能LCD屏幕，变频启停，一键切换静音，节能，强排模式，平缓无冲击，减少风机皮带，轴承等磨损。</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2.节省用电，可调整风机输出功率实现节能运行，风机、净化器同步控制/可联动新风，无级变速，有效降低共振及消除电机电磁噪音。</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3.自动调整风量风压，设计施工方便，设备具备缺相、短路、过载、绝缘损坏等多重保护功能。</w:t>
            </w:r>
          </w:p>
        </w:tc>
      </w:tr>
      <w:tr w14:paraId="06BE092F">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8AF4">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5</w:t>
            </w:r>
            <w:r>
              <w:rPr>
                <w:rFonts w:hint="eastAsia" w:ascii="宋体" w:hAnsi="宋体" w:eastAsia="宋体" w:cs="宋体"/>
                <w:kern w:val="0"/>
                <w:sz w:val="24"/>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86130">
            <w:pPr>
              <w:widowControl/>
              <w:jc w:val="left"/>
              <w:textAlignment w:val="center"/>
              <w:rPr>
                <w:rFonts w:ascii="宋体" w:hAnsi="宋体" w:eastAsia="宋体" w:cs="宋体"/>
                <w:sz w:val="24"/>
              </w:rPr>
            </w:pPr>
            <w:r>
              <w:rPr>
                <w:rFonts w:hint="eastAsia" w:ascii="宋体" w:hAnsi="宋体" w:eastAsia="宋体" w:cs="宋体"/>
                <w:kern w:val="0"/>
                <w:sz w:val="24"/>
                <w:lang w:bidi="ar"/>
              </w:rPr>
              <w:t>风柜消音箱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3E804">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0D33F">
            <w:pPr>
              <w:widowControl/>
              <w:jc w:val="center"/>
              <w:textAlignment w:val="center"/>
              <w:rPr>
                <w:rFonts w:ascii="宋体" w:hAnsi="宋体" w:eastAsia="宋体" w:cs="宋体"/>
                <w:sz w:val="24"/>
              </w:rPr>
            </w:pPr>
            <w:r>
              <w:rPr>
                <w:rFonts w:hint="eastAsia" w:ascii="宋体" w:hAnsi="宋体" w:eastAsia="宋体" w:cs="宋体"/>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F9F13">
            <w:pPr>
              <w:widowControl/>
              <w:jc w:val="center"/>
              <w:textAlignment w:val="center"/>
              <w:rPr>
                <w:rFonts w:ascii="宋体" w:hAnsi="宋体" w:eastAsia="宋体" w:cs="宋体"/>
                <w:sz w:val="24"/>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94E20">
            <w:pPr>
              <w:widowControl/>
              <w:jc w:val="left"/>
              <w:textAlignment w:val="center"/>
              <w:rPr>
                <w:rFonts w:ascii="宋体" w:hAnsi="宋体" w:eastAsia="宋体" w:cs="宋体"/>
                <w:sz w:val="24"/>
              </w:rPr>
            </w:pPr>
            <w:r>
              <w:rPr>
                <w:rFonts w:hint="eastAsia" w:ascii="宋体" w:hAnsi="宋体" w:eastAsia="宋体" w:cs="宋体"/>
                <w:kern w:val="0"/>
                <w:sz w:val="24"/>
                <w:lang w:bidi="ar"/>
              </w:rPr>
              <w:t>内部采用0.8不锈镀锌穿孔板，夹层采用消音棉；外部用≥1.0mm不锈镀锌板；</w:t>
            </w:r>
          </w:p>
        </w:tc>
      </w:tr>
      <w:tr w14:paraId="41FC5F18">
        <w:tblPrEx>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5899">
            <w:pPr>
              <w:widowControl/>
              <w:jc w:val="center"/>
              <w:textAlignment w:val="center"/>
              <w:rPr>
                <w:rFonts w:hint="eastAsia" w:ascii="宋体" w:hAnsi="宋体" w:eastAsia="宋体" w:cs="宋体"/>
                <w:sz w:val="24"/>
                <w:lang w:eastAsia="zh-CN"/>
              </w:rPr>
            </w:pPr>
            <w:r>
              <w:rPr>
                <w:rFonts w:hint="eastAsia" w:ascii="宋体" w:hAnsi="宋体" w:eastAsia="宋体" w:cs="宋体"/>
                <w:kern w:val="0"/>
                <w:sz w:val="24"/>
                <w:lang w:bidi="ar"/>
              </w:rPr>
              <w:t>5</w:t>
            </w:r>
            <w:r>
              <w:rPr>
                <w:rFonts w:hint="eastAsia" w:ascii="宋体" w:hAnsi="宋体" w:eastAsia="宋体" w:cs="宋体"/>
                <w:kern w:val="0"/>
                <w:sz w:val="24"/>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C771E">
            <w:pPr>
              <w:widowControl/>
              <w:jc w:val="left"/>
              <w:textAlignment w:val="center"/>
              <w:rPr>
                <w:rFonts w:ascii="宋体" w:hAnsi="宋体" w:eastAsia="宋体" w:cs="宋体"/>
                <w:sz w:val="24"/>
              </w:rPr>
            </w:pPr>
            <w:r>
              <w:rPr>
                <w:rFonts w:hint="eastAsia" w:ascii="宋体" w:hAnsi="宋体" w:eastAsia="宋体" w:cs="宋体"/>
                <w:kern w:val="0"/>
                <w:sz w:val="24"/>
                <w:lang w:bidi="ar"/>
              </w:rPr>
              <w:t>送风百叶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814C1">
            <w:pPr>
              <w:widowControl/>
              <w:jc w:val="left"/>
              <w:textAlignment w:val="center"/>
              <w:rPr>
                <w:rFonts w:ascii="宋体" w:hAnsi="宋体" w:eastAsia="宋体" w:cs="宋体"/>
                <w:sz w:val="24"/>
              </w:rPr>
            </w:pPr>
            <w:r>
              <w:rPr>
                <w:rFonts w:hint="eastAsia" w:ascii="宋体" w:hAnsi="宋体" w:eastAsia="宋体" w:cs="宋体"/>
                <w:kern w:val="0"/>
                <w:sz w:val="24"/>
                <w:lang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01C32">
            <w:pPr>
              <w:widowControl/>
              <w:jc w:val="center"/>
              <w:textAlignment w:val="center"/>
              <w:rPr>
                <w:rFonts w:ascii="宋体" w:hAnsi="宋体" w:eastAsia="宋体" w:cs="宋体"/>
                <w:sz w:val="24"/>
              </w:rPr>
            </w:pPr>
            <w:r>
              <w:rPr>
                <w:rFonts w:hint="eastAsia" w:ascii="宋体" w:hAnsi="宋体" w:eastAsia="宋体" w:cs="宋体"/>
                <w:kern w:val="0"/>
                <w:sz w:val="24"/>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97823">
            <w:pPr>
              <w:widowControl/>
              <w:jc w:val="center"/>
              <w:textAlignment w:val="center"/>
              <w:rPr>
                <w:rFonts w:ascii="宋体" w:hAnsi="宋体" w:eastAsia="宋体" w:cs="宋体"/>
                <w:sz w:val="24"/>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D6C08">
            <w:pPr>
              <w:widowControl/>
              <w:jc w:val="left"/>
              <w:textAlignment w:val="center"/>
              <w:rPr>
                <w:rFonts w:ascii="宋体" w:hAnsi="宋体" w:eastAsia="宋体" w:cs="宋体"/>
                <w:sz w:val="24"/>
              </w:rPr>
            </w:pPr>
            <w:r>
              <w:rPr>
                <w:rFonts w:hint="eastAsia" w:ascii="宋体" w:hAnsi="宋体" w:eastAsia="宋体" w:cs="宋体"/>
                <w:kern w:val="0"/>
                <w:sz w:val="24"/>
                <w:lang w:bidi="ar"/>
              </w:rPr>
              <w:t>双层</w:t>
            </w:r>
          </w:p>
        </w:tc>
      </w:tr>
    </w:tbl>
    <w:p w14:paraId="05EB6685"/>
    <w:p w14:paraId="4045E564">
      <w:r>
        <w:rPr>
          <w:rFonts w:hint="eastAsia"/>
        </w:rPr>
        <w:t>3、用餐体验</w:t>
      </w:r>
    </w:p>
    <w:tbl>
      <w:tblPr>
        <w:tblStyle w:val="46"/>
        <w:tblW w:w="0" w:type="auto"/>
        <w:tblInd w:w="96" w:type="dxa"/>
        <w:tblLayout w:type="autofit"/>
        <w:tblCellMar>
          <w:top w:w="0" w:type="dxa"/>
          <w:left w:w="108" w:type="dxa"/>
          <w:bottom w:w="0" w:type="dxa"/>
          <w:right w:w="108" w:type="dxa"/>
        </w:tblCellMar>
      </w:tblPr>
      <w:tblGrid>
        <w:gridCol w:w="490"/>
        <w:gridCol w:w="1130"/>
        <w:gridCol w:w="1810"/>
        <w:gridCol w:w="491"/>
        <w:gridCol w:w="491"/>
        <w:gridCol w:w="5449"/>
      </w:tblGrid>
      <w:tr w14:paraId="2EC93D1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3A649">
            <w:pPr>
              <w:widowControl/>
              <w:jc w:val="center"/>
              <w:textAlignment w:val="center"/>
              <w:rPr>
                <w:rFonts w:ascii="宋体" w:hAnsi="宋体" w:eastAsia="宋体" w:cs="宋体"/>
                <w:b/>
                <w:bCs/>
                <w:sz w:val="24"/>
              </w:rPr>
            </w:pPr>
            <w:r>
              <w:rPr>
                <w:rFonts w:hint="eastAsia" w:ascii="宋体" w:hAnsi="宋体" w:eastAsia="宋体" w:cs="宋体"/>
                <w:b/>
                <w:bCs/>
                <w:kern w:val="0"/>
                <w:sz w:val="24"/>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041BB">
            <w:pPr>
              <w:widowControl/>
              <w:jc w:val="center"/>
              <w:textAlignment w:val="center"/>
              <w:rPr>
                <w:rFonts w:ascii="宋体" w:hAnsi="宋体" w:eastAsia="宋体" w:cs="宋体"/>
                <w:b/>
                <w:bCs/>
                <w:sz w:val="24"/>
              </w:rPr>
            </w:pPr>
            <w:r>
              <w:rPr>
                <w:rFonts w:hint="eastAsia" w:ascii="宋体" w:hAnsi="宋体" w:eastAsia="宋体" w:cs="宋体"/>
                <w:b/>
                <w:bCs/>
                <w:kern w:val="0"/>
                <w:sz w:val="24"/>
                <w:lang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3D2B2">
            <w:pPr>
              <w:widowControl/>
              <w:jc w:val="center"/>
              <w:textAlignment w:val="center"/>
              <w:rPr>
                <w:rFonts w:ascii="宋体" w:hAnsi="宋体" w:eastAsia="宋体" w:cs="宋体"/>
                <w:b/>
                <w:bCs/>
                <w:sz w:val="24"/>
              </w:rPr>
            </w:pPr>
            <w:r>
              <w:rPr>
                <w:rFonts w:hint="eastAsia" w:ascii="宋体" w:hAnsi="宋体" w:eastAsia="宋体" w:cs="宋体"/>
                <w:b/>
                <w:bCs/>
                <w:kern w:val="0"/>
                <w:sz w:val="24"/>
                <w:lang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F5233">
            <w:pPr>
              <w:widowControl/>
              <w:jc w:val="center"/>
              <w:textAlignment w:val="center"/>
              <w:rPr>
                <w:rFonts w:ascii="宋体" w:hAnsi="宋体" w:eastAsia="宋体" w:cs="宋体"/>
                <w:b/>
                <w:bCs/>
                <w:sz w:val="24"/>
              </w:rPr>
            </w:pPr>
            <w:r>
              <w:rPr>
                <w:rFonts w:hint="eastAsia" w:ascii="宋体" w:hAnsi="宋体" w:eastAsia="宋体" w:cs="宋体"/>
                <w:b/>
                <w:bCs/>
                <w:kern w:val="0"/>
                <w:sz w:val="24"/>
                <w:lang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560CE">
            <w:pPr>
              <w:widowControl/>
              <w:jc w:val="center"/>
              <w:textAlignment w:val="center"/>
              <w:rPr>
                <w:rFonts w:ascii="宋体" w:hAnsi="宋体" w:eastAsia="宋体" w:cs="宋体"/>
                <w:b/>
                <w:bCs/>
                <w:sz w:val="24"/>
              </w:rPr>
            </w:pPr>
            <w:r>
              <w:rPr>
                <w:rFonts w:hint="eastAsia" w:ascii="宋体" w:hAnsi="宋体" w:eastAsia="宋体" w:cs="宋体"/>
                <w:b/>
                <w:bCs/>
                <w:kern w:val="0"/>
                <w:sz w:val="24"/>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EC01">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技术参数</w:t>
            </w:r>
          </w:p>
        </w:tc>
      </w:tr>
      <w:tr w14:paraId="19B33EF1">
        <w:tblPrEx>
          <w:tblCellMar>
            <w:top w:w="0" w:type="dxa"/>
            <w:left w:w="108" w:type="dxa"/>
            <w:bottom w:w="0" w:type="dxa"/>
            <w:right w:w="108" w:type="dxa"/>
          </w:tblCellMar>
        </w:tblPrEx>
        <w:trPr>
          <w:trHeight w:val="12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8592">
            <w:pPr>
              <w:widowControl/>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E761">
            <w:pPr>
              <w:widowControl/>
              <w:jc w:val="left"/>
              <w:textAlignment w:val="center"/>
              <w:rPr>
                <w:rFonts w:ascii="宋体" w:hAnsi="宋体" w:eastAsia="宋体" w:cs="宋体"/>
                <w:sz w:val="24"/>
              </w:rPr>
            </w:pPr>
            <w:r>
              <w:rPr>
                <w:rFonts w:hint="eastAsia" w:ascii="宋体" w:hAnsi="宋体" w:eastAsia="宋体" w:cs="宋体"/>
                <w:kern w:val="0"/>
                <w:sz w:val="24"/>
                <w:lang w:bidi="ar"/>
              </w:rPr>
              <w:t>布菲炉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32295">
            <w:pPr>
              <w:widowControl/>
              <w:jc w:val="left"/>
              <w:textAlignment w:val="center"/>
              <w:rPr>
                <w:rFonts w:ascii="宋体" w:hAnsi="宋体" w:eastAsia="宋体"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66C0">
            <w:pPr>
              <w:widowControl/>
              <w:jc w:val="center"/>
              <w:textAlignment w:val="center"/>
              <w:rPr>
                <w:rFonts w:ascii="宋体" w:hAnsi="宋体" w:eastAsia="宋体" w:cs="宋体"/>
                <w:sz w:val="24"/>
              </w:rPr>
            </w:pPr>
            <w:r>
              <w:rPr>
                <w:rFonts w:hint="eastAsia" w:ascii="宋体" w:hAnsi="宋体" w:eastAsia="宋体" w:cs="宋体"/>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E931">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25550">
            <w:pPr>
              <w:widowControl/>
              <w:jc w:val="left"/>
              <w:textAlignment w:val="center"/>
              <w:rPr>
                <w:rFonts w:ascii="宋体" w:hAnsi="宋体" w:eastAsia="宋体" w:cs="宋体"/>
                <w:sz w:val="24"/>
              </w:rPr>
            </w:pPr>
            <w:r>
              <w:rPr>
                <w:rFonts w:hint="eastAsia" w:ascii="宋体" w:hAnsi="宋体" w:eastAsia="宋体" w:cs="宋体"/>
                <w:kern w:val="0"/>
                <w:sz w:val="24"/>
                <w:lang w:bidi="ar"/>
              </w:rPr>
              <w:t>全景大视窗取餐体验，餐炉加热功率为500W，温控范围40℃~95℃，采用高性能单片机作为智能核心控制部件，全自动恒温保温，恒温精度高，数码柔光显示，温度一目了然，具有温度记忆功能，及干烧报警功能。食品级304板材加厚食物盘，水盘可任意取拿，方便清洗。</w:t>
            </w:r>
          </w:p>
        </w:tc>
      </w:tr>
      <w:tr w14:paraId="1255FD9F">
        <w:tblPrEx>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CC6B">
            <w:pPr>
              <w:widowControl/>
              <w:jc w:val="center"/>
              <w:textAlignment w:val="center"/>
              <w:rPr>
                <w:rFonts w:ascii="宋体" w:hAnsi="宋体" w:eastAsia="宋体" w:cs="宋体"/>
                <w:sz w:val="24"/>
              </w:rPr>
            </w:pPr>
            <w:r>
              <w:rPr>
                <w:rFonts w:hint="eastAsia" w:ascii="宋体" w:hAnsi="宋体" w:eastAsia="宋体" w:cs="宋体"/>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48ED1">
            <w:pPr>
              <w:widowControl/>
              <w:jc w:val="left"/>
              <w:textAlignment w:val="center"/>
              <w:rPr>
                <w:rFonts w:ascii="宋体" w:hAnsi="宋体" w:eastAsia="宋体" w:cs="宋体"/>
                <w:sz w:val="24"/>
              </w:rPr>
            </w:pPr>
            <w:r>
              <w:rPr>
                <w:rFonts w:hint="eastAsia" w:ascii="宋体" w:hAnsi="宋体" w:eastAsia="宋体" w:cs="宋体"/>
                <w:kern w:val="0"/>
                <w:sz w:val="24"/>
                <w:lang w:bidi="ar"/>
              </w:rPr>
              <w:t>暖汤煲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75960">
            <w:pPr>
              <w:widowControl/>
              <w:jc w:val="left"/>
              <w:textAlignment w:val="center"/>
              <w:rPr>
                <w:rFonts w:ascii="宋体" w:hAnsi="宋体" w:eastAsia="宋体"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934BA">
            <w:pPr>
              <w:widowControl/>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DC6F5">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355DC">
            <w:pPr>
              <w:widowControl/>
              <w:jc w:val="left"/>
              <w:textAlignment w:val="center"/>
              <w:rPr>
                <w:rFonts w:ascii="宋体" w:hAnsi="宋体" w:eastAsia="宋体" w:cs="宋体"/>
                <w:sz w:val="24"/>
              </w:rPr>
            </w:pPr>
            <w:r>
              <w:rPr>
                <w:rFonts w:hint="eastAsia" w:ascii="宋体" w:hAnsi="宋体" w:eastAsia="宋体" w:cs="宋体"/>
                <w:kern w:val="0"/>
                <w:sz w:val="24"/>
                <w:lang w:bidi="ar"/>
              </w:rPr>
              <w:t>电热暖汤煲 ，外壳及内胆均采用食品级304不锈钢材质，耐腐蚀，健康卫生，800W大功率发热，9档精准调温控制，节能高效，方便安全</w:t>
            </w:r>
          </w:p>
        </w:tc>
      </w:tr>
      <w:tr w14:paraId="56596FCC">
        <w:tblPrEx>
          <w:tblCellMar>
            <w:top w:w="0" w:type="dxa"/>
            <w:left w:w="108" w:type="dxa"/>
            <w:bottom w:w="0" w:type="dxa"/>
            <w:right w:w="108" w:type="dxa"/>
          </w:tblCellMar>
        </w:tblPrEx>
        <w:trPr>
          <w:trHeight w:val="6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3186">
            <w:pPr>
              <w:widowControl/>
              <w:jc w:val="center"/>
              <w:textAlignment w:val="center"/>
              <w:rPr>
                <w:rFonts w:ascii="宋体" w:hAnsi="宋体" w:eastAsia="宋体" w:cs="宋体"/>
                <w:sz w:val="24"/>
              </w:rPr>
            </w:pPr>
            <w:r>
              <w:rPr>
                <w:rFonts w:hint="eastAsia" w:ascii="宋体" w:hAnsi="宋体" w:eastAsia="宋体" w:cs="宋体"/>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D7399">
            <w:pPr>
              <w:widowControl/>
              <w:jc w:val="left"/>
              <w:textAlignment w:val="center"/>
              <w:rPr>
                <w:rFonts w:ascii="宋体" w:hAnsi="宋体" w:eastAsia="宋体" w:cs="宋体"/>
                <w:sz w:val="24"/>
              </w:rPr>
            </w:pPr>
            <w:r>
              <w:rPr>
                <w:rFonts w:hint="eastAsia" w:ascii="宋体" w:hAnsi="宋体" w:eastAsia="宋体" w:cs="宋体"/>
                <w:kern w:val="0"/>
                <w:sz w:val="24"/>
                <w:lang w:bidi="ar"/>
              </w:rPr>
              <w:t>双头开水器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19894">
            <w:pPr>
              <w:widowControl/>
              <w:jc w:val="left"/>
              <w:textAlignment w:val="center"/>
              <w:rPr>
                <w:rFonts w:ascii="宋体" w:hAnsi="宋体" w:eastAsia="宋体" w:cs="宋体"/>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F3FB2">
            <w:pPr>
              <w:widowControl/>
              <w:jc w:val="center"/>
              <w:textAlignment w:val="center"/>
              <w:rPr>
                <w:rFonts w:ascii="宋体" w:hAnsi="宋体" w:eastAsia="宋体" w:cs="宋体"/>
                <w:sz w:val="24"/>
              </w:rPr>
            </w:pPr>
            <w:r>
              <w:rPr>
                <w:rFonts w:hint="eastAsia" w:ascii="宋体" w:hAnsi="宋体" w:eastAsia="宋体" w:cs="宋体"/>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757C5">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C5303">
            <w:pPr>
              <w:widowControl/>
              <w:numPr>
                <w:ilvl w:val="0"/>
                <w:numId w:val="0"/>
              </w:numPr>
              <w:jc w:val="left"/>
              <w:textAlignment w:val="center"/>
              <w:rPr>
                <w:rFonts w:hint="eastAsia" w:ascii="宋体" w:hAnsi="宋体" w:eastAsia="宋体" w:cs="宋体"/>
                <w:kern w:val="0"/>
                <w:sz w:val="24"/>
                <w:lang w:bidi="ar"/>
              </w:rPr>
            </w:pPr>
            <w:r>
              <w:rPr>
                <w:rFonts w:hint="eastAsia" w:ascii="宋体" w:hAnsi="宋体" w:eastAsia="宋体" w:cs="宋体"/>
                <w:kern w:val="0"/>
                <w:sz w:val="24"/>
                <w:szCs w:val="24"/>
                <w:lang w:val="en-US" w:eastAsia="zh-CN" w:bidi="ar"/>
              </w:rPr>
              <w:t>1.</w:t>
            </w:r>
            <w:r>
              <w:rPr>
                <w:rFonts w:hint="eastAsia" w:ascii="宋体" w:hAnsi="宋体" w:eastAsia="宋体" w:cs="宋体"/>
                <w:kern w:val="0"/>
                <w:sz w:val="24"/>
                <w:lang w:bidi="ar"/>
              </w:rPr>
              <w:t>整机外壳采用厚度：0.5mm优质不锈钢，外壳颜色：拉丝黑、无指纹油；内胆材质：食品级304#不锈钢，内胆厚度：0.4mm；</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2.双出水龙头，水龙头采用纯铜镀镍。</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3.数码触控面板，功能一键启动开关机，</w:t>
            </w:r>
          </w:p>
          <w:p w14:paraId="78F16478">
            <w:pPr>
              <w:widowControl/>
              <w:numPr>
                <w:ilvl w:val="0"/>
                <w:numId w:val="0"/>
              </w:numPr>
              <w:jc w:val="left"/>
              <w:textAlignment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4.3mm钢化玻璃面板外观设计 </w:t>
            </w:r>
          </w:p>
          <w:p w14:paraId="5003AD4A">
            <w:pPr>
              <w:widowControl/>
              <w:jc w:val="left"/>
              <w:textAlignment w:val="center"/>
              <w:rPr>
                <w:rFonts w:ascii="宋体" w:hAnsi="宋体" w:eastAsia="宋体" w:cs="宋体"/>
                <w:sz w:val="24"/>
              </w:rPr>
            </w:pPr>
            <w:r>
              <w:rPr>
                <w:rFonts w:hint="eastAsia" w:ascii="宋体" w:hAnsi="宋体" w:eastAsia="宋体" w:cs="宋体"/>
                <w:kern w:val="0"/>
                <w:sz w:val="24"/>
                <w:lang w:bidi="ar"/>
              </w:rPr>
              <w:t xml:space="preserve">5.智能温控，多段温度可选，可自主设定出水温度40度~99度；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6.紫铜发热管，干烧保护功能；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7.防滑脚垫，防止机器滑动，机身稳固；机器可放台面，配支撑底座 ；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8.快速烧水，无需等待；步进加热，可连续使用热水；</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9.微电脑控制；智能预约开关机功能，机器有记忆功能；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10.每小时热水产水量：160升/时；                      </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11.内胆容量：45升；</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12.电压功率：≥380V/9KW，50HZ，空气开关接线</w:t>
            </w:r>
          </w:p>
        </w:tc>
      </w:tr>
      <w:tr w14:paraId="1B8030FD">
        <w:tblPrEx>
          <w:tblCellMar>
            <w:top w:w="0" w:type="dxa"/>
            <w:left w:w="108" w:type="dxa"/>
            <w:bottom w:w="0" w:type="dxa"/>
            <w:right w:w="108" w:type="dxa"/>
          </w:tblCellMar>
        </w:tblPrEx>
        <w:trPr>
          <w:trHeight w:val="1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5095">
            <w:pPr>
              <w:widowControl/>
              <w:jc w:val="center"/>
              <w:textAlignment w:val="center"/>
              <w:rPr>
                <w:rFonts w:ascii="宋体" w:hAnsi="宋体" w:eastAsia="宋体" w:cs="宋体"/>
                <w:sz w:val="24"/>
              </w:rPr>
            </w:pPr>
            <w:r>
              <w:rPr>
                <w:rFonts w:hint="eastAsia" w:ascii="宋体" w:hAnsi="宋体" w:eastAsia="宋体" w:cs="宋体"/>
                <w:sz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F8D42">
            <w:pPr>
              <w:widowControl/>
              <w:jc w:val="left"/>
              <w:textAlignment w:val="center"/>
              <w:rPr>
                <w:rFonts w:ascii="宋体" w:hAnsi="宋体" w:eastAsia="宋体" w:cs="宋体"/>
                <w:sz w:val="24"/>
              </w:rPr>
            </w:pPr>
            <w:r>
              <w:rPr>
                <w:rFonts w:hint="eastAsia" w:ascii="宋体" w:hAnsi="宋体" w:eastAsia="宋体" w:cs="宋体"/>
                <w:kern w:val="0"/>
                <w:sz w:val="24"/>
                <w:lang w:bidi="ar"/>
              </w:rPr>
              <w:t>活动垃圾桶收残车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6717B">
            <w:pPr>
              <w:widowControl/>
              <w:jc w:val="left"/>
              <w:textAlignment w:val="center"/>
              <w:rPr>
                <w:rFonts w:ascii="宋体" w:hAnsi="宋体" w:eastAsia="宋体" w:cs="宋体"/>
                <w:sz w:val="24"/>
              </w:rPr>
            </w:pPr>
            <w:r>
              <w:rPr>
                <w:rFonts w:hint="eastAsia" w:ascii="宋体" w:hAnsi="宋体" w:eastAsia="宋体" w:cs="宋体"/>
                <w:kern w:val="0"/>
                <w:sz w:val="24"/>
                <w:lang w:bidi="ar"/>
              </w:rPr>
              <w:t>≥1000*800*800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763CE">
            <w:pPr>
              <w:widowControl/>
              <w:jc w:val="center"/>
              <w:textAlignment w:val="center"/>
              <w:rPr>
                <w:rFonts w:ascii="宋体" w:hAnsi="宋体" w:eastAsia="宋体" w:cs="宋体"/>
                <w:sz w:val="24"/>
              </w:rPr>
            </w:pPr>
            <w:r>
              <w:rPr>
                <w:rFonts w:hint="eastAsia" w:ascii="宋体" w:hAnsi="宋体" w:eastAsia="宋体" w:cs="宋体"/>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C873B">
            <w:pPr>
              <w:widowControl/>
              <w:jc w:val="center"/>
              <w:textAlignment w:val="center"/>
              <w:rPr>
                <w:rFonts w:ascii="宋体" w:hAnsi="宋体" w:eastAsia="宋体" w:cs="宋体"/>
                <w:sz w:val="24"/>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332E3">
            <w:pPr>
              <w:widowControl/>
              <w:jc w:val="left"/>
              <w:textAlignment w:val="center"/>
              <w:rPr>
                <w:rFonts w:ascii="宋体" w:hAnsi="宋体" w:eastAsia="宋体" w:cs="宋体"/>
                <w:sz w:val="24"/>
              </w:rPr>
            </w:pPr>
            <w:r>
              <w:rPr>
                <w:rFonts w:hint="eastAsia" w:ascii="宋体" w:hAnsi="宋体" w:eastAsia="宋体" w:cs="宋体"/>
                <w:kern w:val="0"/>
                <w:sz w:val="24"/>
                <w:lang w:bidi="ar"/>
              </w:rPr>
              <w:t>①全部采用304#不锈钢板；</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②粉箱体采用≥1.2mm厚304#不锈钢制造；</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③配备4个静音轮连轮刹。</w:t>
            </w:r>
          </w:p>
        </w:tc>
      </w:tr>
      <w:tr w14:paraId="6D91EE3B">
        <w:tblPrEx>
          <w:tblCellMar>
            <w:top w:w="0" w:type="dxa"/>
            <w:left w:w="108" w:type="dxa"/>
            <w:bottom w:w="0" w:type="dxa"/>
            <w:right w:w="108" w:type="dxa"/>
          </w:tblCellMar>
        </w:tblPrEx>
        <w:trPr>
          <w:trHeight w:val="1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435F">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EFC52">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碗碟柜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0D819">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≥1200*500*1800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16BBC">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1D357">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09517">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1.台面板采用304不锈钢板厚度≥1.5mm，配厚度≥1.2mm不锈钢板做补强撑。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2.层板采用304不锈钢板厚度≥1.2mm，配厚度≥1.2mm做补强撑。</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3.脚通采用Φ38mm厚度≥1.5mm不锈钢圆通，配可调不锈钢子弹脚≥4个。</w:t>
            </w:r>
          </w:p>
        </w:tc>
      </w:tr>
      <w:tr w14:paraId="6DCA6820">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FA7B">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36918">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送餐车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A30A">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≥500*800*800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128E2">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326DD">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C7692">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①全部采用304#不锈钢板；</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②配备4个静音轮连轮刹</w:t>
            </w:r>
          </w:p>
        </w:tc>
      </w:tr>
      <w:tr w14:paraId="0CAE4CF7">
        <w:tblPrEx>
          <w:tblCellMar>
            <w:top w:w="0" w:type="dxa"/>
            <w:left w:w="108" w:type="dxa"/>
            <w:bottom w:w="0" w:type="dxa"/>
            <w:right w:w="108" w:type="dxa"/>
          </w:tblCellMar>
        </w:tblPrEx>
        <w:trPr>
          <w:trHeight w:val="6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395D">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4BB57">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榨汁机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EA19D">
            <w:pPr>
              <w:widowControl/>
              <w:jc w:val="left"/>
              <w:textAlignment w:val="center"/>
              <w:rPr>
                <w:rFonts w:ascii="宋体" w:hAnsi="宋体" w:eastAsia="宋体" w:cs="宋体"/>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DBE44">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48555">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F9C02">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1.台上式；</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2.电源：220V</w:t>
            </w:r>
          </w:p>
        </w:tc>
      </w:tr>
      <w:tr w14:paraId="4FA897D4">
        <w:tblPrEx>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9457">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F5610">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破壁机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805BF">
            <w:pPr>
              <w:widowControl/>
              <w:jc w:val="left"/>
              <w:textAlignment w:val="center"/>
              <w:rPr>
                <w:rFonts w:ascii="宋体" w:hAnsi="宋体" w:eastAsia="宋体" w:cs="宋体"/>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A3DC57">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A7729">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5A2E4">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1.台上式；</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2.电源：220V</w:t>
            </w:r>
          </w:p>
        </w:tc>
      </w:tr>
      <w:tr w14:paraId="1AE01777">
        <w:tblPrEx>
          <w:tblCellMar>
            <w:top w:w="0" w:type="dxa"/>
            <w:left w:w="108" w:type="dxa"/>
            <w:bottom w:w="0" w:type="dxa"/>
            <w:right w:w="108" w:type="dxa"/>
          </w:tblCellMar>
        </w:tblPrEx>
        <w:trPr>
          <w:trHeight w:val="1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AEA3">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E3EFF">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筷子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B16B4">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1D314">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E00C5">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824A2">
            <w:pPr>
              <w:widowControl/>
              <w:jc w:val="center"/>
              <w:textAlignment w:val="center"/>
              <w:rPr>
                <w:rFonts w:ascii="宋体" w:hAnsi="宋体" w:eastAsia="宋体" w:cs="宋体"/>
                <w:sz w:val="24"/>
              </w:rPr>
            </w:pPr>
            <w:r>
              <w:rPr>
                <w:rFonts w:hint="eastAsia" w:ascii="宋体" w:hAnsi="宋体" w:eastAsia="宋体" w:cs="宋体"/>
                <w:kern w:val="0"/>
                <w:sz w:val="24"/>
                <w:lang w:bidi="ar"/>
              </w:rPr>
              <w:t>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r w14:paraId="3DA9B559">
        <w:tblPrEx>
          <w:tblCellMar>
            <w:top w:w="0" w:type="dxa"/>
            <w:left w:w="108" w:type="dxa"/>
            <w:bottom w:w="0" w:type="dxa"/>
            <w:right w:w="108" w:type="dxa"/>
          </w:tblCellMar>
        </w:tblPrEx>
        <w:trPr>
          <w:trHeight w:val="1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FEC3">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AF7AA">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6962B">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≥14.2*3.8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5D776">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EDAFA">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B401C">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r w14:paraId="3DED44E6">
        <w:tblPrEx>
          <w:tblCellMar>
            <w:top w:w="0" w:type="dxa"/>
            <w:left w:w="108" w:type="dxa"/>
            <w:bottom w:w="0" w:type="dxa"/>
            <w:right w:w="108" w:type="dxa"/>
          </w:tblCellMar>
        </w:tblPrEx>
        <w:trPr>
          <w:trHeight w:val="1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475A">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B4EC4">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汤碗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F79CC">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≥10.9*5.5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73D10">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7E6A9">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BD290">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r w14:paraId="1C922149">
        <w:tblPrEx>
          <w:tblCellMar>
            <w:top w:w="0" w:type="dxa"/>
            <w:left w:w="108" w:type="dxa"/>
            <w:bottom w:w="0" w:type="dxa"/>
            <w:right w:w="108" w:type="dxa"/>
          </w:tblCellMar>
        </w:tblPrEx>
        <w:trPr>
          <w:trHeight w:val="1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EFA9">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2441C">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六格餐盘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CC58C">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≥35.5*25.5*2.2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AB928">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99F41">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A92E6">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r w14:paraId="5E75C3FC">
        <w:tblPrEx>
          <w:tblCellMar>
            <w:top w:w="0" w:type="dxa"/>
            <w:left w:w="108" w:type="dxa"/>
            <w:bottom w:w="0" w:type="dxa"/>
            <w:right w:w="108" w:type="dxa"/>
          </w:tblCellMar>
        </w:tblPrEx>
        <w:trPr>
          <w:trHeight w:val="1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87E5">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CBFA4">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饮水杯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0D132">
            <w:pPr>
              <w:widowControl/>
              <w:jc w:val="left"/>
              <w:textAlignment w:val="center"/>
              <w:rPr>
                <w:rFonts w:ascii="宋体" w:hAnsi="宋体" w:eastAsia="宋体" w:cs="宋体"/>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70E1C">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9568E">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D0170">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r w14:paraId="4E4243AC">
        <w:tblPrEx>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05BE">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886DC">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304不锈钢刀叉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157B0">
            <w:pPr>
              <w:widowControl/>
              <w:jc w:val="left"/>
              <w:textAlignment w:val="center"/>
              <w:rPr>
                <w:rFonts w:ascii="宋体" w:hAnsi="宋体" w:eastAsia="宋体" w:cs="宋体"/>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03EF8">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BBC42">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1A676">
            <w:pPr>
              <w:widowControl/>
              <w:jc w:val="center"/>
              <w:textAlignment w:val="center"/>
              <w:rPr>
                <w:rFonts w:ascii="宋体" w:hAnsi="宋体" w:eastAsia="宋体" w:cs="宋体"/>
                <w:sz w:val="24"/>
              </w:rPr>
            </w:pPr>
            <w:r>
              <w:rPr>
                <w:rFonts w:hint="eastAsia" w:ascii="宋体" w:hAnsi="宋体" w:eastAsia="宋体" w:cs="宋体"/>
                <w:kern w:val="0"/>
                <w:sz w:val="24"/>
                <w:lang w:bidi="ar"/>
              </w:rPr>
              <w:t>产品采用304不锈钢材质制造；厚度≥1.5mm  ，表面拉丝处理。</w:t>
            </w:r>
          </w:p>
        </w:tc>
      </w:tr>
      <w:tr w14:paraId="7D11118F">
        <w:tblPrEx>
          <w:tblCellMar>
            <w:top w:w="0" w:type="dxa"/>
            <w:left w:w="108" w:type="dxa"/>
            <w:bottom w:w="0" w:type="dxa"/>
            <w:right w:w="108" w:type="dxa"/>
          </w:tblCellMar>
        </w:tblPrEx>
        <w:trPr>
          <w:trHeight w:val="1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C369">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483BD">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拉面碗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939B7">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≥9寸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EF8BA">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73ABB">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70C76">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r w14:paraId="25B05DFE">
        <w:tblPrEx>
          <w:tblCellMar>
            <w:top w:w="0" w:type="dxa"/>
            <w:left w:w="108" w:type="dxa"/>
            <w:bottom w:w="0" w:type="dxa"/>
            <w:right w:w="108" w:type="dxa"/>
          </w:tblCellMar>
        </w:tblPrEx>
        <w:trPr>
          <w:trHeight w:val="7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5207">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FC341">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取餐夹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FA5DC">
            <w:pPr>
              <w:widowControl/>
              <w:jc w:val="left"/>
              <w:textAlignment w:val="center"/>
              <w:rPr>
                <w:rFonts w:ascii="宋体" w:hAnsi="宋体" w:eastAsia="宋体" w:cs="宋体"/>
                <w:kern w:val="0"/>
                <w:sz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58CEF">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F75E7">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B2E82">
            <w:pPr>
              <w:widowControl/>
              <w:jc w:val="center"/>
              <w:textAlignment w:val="center"/>
              <w:rPr>
                <w:rFonts w:ascii="宋体" w:hAnsi="宋体" w:eastAsia="宋体" w:cs="宋体"/>
                <w:sz w:val="24"/>
              </w:rPr>
            </w:pPr>
            <w:r>
              <w:rPr>
                <w:rFonts w:hint="eastAsia" w:ascii="宋体" w:hAnsi="宋体" w:eastAsia="宋体" w:cs="宋体"/>
                <w:kern w:val="0"/>
                <w:sz w:val="24"/>
                <w:lang w:bidi="ar"/>
              </w:rPr>
              <w:t>产品采用304不锈钢材质制造；厚度≥1.5mm  ，表面拉丝处理。</w:t>
            </w:r>
          </w:p>
        </w:tc>
      </w:tr>
      <w:tr w14:paraId="107772C0">
        <w:tblPrEx>
          <w:tblCellMar>
            <w:top w:w="0" w:type="dxa"/>
            <w:left w:w="108" w:type="dxa"/>
            <w:bottom w:w="0" w:type="dxa"/>
            <w:right w:w="108"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7D36">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3BF3A">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公勺公漏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14428">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大号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DAC7D">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B8AD3">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E0C6C">
            <w:pPr>
              <w:widowControl/>
              <w:jc w:val="center"/>
              <w:textAlignment w:val="center"/>
              <w:rPr>
                <w:rFonts w:ascii="宋体" w:hAnsi="宋体" w:eastAsia="宋体" w:cs="宋体"/>
                <w:sz w:val="24"/>
              </w:rPr>
            </w:pPr>
            <w:r>
              <w:rPr>
                <w:rFonts w:hint="eastAsia" w:ascii="宋体" w:hAnsi="宋体" w:eastAsia="宋体" w:cs="宋体"/>
                <w:kern w:val="0"/>
                <w:sz w:val="24"/>
                <w:lang w:bidi="ar"/>
              </w:rPr>
              <w:t>产品采用304不锈钢材质制造；厚度≥1.5mm  ，表面拉丝处理。</w:t>
            </w:r>
          </w:p>
        </w:tc>
      </w:tr>
      <w:tr w14:paraId="5EC45619">
        <w:tblPrEx>
          <w:tblCellMar>
            <w:top w:w="0" w:type="dxa"/>
            <w:left w:w="108" w:type="dxa"/>
            <w:bottom w:w="0" w:type="dxa"/>
            <w:right w:w="108" w:type="dxa"/>
          </w:tblCellMar>
        </w:tblPrEx>
        <w:trPr>
          <w:trHeight w:val="7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7145">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CD0AF">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304不锈钢捞面漏勺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F28E1">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大号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8B7B6">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7A089">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F9641">
            <w:pPr>
              <w:widowControl/>
              <w:jc w:val="center"/>
              <w:textAlignment w:val="center"/>
              <w:rPr>
                <w:rFonts w:ascii="宋体" w:hAnsi="宋体" w:eastAsia="宋体" w:cs="宋体"/>
                <w:sz w:val="24"/>
              </w:rPr>
            </w:pPr>
            <w:r>
              <w:rPr>
                <w:rFonts w:hint="eastAsia" w:ascii="宋体" w:hAnsi="宋体" w:eastAsia="宋体" w:cs="宋体"/>
                <w:kern w:val="0"/>
                <w:sz w:val="24"/>
                <w:lang w:bidi="ar"/>
              </w:rPr>
              <w:t>产品采用304不锈钢材质制造；厚度≥1.5mm  ，表面拉丝处理。</w:t>
            </w:r>
          </w:p>
        </w:tc>
      </w:tr>
      <w:tr w14:paraId="78879C1B">
        <w:tblPrEx>
          <w:tblCellMar>
            <w:top w:w="0" w:type="dxa"/>
            <w:left w:w="108" w:type="dxa"/>
            <w:bottom w:w="0" w:type="dxa"/>
            <w:right w:w="108" w:type="dxa"/>
          </w:tblCellMar>
        </w:tblPrEx>
        <w:trPr>
          <w:trHeight w:val="10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4769">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E8DD7">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不锈钢水瓢勺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47DD5">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大号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B1B90">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EE178">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4931C">
            <w:pPr>
              <w:widowControl/>
              <w:jc w:val="center"/>
              <w:textAlignment w:val="center"/>
              <w:rPr>
                <w:rFonts w:ascii="宋体" w:hAnsi="宋体" w:eastAsia="宋体" w:cs="宋体"/>
                <w:sz w:val="24"/>
              </w:rPr>
            </w:pPr>
            <w:r>
              <w:rPr>
                <w:rFonts w:hint="eastAsia" w:ascii="宋体" w:hAnsi="宋体" w:eastAsia="宋体" w:cs="宋体"/>
                <w:kern w:val="0"/>
                <w:sz w:val="24"/>
                <w:lang w:bidi="ar"/>
              </w:rPr>
              <w:t>产品采用304不锈钢材质制造；厚度≥1.5mm  ，表面拉丝处理。</w:t>
            </w:r>
          </w:p>
        </w:tc>
      </w:tr>
    </w:tbl>
    <w:p w14:paraId="3CC7D38B">
      <w:pPr>
        <w:pStyle w:val="3"/>
        <w:numPr>
          <w:ilvl w:val="1"/>
          <w:numId w:val="0"/>
        </w:numPr>
        <w:bidi w:val="0"/>
        <w:ind w:leftChars="0"/>
        <w:rPr>
          <w:rFonts w:hint="eastAsia"/>
          <w:lang w:eastAsia="zh-CN"/>
        </w:rPr>
      </w:pPr>
      <w:r>
        <w:rPr>
          <w:rFonts w:hint="eastAsia"/>
          <w:lang w:val="en-US" w:eastAsia="zh-CN"/>
        </w:rPr>
        <w:t>四、</w:t>
      </w:r>
      <w:r>
        <w:rPr>
          <w:rStyle w:val="269"/>
          <w:rFonts w:hint="eastAsia"/>
          <w:b w:val="0"/>
          <w:bCs w:val="0"/>
          <w:kern w:val="2"/>
          <w:sz w:val="24"/>
          <w:szCs w:val="24"/>
          <w:lang w:val="en-US" w:eastAsia="zh-CN" w:bidi="ar"/>
        </w:rPr>
        <w:t>进口产品：</w:t>
      </w:r>
    </w:p>
    <w:p w14:paraId="1170EC6A">
      <w:pPr>
        <w:rPr>
          <w:rFonts w:hint="eastAsia" w:ascii="宋体" w:hAnsi="宋体" w:eastAsia="宋体" w:cs="宋体"/>
          <w:color w:val="auto"/>
          <w:highlight w:val="none"/>
        </w:rPr>
      </w:pPr>
      <w:r>
        <w:rPr>
          <w:rStyle w:val="269"/>
          <w:rFonts w:hint="eastAsia" w:ascii="宋体" w:hAnsi="宋体" w:eastAsia="宋体" w:cs="宋体"/>
          <w:sz w:val="24"/>
          <w:szCs w:val="24"/>
          <w:lang w:bidi="ar"/>
        </w:rPr>
        <w:t>本项目不接受进口产品。</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94CC4AB">
      <w:pPr>
        <w:pStyle w:val="2"/>
        <w:bidi w:val="0"/>
        <w:jc w:val="center"/>
        <w:rPr>
          <w:rFonts w:hint="eastAsia" w:ascii="宋体" w:hAnsi="宋体" w:eastAsia="宋体" w:cs="宋体"/>
          <w:color w:val="auto"/>
          <w:highlight w:val="none"/>
        </w:rPr>
      </w:pPr>
      <w:r>
        <w:rPr>
          <w:rFonts w:hint="eastAsia" w:ascii="宋体" w:hAnsi="宋体" w:eastAsia="宋体" w:cs="宋体"/>
          <w:color w:val="auto"/>
          <w:highlight w:val="none"/>
        </w:rPr>
        <w:t>拟签订的合同文本</w:t>
      </w:r>
      <w:bookmarkEnd w:id="49"/>
      <w:bookmarkEnd w:id="50"/>
      <w:r>
        <w:rPr>
          <w:rFonts w:hint="eastAsia" w:ascii="宋体" w:hAnsi="宋体" w:eastAsia="宋体" w:cs="宋体"/>
          <w:color w:val="auto"/>
          <w:highlight w:val="none"/>
        </w:rPr>
        <w:br w:type="textWrapping"/>
      </w:r>
    </w:p>
    <w:p w14:paraId="7342768E">
      <w:pPr>
        <w:numPr>
          <w:ilvl w:val="0"/>
          <w:numId w:val="0"/>
        </w:numPr>
        <w:tabs>
          <w:tab w:val="left" w:pos="0"/>
        </w:tabs>
        <w:bidi w:val="0"/>
        <w:ind w:leftChars="0"/>
        <w:jc w:val="center"/>
        <w:outlineLvl w:val="9"/>
        <w:rPr>
          <w:rFonts w:hint="eastAsia" w:ascii="宋体" w:hAnsi="宋体" w:eastAsia="宋体" w:cs="宋体"/>
          <w:color w:val="auto"/>
          <w:highlight w:val="none"/>
        </w:rPr>
      </w:pPr>
      <w:r>
        <w:rPr>
          <w:rStyle w:val="58"/>
          <w:rFonts w:hint="eastAsia"/>
          <w:b/>
          <w:highlight w:val="none"/>
          <w:lang w:eastAsia="zh-CN"/>
        </w:rPr>
        <w:t>（</w:t>
      </w:r>
      <w:r>
        <w:rPr>
          <w:rStyle w:val="58"/>
          <w:rFonts w:hint="eastAsia"/>
          <w:b/>
          <w:highlight w:val="none"/>
          <w:lang w:val="en-US" w:eastAsia="zh-CN"/>
        </w:rPr>
        <w:t>第一包）</w:t>
      </w:r>
    </w:p>
    <w:p w14:paraId="0B6FD624">
      <w:pPr>
        <w:rPr>
          <w:rFonts w:hint="eastAsia"/>
        </w:rPr>
      </w:pPr>
    </w:p>
    <w:p w14:paraId="32B09C75">
      <w:pPr>
        <w:jc w:val="center"/>
        <w:rPr>
          <w:rStyle w:val="287"/>
          <w:rFonts w:hint="eastAsia"/>
        </w:rPr>
      </w:pPr>
      <w:r>
        <w:rPr>
          <w:rStyle w:val="287"/>
        </w:rPr>
        <w:t>[</w:t>
      </w:r>
      <w:r>
        <w:rPr>
          <w:rStyle w:val="283"/>
          <w:rFonts w:hint="default"/>
          <w:sz w:val="48"/>
          <w:szCs w:val="48"/>
        </w:rPr>
        <w:t>合同名称</w:t>
      </w:r>
      <w:r>
        <w:rPr>
          <w:rStyle w:val="287"/>
        </w:rPr>
        <w:t>]</w:t>
      </w:r>
    </w:p>
    <w:p w14:paraId="1EBD55AC">
      <w:pPr>
        <w:jc w:val="center"/>
        <w:rPr>
          <w:rStyle w:val="283"/>
          <w:rFonts w:hint="default"/>
          <w:sz w:val="22"/>
        </w:rPr>
      </w:pPr>
      <w:r>
        <w:rPr>
          <w:rFonts w:ascii="Arial-BoldMT" w:hAnsi="Arial-BoldMT"/>
          <w:b/>
          <w:bCs/>
          <w:color w:val="000000"/>
          <w:sz w:val="48"/>
          <w:szCs w:val="48"/>
        </w:rPr>
        <w:br w:type="textWrapping"/>
      </w:r>
      <w:r>
        <w:rPr>
          <w:rStyle w:val="283"/>
          <w:rFonts w:hint="default"/>
        </w:rPr>
        <w:t xml:space="preserve">合同统一编号： </w:t>
      </w:r>
      <w:r>
        <w:rPr>
          <w:rStyle w:val="283"/>
          <w:rFonts w:hint="default"/>
          <w:sz w:val="22"/>
          <w:szCs w:val="22"/>
        </w:rPr>
        <w:t>[合同编码]</w:t>
      </w:r>
    </w:p>
    <w:p w14:paraId="54FA4099">
      <w:pPr>
        <w:spacing w:line="360" w:lineRule="auto"/>
        <w:jc w:val="left"/>
        <w:rPr>
          <w:rStyle w:val="288"/>
          <w:rFonts w:hint="eastAsia"/>
          <w:sz w:val="24"/>
          <w:szCs w:val="24"/>
        </w:rPr>
      </w:pPr>
      <w:r>
        <w:rPr>
          <w:rFonts w:hint="eastAsia"/>
          <w:color w:val="000000"/>
          <w:sz w:val="22"/>
        </w:rPr>
        <w:br w:type="textWrapping"/>
      </w:r>
      <w:r>
        <w:rPr>
          <w:rStyle w:val="283"/>
          <w:rFonts w:hint="default"/>
          <w:sz w:val="24"/>
          <w:szCs w:val="24"/>
        </w:rPr>
        <w:t>合同各方：</w:t>
      </w:r>
      <w:r>
        <w:rPr>
          <w:rFonts w:hint="eastAsia"/>
          <w:color w:val="000000"/>
          <w:sz w:val="24"/>
          <w:szCs w:val="24"/>
        </w:rPr>
        <w:br w:type="textWrapping"/>
      </w:r>
      <w:r>
        <w:rPr>
          <w:rStyle w:val="283"/>
          <w:rFonts w:hint="default"/>
          <w:sz w:val="24"/>
          <w:szCs w:val="24"/>
        </w:rPr>
        <w:t xml:space="preserve">甲方： </w:t>
      </w:r>
      <w:r>
        <w:rPr>
          <w:rStyle w:val="288"/>
          <w:sz w:val="24"/>
          <w:szCs w:val="24"/>
        </w:rPr>
        <w:t>[</w:t>
      </w:r>
      <w:r>
        <w:rPr>
          <w:rStyle w:val="283"/>
          <w:rFonts w:hint="default"/>
          <w:sz w:val="24"/>
          <w:szCs w:val="24"/>
        </w:rPr>
        <w:t>采购单位名称</w:t>
      </w:r>
      <w:r>
        <w:rPr>
          <w:rStyle w:val="288"/>
          <w:sz w:val="24"/>
          <w:szCs w:val="24"/>
        </w:rPr>
        <w:t>]</w:t>
      </w:r>
      <w:r>
        <w:rPr>
          <w:rFonts w:ascii="TimesNewRomanPS-BoldMT" w:hAnsi="TimesNewRomanPS-BoldMT"/>
          <w:b/>
          <w:bCs/>
          <w:color w:val="000000"/>
          <w:sz w:val="24"/>
          <w:szCs w:val="24"/>
        </w:rPr>
        <w:br w:type="textWrapping"/>
      </w:r>
      <w:r>
        <w:rPr>
          <w:rStyle w:val="283"/>
          <w:rFonts w:hint="default"/>
          <w:sz w:val="24"/>
          <w:szCs w:val="24"/>
        </w:rPr>
        <w:t xml:space="preserve">地址： </w:t>
      </w:r>
      <w:r>
        <w:rPr>
          <w:rStyle w:val="288"/>
          <w:sz w:val="24"/>
          <w:szCs w:val="24"/>
        </w:rPr>
        <w:t>[</w:t>
      </w:r>
      <w:r>
        <w:rPr>
          <w:rStyle w:val="283"/>
          <w:rFonts w:hint="default"/>
          <w:sz w:val="24"/>
          <w:szCs w:val="24"/>
        </w:rPr>
        <w:t>采购单位所在地</w:t>
      </w:r>
      <w:r>
        <w:rPr>
          <w:rStyle w:val="288"/>
          <w:sz w:val="24"/>
          <w:szCs w:val="24"/>
        </w:rPr>
        <w:t>]</w:t>
      </w:r>
      <w:r>
        <w:rPr>
          <w:rFonts w:ascii="TimesNewRomanPS-BoldMT" w:hAnsi="TimesNewRomanPS-BoldMT"/>
          <w:b/>
          <w:bCs/>
          <w:color w:val="000000"/>
          <w:sz w:val="24"/>
          <w:szCs w:val="24"/>
        </w:rPr>
        <w:br w:type="textWrapping"/>
      </w:r>
      <w:r>
        <w:rPr>
          <w:rStyle w:val="283"/>
          <w:rFonts w:hint="default"/>
          <w:sz w:val="24"/>
          <w:szCs w:val="24"/>
        </w:rPr>
        <w:t xml:space="preserve">邮政编码： </w:t>
      </w:r>
      <w:r>
        <w:rPr>
          <w:rStyle w:val="288"/>
          <w:sz w:val="24"/>
          <w:szCs w:val="24"/>
        </w:rPr>
        <w:t>[</w:t>
      </w:r>
      <w:r>
        <w:rPr>
          <w:rStyle w:val="283"/>
          <w:rFonts w:hint="default"/>
          <w:sz w:val="24"/>
          <w:szCs w:val="24"/>
        </w:rPr>
        <w:t>采购人单位邮编</w:t>
      </w:r>
      <w:r>
        <w:rPr>
          <w:rStyle w:val="288"/>
          <w:sz w:val="24"/>
          <w:szCs w:val="24"/>
        </w:rPr>
        <w:t>]</w:t>
      </w:r>
      <w:r>
        <w:rPr>
          <w:rFonts w:ascii="TimesNewRomanPS-BoldMT" w:hAnsi="TimesNewRomanPS-BoldMT"/>
          <w:b/>
          <w:bCs/>
          <w:color w:val="000000"/>
          <w:sz w:val="24"/>
          <w:szCs w:val="24"/>
        </w:rPr>
        <w:br w:type="textWrapping"/>
      </w:r>
      <w:r>
        <w:rPr>
          <w:rStyle w:val="283"/>
          <w:rFonts w:hint="default"/>
          <w:sz w:val="24"/>
          <w:szCs w:val="24"/>
        </w:rPr>
        <w:t xml:space="preserve">电话： </w:t>
      </w:r>
      <w:r>
        <w:rPr>
          <w:rStyle w:val="288"/>
          <w:sz w:val="24"/>
          <w:szCs w:val="24"/>
        </w:rPr>
        <w:t>[</w:t>
      </w:r>
      <w:r>
        <w:rPr>
          <w:rStyle w:val="283"/>
          <w:rFonts w:hint="default"/>
          <w:sz w:val="24"/>
          <w:szCs w:val="24"/>
        </w:rPr>
        <w:t>采购单位联系人电话</w:t>
      </w:r>
      <w:r>
        <w:rPr>
          <w:rStyle w:val="288"/>
          <w:sz w:val="24"/>
          <w:szCs w:val="24"/>
        </w:rPr>
        <w:t>]</w:t>
      </w:r>
      <w:r>
        <w:rPr>
          <w:rFonts w:ascii="TimesNewRomanPS-BoldMT" w:hAnsi="TimesNewRomanPS-BoldMT"/>
          <w:b/>
          <w:bCs/>
          <w:color w:val="000000"/>
          <w:sz w:val="24"/>
          <w:szCs w:val="24"/>
        </w:rPr>
        <w:br w:type="textWrapping"/>
      </w:r>
      <w:r>
        <w:rPr>
          <w:rStyle w:val="283"/>
          <w:rFonts w:hint="default"/>
          <w:sz w:val="24"/>
          <w:szCs w:val="24"/>
        </w:rPr>
        <w:t xml:space="preserve">传真： </w:t>
      </w:r>
      <w:r>
        <w:rPr>
          <w:rStyle w:val="288"/>
          <w:sz w:val="24"/>
          <w:szCs w:val="24"/>
        </w:rPr>
        <w:t>[</w:t>
      </w:r>
      <w:r>
        <w:rPr>
          <w:rStyle w:val="283"/>
          <w:rFonts w:hint="default"/>
          <w:sz w:val="24"/>
          <w:szCs w:val="24"/>
        </w:rPr>
        <w:t>采购人单位传真</w:t>
      </w:r>
      <w:r>
        <w:rPr>
          <w:rStyle w:val="288"/>
          <w:sz w:val="24"/>
          <w:szCs w:val="24"/>
        </w:rPr>
        <w:t>]</w:t>
      </w:r>
      <w:r>
        <w:rPr>
          <w:rFonts w:ascii="TimesNewRomanPS-BoldMT" w:hAnsi="TimesNewRomanPS-BoldMT"/>
          <w:b/>
          <w:bCs/>
          <w:color w:val="000000"/>
          <w:sz w:val="24"/>
          <w:szCs w:val="24"/>
        </w:rPr>
        <w:br w:type="textWrapping"/>
      </w:r>
      <w:r>
        <w:rPr>
          <w:rStyle w:val="283"/>
          <w:rFonts w:hint="default"/>
          <w:sz w:val="24"/>
          <w:szCs w:val="24"/>
        </w:rPr>
        <w:t xml:space="preserve">联系人： </w:t>
      </w:r>
      <w:r>
        <w:rPr>
          <w:rStyle w:val="288"/>
          <w:sz w:val="24"/>
          <w:szCs w:val="24"/>
        </w:rPr>
        <w:t>[</w:t>
      </w:r>
      <w:r>
        <w:rPr>
          <w:rStyle w:val="283"/>
          <w:rFonts w:hint="default"/>
          <w:sz w:val="24"/>
          <w:szCs w:val="24"/>
        </w:rPr>
        <w:t>采购单位联系人</w:t>
      </w:r>
      <w:r>
        <w:rPr>
          <w:rStyle w:val="288"/>
          <w:sz w:val="24"/>
          <w:szCs w:val="24"/>
        </w:rPr>
        <w:t>]</w:t>
      </w:r>
      <w:r>
        <w:rPr>
          <w:rFonts w:ascii="TimesNewRomanPS-BoldMT" w:hAnsi="TimesNewRomanPS-BoldMT"/>
          <w:b/>
          <w:bCs/>
          <w:color w:val="000000"/>
          <w:sz w:val="24"/>
          <w:szCs w:val="24"/>
        </w:rPr>
        <w:br w:type="textWrapping"/>
      </w:r>
    </w:p>
    <w:p w14:paraId="770C1B5B">
      <w:pPr>
        <w:spacing w:line="360" w:lineRule="auto"/>
        <w:jc w:val="left"/>
        <w:rPr>
          <w:rStyle w:val="288"/>
          <w:rFonts w:hint="eastAsia"/>
          <w:sz w:val="24"/>
          <w:szCs w:val="24"/>
        </w:rPr>
      </w:pPr>
      <w:r>
        <w:rPr>
          <w:rStyle w:val="283"/>
          <w:rFonts w:hint="default"/>
          <w:sz w:val="24"/>
          <w:szCs w:val="24"/>
        </w:rPr>
        <w:t xml:space="preserve">乙方： </w:t>
      </w:r>
      <w:r>
        <w:rPr>
          <w:rStyle w:val="288"/>
          <w:sz w:val="24"/>
          <w:szCs w:val="24"/>
        </w:rPr>
        <w:t>[</w:t>
      </w:r>
      <w:r>
        <w:rPr>
          <w:rStyle w:val="283"/>
          <w:rFonts w:hint="default"/>
          <w:sz w:val="24"/>
          <w:szCs w:val="24"/>
        </w:rPr>
        <w:t>供应商单位名称</w:t>
      </w:r>
      <w:r>
        <w:rPr>
          <w:rStyle w:val="288"/>
          <w:sz w:val="24"/>
          <w:szCs w:val="24"/>
        </w:rPr>
        <w:t>]</w:t>
      </w:r>
      <w:r>
        <w:rPr>
          <w:rFonts w:ascii="TimesNewRomanPS-BoldMT" w:hAnsi="TimesNewRomanPS-BoldMT"/>
          <w:b/>
          <w:bCs/>
          <w:color w:val="000000"/>
          <w:sz w:val="24"/>
          <w:szCs w:val="24"/>
        </w:rPr>
        <w:br w:type="textWrapping"/>
      </w:r>
      <w:r>
        <w:rPr>
          <w:rStyle w:val="283"/>
          <w:rFonts w:hint="default"/>
          <w:sz w:val="24"/>
          <w:szCs w:val="24"/>
        </w:rPr>
        <w:t xml:space="preserve">地址： </w:t>
      </w:r>
      <w:r>
        <w:rPr>
          <w:rStyle w:val="288"/>
          <w:sz w:val="24"/>
          <w:szCs w:val="24"/>
        </w:rPr>
        <w:t>[</w:t>
      </w:r>
      <w:r>
        <w:rPr>
          <w:rStyle w:val="283"/>
          <w:rFonts w:hint="default"/>
          <w:sz w:val="24"/>
          <w:szCs w:val="24"/>
        </w:rPr>
        <w:t>供应商所在地</w:t>
      </w:r>
      <w:r>
        <w:rPr>
          <w:rStyle w:val="288"/>
          <w:sz w:val="24"/>
          <w:szCs w:val="24"/>
        </w:rPr>
        <w:t>]</w:t>
      </w:r>
      <w:r>
        <w:rPr>
          <w:rFonts w:ascii="TimesNewRomanPS-BoldMT" w:hAnsi="TimesNewRomanPS-BoldMT"/>
          <w:b/>
          <w:bCs/>
          <w:color w:val="000000"/>
          <w:sz w:val="24"/>
          <w:szCs w:val="24"/>
        </w:rPr>
        <w:br w:type="textWrapping"/>
      </w:r>
      <w:r>
        <w:rPr>
          <w:rStyle w:val="283"/>
          <w:rFonts w:hint="default"/>
          <w:sz w:val="24"/>
          <w:szCs w:val="24"/>
        </w:rPr>
        <w:t xml:space="preserve">邮政编码： </w:t>
      </w:r>
      <w:r>
        <w:rPr>
          <w:rStyle w:val="288"/>
          <w:sz w:val="24"/>
          <w:szCs w:val="24"/>
        </w:rPr>
        <w:t>[</w:t>
      </w:r>
      <w:r>
        <w:rPr>
          <w:rStyle w:val="283"/>
          <w:rFonts w:hint="default"/>
          <w:sz w:val="24"/>
          <w:szCs w:val="24"/>
        </w:rPr>
        <w:t>合同中心</w:t>
      </w:r>
      <w:r>
        <w:rPr>
          <w:rStyle w:val="288"/>
          <w:sz w:val="24"/>
          <w:szCs w:val="24"/>
        </w:rPr>
        <w:t>-</w:t>
      </w:r>
      <w:r>
        <w:rPr>
          <w:rStyle w:val="283"/>
          <w:rFonts w:hint="default"/>
          <w:sz w:val="24"/>
          <w:szCs w:val="24"/>
        </w:rPr>
        <w:t>采购人单位邮编</w:t>
      </w:r>
      <w:r>
        <w:rPr>
          <w:rStyle w:val="288"/>
          <w:sz w:val="24"/>
          <w:szCs w:val="24"/>
        </w:rPr>
        <w:t>]</w:t>
      </w:r>
      <w:r>
        <w:rPr>
          <w:rFonts w:ascii="TimesNewRomanPS-BoldMT" w:hAnsi="TimesNewRomanPS-BoldMT"/>
          <w:b/>
          <w:bCs/>
          <w:color w:val="000000"/>
          <w:sz w:val="24"/>
          <w:szCs w:val="24"/>
        </w:rPr>
        <w:br w:type="textWrapping"/>
      </w:r>
      <w:r>
        <w:rPr>
          <w:rStyle w:val="283"/>
          <w:rFonts w:hint="default"/>
          <w:sz w:val="24"/>
          <w:szCs w:val="24"/>
        </w:rPr>
        <w:t xml:space="preserve">电话： </w:t>
      </w:r>
      <w:r>
        <w:rPr>
          <w:rStyle w:val="288"/>
          <w:sz w:val="24"/>
          <w:szCs w:val="24"/>
        </w:rPr>
        <w:t>[</w:t>
      </w:r>
      <w:r>
        <w:rPr>
          <w:rStyle w:val="283"/>
          <w:rFonts w:hint="default"/>
          <w:sz w:val="24"/>
          <w:szCs w:val="24"/>
        </w:rPr>
        <w:t>供应商联系人电话</w:t>
      </w:r>
      <w:r>
        <w:rPr>
          <w:rStyle w:val="288"/>
          <w:sz w:val="24"/>
          <w:szCs w:val="24"/>
        </w:rPr>
        <w:t>]</w:t>
      </w:r>
      <w:r>
        <w:rPr>
          <w:rFonts w:ascii="TimesNewRomanPS-BoldMT" w:hAnsi="TimesNewRomanPS-BoldMT"/>
          <w:b/>
          <w:bCs/>
          <w:color w:val="000000"/>
          <w:sz w:val="24"/>
          <w:szCs w:val="24"/>
        </w:rPr>
        <w:br w:type="textWrapping"/>
      </w:r>
      <w:r>
        <w:rPr>
          <w:rStyle w:val="283"/>
          <w:rFonts w:hint="default"/>
          <w:sz w:val="24"/>
          <w:szCs w:val="24"/>
        </w:rPr>
        <w:t xml:space="preserve">传真： </w:t>
      </w:r>
      <w:r>
        <w:rPr>
          <w:rStyle w:val="288"/>
          <w:sz w:val="24"/>
          <w:szCs w:val="24"/>
        </w:rPr>
        <w:t>[</w:t>
      </w:r>
      <w:r>
        <w:rPr>
          <w:rStyle w:val="283"/>
          <w:rFonts w:hint="default"/>
          <w:sz w:val="24"/>
          <w:szCs w:val="24"/>
        </w:rPr>
        <w:t>供应商传真</w:t>
      </w:r>
      <w:r>
        <w:rPr>
          <w:rStyle w:val="288"/>
          <w:sz w:val="24"/>
          <w:szCs w:val="24"/>
        </w:rPr>
        <w:t>]</w:t>
      </w:r>
      <w:r>
        <w:rPr>
          <w:rFonts w:ascii="TimesNewRomanPS-BoldMT" w:hAnsi="TimesNewRomanPS-BoldMT"/>
          <w:b/>
          <w:bCs/>
          <w:color w:val="000000"/>
          <w:sz w:val="24"/>
          <w:szCs w:val="24"/>
        </w:rPr>
        <w:br w:type="textWrapping"/>
      </w:r>
      <w:r>
        <w:rPr>
          <w:rStyle w:val="283"/>
          <w:rFonts w:hint="default"/>
          <w:sz w:val="24"/>
          <w:szCs w:val="24"/>
        </w:rPr>
        <w:t xml:space="preserve">联系人： </w:t>
      </w:r>
      <w:r>
        <w:rPr>
          <w:rStyle w:val="288"/>
          <w:sz w:val="24"/>
          <w:szCs w:val="24"/>
        </w:rPr>
        <w:t>[</w:t>
      </w:r>
      <w:r>
        <w:rPr>
          <w:rStyle w:val="283"/>
          <w:rFonts w:hint="default"/>
          <w:sz w:val="24"/>
          <w:szCs w:val="24"/>
        </w:rPr>
        <w:t>供应商联系人</w:t>
      </w:r>
      <w:r>
        <w:rPr>
          <w:rStyle w:val="288"/>
          <w:sz w:val="24"/>
          <w:szCs w:val="24"/>
        </w:rPr>
        <w:t>]</w:t>
      </w:r>
      <w:r>
        <w:rPr>
          <w:rFonts w:ascii="TimesNewRomanPS-BoldMT" w:hAnsi="TimesNewRomanPS-BoldMT"/>
          <w:b/>
          <w:bCs/>
          <w:color w:val="000000"/>
          <w:sz w:val="24"/>
          <w:szCs w:val="24"/>
        </w:rPr>
        <w:br w:type="textWrapping"/>
      </w:r>
    </w:p>
    <w:p w14:paraId="52729D9D">
      <w:pPr>
        <w:spacing w:line="360" w:lineRule="auto"/>
        <w:jc w:val="left"/>
        <w:rPr>
          <w:rStyle w:val="288"/>
          <w:rFonts w:hint="eastAsia"/>
        </w:rPr>
      </w:pPr>
    </w:p>
    <w:p w14:paraId="070A1B38">
      <w:pPr>
        <w:spacing w:line="360" w:lineRule="auto"/>
        <w:jc w:val="left"/>
        <w:rPr>
          <w:rFonts w:ascii="宋体" w:hAnsi="宋体" w:eastAsia="宋体"/>
          <w:color w:val="000000"/>
          <w:sz w:val="24"/>
          <w:szCs w:val="24"/>
        </w:rPr>
      </w:pPr>
      <w:r>
        <w:rPr>
          <w:rFonts w:ascii="宋体" w:hAnsi="宋体" w:eastAsia="宋体"/>
          <w:color w:val="000000"/>
          <w:sz w:val="24"/>
          <w:szCs w:val="24"/>
        </w:rPr>
        <w:t>项目名称：</w:t>
      </w:r>
      <w:r>
        <w:rPr>
          <w:rFonts w:hint="eastAsia" w:ascii="宋体" w:hAnsi="宋体" w:eastAsia="宋体"/>
          <w:color w:val="000000"/>
          <w:sz w:val="24"/>
          <w:szCs w:val="24"/>
          <w:u w:val="single"/>
        </w:rPr>
        <w:t xml:space="preserve">                           </w:t>
      </w:r>
      <w:r>
        <w:rPr>
          <w:rFonts w:hint="eastAsia"/>
          <w:color w:val="000000"/>
        </w:rPr>
        <w:t xml:space="preserve"> </w:t>
      </w:r>
      <w:r>
        <w:rPr>
          <w:rFonts w:hint="eastAsia"/>
          <w:color w:val="000000"/>
        </w:rPr>
        <w:br w:type="textWrapping"/>
      </w:r>
      <w:r>
        <w:rPr>
          <w:rFonts w:ascii="宋体" w:hAnsi="宋体" w:eastAsia="宋体"/>
          <w:color w:val="000000"/>
          <w:sz w:val="24"/>
          <w:szCs w:val="24"/>
        </w:rPr>
        <w:t>根据《中华人民共和国政府采购法》、《中华人民共和国民法典》之规定，本合同当事人在平等、自愿的基础上，经协商一致，同意按下述条款和条件签署本合同：</w:t>
      </w:r>
      <w:r>
        <w:rPr>
          <w:rFonts w:hint="eastAsia"/>
          <w:color w:val="000000"/>
        </w:rPr>
        <w:br w:type="textWrapping"/>
      </w:r>
      <w:r>
        <w:rPr>
          <w:rFonts w:ascii="DengXian-Bold" w:hAnsi="DengXian-Bold"/>
          <w:b/>
          <w:bCs/>
          <w:color w:val="000000"/>
          <w:sz w:val="24"/>
          <w:szCs w:val="24"/>
        </w:rPr>
        <w:t>1</w:t>
      </w:r>
      <w:r>
        <w:rPr>
          <w:rFonts w:ascii="宋体" w:hAnsi="宋体" w:eastAsia="宋体"/>
          <w:color w:val="000000"/>
          <w:sz w:val="24"/>
          <w:szCs w:val="24"/>
        </w:rPr>
        <w:t>、 货物信息：</w:t>
      </w:r>
      <w:r>
        <w:rPr>
          <w:rFonts w:hint="eastAsia"/>
          <w:color w:val="000000"/>
        </w:rPr>
        <w:br w:type="textWrapping"/>
      </w:r>
      <w:r>
        <w:rPr>
          <w:rFonts w:ascii="DengXian-Regular" w:hAnsi="DengXian-Regular"/>
          <w:color w:val="000000"/>
          <w:sz w:val="24"/>
          <w:szCs w:val="24"/>
        </w:rPr>
        <w:t xml:space="preserve">1.1 </w:t>
      </w:r>
      <w:r>
        <w:rPr>
          <w:rFonts w:ascii="宋体" w:hAnsi="宋体" w:eastAsia="宋体"/>
          <w:color w:val="000000"/>
          <w:sz w:val="24"/>
          <w:szCs w:val="24"/>
        </w:rPr>
        <w:t>乙方所提供的货物应符合国家的有关规定，货物的规格型号、配置、功能、制造商、产地、单价、数量等信息详见合同附件。</w:t>
      </w:r>
      <w:r>
        <w:rPr>
          <w:rFonts w:hint="eastAsia"/>
          <w:color w:val="000000"/>
        </w:rPr>
        <w:br w:type="textWrapping"/>
      </w:r>
      <w:r>
        <w:rPr>
          <w:rFonts w:ascii="DengXian-Bold" w:hAnsi="DengXian-Bold"/>
          <w:b/>
          <w:bCs/>
          <w:color w:val="000000"/>
          <w:sz w:val="24"/>
          <w:szCs w:val="24"/>
        </w:rPr>
        <w:t>2</w:t>
      </w:r>
      <w:r>
        <w:rPr>
          <w:rFonts w:ascii="宋体" w:hAnsi="宋体" w:eastAsia="宋体"/>
          <w:color w:val="000000"/>
          <w:sz w:val="24"/>
          <w:szCs w:val="24"/>
        </w:rPr>
        <w:t>、合同价格、交货地点和交货状态</w:t>
      </w:r>
      <w:r>
        <w:rPr>
          <w:rFonts w:hint="eastAsia"/>
          <w:color w:val="000000"/>
        </w:rPr>
        <w:br w:type="textWrapping"/>
      </w:r>
      <w:r>
        <w:rPr>
          <w:rFonts w:ascii="DengXian-Regular" w:hAnsi="DengXian-Regular"/>
          <w:color w:val="000000"/>
          <w:sz w:val="24"/>
          <w:szCs w:val="24"/>
        </w:rPr>
        <w:t xml:space="preserve">2.1 </w:t>
      </w:r>
      <w:r>
        <w:rPr>
          <w:rFonts w:ascii="宋体" w:hAnsi="宋体" w:eastAsia="宋体"/>
          <w:color w:val="000000"/>
          <w:sz w:val="24"/>
          <w:szCs w:val="24"/>
        </w:rPr>
        <w:t>合同价格</w:t>
      </w:r>
      <w:r>
        <w:rPr>
          <w:rFonts w:hint="eastAsia"/>
          <w:color w:val="000000"/>
        </w:rPr>
        <w:br w:type="textWrapping"/>
      </w:r>
      <w:r>
        <w:rPr>
          <w:rFonts w:ascii="宋体" w:hAnsi="宋体" w:eastAsia="宋体"/>
          <w:color w:val="000000"/>
          <w:sz w:val="24"/>
          <w:szCs w:val="24"/>
        </w:rPr>
        <w:t>本合同价格为</w:t>
      </w:r>
      <w:r>
        <w:rPr>
          <w:rFonts w:ascii="宋体" w:hAnsi="宋体" w:eastAsia="宋体"/>
          <w:color w:val="000000"/>
          <w:sz w:val="22"/>
          <w:szCs w:val="24"/>
        </w:rPr>
        <w:t>[合同中心-合同总价]</w:t>
      </w:r>
      <w:r>
        <w:rPr>
          <w:rFonts w:ascii="宋体" w:hAnsi="宋体" w:eastAsia="宋体"/>
          <w:color w:val="000000"/>
          <w:sz w:val="24"/>
          <w:szCs w:val="24"/>
        </w:rPr>
        <w:t>元整（[合同中心-合同总价大写]）。</w:t>
      </w:r>
      <w:r>
        <w:rPr>
          <w:rFonts w:hint="eastAsia"/>
          <w:color w:val="000000"/>
        </w:rPr>
        <w:br w:type="textWrapping"/>
      </w:r>
      <w:r>
        <w:rPr>
          <w:rFonts w:ascii="宋体" w:hAnsi="宋体" w:eastAsia="宋体"/>
          <w:color w:val="000000"/>
          <w:sz w:val="24"/>
          <w:szCs w:val="24"/>
        </w:rPr>
        <w:t>乙方为履行本合同而发生的所有费用均应包含在合同价中，甲方不再另行支付其它任何费用。</w:t>
      </w:r>
      <w:r>
        <w:rPr>
          <w:rFonts w:hint="eastAsia"/>
          <w:color w:val="000000"/>
        </w:rPr>
        <w:br w:type="textWrapping"/>
      </w:r>
      <w:r>
        <w:rPr>
          <w:rFonts w:ascii="DengXian-Regular" w:hAnsi="DengXian-Regular"/>
          <w:color w:val="000000"/>
          <w:sz w:val="24"/>
          <w:szCs w:val="24"/>
        </w:rPr>
        <w:t xml:space="preserve">2.2 </w:t>
      </w:r>
      <w:r>
        <w:rPr>
          <w:rFonts w:ascii="宋体" w:hAnsi="宋体" w:eastAsia="宋体"/>
          <w:color w:val="000000"/>
          <w:sz w:val="24"/>
          <w:szCs w:val="24"/>
        </w:rPr>
        <w:t>交货地点： 甲方指定地点（详见招标文件项目需求） 。</w:t>
      </w:r>
      <w:r>
        <w:rPr>
          <w:rFonts w:hint="eastAsia"/>
          <w:color w:val="000000"/>
        </w:rPr>
        <w:br w:type="textWrapping"/>
      </w:r>
      <w:r>
        <w:rPr>
          <w:rFonts w:ascii="DengXian-Regular" w:hAnsi="DengXian-Regular"/>
          <w:color w:val="000000"/>
          <w:sz w:val="24"/>
          <w:szCs w:val="24"/>
        </w:rPr>
        <w:t xml:space="preserve">2.3 </w:t>
      </w:r>
      <w:r>
        <w:rPr>
          <w:rFonts w:ascii="宋体" w:hAnsi="宋体" w:eastAsia="宋体"/>
          <w:color w:val="000000"/>
          <w:sz w:val="24"/>
          <w:szCs w:val="24"/>
        </w:rPr>
        <w:t>交货状态： 设备安装、调试、验收合格。</w:t>
      </w:r>
      <w:r>
        <w:rPr>
          <w:rFonts w:hint="eastAsia"/>
          <w:color w:val="000000"/>
        </w:rPr>
        <w:br w:type="textWrapping"/>
      </w:r>
      <w:r>
        <w:rPr>
          <w:rFonts w:ascii="DengXian-Regular" w:hAnsi="DengXian-Regular"/>
          <w:color w:val="000000"/>
          <w:sz w:val="24"/>
          <w:szCs w:val="24"/>
        </w:rPr>
        <w:t xml:space="preserve">2.4 </w:t>
      </w:r>
      <w:r>
        <w:rPr>
          <w:rFonts w:ascii="宋体" w:hAnsi="宋体" w:eastAsia="宋体"/>
          <w:color w:val="000000"/>
          <w:sz w:val="24"/>
          <w:szCs w:val="24"/>
        </w:rPr>
        <w:t>交货期限： [合同中心-合同有效期]。 合同签订后 30 个工作日内完成供货、安装及调试等全部工作要求。</w:t>
      </w:r>
      <w:r>
        <w:rPr>
          <w:rFonts w:hint="eastAsia"/>
          <w:color w:val="000000"/>
        </w:rPr>
        <w:br w:type="textWrapping"/>
      </w:r>
      <w:r>
        <w:rPr>
          <w:rFonts w:ascii="DengXian-Bold" w:hAnsi="DengXian-Bold"/>
          <w:b/>
          <w:bCs/>
          <w:color w:val="000000"/>
          <w:sz w:val="24"/>
          <w:szCs w:val="24"/>
        </w:rPr>
        <w:t>3</w:t>
      </w:r>
      <w:r>
        <w:rPr>
          <w:rFonts w:ascii="宋体" w:hAnsi="宋体" w:eastAsia="宋体"/>
          <w:color w:val="000000"/>
          <w:sz w:val="24"/>
          <w:szCs w:val="24"/>
        </w:rPr>
        <w:t>、质量标准和要求</w:t>
      </w:r>
      <w:r>
        <w:rPr>
          <w:rFonts w:hint="eastAsia"/>
          <w:color w:val="000000"/>
        </w:rPr>
        <w:br w:type="textWrapping"/>
      </w:r>
      <w:r>
        <w:rPr>
          <w:rFonts w:ascii="DengXian-Regular" w:hAnsi="DengXian-Regular"/>
          <w:color w:val="000000"/>
          <w:sz w:val="24"/>
          <w:szCs w:val="24"/>
        </w:rPr>
        <w:t xml:space="preserve">3.1 </w:t>
      </w:r>
      <w:r>
        <w:rPr>
          <w:rFonts w:ascii="宋体" w:hAnsi="宋体" w:eastAsia="宋体"/>
          <w:color w:val="000000"/>
          <w:sz w:val="24"/>
          <w:szCs w:val="24"/>
        </w:rPr>
        <w:t>乙方所出售标的物的质量标准按照国家标准或行业标准或企业标准确定。没有国家标准、行业标准和企业标准的，按照通常标准或者符合合同目的的特定标准确定。</w:t>
      </w:r>
      <w:r>
        <w:rPr>
          <w:rFonts w:hint="eastAsia"/>
          <w:color w:val="000000"/>
        </w:rPr>
        <w:br w:type="textWrapping"/>
      </w:r>
      <w:r>
        <w:rPr>
          <w:rFonts w:ascii="DengXian-Regular" w:hAnsi="DengXian-Regular"/>
          <w:color w:val="000000"/>
          <w:sz w:val="24"/>
          <w:szCs w:val="24"/>
        </w:rPr>
        <w:t xml:space="preserve">3.2 </w:t>
      </w:r>
      <w:r>
        <w:rPr>
          <w:rFonts w:ascii="宋体" w:hAnsi="宋体" w:eastAsia="宋体"/>
          <w:color w:val="000000"/>
          <w:sz w:val="24"/>
          <w:szCs w:val="24"/>
        </w:rPr>
        <w:t>乙方所出售的标的物还应符合国家有关规定。</w:t>
      </w:r>
    </w:p>
    <w:p w14:paraId="454C9723">
      <w:pPr>
        <w:spacing w:line="360" w:lineRule="auto"/>
        <w:jc w:val="left"/>
        <w:rPr>
          <w:rStyle w:val="283"/>
          <w:rFonts w:hint="default"/>
        </w:rPr>
      </w:pPr>
      <w:r>
        <w:rPr>
          <w:rFonts w:ascii="DengXian-Regular" w:hAnsi="DengXian-Regular"/>
          <w:color w:val="000000"/>
          <w:sz w:val="24"/>
          <w:szCs w:val="24"/>
        </w:rPr>
        <w:t xml:space="preserve">3.3 </w:t>
      </w:r>
      <w:r>
        <w:rPr>
          <w:rFonts w:ascii="宋体" w:hAnsi="宋体" w:eastAsia="宋体"/>
          <w:color w:val="000000"/>
          <w:sz w:val="24"/>
          <w:szCs w:val="24"/>
        </w:rPr>
        <w:t>如果质量标准不统一的，应以甲方所选择的质量标准为依据。</w:t>
      </w:r>
      <w:r>
        <w:rPr>
          <w:rFonts w:hint="eastAsia"/>
          <w:color w:val="000000"/>
        </w:rPr>
        <w:br w:type="textWrapping"/>
      </w:r>
      <w:r>
        <w:rPr>
          <w:rFonts w:ascii="DengXian-Bold" w:hAnsi="DengXian-Bold"/>
          <w:b/>
          <w:bCs/>
          <w:color w:val="000000"/>
          <w:sz w:val="24"/>
          <w:szCs w:val="24"/>
        </w:rPr>
        <w:t>4</w:t>
      </w:r>
      <w:r>
        <w:rPr>
          <w:rFonts w:ascii="宋体" w:hAnsi="宋体" w:eastAsia="宋体"/>
          <w:color w:val="000000"/>
          <w:sz w:val="24"/>
          <w:szCs w:val="24"/>
        </w:rPr>
        <w:t>、权利瑕疵担保</w:t>
      </w:r>
      <w:r>
        <w:rPr>
          <w:rFonts w:hint="eastAsia"/>
          <w:color w:val="000000"/>
        </w:rPr>
        <w:br w:type="textWrapping"/>
      </w:r>
      <w:r>
        <w:rPr>
          <w:rFonts w:ascii="DengXian-Regular" w:hAnsi="DengXian-Regular"/>
          <w:color w:val="000000"/>
          <w:sz w:val="24"/>
          <w:szCs w:val="24"/>
        </w:rPr>
        <w:t xml:space="preserve">4.1 </w:t>
      </w:r>
      <w:r>
        <w:rPr>
          <w:rFonts w:ascii="宋体" w:hAnsi="宋体" w:eastAsia="宋体"/>
          <w:color w:val="000000"/>
          <w:sz w:val="24"/>
          <w:szCs w:val="24"/>
        </w:rPr>
        <w:t>乙方保证对其出售的标的物享有合法的权利；</w:t>
      </w:r>
      <w:r>
        <w:rPr>
          <w:rFonts w:hint="eastAsia"/>
          <w:color w:val="000000"/>
        </w:rPr>
        <w:br w:type="textWrapping"/>
      </w:r>
      <w:r>
        <w:rPr>
          <w:rFonts w:ascii="DengXian-Regular" w:hAnsi="DengXian-Regular"/>
          <w:color w:val="000000"/>
          <w:sz w:val="24"/>
          <w:szCs w:val="24"/>
        </w:rPr>
        <w:t xml:space="preserve">4.2 </w:t>
      </w:r>
      <w:r>
        <w:rPr>
          <w:rFonts w:ascii="宋体" w:hAnsi="宋体" w:eastAsia="宋体"/>
          <w:color w:val="000000"/>
          <w:sz w:val="24"/>
          <w:szCs w:val="24"/>
        </w:rPr>
        <w:t>乙方应保证在其出售的标的物上不存在任何未曾向甲方透露的担保物权，如抵押权、质押权、留置权等；</w:t>
      </w:r>
      <w:r>
        <w:rPr>
          <w:rFonts w:hint="eastAsia"/>
          <w:color w:val="000000"/>
        </w:rPr>
        <w:br w:type="textWrapping"/>
      </w:r>
      <w:r>
        <w:rPr>
          <w:rFonts w:ascii="DengXian-Regular" w:hAnsi="DengXian-Regular"/>
          <w:color w:val="000000"/>
          <w:sz w:val="24"/>
          <w:szCs w:val="24"/>
        </w:rPr>
        <w:t xml:space="preserve">4.3 </w:t>
      </w:r>
      <w:r>
        <w:rPr>
          <w:rFonts w:ascii="宋体" w:hAnsi="宋体" w:eastAsia="宋体"/>
          <w:color w:val="000000"/>
          <w:sz w:val="24"/>
          <w:szCs w:val="24"/>
        </w:rPr>
        <w:t>乙方应保证其所出售的标的物没有侵犯任何第三人的知识产权和商业秘密等权利。</w:t>
      </w:r>
      <w:r>
        <w:rPr>
          <w:rFonts w:hint="eastAsia"/>
          <w:color w:val="000000"/>
        </w:rPr>
        <w:br w:type="textWrapping"/>
      </w:r>
      <w:r>
        <w:rPr>
          <w:rFonts w:ascii="DengXian-Regular" w:hAnsi="DengXian-Regular"/>
          <w:color w:val="000000"/>
          <w:sz w:val="24"/>
          <w:szCs w:val="24"/>
        </w:rPr>
        <w:t xml:space="preserve">4.4 </w:t>
      </w:r>
      <w:r>
        <w:rPr>
          <w:rFonts w:ascii="宋体" w:hAnsi="宋体" w:eastAsia="宋体"/>
          <w:color w:val="000000"/>
          <w:sz w:val="24"/>
          <w:szCs w:val="24"/>
        </w:rPr>
        <w:t>如甲方使用该标的物构成上述侵权的，则由乙方承担全部责任。</w:t>
      </w:r>
      <w:r>
        <w:rPr>
          <w:rFonts w:hint="eastAsia"/>
          <w:color w:val="000000"/>
        </w:rPr>
        <w:br w:type="textWrapping"/>
      </w:r>
      <w:r>
        <w:rPr>
          <w:rFonts w:ascii="DengXian-Bold" w:hAnsi="DengXian-Bold"/>
          <w:b/>
          <w:bCs/>
          <w:color w:val="000000"/>
          <w:sz w:val="24"/>
          <w:szCs w:val="24"/>
        </w:rPr>
        <w:t>5</w:t>
      </w:r>
      <w:r>
        <w:rPr>
          <w:rFonts w:ascii="宋体" w:hAnsi="宋体" w:eastAsia="宋体"/>
          <w:color w:val="000000"/>
          <w:sz w:val="24"/>
          <w:szCs w:val="24"/>
        </w:rPr>
        <w:t>、包装要求</w:t>
      </w:r>
      <w:r>
        <w:rPr>
          <w:rFonts w:hint="eastAsia"/>
          <w:color w:val="000000"/>
        </w:rPr>
        <w:br w:type="textWrapping"/>
      </w:r>
      <w:r>
        <w:rPr>
          <w:rFonts w:ascii="DengXian-Regular" w:hAnsi="DengXian-Regular"/>
          <w:color w:val="000000"/>
          <w:sz w:val="24"/>
          <w:szCs w:val="24"/>
        </w:rPr>
        <w:t xml:space="preserve">5.1 </w:t>
      </w:r>
      <w:r>
        <w:rPr>
          <w:rFonts w:ascii="宋体" w:hAnsi="宋体" w:eastAsia="宋体"/>
          <w:color w:val="000000"/>
          <w:sz w:val="24"/>
          <w:szCs w:val="24"/>
        </w:rPr>
        <w:t>乙方所出售的全部货物均应按标准保护措施进行包装，这类包装应适应于远距离运输、防潮、防震、防锈和防野蛮装卸等要求，以确保货物安全无损地运抵指定现场。</w:t>
      </w:r>
      <w:r>
        <w:rPr>
          <w:rFonts w:hint="eastAsia"/>
          <w:color w:val="000000"/>
        </w:rPr>
        <w:br w:type="textWrapping"/>
      </w:r>
      <w:r>
        <w:rPr>
          <w:rFonts w:ascii="DengXian-Regular" w:hAnsi="DengXian-Regular"/>
          <w:color w:val="000000"/>
          <w:sz w:val="24"/>
          <w:szCs w:val="24"/>
        </w:rPr>
        <w:t xml:space="preserve">5.2 </w:t>
      </w:r>
      <w:r>
        <w:rPr>
          <w:rFonts w:ascii="宋体" w:hAnsi="宋体" w:eastAsia="宋体"/>
          <w:color w:val="000000"/>
          <w:sz w:val="24"/>
          <w:szCs w:val="24"/>
        </w:rPr>
        <w:t>每一个包装箱内应附一份详细装箱单、质量证书和保修保养证书。</w:t>
      </w:r>
      <w:r>
        <w:rPr>
          <w:rFonts w:hint="eastAsia"/>
          <w:color w:val="000000"/>
        </w:rPr>
        <w:br w:type="textWrapping"/>
      </w:r>
      <w:r>
        <w:rPr>
          <w:rFonts w:ascii="DengXian-Bold" w:hAnsi="DengXian-Bold"/>
          <w:b/>
          <w:bCs/>
          <w:color w:val="000000"/>
          <w:sz w:val="24"/>
          <w:szCs w:val="24"/>
        </w:rPr>
        <w:t>6</w:t>
      </w:r>
      <w:r>
        <w:rPr>
          <w:rFonts w:ascii="宋体" w:hAnsi="宋体" w:eastAsia="宋体"/>
          <w:color w:val="000000"/>
          <w:sz w:val="24"/>
          <w:szCs w:val="24"/>
        </w:rPr>
        <w:t>、验收</w:t>
      </w:r>
      <w:r>
        <w:rPr>
          <w:rFonts w:hint="eastAsia"/>
          <w:color w:val="000000"/>
        </w:rPr>
        <w:br w:type="textWrapping"/>
      </w:r>
      <w:r>
        <w:rPr>
          <w:rFonts w:ascii="DengXian-Regular" w:hAnsi="DengXian-Regular"/>
          <w:color w:val="000000"/>
          <w:sz w:val="24"/>
          <w:szCs w:val="24"/>
        </w:rPr>
        <w:t xml:space="preserve">6.1 </w:t>
      </w:r>
      <w:r>
        <w:rPr>
          <w:rFonts w:ascii="宋体" w:hAnsi="宋体" w:eastAsia="宋体"/>
          <w:color w:val="000000"/>
          <w:sz w:val="24"/>
          <w:szCs w:val="24"/>
        </w:rPr>
        <w:t>货物的数量不足或表面瑕疵甲方应在验收时当面提出，对质量问题之异议应在安装调试后七日内提出。</w:t>
      </w:r>
      <w:r>
        <w:rPr>
          <w:rFonts w:hint="eastAsia"/>
          <w:color w:val="000000"/>
        </w:rPr>
        <w:br w:type="textWrapping"/>
      </w:r>
      <w:r>
        <w:rPr>
          <w:rFonts w:ascii="DengXian-Regular" w:hAnsi="DengXian-Regular"/>
          <w:color w:val="000000"/>
          <w:sz w:val="24"/>
          <w:szCs w:val="24"/>
        </w:rPr>
        <w:t xml:space="preserve">6.2 </w:t>
      </w:r>
      <w:r>
        <w:rPr>
          <w:rFonts w:ascii="宋体" w:hAnsi="宋体" w:eastAsia="宋体"/>
          <w:color w:val="000000"/>
          <w:sz w:val="24"/>
          <w:szCs w:val="24"/>
        </w:rPr>
        <w:t>甲方可采取以下任意方式对货物组织验收：</w:t>
      </w:r>
      <w:r>
        <w:rPr>
          <w:rFonts w:hint="eastAsia"/>
          <w:color w:val="000000"/>
        </w:rPr>
        <w:br w:type="textWrapping"/>
      </w:r>
      <w:r>
        <w:rPr>
          <w:rFonts w:ascii="宋体" w:hAnsi="宋体" w:eastAsia="宋体"/>
          <w:color w:val="000000"/>
          <w:sz w:val="24"/>
          <w:szCs w:val="24"/>
        </w:rPr>
        <w:t>（</w:t>
      </w:r>
      <w:r>
        <w:rPr>
          <w:rFonts w:ascii="DengXian-Regular" w:hAnsi="DengXian-Regular"/>
          <w:color w:val="000000"/>
          <w:sz w:val="24"/>
          <w:szCs w:val="24"/>
        </w:rPr>
        <w:t>1</w:t>
      </w:r>
      <w:r>
        <w:rPr>
          <w:rFonts w:ascii="宋体" w:hAnsi="宋体" w:eastAsia="宋体"/>
          <w:color w:val="000000"/>
          <w:sz w:val="24"/>
          <w:szCs w:val="24"/>
        </w:rPr>
        <w:t xml:space="preserve">）甲方收货后根据货物的技术规格要求和质量标准，对货物进行检查验收，如果发现数量不足或有质量、技术等问题，乙方应负责按照甲方的要求采取补足、更换或退货等处理措施，并承担由此发生的一切损失和费用。验收合格后，甲方收取发票并签署验收意见。甲方在货物送达后无正当理由而拖延验收或不验收超过上述 </w:t>
      </w:r>
      <w:r>
        <w:rPr>
          <w:rFonts w:ascii="DengXian-Regular" w:hAnsi="DengXian-Regular"/>
          <w:color w:val="000000"/>
          <w:sz w:val="24"/>
          <w:szCs w:val="24"/>
        </w:rPr>
        <w:t xml:space="preserve">6.1 </w:t>
      </w:r>
      <w:r>
        <w:rPr>
          <w:rFonts w:ascii="宋体" w:hAnsi="宋体" w:eastAsia="宋体"/>
          <w:color w:val="000000"/>
          <w:sz w:val="24"/>
          <w:szCs w:val="24"/>
        </w:rPr>
        <w:t>款所规定的验收期的，则视为其已验收通过。但对货物有质量保证期的，适用质量保证期之规定。</w:t>
      </w:r>
      <w:r>
        <w:rPr>
          <w:rFonts w:hint="eastAsia"/>
          <w:color w:val="000000"/>
        </w:rPr>
        <w:br w:type="textWrapping"/>
      </w:r>
      <w:r>
        <w:rPr>
          <w:rFonts w:ascii="宋体" w:hAnsi="宋体" w:eastAsia="宋体"/>
          <w:color w:val="000000"/>
          <w:sz w:val="24"/>
          <w:szCs w:val="24"/>
        </w:rPr>
        <w:t>（</w:t>
      </w:r>
      <w:r>
        <w:rPr>
          <w:rFonts w:ascii="DengXian-Regular" w:hAnsi="DengXian-Regular"/>
          <w:color w:val="000000"/>
          <w:sz w:val="24"/>
          <w:szCs w:val="24"/>
        </w:rPr>
        <w:t>2</w:t>
      </w:r>
      <w:r>
        <w:rPr>
          <w:rFonts w:ascii="宋体" w:hAnsi="宋体" w:eastAsia="宋体"/>
          <w:color w:val="000000"/>
          <w:sz w:val="24"/>
          <w:szCs w:val="24"/>
        </w:rPr>
        <w:t>）邀请国家认可的质量检测机构参加验收。对于大型或者复杂的政府采购项目应当由甲方邀请法定的质量检测机构参加验收，由其出具验收报告，参加验收的成员应当在验收书上签字，并承担相应的法律责任。</w:t>
      </w:r>
      <w:r>
        <w:rPr>
          <w:rFonts w:hint="eastAsia"/>
          <w:color w:val="000000"/>
        </w:rPr>
        <w:br w:type="textWrapping"/>
      </w:r>
      <w:r>
        <w:rPr>
          <w:rFonts w:ascii="宋体" w:hAnsi="宋体" w:eastAsia="宋体"/>
          <w:color w:val="000000"/>
          <w:sz w:val="24"/>
          <w:szCs w:val="24"/>
        </w:rPr>
        <w:t>7．付款</w:t>
      </w:r>
      <w:r>
        <w:rPr>
          <w:rFonts w:hint="eastAsia"/>
          <w:color w:val="000000"/>
        </w:rPr>
        <w:br w:type="textWrapping"/>
      </w:r>
      <w:r>
        <w:rPr>
          <w:rFonts w:ascii="宋体" w:hAnsi="宋体" w:eastAsia="宋体"/>
          <w:color w:val="000000"/>
          <w:sz w:val="24"/>
          <w:szCs w:val="24"/>
        </w:rPr>
        <w:t>7． 1 本合同以人民币付款（单位：元）。</w:t>
      </w:r>
      <w:r>
        <w:rPr>
          <w:rFonts w:hint="eastAsia"/>
          <w:color w:val="000000"/>
        </w:rPr>
        <w:br w:type="textWrapping"/>
      </w:r>
      <w:r>
        <w:rPr>
          <w:rFonts w:ascii="宋体" w:hAnsi="宋体" w:eastAsia="宋体"/>
          <w:color w:val="000000"/>
          <w:sz w:val="24"/>
          <w:szCs w:val="24"/>
        </w:rPr>
        <w:t>7． 2 本合同款项按照以下方式支付。</w:t>
      </w:r>
      <w:r>
        <w:rPr>
          <w:rFonts w:hint="eastAsia"/>
          <w:color w:val="000000"/>
        </w:rPr>
        <w:br w:type="textWrapping"/>
      </w:r>
      <w:r>
        <w:rPr>
          <w:rStyle w:val="283"/>
          <w:rFonts w:hint="default"/>
        </w:rPr>
        <w:t xml:space="preserve">第一阶段，自合同签订后，乙方向甲方提供等额有效发票，甲方在收到发票后，且财政资金到甲方账户后的15个工作日内向乙方支付合同总金额的40%，即     元（小写¥    ）作为货物生产的预付款； </w:t>
      </w:r>
    </w:p>
    <w:p w14:paraId="1CD9223D">
      <w:pPr>
        <w:spacing w:line="360" w:lineRule="auto"/>
        <w:jc w:val="left"/>
        <w:rPr>
          <w:rStyle w:val="283"/>
          <w:rFonts w:hint="default"/>
        </w:rPr>
      </w:pPr>
      <w:r>
        <w:rPr>
          <w:rStyle w:val="283"/>
          <w:rFonts w:hint="default"/>
        </w:rPr>
        <w:t>第二阶段，乙方按照合同约定的摆放方案，把所有合同约定的标的物安装调试到位并经甲方验收合格后，乙方向甲方提供等额有效发票后的15个工作日内，且财政资金到甲方账户后甲方支付合同金额的50%给乙方。</w:t>
      </w:r>
    </w:p>
    <w:p w14:paraId="36E90C95">
      <w:pPr>
        <w:spacing w:line="360" w:lineRule="auto"/>
        <w:jc w:val="left"/>
        <w:rPr>
          <w:rFonts w:ascii="宋体" w:hAnsi="宋体" w:eastAsia="宋体"/>
          <w:color w:val="000000"/>
          <w:sz w:val="24"/>
          <w:szCs w:val="24"/>
        </w:rPr>
      </w:pPr>
      <w:r>
        <w:rPr>
          <w:rStyle w:val="283"/>
          <w:rFonts w:hint="default"/>
        </w:rPr>
        <w:t>第三阶段，剩余合同金额的10%验收合格之日起365个自然日内，乙方向甲方提供等额有效发票且财政资金到甲方账户后的15个工作日内甲方无息支付给乙方。</w:t>
      </w:r>
      <w:r>
        <w:rPr>
          <w:rFonts w:hint="eastAsia"/>
          <w:color w:val="000000"/>
        </w:rPr>
        <w:br w:type="textWrapping"/>
      </w:r>
      <w:r>
        <w:rPr>
          <w:rFonts w:ascii="DengXian-Bold" w:hAnsi="DengXian-Bold"/>
          <w:b/>
          <w:bCs/>
          <w:color w:val="000000"/>
          <w:sz w:val="24"/>
          <w:szCs w:val="24"/>
        </w:rPr>
        <w:t>8</w:t>
      </w:r>
      <w:r>
        <w:rPr>
          <w:rFonts w:ascii="宋体" w:hAnsi="宋体" w:eastAsia="宋体"/>
          <w:color w:val="000000"/>
          <w:sz w:val="24"/>
          <w:szCs w:val="24"/>
        </w:rPr>
        <w:t>、伴随服务</w:t>
      </w:r>
      <w:r>
        <w:rPr>
          <w:rFonts w:hint="eastAsia"/>
          <w:color w:val="000000"/>
        </w:rPr>
        <w:br w:type="textWrapping"/>
      </w:r>
      <w:r>
        <w:rPr>
          <w:rFonts w:ascii="DengXian-Regular" w:hAnsi="DengXian-Regular"/>
          <w:color w:val="000000"/>
          <w:sz w:val="24"/>
          <w:szCs w:val="24"/>
        </w:rPr>
        <w:t xml:space="preserve">8.1 </w:t>
      </w:r>
      <w:r>
        <w:rPr>
          <w:rFonts w:ascii="宋体" w:hAnsi="宋体" w:eastAsia="宋体"/>
          <w:color w:val="000000"/>
          <w:sz w:val="24"/>
          <w:szCs w:val="24"/>
        </w:rPr>
        <w:t>乙方应提交所提供货物的技术文件，应包括相应的每一套设备和仪器的中文技术文件，例如：产品目录、操作手册、使用说明、维护手册和</w:t>
      </w:r>
      <w:r>
        <w:rPr>
          <w:rFonts w:ascii="DengXian-Regular" w:hAnsi="DengXian-Regular"/>
          <w:color w:val="000000"/>
          <w:sz w:val="24"/>
          <w:szCs w:val="24"/>
        </w:rPr>
        <w:t>/</w:t>
      </w:r>
      <w:r>
        <w:rPr>
          <w:rFonts w:ascii="宋体" w:hAnsi="宋体" w:eastAsia="宋体"/>
          <w:color w:val="000000"/>
          <w:sz w:val="24"/>
          <w:szCs w:val="24"/>
        </w:rPr>
        <w:t>或服务指南。这些文件应包装好随同货物一起发运。</w:t>
      </w:r>
    </w:p>
    <w:p w14:paraId="741687DB">
      <w:pPr>
        <w:spacing w:line="360" w:lineRule="auto"/>
        <w:jc w:val="left"/>
        <w:rPr>
          <w:rFonts w:ascii="宋体" w:hAnsi="宋体" w:eastAsia="宋体"/>
          <w:color w:val="000000"/>
          <w:sz w:val="24"/>
          <w:szCs w:val="24"/>
        </w:rPr>
      </w:pPr>
      <w:r>
        <w:rPr>
          <w:rFonts w:ascii="DengXian-Regular" w:hAnsi="DengXian-Regular"/>
          <w:color w:val="000000"/>
          <w:sz w:val="24"/>
          <w:szCs w:val="24"/>
        </w:rPr>
        <w:t xml:space="preserve">8.2 </w:t>
      </w:r>
      <w:r>
        <w:rPr>
          <w:rFonts w:ascii="宋体" w:hAnsi="宋体" w:eastAsia="宋体"/>
          <w:color w:val="000000"/>
          <w:sz w:val="24"/>
          <w:szCs w:val="24"/>
        </w:rPr>
        <w:t>乙方还应提供下列服务：</w:t>
      </w:r>
      <w:r>
        <w:rPr>
          <w:rFonts w:hint="eastAsia"/>
          <w:color w:val="000000"/>
        </w:rPr>
        <w:br w:type="textWrapping"/>
      </w:r>
      <w:r>
        <w:rPr>
          <w:rFonts w:ascii="宋体" w:hAnsi="宋体" w:eastAsia="宋体"/>
          <w:color w:val="000000"/>
          <w:sz w:val="24"/>
          <w:szCs w:val="24"/>
        </w:rPr>
        <w:t>（</w:t>
      </w:r>
      <w:r>
        <w:rPr>
          <w:rFonts w:ascii="DengXian-Regular" w:hAnsi="DengXian-Regular"/>
          <w:color w:val="000000"/>
          <w:sz w:val="24"/>
          <w:szCs w:val="24"/>
        </w:rPr>
        <w:t>1</w:t>
      </w:r>
      <w:r>
        <w:rPr>
          <w:rFonts w:ascii="宋体" w:hAnsi="宋体" w:eastAsia="宋体"/>
          <w:color w:val="000000"/>
          <w:sz w:val="24"/>
          <w:szCs w:val="24"/>
        </w:rPr>
        <w:t>）货物的现场安装、调试和启动监督；</w:t>
      </w:r>
      <w:r>
        <w:rPr>
          <w:rFonts w:hint="eastAsia"/>
          <w:color w:val="000000"/>
        </w:rPr>
        <w:br w:type="textWrapping"/>
      </w:r>
      <w:r>
        <w:rPr>
          <w:rFonts w:ascii="宋体" w:hAnsi="宋体" w:eastAsia="宋体"/>
          <w:color w:val="000000"/>
          <w:sz w:val="24"/>
          <w:szCs w:val="24"/>
        </w:rPr>
        <w:t>（</w:t>
      </w:r>
      <w:r>
        <w:rPr>
          <w:rFonts w:ascii="DengXian-Regular" w:hAnsi="DengXian-Regular"/>
          <w:color w:val="000000"/>
          <w:sz w:val="24"/>
          <w:szCs w:val="24"/>
        </w:rPr>
        <w:t>2</w:t>
      </w:r>
      <w:r>
        <w:rPr>
          <w:rFonts w:ascii="宋体" w:hAnsi="宋体" w:eastAsia="宋体"/>
          <w:color w:val="000000"/>
          <w:sz w:val="24"/>
          <w:szCs w:val="24"/>
        </w:rPr>
        <w:t>）提供货物组装和维修所需的专用工具和辅助材料；</w:t>
      </w:r>
      <w:r>
        <w:rPr>
          <w:rFonts w:hint="eastAsia"/>
          <w:color w:val="000000"/>
        </w:rPr>
        <w:br w:type="textWrapping"/>
      </w:r>
      <w:r>
        <w:rPr>
          <w:rFonts w:ascii="宋体" w:hAnsi="宋体" w:eastAsia="宋体"/>
          <w:color w:val="000000"/>
          <w:sz w:val="24"/>
          <w:szCs w:val="24"/>
        </w:rPr>
        <w:t>（</w:t>
      </w:r>
      <w:r>
        <w:rPr>
          <w:rFonts w:ascii="DengXian-Regular" w:hAnsi="DengXian-Regular"/>
          <w:color w:val="000000"/>
          <w:sz w:val="24"/>
          <w:szCs w:val="24"/>
        </w:rPr>
        <w:t>3</w:t>
      </w:r>
      <w:r>
        <w:rPr>
          <w:rFonts w:ascii="宋体" w:hAnsi="宋体" w:eastAsia="宋体"/>
          <w:color w:val="000000"/>
          <w:sz w:val="24"/>
          <w:szCs w:val="24"/>
        </w:rPr>
        <w:t>）在合同各方商定的一定期限内对所有的货物实施运行监督、维修，但前提条件是该服务并不能免除乙方在质量保证期内所承担的义务；</w:t>
      </w:r>
      <w:r>
        <w:rPr>
          <w:rFonts w:hint="eastAsia"/>
          <w:color w:val="000000"/>
        </w:rPr>
        <w:br w:type="textWrapping"/>
      </w:r>
      <w:r>
        <w:rPr>
          <w:rFonts w:ascii="宋体" w:hAnsi="宋体" w:eastAsia="宋体"/>
          <w:color w:val="000000"/>
          <w:sz w:val="24"/>
          <w:szCs w:val="24"/>
        </w:rPr>
        <w:t>（</w:t>
      </w:r>
      <w:r>
        <w:rPr>
          <w:rFonts w:ascii="DengXian-Regular" w:hAnsi="DengXian-Regular"/>
          <w:color w:val="000000"/>
          <w:sz w:val="24"/>
          <w:szCs w:val="24"/>
        </w:rPr>
        <w:t>4</w:t>
      </w:r>
      <w:r>
        <w:rPr>
          <w:rFonts w:ascii="宋体" w:hAnsi="宋体" w:eastAsia="宋体"/>
          <w:color w:val="000000"/>
          <w:sz w:val="24"/>
          <w:szCs w:val="24"/>
        </w:rPr>
        <w:t>）在厂家和</w:t>
      </w:r>
      <w:r>
        <w:rPr>
          <w:rFonts w:ascii="DengXian-Regular" w:hAnsi="DengXian-Regular"/>
          <w:color w:val="000000"/>
          <w:sz w:val="24"/>
          <w:szCs w:val="24"/>
        </w:rPr>
        <w:t>/</w:t>
      </w:r>
      <w:r>
        <w:rPr>
          <w:rFonts w:ascii="宋体" w:hAnsi="宋体" w:eastAsia="宋体"/>
          <w:color w:val="000000"/>
          <w:sz w:val="24"/>
          <w:szCs w:val="24"/>
        </w:rPr>
        <w:t>或在项目现场就货物的安装、启动、运营、维护对使用单位操作</w:t>
      </w:r>
      <w:r>
        <w:rPr>
          <w:rFonts w:hint="eastAsia"/>
          <w:color w:val="000000"/>
        </w:rPr>
        <w:br w:type="textWrapping"/>
      </w:r>
      <w:r>
        <w:rPr>
          <w:rFonts w:ascii="宋体" w:hAnsi="宋体" w:eastAsia="宋体"/>
          <w:color w:val="000000"/>
          <w:sz w:val="24"/>
          <w:szCs w:val="24"/>
        </w:rPr>
        <w:t>人员进行培训。</w:t>
      </w:r>
      <w:r>
        <w:rPr>
          <w:rFonts w:hint="eastAsia"/>
          <w:color w:val="000000"/>
        </w:rPr>
        <w:br w:type="textWrapping"/>
      </w:r>
      <w:r>
        <w:rPr>
          <w:rFonts w:ascii="DengXian-Regular" w:hAnsi="DengXian-Regular"/>
          <w:color w:val="000000"/>
          <w:sz w:val="24"/>
          <w:szCs w:val="24"/>
        </w:rPr>
        <w:t xml:space="preserve">8.3 </w:t>
      </w:r>
      <w:r>
        <w:rPr>
          <w:rFonts w:ascii="宋体" w:hAnsi="宋体" w:eastAsia="宋体"/>
          <w:color w:val="000000"/>
          <w:sz w:val="24"/>
          <w:szCs w:val="24"/>
        </w:rPr>
        <w:t>伴随服务的费用应包含在合同价中，甲方不再另行支付。</w:t>
      </w:r>
      <w:r>
        <w:rPr>
          <w:rFonts w:hint="eastAsia"/>
          <w:color w:val="000000"/>
        </w:rPr>
        <w:br w:type="textWrapping"/>
      </w:r>
      <w:r>
        <w:rPr>
          <w:rFonts w:ascii="DengXian-Bold" w:hAnsi="DengXian-Bold"/>
          <w:b/>
          <w:bCs/>
          <w:color w:val="000000"/>
          <w:sz w:val="24"/>
          <w:szCs w:val="24"/>
        </w:rPr>
        <w:t>9</w:t>
      </w:r>
      <w:r>
        <w:rPr>
          <w:rFonts w:ascii="宋体" w:hAnsi="宋体" w:eastAsia="宋体"/>
          <w:color w:val="000000"/>
          <w:sz w:val="24"/>
          <w:szCs w:val="24"/>
        </w:rPr>
        <w:t>、质量保证</w:t>
      </w:r>
      <w:r>
        <w:rPr>
          <w:rFonts w:hint="eastAsia"/>
          <w:color w:val="000000"/>
        </w:rPr>
        <w:br w:type="textWrapping"/>
      </w:r>
      <w:r>
        <w:rPr>
          <w:rFonts w:ascii="DengXian-Regular" w:hAnsi="DengXian-Regular"/>
          <w:color w:val="000000"/>
          <w:sz w:val="24"/>
          <w:szCs w:val="24"/>
        </w:rPr>
        <w:t xml:space="preserve">9.1 </w:t>
      </w:r>
      <w:r>
        <w:rPr>
          <w:rFonts w:ascii="宋体" w:hAnsi="宋体" w:eastAsia="宋体"/>
          <w:color w:val="000000"/>
          <w:sz w:val="24"/>
          <w:szCs w:val="24"/>
        </w:rPr>
        <w:t>乙方应保证所供货物是全新的、未使用过的，并完全符合合同规定的质量、规格和性能的要求。乙方应保证其货物在正确安装、正常使用和保养条件下，在其使用寿命期内应具有满意的性能。在货物最终交付验收后按投标文件承诺的质量保证期内，乙方应对由于设计、工艺或材料的缺陷而产生的故障负责。</w:t>
      </w:r>
      <w:r>
        <w:rPr>
          <w:rFonts w:hint="eastAsia"/>
          <w:color w:val="000000"/>
        </w:rPr>
        <w:br w:type="textWrapping"/>
      </w:r>
      <w:r>
        <w:rPr>
          <w:rFonts w:ascii="DengXian-Regular" w:hAnsi="DengXian-Regular"/>
          <w:color w:val="000000"/>
          <w:sz w:val="24"/>
          <w:szCs w:val="24"/>
        </w:rPr>
        <w:t xml:space="preserve">9.2 </w:t>
      </w:r>
      <w:r>
        <w:rPr>
          <w:rFonts w:ascii="宋体" w:hAnsi="宋体" w:eastAsia="宋体"/>
          <w:color w:val="000000"/>
          <w:sz w:val="24"/>
          <w:szCs w:val="24"/>
        </w:rPr>
        <w:t>在质量保证期内，如果货物的质量或规格与合同不符，或证实货物是有缺陷的，包括潜在的缺陷或使用不符合要求的材料等，甲方根据本合同第</w:t>
      </w:r>
      <w:r>
        <w:rPr>
          <w:rFonts w:ascii="DengXian-Regular" w:hAnsi="DengXian-Regular"/>
          <w:color w:val="000000"/>
          <w:sz w:val="24"/>
          <w:szCs w:val="24"/>
        </w:rPr>
        <w:t>10</w:t>
      </w:r>
      <w:r>
        <w:rPr>
          <w:rFonts w:ascii="宋体" w:hAnsi="宋体" w:eastAsia="宋体"/>
          <w:color w:val="000000"/>
          <w:sz w:val="24"/>
          <w:szCs w:val="24"/>
        </w:rPr>
        <w:t>条规定以书面形式向乙方提出补救措施或索赔。</w:t>
      </w:r>
      <w:r>
        <w:rPr>
          <w:rFonts w:hint="eastAsia"/>
          <w:color w:val="000000"/>
        </w:rPr>
        <w:br w:type="textWrapping"/>
      </w:r>
      <w:r>
        <w:rPr>
          <w:rFonts w:ascii="DengXian-Regular" w:hAnsi="DengXian-Regular"/>
          <w:color w:val="000000"/>
          <w:sz w:val="24"/>
          <w:szCs w:val="24"/>
        </w:rPr>
        <w:t xml:space="preserve">9.3 </w:t>
      </w:r>
      <w:r>
        <w:rPr>
          <w:rFonts w:ascii="宋体" w:hAnsi="宋体" w:eastAsia="宋体"/>
          <w:color w:val="000000"/>
          <w:sz w:val="24"/>
          <w:szCs w:val="24"/>
        </w:rPr>
        <w:t>乙方在约定的时间内未能弥补缺陷，甲方可采取必要的补救措施，但其风险和费用将由乙方承担，甲方根据合同规定对乙方行使的其他权利不受影响。</w:t>
      </w:r>
      <w:r>
        <w:rPr>
          <w:rFonts w:hint="eastAsia"/>
          <w:color w:val="000000"/>
        </w:rPr>
        <w:br w:type="textWrapping"/>
      </w:r>
      <w:r>
        <w:rPr>
          <w:rFonts w:ascii="DengXian-Bold" w:hAnsi="DengXian-Bold"/>
          <w:b/>
          <w:bCs/>
          <w:color w:val="000000"/>
          <w:sz w:val="24"/>
          <w:szCs w:val="24"/>
        </w:rPr>
        <w:t>10</w:t>
      </w:r>
      <w:r>
        <w:rPr>
          <w:rFonts w:ascii="宋体" w:hAnsi="宋体" w:eastAsia="宋体"/>
          <w:color w:val="000000"/>
          <w:sz w:val="24"/>
          <w:szCs w:val="24"/>
        </w:rPr>
        <w:t>、补救措施和索赔</w:t>
      </w:r>
      <w:r>
        <w:rPr>
          <w:rFonts w:hint="eastAsia"/>
          <w:color w:val="000000"/>
        </w:rPr>
        <w:br w:type="textWrapping"/>
      </w:r>
      <w:r>
        <w:rPr>
          <w:rFonts w:ascii="DengXian-Regular" w:hAnsi="DengXian-Regular"/>
          <w:color w:val="000000"/>
          <w:sz w:val="24"/>
          <w:szCs w:val="24"/>
        </w:rPr>
        <w:t xml:space="preserve">10.1 </w:t>
      </w:r>
      <w:r>
        <w:rPr>
          <w:rFonts w:ascii="宋体" w:hAnsi="宋体" w:eastAsia="宋体"/>
          <w:color w:val="000000"/>
          <w:sz w:val="24"/>
          <w:szCs w:val="24"/>
        </w:rPr>
        <w:t>甲方有权根据质量检测部门出具的检验证书向乙方提出索赔。</w:t>
      </w:r>
      <w:r>
        <w:rPr>
          <w:rFonts w:hint="eastAsia"/>
          <w:color w:val="000000"/>
        </w:rPr>
        <w:br w:type="textWrapping"/>
      </w:r>
      <w:r>
        <w:rPr>
          <w:rFonts w:ascii="DengXian-Regular" w:hAnsi="DengXian-Regular"/>
          <w:color w:val="000000"/>
          <w:sz w:val="24"/>
          <w:szCs w:val="24"/>
        </w:rPr>
        <w:t xml:space="preserve">10.2 </w:t>
      </w:r>
      <w:r>
        <w:rPr>
          <w:rFonts w:ascii="宋体" w:hAnsi="宋体" w:eastAsia="宋体"/>
          <w:color w:val="000000"/>
          <w:sz w:val="24"/>
          <w:szCs w:val="24"/>
        </w:rPr>
        <w:t>在检验期和质量保证期内，如果乙方对缺陷产品负有责任而甲方提出索赔，乙方应按照甲方同意的下列一种或多种方式解决索赔事宜：</w:t>
      </w:r>
      <w:r>
        <w:rPr>
          <w:rFonts w:hint="eastAsia"/>
          <w:color w:val="000000"/>
        </w:rPr>
        <w:br w:type="textWrapping"/>
      </w:r>
      <w:r>
        <w:rPr>
          <w:rFonts w:ascii="宋体" w:hAnsi="宋体" w:eastAsia="宋体"/>
          <w:color w:val="000000"/>
          <w:sz w:val="24"/>
          <w:szCs w:val="24"/>
        </w:rPr>
        <w:t>乙方同意退货并将货款退还给甲方，由此发生的一切费用和损失由乙方承担。根据货物的质量状况以及甲方所遭受的损失，经过买卖双方商定降低货物的价格。乙方应在接到甲方通知后七天内负责采用符合合同规定的规格、质量和性能要求的新零件、部件和设备来更换有缺陷的部分或修补缺陷部分，其费用由乙方负担。同时，乙方应在约定的质量保证期基础上相应延长修补和</w:t>
      </w:r>
      <w:r>
        <w:rPr>
          <w:rFonts w:ascii="DengXian-Regular" w:hAnsi="DengXian-Regular"/>
          <w:color w:val="000000"/>
          <w:sz w:val="24"/>
          <w:szCs w:val="24"/>
        </w:rPr>
        <w:t>/</w:t>
      </w:r>
      <w:r>
        <w:rPr>
          <w:rFonts w:ascii="宋体" w:hAnsi="宋体" w:eastAsia="宋体"/>
          <w:color w:val="000000"/>
          <w:sz w:val="24"/>
          <w:szCs w:val="24"/>
        </w:rPr>
        <w:t>或更换件的质量保证期。</w:t>
      </w:r>
      <w:r>
        <w:rPr>
          <w:rFonts w:hint="eastAsia"/>
          <w:color w:val="000000"/>
        </w:rPr>
        <w:br w:type="textWrapping"/>
      </w:r>
      <w:r>
        <w:rPr>
          <w:rFonts w:ascii="DengXian-Regular" w:hAnsi="DengXian-Regular"/>
          <w:color w:val="000000"/>
          <w:sz w:val="24"/>
          <w:szCs w:val="24"/>
        </w:rPr>
        <w:t xml:space="preserve">10.3 </w:t>
      </w:r>
      <w:r>
        <w:rPr>
          <w:rFonts w:ascii="宋体" w:hAnsi="宋体" w:eastAsia="宋体"/>
          <w:color w:val="000000"/>
          <w:sz w:val="24"/>
          <w:szCs w:val="24"/>
        </w:rPr>
        <w:t>如果在甲方发出索赔通知后十天内乙方未作答复，上述索赔应视为已被乙方接受。如果乙方未能在甲方索赔通知后十天内或甲方同意延长的期限内，按照上述规定的任何一种方法采取补救措施，甲方有权从应付货款中扣除索赔金额或没收质量保证金，如不足以弥补甲方损失的，甲方有权向乙方提出赔偿损失的要求。</w:t>
      </w:r>
      <w:r>
        <w:rPr>
          <w:rFonts w:hint="eastAsia"/>
          <w:color w:val="000000"/>
        </w:rPr>
        <w:br w:type="textWrapping"/>
      </w:r>
      <w:r>
        <w:rPr>
          <w:rFonts w:ascii="DengXian-Bold" w:hAnsi="DengXian-Bold"/>
          <w:b/>
          <w:bCs/>
          <w:color w:val="000000"/>
          <w:sz w:val="24"/>
          <w:szCs w:val="24"/>
        </w:rPr>
        <w:t>11</w:t>
      </w:r>
      <w:r>
        <w:rPr>
          <w:rFonts w:ascii="宋体" w:hAnsi="宋体" w:eastAsia="宋体"/>
          <w:color w:val="000000"/>
          <w:sz w:val="24"/>
          <w:szCs w:val="24"/>
        </w:rPr>
        <w:t>、履约延误</w:t>
      </w:r>
    </w:p>
    <w:p w14:paraId="6390EEEA">
      <w:pPr>
        <w:spacing w:line="360" w:lineRule="auto"/>
        <w:jc w:val="left"/>
        <w:rPr>
          <w:rFonts w:ascii="宋体" w:hAnsi="宋体" w:eastAsia="宋体"/>
          <w:color w:val="000000"/>
          <w:sz w:val="24"/>
          <w:szCs w:val="24"/>
        </w:rPr>
      </w:pPr>
      <w:r>
        <w:rPr>
          <w:rFonts w:ascii="DengXian-Regular" w:hAnsi="DengXian-Regular"/>
          <w:color w:val="000000"/>
          <w:sz w:val="24"/>
          <w:szCs w:val="24"/>
        </w:rPr>
        <w:t xml:space="preserve">11.1 </w:t>
      </w:r>
      <w:r>
        <w:rPr>
          <w:rFonts w:ascii="宋体" w:hAnsi="宋体" w:eastAsia="宋体"/>
          <w:color w:val="000000"/>
          <w:sz w:val="24"/>
          <w:szCs w:val="24"/>
        </w:rPr>
        <w:t>乙方应按照合同规定的时间、地点交货和提供服务。</w:t>
      </w:r>
      <w:r>
        <w:rPr>
          <w:rFonts w:hint="eastAsia"/>
          <w:color w:val="000000"/>
        </w:rPr>
        <w:br w:type="textWrapping"/>
      </w:r>
      <w:r>
        <w:rPr>
          <w:rFonts w:ascii="DengXian-Regular" w:hAnsi="DengXian-Regular"/>
          <w:color w:val="000000"/>
          <w:sz w:val="24"/>
          <w:szCs w:val="24"/>
        </w:rPr>
        <w:t xml:space="preserve">11.2 </w:t>
      </w:r>
      <w:r>
        <w:rPr>
          <w:rFonts w:ascii="宋体" w:hAnsi="宋体" w:eastAsia="宋体"/>
          <w:color w:val="000000"/>
          <w:sz w:val="24"/>
          <w:szCs w:val="24"/>
        </w:rPr>
        <w:t>如乙方无正当理由而拖延交货，甲方有权没收乙方提供的履约保证金，或解除合同并追究乙方的违约责任。</w:t>
      </w:r>
      <w:r>
        <w:rPr>
          <w:rFonts w:hint="eastAsia"/>
          <w:color w:val="000000"/>
        </w:rPr>
        <w:br w:type="textWrapping"/>
      </w:r>
      <w:r>
        <w:rPr>
          <w:rFonts w:ascii="DengXian-Regular" w:hAnsi="DengXian-Regular"/>
          <w:color w:val="000000"/>
          <w:sz w:val="24"/>
          <w:szCs w:val="24"/>
        </w:rPr>
        <w:t xml:space="preserve">11.3 </w:t>
      </w:r>
      <w:r>
        <w:rPr>
          <w:rFonts w:ascii="宋体" w:hAnsi="宋体" w:eastAsia="宋体"/>
          <w:color w:val="000000"/>
          <w:sz w:val="24"/>
          <w:szCs w:val="24"/>
        </w:rPr>
        <w:t>在履行合同过程中，如果乙方可能遇到妨碍按时交货和提供服务的情况时，应及时以书面形式将拖延的事实， 可能拖延的期限和理由通知甲方。甲方在收到乙方通知后，应尽快对情况进行评价，并确定是否同意延长交货时间或延期提供服务。</w:t>
      </w:r>
      <w:r>
        <w:rPr>
          <w:rFonts w:hint="eastAsia"/>
          <w:color w:val="000000"/>
        </w:rPr>
        <w:br w:type="textWrapping"/>
      </w:r>
      <w:r>
        <w:rPr>
          <w:rFonts w:ascii="DengXian-Bold" w:hAnsi="DengXian-Bold"/>
          <w:b/>
          <w:bCs/>
          <w:color w:val="000000"/>
          <w:sz w:val="24"/>
          <w:szCs w:val="24"/>
        </w:rPr>
        <w:t>12</w:t>
      </w:r>
      <w:r>
        <w:rPr>
          <w:rFonts w:ascii="宋体" w:hAnsi="宋体" w:eastAsia="宋体"/>
          <w:color w:val="000000"/>
          <w:sz w:val="24"/>
          <w:szCs w:val="24"/>
        </w:rPr>
        <w:t>、误期赔偿</w:t>
      </w:r>
      <w:r>
        <w:rPr>
          <w:rFonts w:hint="eastAsia"/>
          <w:color w:val="000000"/>
        </w:rPr>
        <w:br w:type="textWrapping"/>
      </w:r>
      <w:r>
        <w:rPr>
          <w:rFonts w:ascii="DengXian-Regular" w:hAnsi="DengXian-Regular"/>
          <w:color w:val="000000"/>
          <w:sz w:val="24"/>
          <w:szCs w:val="24"/>
        </w:rPr>
        <w:t xml:space="preserve">12.1 </w:t>
      </w:r>
      <w:r>
        <w:rPr>
          <w:rFonts w:ascii="宋体" w:hAnsi="宋体" w:eastAsia="宋体"/>
          <w:color w:val="000000"/>
          <w:sz w:val="24"/>
          <w:szCs w:val="24"/>
        </w:rPr>
        <w:t xml:space="preserve">除合同第 </w:t>
      </w:r>
      <w:r>
        <w:rPr>
          <w:rFonts w:ascii="DengXian-Regular" w:hAnsi="DengXian-Regular"/>
          <w:color w:val="000000"/>
          <w:sz w:val="24"/>
          <w:szCs w:val="24"/>
        </w:rPr>
        <w:t xml:space="preserve">13 </w:t>
      </w:r>
      <w:r>
        <w:rPr>
          <w:rFonts w:ascii="宋体" w:hAnsi="宋体" w:eastAsia="宋体"/>
          <w:color w:val="000000"/>
          <w:sz w:val="24"/>
          <w:szCs w:val="24"/>
        </w:rPr>
        <w:t>条规定外，如果乙方没有按照合同规定的时间交货和提供服务，甲方应从货款中扣除误期赔偿费而不影响合同项下的其他补救方法，赔偿费按每周赔偿迟交货物的交货价或延期服务的服务费用的百分之一（</w:t>
      </w:r>
      <w:r>
        <w:rPr>
          <w:rFonts w:ascii="DengXian-Regular" w:hAnsi="DengXian-Regular"/>
          <w:color w:val="000000"/>
          <w:sz w:val="24"/>
          <w:szCs w:val="24"/>
        </w:rPr>
        <w:t>1%</w:t>
      </w:r>
      <w:r>
        <w:rPr>
          <w:rFonts w:ascii="宋体" w:hAnsi="宋体" w:eastAsia="宋体"/>
          <w:color w:val="000000"/>
          <w:sz w:val="24"/>
          <w:szCs w:val="24"/>
        </w:rPr>
        <w:t>）计收，直至交货或提供服务为止。但误期赔偿费的最高限额不超过合同价的百分之五（</w:t>
      </w:r>
      <w:r>
        <w:rPr>
          <w:rFonts w:ascii="DengXian-Regular" w:hAnsi="DengXian-Regular"/>
          <w:color w:val="000000"/>
          <w:sz w:val="24"/>
          <w:szCs w:val="24"/>
        </w:rPr>
        <w:t>5%</w:t>
      </w:r>
      <w:r>
        <w:rPr>
          <w:rFonts w:ascii="宋体" w:hAnsi="宋体" w:eastAsia="宋体"/>
          <w:color w:val="000000"/>
          <w:sz w:val="24"/>
          <w:szCs w:val="24"/>
        </w:rPr>
        <w:t>）。一周按七天计算，不足七天按一周计算。一旦达到误期赔偿的最高限额，甲方可考虑终止合同。</w:t>
      </w:r>
      <w:r>
        <w:rPr>
          <w:rFonts w:hint="eastAsia"/>
          <w:color w:val="000000"/>
        </w:rPr>
        <w:br w:type="textWrapping"/>
      </w:r>
      <w:r>
        <w:rPr>
          <w:rFonts w:ascii="DengXian-Bold" w:hAnsi="DengXian-Bold"/>
          <w:b/>
          <w:bCs/>
          <w:color w:val="000000"/>
          <w:sz w:val="24"/>
          <w:szCs w:val="24"/>
        </w:rPr>
        <w:t>13</w:t>
      </w:r>
      <w:r>
        <w:rPr>
          <w:rFonts w:ascii="宋体" w:hAnsi="宋体" w:eastAsia="宋体"/>
          <w:color w:val="000000"/>
          <w:sz w:val="24"/>
          <w:szCs w:val="24"/>
        </w:rPr>
        <w:t>、不可抗力</w:t>
      </w:r>
      <w:r>
        <w:rPr>
          <w:rFonts w:hint="eastAsia"/>
          <w:color w:val="000000"/>
        </w:rPr>
        <w:br w:type="textWrapping"/>
      </w:r>
      <w:r>
        <w:rPr>
          <w:rFonts w:ascii="DengXian-Regular" w:hAnsi="DengXian-Regular"/>
          <w:color w:val="000000"/>
          <w:sz w:val="24"/>
          <w:szCs w:val="24"/>
        </w:rPr>
        <w:t xml:space="preserve">13.1 </w:t>
      </w:r>
      <w:r>
        <w:rPr>
          <w:rFonts w:ascii="宋体" w:hAnsi="宋体" w:eastAsia="宋体"/>
          <w:color w:val="000000"/>
          <w:sz w:val="24"/>
          <w:szCs w:val="24"/>
        </w:rPr>
        <w:t>如果合同各方因不可抗力而导致合同实施延误或不能履行合同义务的话，不应该承担误期赔偿或不能履行合同义务的责任。</w:t>
      </w:r>
      <w:r>
        <w:rPr>
          <w:rFonts w:hint="eastAsia"/>
          <w:color w:val="000000"/>
        </w:rPr>
        <w:br w:type="textWrapping"/>
      </w:r>
      <w:r>
        <w:rPr>
          <w:rFonts w:ascii="DengXian-Regular" w:hAnsi="DengXian-Regular"/>
          <w:color w:val="000000"/>
          <w:sz w:val="24"/>
          <w:szCs w:val="24"/>
        </w:rPr>
        <w:t xml:space="preserve">13.2 </w:t>
      </w:r>
      <w:r>
        <w:rPr>
          <w:rFonts w:ascii="宋体" w:hAnsi="宋体" w:eastAsia="宋体"/>
          <w:color w:val="000000"/>
          <w:sz w:val="24"/>
          <w:szCs w:val="24"/>
        </w:rPr>
        <w:t>本条所述的“不可抗力”系指那些双方不可预见、不可避免、不可克服的事件，但不包括双方的违约或疏忽。这些事件包括但不限于：战争、严重火灾、洪水、台风、地震、国家政策的重大变化，以及其它双方商定的其他事件。</w:t>
      </w:r>
      <w:r>
        <w:rPr>
          <w:rFonts w:hint="eastAsia"/>
          <w:color w:val="000000"/>
        </w:rPr>
        <w:br w:type="textWrapping"/>
      </w:r>
      <w:r>
        <w:rPr>
          <w:rFonts w:ascii="DengXian-Regular" w:hAnsi="DengXian-Regular"/>
          <w:color w:val="000000"/>
          <w:sz w:val="24"/>
          <w:szCs w:val="24"/>
        </w:rPr>
        <w:t xml:space="preserve">13.3 </w:t>
      </w:r>
      <w:r>
        <w:rPr>
          <w:rFonts w:ascii="宋体" w:hAnsi="宋体" w:eastAsia="宋体"/>
          <w:color w:val="000000"/>
          <w:sz w:val="24"/>
          <w:szCs w:val="24"/>
        </w:rPr>
        <w:t>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r>
        <w:rPr>
          <w:rFonts w:hint="eastAsia"/>
          <w:color w:val="000000"/>
        </w:rPr>
        <w:br w:type="textWrapping"/>
      </w:r>
      <w:r>
        <w:rPr>
          <w:rFonts w:ascii="DengXian-Bold" w:hAnsi="DengXian-Bold"/>
          <w:b/>
          <w:bCs/>
          <w:color w:val="000000"/>
          <w:sz w:val="24"/>
          <w:szCs w:val="24"/>
        </w:rPr>
        <w:t>14</w:t>
      </w:r>
      <w:r>
        <w:rPr>
          <w:rFonts w:ascii="宋体" w:hAnsi="宋体" w:eastAsia="宋体"/>
          <w:color w:val="000000"/>
          <w:sz w:val="24"/>
          <w:szCs w:val="24"/>
        </w:rPr>
        <w:t>、履约保证金</w:t>
      </w:r>
      <w:r>
        <w:rPr>
          <w:rFonts w:hint="eastAsia"/>
          <w:color w:val="000000"/>
        </w:rPr>
        <w:br w:type="textWrapping"/>
      </w:r>
      <w:r>
        <w:rPr>
          <w:rFonts w:ascii="DengXian-Regular" w:hAnsi="DengXian-Regular"/>
          <w:color w:val="000000"/>
          <w:sz w:val="24"/>
          <w:szCs w:val="24"/>
        </w:rPr>
        <w:t xml:space="preserve">14.1 </w:t>
      </w:r>
      <w:r>
        <w:rPr>
          <w:rFonts w:ascii="宋体" w:hAnsi="宋体" w:eastAsia="宋体"/>
          <w:color w:val="000000"/>
          <w:sz w:val="24"/>
          <w:szCs w:val="24"/>
        </w:rPr>
        <w:t xml:space="preserve">在签署本合同之前，乙方应向甲方提交一笔金额为 </w:t>
      </w:r>
      <w:r>
        <w:rPr>
          <w:rFonts w:ascii="DengXian-Regular" w:hAnsi="DengXian-Regular"/>
          <w:color w:val="000000"/>
          <w:sz w:val="24"/>
          <w:szCs w:val="24"/>
        </w:rPr>
        <w:t xml:space="preserve">0 </w:t>
      </w:r>
      <w:r>
        <w:rPr>
          <w:rFonts w:ascii="宋体" w:hAnsi="宋体" w:eastAsia="宋体"/>
          <w:color w:val="000000"/>
          <w:sz w:val="24"/>
          <w:szCs w:val="24"/>
        </w:rPr>
        <w:t xml:space="preserve">元人民币的履约保证金。履约保证金在按本合同规定验收合格后 </w:t>
      </w:r>
      <w:r>
        <w:rPr>
          <w:rFonts w:ascii="DengXian-Regular" w:hAnsi="DengXian-Regular"/>
          <w:color w:val="000000"/>
          <w:sz w:val="24"/>
          <w:szCs w:val="24"/>
        </w:rPr>
        <w:t xml:space="preserve">15 </w:t>
      </w:r>
      <w:r>
        <w:rPr>
          <w:rFonts w:ascii="宋体" w:hAnsi="宋体" w:eastAsia="宋体"/>
          <w:color w:val="000000"/>
          <w:sz w:val="24"/>
          <w:szCs w:val="24"/>
        </w:rPr>
        <w:t>日内退还乙方。</w:t>
      </w:r>
      <w:r>
        <w:rPr>
          <w:rFonts w:hint="eastAsia"/>
          <w:color w:val="000000"/>
        </w:rPr>
        <w:br w:type="textWrapping"/>
      </w:r>
      <w:r>
        <w:rPr>
          <w:rFonts w:ascii="DengXian-Regular" w:hAnsi="DengXian-Regular"/>
          <w:color w:val="000000"/>
          <w:sz w:val="24"/>
          <w:szCs w:val="24"/>
        </w:rPr>
        <w:t xml:space="preserve">14.2 </w:t>
      </w:r>
      <w:r>
        <w:rPr>
          <w:rFonts w:ascii="宋体" w:hAnsi="宋体" w:eastAsia="宋体"/>
          <w:color w:val="000000"/>
          <w:sz w:val="24"/>
          <w:szCs w:val="24"/>
        </w:rPr>
        <w:t>履约保证金可以采用支票或者甲方认可的银行出具的履约保函。乙方提交履约保证金所需的有关费用均由其自行负担。</w:t>
      </w:r>
      <w:r>
        <w:rPr>
          <w:rFonts w:hint="eastAsia"/>
          <w:color w:val="000000"/>
        </w:rPr>
        <w:br w:type="textWrapping"/>
      </w:r>
      <w:r>
        <w:rPr>
          <w:rFonts w:ascii="DengXian-Regular" w:hAnsi="DengXian-Regular"/>
          <w:color w:val="000000"/>
          <w:sz w:val="24"/>
          <w:szCs w:val="24"/>
        </w:rPr>
        <w:t xml:space="preserve">14.3 </w:t>
      </w:r>
      <w:r>
        <w:rPr>
          <w:rFonts w:ascii="宋体" w:hAnsi="宋体" w:eastAsia="宋体"/>
          <w:color w:val="000000"/>
          <w:sz w:val="24"/>
          <w:szCs w:val="24"/>
        </w:rPr>
        <w:t>如乙方未能履行本合同规定的任何义务，则甲方有权从履约保证金中得到补偿。履约保证金不足弥补甲方损失的，乙方仍需承担赔偿责任。</w:t>
      </w:r>
      <w:r>
        <w:rPr>
          <w:rFonts w:hint="eastAsia"/>
          <w:color w:val="000000"/>
        </w:rPr>
        <w:br w:type="textWrapping"/>
      </w:r>
      <w:r>
        <w:rPr>
          <w:rFonts w:ascii="DengXian-Bold" w:hAnsi="DengXian-Bold"/>
          <w:b/>
          <w:bCs/>
          <w:color w:val="000000"/>
          <w:sz w:val="24"/>
          <w:szCs w:val="24"/>
        </w:rPr>
        <w:t>15</w:t>
      </w:r>
      <w:r>
        <w:rPr>
          <w:rFonts w:ascii="宋体" w:hAnsi="宋体" w:eastAsia="宋体"/>
          <w:color w:val="000000"/>
          <w:sz w:val="24"/>
          <w:szCs w:val="24"/>
        </w:rPr>
        <w:t>、争端的解决</w:t>
      </w:r>
      <w:r>
        <w:rPr>
          <w:rFonts w:hint="eastAsia"/>
          <w:color w:val="000000"/>
        </w:rPr>
        <w:br w:type="textWrapping"/>
      </w:r>
      <w:r>
        <w:rPr>
          <w:rFonts w:ascii="DengXian-Regular" w:hAnsi="DengXian-Regular"/>
          <w:color w:val="000000"/>
          <w:sz w:val="24"/>
          <w:szCs w:val="24"/>
        </w:rPr>
        <w:t xml:space="preserve">15.1 </w:t>
      </w:r>
      <w:r>
        <w:rPr>
          <w:rFonts w:ascii="宋体" w:hAnsi="宋体" w:eastAsia="宋体"/>
          <w:color w:val="000000"/>
          <w:sz w:val="24"/>
          <w:szCs w:val="24"/>
        </w:rPr>
        <w:t>合同各方应通过友好协商，解决在执行本合同过程中所发生的或与本合同有关的一切争端。</w:t>
      </w:r>
      <w:r>
        <w:rPr>
          <w:rFonts w:hint="eastAsia"/>
          <w:color w:val="000000"/>
        </w:rPr>
        <w:br w:type="textWrapping"/>
      </w:r>
      <w:r>
        <w:rPr>
          <w:rFonts w:ascii="DengXian-Regular" w:hAnsi="DengXian-Regular"/>
          <w:color w:val="000000"/>
          <w:sz w:val="24"/>
          <w:szCs w:val="24"/>
        </w:rPr>
        <w:t xml:space="preserve">15.2 </w:t>
      </w:r>
      <w:r>
        <w:rPr>
          <w:rFonts w:ascii="宋体" w:hAnsi="宋体" w:eastAsia="宋体"/>
          <w:color w:val="000000"/>
          <w:sz w:val="24"/>
          <w:szCs w:val="24"/>
        </w:rPr>
        <w:t>调解不成则向甲方所在地人民法院诉讼解决。</w:t>
      </w:r>
    </w:p>
    <w:p w14:paraId="4EFFCA79">
      <w:pPr>
        <w:spacing w:line="360" w:lineRule="auto"/>
        <w:jc w:val="left"/>
        <w:rPr>
          <w:rFonts w:hint="eastAsia" w:ascii="DengXian-Bold" w:hAnsi="DengXian-Bold"/>
          <w:b/>
          <w:bCs/>
          <w:color w:val="000000"/>
          <w:sz w:val="24"/>
          <w:szCs w:val="24"/>
        </w:rPr>
      </w:pPr>
      <w:r>
        <w:rPr>
          <w:rFonts w:ascii="宋体" w:hAnsi="宋体" w:eastAsia="宋体"/>
          <w:color w:val="000000"/>
          <w:sz w:val="24"/>
          <w:szCs w:val="24"/>
        </w:rPr>
        <w:t>15.3 在仲裁或诉讼期间，除正在进行仲裁或诉讼的部分外，本合同的其它部分应继续执行。</w:t>
      </w:r>
      <w:r>
        <w:rPr>
          <w:rFonts w:hint="eastAsia"/>
          <w:color w:val="000000"/>
        </w:rPr>
        <w:br w:type="textWrapping"/>
      </w:r>
      <w:r>
        <w:rPr>
          <w:rFonts w:ascii="DengXian-Bold" w:hAnsi="DengXian-Bold"/>
          <w:b/>
          <w:bCs/>
          <w:color w:val="000000"/>
          <w:sz w:val="24"/>
          <w:szCs w:val="24"/>
        </w:rPr>
        <w:t>16</w:t>
      </w:r>
      <w:r>
        <w:rPr>
          <w:rFonts w:ascii="宋体" w:hAnsi="宋体" w:eastAsia="宋体"/>
          <w:color w:val="000000"/>
          <w:sz w:val="24"/>
          <w:szCs w:val="24"/>
        </w:rPr>
        <w:t>、违约终止合同</w:t>
      </w:r>
      <w:r>
        <w:rPr>
          <w:rFonts w:hint="eastAsia"/>
          <w:color w:val="000000"/>
        </w:rPr>
        <w:br w:type="textWrapping"/>
      </w:r>
      <w:r>
        <w:rPr>
          <w:rFonts w:ascii="DengXian-Regular" w:hAnsi="DengXian-Regular"/>
          <w:color w:val="000000"/>
          <w:sz w:val="24"/>
          <w:szCs w:val="24"/>
        </w:rPr>
        <w:t xml:space="preserve">16.1 </w:t>
      </w:r>
      <w:r>
        <w:rPr>
          <w:rFonts w:ascii="宋体" w:hAnsi="宋体" w:eastAsia="宋体"/>
          <w:color w:val="000000"/>
          <w:sz w:val="24"/>
          <w:szCs w:val="24"/>
        </w:rPr>
        <w:t>在甲方对乙方违约而采取的任何补救措施不受影响的情况下，甲方可在下列情况下向乙方发出书面通知书，提出终止部分或全部合同。</w:t>
      </w:r>
      <w:r>
        <w:rPr>
          <w:rFonts w:hint="eastAsia"/>
          <w:color w:val="000000"/>
        </w:rPr>
        <w:br w:type="textWrapping"/>
      </w:r>
      <w:r>
        <w:rPr>
          <w:rFonts w:ascii="宋体" w:hAnsi="宋体" w:eastAsia="宋体"/>
          <w:color w:val="000000"/>
          <w:sz w:val="24"/>
          <w:szCs w:val="24"/>
        </w:rPr>
        <w:t>（</w:t>
      </w:r>
      <w:r>
        <w:rPr>
          <w:rFonts w:ascii="DengXian-Regular" w:hAnsi="DengXian-Regular"/>
          <w:color w:val="000000"/>
          <w:sz w:val="24"/>
          <w:szCs w:val="24"/>
        </w:rPr>
        <w:t>1</w:t>
      </w:r>
      <w:r>
        <w:rPr>
          <w:rFonts w:ascii="宋体" w:hAnsi="宋体" w:eastAsia="宋体"/>
          <w:color w:val="000000"/>
          <w:sz w:val="24"/>
          <w:szCs w:val="24"/>
        </w:rPr>
        <w:t>）如果乙方未能在合同规定的限期或甲方同意延长的限期内提供部分或全部货物。</w:t>
      </w:r>
      <w:r>
        <w:rPr>
          <w:rFonts w:hint="eastAsia"/>
          <w:color w:val="000000"/>
        </w:rPr>
        <w:br w:type="textWrapping"/>
      </w:r>
      <w:r>
        <w:rPr>
          <w:rFonts w:ascii="宋体" w:hAnsi="宋体" w:eastAsia="宋体"/>
          <w:color w:val="000000"/>
          <w:sz w:val="24"/>
          <w:szCs w:val="24"/>
        </w:rPr>
        <w:t>（</w:t>
      </w:r>
      <w:r>
        <w:rPr>
          <w:rFonts w:ascii="DengXian-Regular" w:hAnsi="DengXian-Regular"/>
          <w:color w:val="000000"/>
          <w:sz w:val="24"/>
          <w:szCs w:val="24"/>
        </w:rPr>
        <w:t>2</w:t>
      </w:r>
      <w:r>
        <w:rPr>
          <w:rFonts w:ascii="宋体" w:hAnsi="宋体" w:eastAsia="宋体"/>
          <w:color w:val="000000"/>
          <w:sz w:val="24"/>
          <w:szCs w:val="24"/>
        </w:rPr>
        <w:t>）如果乙方未能履行合同规定的其它任何义务。</w:t>
      </w:r>
      <w:r>
        <w:rPr>
          <w:rFonts w:hint="eastAsia"/>
          <w:color w:val="000000"/>
        </w:rPr>
        <w:br w:type="textWrapping"/>
      </w:r>
      <w:r>
        <w:rPr>
          <w:rFonts w:ascii="DengXian-Regular" w:hAnsi="DengXian-Regular"/>
          <w:color w:val="000000"/>
          <w:sz w:val="24"/>
          <w:szCs w:val="24"/>
        </w:rPr>
        <w:t xml:space="preserve">16.2 </w:t>
      </w:r>
      <w:r>
        <w:rPr>
          <w:rFonts w:ascii="宋体" w:hAnsi="宋体" w:eastAsia="宋体"/>
          <w:color w:val="000000"/>
          <w:sz w:val="24"/>
          <w:szCs w:val="24"/>
        </w:rPr>
        <w:t xml:space="preserve">如果甲方根据上述 </w:t>
      </w:r>
      <w:r>
        <w:rPr>
          <w:rFonts w:ascii="DengXian-Regular" w:hAnsi="DengXian-Regular"/>
          <w:color w:val="000000"/>
          <w:sz w:val="24"/>
          <w:szCs w:val="24"/>
        </w:rPr>
        <w:t xml:space="preserve">16.1 </w:t>
      </w:r>
      <w:r>
        <w:rPr>
          <w:rFonts w:ascii="宋体" w:hAnsi="宋体" w:eastAsia="宋体"/>
          <w:color w:val="000000"/>
          <w:sz w:val="24"/>
          <w:szCs w:val="24"/>
        </w:rPr>
        <w:t>款的规定，终止了全部或部分合同，甲方可以依其认为适当的条件和方法购买与未交货物类似的货物，乙方应对购买类似货物所超出的那部分费用负责。但是，乙方应继续执行合同中未终止的部分。</w:t>
      </w:r>
      <w:r>
        <w:rPr>
          <w:rFonts w:hint="eastAsia"/>
          <w:color w:val="000000"/>
        </w:rPr>
        <w:br w:type="textWrapping"/>
      </w:r>
      <w:r>
        <w:rPr>
          <w:rFonts w:ascii="DengXian-Regular" w:hAnsi="DengXian-Regular"/>
          <w:color w:val="000000"/>
          <w:sz w:val="24"/>
          <w:szCs w:val="24"/>
        </w:rPr>
        <w:t xml:space="preserve">16.3 </w:t>
      </w:r>
      <w:r>
        <w:rPr>
          <w:rFonts w:ascii="宋体" w:hAnsi="宋体" w:eastAsia="宋体"/>
          <w:color w:val="000000"/>
          <w:sz w:val="24"/>
          <w:szCs w:val="24"/>
        </w:rPr>
        <w:t>如果乙方在履行合同过程中有不正当竞争行为，甲方有权解除合同，并按《中华人民共和国反不正当法》之规定由有关部门追究其法律责任。</w:t>
      </w:r>
      <w:r>
        <w:rPr>
          <w:rFonts w:hint="eastAsia"/>
          <w:color w:val="000000"/>
        </w:rPr>
        <w:br w:type="textWrapping"/>
      </w:r>
      <w:r>
        <w:rPr>
          <w:rFonts w:ascii="DengXian-Bold" w:hAnsi="DengXian-Bold"/>
          <w:b/>
          <w:bCs/>
          <w:color w:val="000000"/>
          <w:sz w:val="24"/>
          <w:szCs w:val="24"/>
        </w:rPr>
        <w:t>17</w:t>
      </w:r>
      <w:r>
        <w:rPr>
          <w:rFonts w:ascii="宋体" w:hAnsi="宋体" w:eastAsia="宋体"/>
          <w:color w:val="000000"/>
          <w:sz w:val="24"/>
          <w:szCs w:val="24"/>
        </w:rPr>
        <w:t>、破产终止合同</w:t>
      </w:r>
      <w:r>
        <w:rPr>
          <w:rFonts w:hint="eastAsia"/>
          <w:color w:val="000000"/>
        </w:rPr>
        <w:br w:type="textWrapping"/>
      </w:r>
      <w:r>
        <w:rPr>
          <w:rFonts w:ascii="DengXian-Regular" w:hAnsi="DengXian-Regular"/>
          <w:color w:val="000000"/>
          <w:sz w:val="24"/>
          <w:szCs w:val="24"/>
        </w:rPr>
        <w:t xml:space="preserve">17.1 </w:t>
      </w:r>
      <w:r>
        <w:rPr>
          <w:rFonts w:ascii="宋体" w:hAnsi="宋体" w:eastAsia="宋体"/>
          <w:color w:val="000000"/>
          <w:sz w:val="24"/>
          <w:szCs w:val="24"/>
        </w:rPr>
        <w:t>如果乙方破产或丧失清偿能力，甲方可在任何时候以书面形式通知乙方终止合同而不给乙方补偿。该终止合同将不损害或影响甲方已经采取或将要采取任何行动或补救措施的权利。</w:t>
      </w:r>
      <w:r>
        <w:rPr>
          <w:rFonts w:hint="eastAsia"/>
          <w:color w:val="000000"/>
        </w:rPr>
        <w:br w:type="textWrapping"/>
      </w:r>
      <w:r>
        <w:rPr>
          <w:rFonts w:ascii="DengXian-Bold" w:hAnsi="DengXian-Bold"/>
          <w:b/>
          <w:bCs/>
          <w:color w:val="000000"/>
          <w:sz w:val="24"/>
          <w:szCs w:val="24"/>
        </w:rPr>
        <w:t>18</w:t>
      </w:r>
      <w:r>
        <w:rPr>
          <w:rFonts w:ascii="宋体" w:hAnsi="宋体" w:eastAsia="宋体"/>
          <w:color w:val="000000"/>
          <w:sz w:val="24"/>
          <w:szCs w:val="24"/>
        </w:rPr>
        <w:t>、合同分包</w:t>
      </w:r>
      <w:r>
        <w:rPr>
          <w:rFonts w:hint="eastAsia"/>
          <w:color w:val="000000"/>
        </w:rPr>
        <w:br w:type="textWrapping"/>
      </w:r>
      <w:r>
        <w:rPr>
          <w:rFonts w:ascii="DengXian-Regular" w:hAnsi="DengXian-Regular"/>
          <w:color w:val="000000"/>
          <w:sz w:val="24"/>
          <w:szCs w:val="24"/>
        </w:rPr>
        <w:t xml:space="preserve">18.1 </w:t>
      </w:r>
      <w:r>
        <w:rPr>
          <w:rFonts w:ascii="宋体" w:hAnsi="宋体" w:eastAsia="宋体"/>
          <w:color w:val="000000"/>
          <w:sz w:val="24"/>
          <w:szCs w:val="24"/>
        </w:rPr>
        <w:t>除招标文件事先约定，甲方书面同意外，乙方不得分包其应履行的合同义务。</w:t>
      </w:r>
      <w:r>
        <w:rPr>
          <w:rFonts w:hint="eastAsia"/>
          <w:color w:val="000000"/>
        </w:rPr>
        <w:br w:type="textWrapping"/>
      </w:r>
      <w:r>
        <w:rPr>
          <w:rFonts w:ascii="DengXian-Bold" w:hAnsi="DengXian-Bold"/>
          <w:b/>
          <w:bCs/>
          <w:color w:val="000000"/>
          <w:sz w:val="24"/>
          <w:szCs w:val="24"/>
        </w:rPr>
        <w:t>19</w:t>
      </w:r>
      <w:r>
        <w:rPr>
          <w:rFonts w:ascii="宋体" w:hAnsi="宋体" w:eastAsia="宋体"/>
          <w:color w:val="000000"/>
          <w:sz w:val="24"/>
          <w:szCs w:val="24"/>
        </w:rPr>
        <w:t>、合同生效</w:t>
      </w:r>
      <w:r>
        <w:rPr>
          <w:rFonts w:hint="eastAsia"/>
          <w:color w:val="000000"/>
        </w:rPr>
        <w:br w:type="textWrapping"/>
      </w:r>
      <w:r>
        <w:rPr>
          <w:rFonts w:ascii="DengXian-Regular" w:hAnsi="DengXian-Regular"/>
          <w:color w:val="000000"/>
          <w:sz w:val="24"/>
          <w:szCs w:val="24"/>
        </w:rPr>
        <w:t xml:space="preserve">19.1 </w:t>
      </w:r>
      <w:r>
        <w:rPr>
          <w:rFonts w:ascii="宋体" w:hAnsi="宋体" w:eastAsia="宋体"/>
          <w:color w:val="000000"/>
          <w:sz w:val="24"/>
          <w:szCs w:val="24"/>
        </w:rPr>
        <w:t>本合同在合同各方签字盖章并且在甲方收到乙方提供的履约保证金后生效。</w:t>
      </w:r>
      <w:r>
        <w:rPr>
          <w:rFonts w:hint="eastAsia"/>
          <w:color w:val="000000"/>
        </w:rPr>
        <w:br w:type="textWrapping"/>
      </w:r>
      <w:r>
        <w:rPr>
          <w:rFonts w:ascii="DengXian-Regular" w:hAnsi="DengXian-Regular"/>
          <w:color w:val="000000"/>
          <w:sz w:val="24"/>
          <w:szCs w:val="24"/>
        </w:rPr>
        <w:t xml:space="preserve">19.2 </w:t>
      </w:r>
      <w:r>
        <w:rPr>
          <w:rFonts w:ascii="宋体" w:hAnsi="宋体" w:eastAsia="宋体"/>
          <w:color w:val="000000"/>
          <w:sz w:val="24"/>
          <w:szCs w:val="24"/>
        </w:rPr>
        <w:t>本合同一式三份，甲乙双方各执一份。一份送同级政府采购监管部门备案。</w:t>
      </w:r>
      <w:r>
        <w:rPr>
          <w:rFonts w:hint="eastAsia"/>
          <w:color w:val="000000"/>
        </w:rPr>
        <w:br w:type="textWrapping"/>
      </w:r>
      <w:r>
        <w:rPr>
          <w:rFonts w:ascii="DengXian-Bold" w:hAnsi="DengXian-Bold"/>
          <w:b/>
          <w:bCs/>
          <w:color w:val="000000"/>
          <w:sz w:val="24"/>
          <w:szCs w:val="24"/>
        </w:rPr>
        <w:t>20</w:t>
      </w:r>
      <w:r>
        <w:rPr>
          <w:rFonts w:ascii="宋体" w:hAnsi="宋体" w:eastAsia="宋体"/>
          <w:color w:val="000000"/>
          <w:sz w:val="24"/>
          <w:szCs w:val="24"/>
        </w:rPr>
        <w:t>、合同附件</w:t>
      </w:r>
      <w:r>
        <w:rPr>
          <w:rFonts w:hint="eastAsia"/>
          <w:color w:val="000000"/>
        </w:rPr>
        <w:br w:type="textWrapping"/>
      </w:r>
      <w:r>
        <w:rPr>
          <w:rFonts w:ascii="DengXian-Regular" w:hAnsi="DengXian-Regular"/>
          <w:color w:val="000000"/>
          <w:sz w:val="24"/>
          <w:szCs w:val="24"/>
        </w:rPr>
        <w:t xml:space="preserve">20.1 </w:t>
      </w:r>
      <w:r>
        <w:rPr>
          <w:rFonts w:ascii="宋体" w:hAnsi="宋体" w:eastAsia="宋体"/>
          <w:color w:val="000000"/>
          <w:sz w:val="24"/>
          <w:szCs w:val="24"/>
        </w:rPr>
        <w:t>本合同附件包括： 招标</w:t>
      </w:r>
      <w:r>
        <w:rPr>
          <w:rFonts w:ascii="DengXian-Regular" w:hAnsi="DengXian-Regular"/>
          <w:color w:val="000000"/>
          <w:sz w:val="24"/>
          <w:szCs w:val="24"/>
        </w:rPr>
        <w:t>(</w:t>
      </w:r>
      <w:r>
        <w:rPr>
          <w:rFonts w:ascii="宋体" w:hAnsi="宋体" w:eastAsia="宋体"/>
          <w:color w:val="000000"/>
          <w:sz w:val="24"/>
          <w:szCs w:val="24"/>
        </w:rPr>
        <w:t>采购</w:t>
      </w:r>
      <w:r>
        <w:rPr>
          <w:rFonts w:ascii="DengXian-Regular" w:hAnsi="DengXian-Regular"/>
          <w:color w:val="000000"/>
          <w:sz w:val="24"/>
          <w:szCs w:val="24"/>
        </w:rPr>
        <w:t>)</w:t>
      </w:r>
      <w:r>
        <w:rPr>
          <w:rFonts w:ascii="宋体" w:hAnsi="宋体" w:eastAsia="宋体"/>
          <w:color w:val="000000"/>
          <w:sz w:val="24"/>
          <w:szCs w:val="24"/>
        </w:rPr>
        <w:t>文件、投标（响应）文件</w:t>
      </w:r>
      <w:r>
        <w:rPr>
          <w:rFonts w:hint="eastAsia"/>
          <w:color w:val="000000"/>
        </w:rPr>
        <w:br w:type="textWrapping"/>
      </w:r>
      <w:r>
        <w:rPr>
          <w:rFonts w:ascii="DengXian-Regular" w:hAnsi="DengXian-Regular"/>
          <w:color w:val="000000"/>
          <w:sz w:val="24"/>
          <w:szCs w:val="24"/>
        </w:rPr>
        <w:t xml:space="preserve">20.2 </w:t>
      </w:r>
      <w:r>
        <w:rPr>
          <w:rFonts w:ascii="宋体" w:hAnsi="宋体" w:eastAsia="宋体"/>
          <w:color w:val="000000"/>
          <w:sz w:val="24"/>
          <w:szCs w:val="24"/>
        </w:rPr>
        <w:t>本合同附件与合同具有同等效力。</w:t>
      </w:r>
      <w:r>
        <w:rPr>
          <w:rFonts w:hint="eastAsia"/>
          <w:color w:val="000000"/>
        </w:rPr>
        <w:br w:type="textWrapping"/>
      </w:r>
      <w:r>
        <w:rPr>
          <w:rFonts w:ascii="DengXian-Regular" w:hAnsi="DengXian-Regular"/>
          <w:color w:val="000000"/>
          <w:sz w:val="24"/>
          <w:szCs w:val="24"/>
        </w:rPr>
        <w:t xml:space="preserve">20.3 </w:t>
      </w:r>
      <w:r>
        <w:rPr>
          <w:rFonts w:ascii="宋体" w:hAnsi="宋体" w:eastAsia="宋体"/>
          <w:color w:val="000000"/>
          <w:sz w:val="24"/>
          <w:szCs w:val="24"/>
        </w:rPr>
        <w:t>合同文件应能相互解释，互为说明。若合同文件之间有矛盾，则以最新的文件为准。</w:t>
      </w:r>
      <w:r>
        <w:rPr>
          <w:rFonts w:hint="eastAsia"/>
          <w:color w:val="000000"/>
        </w:rPr>
        <w:br w:type="textWrapping"/>
      </w:r>
      <w:r>
        <w:rPr>
          <w:rFonts w:ascii="DengXian-Bold" w:hAnsi="DengXian-Bold"/>
          <w:b/>
          <w:bCs/>
          <w:color w:val="000000"/>
          <w:sz w:val="24"/>
          <w:szCs w:val="24"/>
        </w:rPr>
        <w:t>21</w:t>
      </w:r>
      <w:r>
        <w:rPr>
          <w:rFonts w:ascii="宋体" w:hAnsi="宋体" w:eastAsia="宋体"/>
          <w:color w:val="000000"/>
          <w:sz w:val="24"/>
          <w:szCs w:val="24"/>
        </w:rPr>
        <w:t>、合同修改</w:t>
      </w:r>
      <w:r>
        <w:rPr>
          <w:rFonts w:hint="eastAsia"/>
          <w:color w:val="000000"/>
        </w:rPr>
        <w:br w:type="textWrapping"/>
      </w:r>
      <w:r>
        <w:rPr>
          <w:rFonts w:ascii="DengXian-Regular" w:hAnsi="DengXian-Regular"/>
          <w:color w:val="000000"/>
          <w:sz w:val="24"/>
          <w:szCs w:val="24"/>
        </w:rPr>
        <w:t xml:space="preserve">21.1 </w:t>
      </w:r>
      <w:r>
        <w:rPr>
          <w:rFonts w:ascii="宋体" w:hAnsi="宋体" w:eastAsia="宋体"/>
          <w:color w:val="000000"/>
          <w:sz w:val="24"/>
          <w:szCs w:val="24"/>
        </w:rPr>
        <w:t>除了双方签署书面修改协议，并成为本合同不可分割的一部分之外，本合同条件不得有任何变化或修改。</w:t>
      </w:r>
      <w:r>
        <w:rPr>
          <w:rFonts w:hint="eastAsia"/>
          <w:color w:val="000000"/>
        </w:rPr>
        <w:br w:type="textWrapping"/>
      </w:r>
      <w:r>
        <w:rPr>
          <w:rFonts w:ascii="DengXian-Bold" w:hAnsi="DengXian-Bold"/>
          <w:b/>
          <w:bCs/>
          <w:color w:val="000000"/>
          <w:sz w:val="24"/>
          <w:szCs w:val="24"/>
        </w:rPr>
        <w:t>22、其他补充条款</w:t>
      </w:r>
      <w:r>
        <w:rPr>
          <w:rFonts w:ascii="DengXian-Bold" w:hAnsi="DengXian-Bold"/>
          <w:b/>
          <w:bCs/>
          <w:color w:val="000000"/>
        </w:rPr>
        <w:br w:type="textWrapping"/>
      </w:r>
      <w:r>
        <w:rPr>
          <w:rFonts w:ascii="DengXian-Regular" w:hAnsi="DengXian-Regular"/>
          <w:color w:val="000000"/>
          <w:sz w:val="24"/>
          <w:szCs w:val="24"/>
        </w:rPr>
        <w:t xml:space="preserve">22.1 </w:t>
      </w:r>
      <w:r>
        <w:rPr>
          <w:rFonts w:ascii="宋体" w:hAnsi="宋体" w:eastAsia="宋体"/>
          <w:color w:val="000000"/>
          <w:sz w:val="24"/>
          <w:szCs w:val="24"/>
        </w:rPr>
        <w:t xml:space="preserve">其他补充条款： </w:t>
      </w:r>
      <w:r>
        <w:rPr>
          <w:rFonts w:ascii="DengXian-Bold" w:hAnsi="DengXian-Bold"/>
          <w:b/>
          <w:bCs/>
          <w:color w:val="000000"/>
          <w:sz w:val="24"/>
          <w:szCs w:val="24"/>
        </w:rPr>
        <w:t>[</w:t>
      </w:r>
      <w:r>
        <w:rPr>
          <w:rFonts w:ascii="宋体" w:hAnsi="宋体" w:eastAsia="宋体"/>
          <w:color w:val="000000"/>
          <w:sz w:val="24"/>
          <w:szCs w:val="24"/>
        </w:rPr>
        <w:t>补充条款列表</w:t>
      </w:r>
      <w:r>
        <w:rPr>
          <w:rFonts w:ascii="DengXian-Bold" w:hAnsi="DengXian-Bold"/>
          <w:b/>
          <w:bCs/>
          <w:color w:val="000000"/>
          <w:sz w:val="24"/>
          <w:szCs w:val="24"/>
        </w:rPr>
        <w:t>]</w:t>
      </w:r>
    </w:p>
    <w:p w14:paraId="7AB49346">
      <w:pPr>
        <w:spacing w:line="360" w:lineRule="auto"/>
        <w:jc w:val="left"/>
        <w:rPr>
          <w:rFonts w:hint="eastAsia" w:ascii="DengXian-Bold" w:hAnsi="DengXian-Bold"/>
          <w:b/>
          <w:bCs/>
          <w:color w:val="000000"/>
          <w:sz w:val="24"/>
          <w:szCs w:val="24"/>
        </w:rPr>
      </w:pPr>
    </w:p>
    <w:p w14:paraId="350BA9F0">
      <w:pPr>
        <w:spacing w:line="360" w:lineRule="auto"/>
        <w:jc w:val="left"/>
        <w:rPr>
          <w:rFonts w:hint="eastAsia" w:ascii="DengXian-Bold" w:hAnsi="DengXian-Bold"/>
          <w:b/>
          <w:bCs/>
          <w:color w:val="000000"/>
          <w:sz w:val="24"/>
          <w:szCs w:val="24"/>
        </w:rPr>
      </w:pPr>
    </w:p>
    <w:p w14:paraId="5D79F60A">
      <w:pPr>
        <w:spacing w:line="360" w:lineRule="auto"/>
        <w:jc w:val="left"/>
        <w:rPr>
          <w:rStyle w:val="283"/>
          <w:rFonts w:hint="default"/>
        </w:rPr>
      </w:pPr>
      <w:r>
        <w:rPr>
          <w:rStyle w:val="283"/>
          <w:rFonts w:hint="default"/>
        </w:rPr>
        <w:t>签约各方：</w:t>
      </w:r>
    </w:p>
    <w:p w14:paraId="2CC15FA7">
      <w:pPr>
        <w:spacing w:line="360" w:lineRule="auto"/>
        <w:jc w:val="left"/>
        <w:rPr>
          <w:rStyle w:val="283"/>
          <w:rFonts w:hint="default"/>
        </w:rPr>
      </w:pPr>
    </w:p>
    <w:tbl>
      <w:tblPr>
        <w:tblStyle w:val="4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71"/>
        <w:gridCol w:w="3752"/>
      </w:tblGrid>
      <w:tr w14:paraId="698CF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71" w:type="dxa"/>
          </w:tcPr>
          <w:p w14:paraId="5F5B538F">
            <w:pPr>
              <w:spacing w:line="360" w:lineRule="auto"/>
              <w:jc w:val="left"/>
              <w:rPr>
                <w:rStyle w:val="283"/>
                <w:rFonts w:hint="default"/>
              </w:rPr>
            </w:pPr>
            <w:r>
              <w:rPr>
                <w:rStyle w:val="283"/>
                <w:rFonts w:hint="default"/>
                <w:b/>
                <w:sz w:val="22"/>
                <w:szCs w:val="22"/>
              </w:rPr>
              <w:t>甲方（盖章） :</w:t>
            </w:r>
            <w:r>
              <w:rPr>
                <w:rFonts w:hint="eastAsia"/>
                <w:b/>
                <w:color w:val="000000"/>
                <w:sz w:val="22"/>
              </w:rPr>
              <w:br w:type="textWrapping"/>
            </w:r>
            <w:r>
              <w:rPr>
                <w:rStyle w:val="283"/>
                <w:rFonts w:hint="default"/>
                <w:b/>
                <w:sz w:val="22"/>
                <w:szCs w:val="22"/>
              </w:rPr>
              <w:t>法定代表人或授权委托人（签章）：</w:t>
            </w:r>
            <w:r>
              <w:rPr>
                <w:rFonts w:hint="eastAsia"/>
                <w:b/>
                <w:color w:val="000000"/>
                <w:sz w:val="22"/>
              </w:rPr>
              <w:br w:type="textWrapping"/>
            </w:r>
          </w:p>
        </w:tc>
        <w:tc>
          <w:tcPr>
            <w:tcW w:w="3752" w:type="dxa"/>
          </w:tcPr>
          <w:p w14:paraId="7E16EF30">
            <w:pPr>
              <w:spacing w:line="360" w:lineRule="auto"/>
              <w:jc w:val="left"/>
              <w:rPr>
                <w:rStyle w:val="283"/>
                <w:rFonts w:hint="default"/>
              </w:rPr>
            </w:pPr>
            <w:r>
              <w:rPr>
                <w:rStyle w:val="283"/>
                <w:rFonts w:hint="default"/>
                <w:b/>
                <w:sz w:val="22"/>
                <w:szCs w:val="22"/>
              </w:rPr>
              <w:t>乙方（盖章） :</w:t>
            </w:r>
            <w:r>
              <w:rPr>
                <w:rFonts w:hint="eastAsia"/>
                <w:b/>
                <w:color w:val="000000"/>
                <w:sz w:val="22"/>
              </w:rPr>
              <w:br w:type="textWrapping"/>
            </w:r>
            <w:r>
              <w:rPr>
                <w:rStyle w:val="283"/>
                <w:rFonts w:hint="default"/>
                <w:b/>
                <w:sz w:val="22"/>
                <w:szCs w:val="22"/>
              </w:rPr>
              <w:t>法定代表人或授权委托人（签章）：</w:t>
            </w:r>
          </w:p>
        </w:tc>
      </w:tr>
    </w:tbl>
    <w:p w14:paraId="29300E30">
      <w:pPr>
        <w:spacing w:line="360" w:lineRule="auto"/>
        <w:rPr>
          <w:rFonts w:hint="eastAsia"/>
        </w:rPr>
      </w:pPr>
    </w:p>
    <w:p w14:paraId="087A850B">
      <w:pPr>
        <w:rPr>
          <w:rFonts w:hint="eastAsia" w:ascii="宋体" w:hAnsi="宋体" w:eastAsia="宋体" w:cs="宋体"/>
          <w:color w:val="auto"/>
          <w:highlight w:val="none"/>
        </w:rPr>
      </w:pPr>
      <w:r>
        <w:rPr>
          <w:rFonts w:hint="eastAsia" w:ascii="宋体" w:hAnsi="宋体" w:eastAsia="宋体" w:cs="宋体"/>
          <w:lang w:val="en-US" w:eastAsia="zh-CN"/>
        </w:rPr>
        <w:br w:type="page"/>
      </w:r>
    </w:p>
    <w:p w14:paraId="63D87F60">
      <w:pPr>
        <w:numPr>
          <w:ilvl w:val="1"/>
          <w:numId w:val="0"/>
        </w:numPr>
        <w:tabs>
          <w:tab w:val="left" w:pos="0"/>
        </w:tabs>
        <w:bidi w:val="0"/>
        <w:ind w:leftChars="0"/>
        <w:outlineLvl w:val="9"/>
        <w:rPr>
          <w:rFonts w:hint="eastAsia" w:ascii="宋体" w:hAnsi="宋体" w:eastAsia="宋体" w:cs="宋体"/>
          <w:color w:val="auto"/>
          <w:highlight w:val="none"/>
        </w:rPr>
      </w:pPr>
      <w:r>
        <w:rPr>
          <w:rFonts w:hint="eastAsia" w:ascii="宋体" w:hAnsi="宋体" w:eastAsia="宋体" w:cs="宋体"/>
          <w:lang w:val="en-US" w:eastAsia="zh-CN"/>
        </w:rPr>
        <w:t>二、合同文本（第二包）</w:t>
      </w:r>
    </w:p>
    <w:p w14:paraId="4BBA4E74">
      <w:pPr>
        <w:pStyle w:val="42"/>
        <w:jc w:val="center"/>
        <w:outlineLvl w:val="9"/>
        <w:rPr>
          <w:rFonts w:hint="eastAsia" w:ascii="宋体" w:hAnsi="宋体" w:eastAsia="宋体" w:cs="宋体"/>
        </w:rPr>
      </w:pPr>
      <w:r>
        <w:rPr>
          <w:rFonts w:hint="eastAsia" w:ascii="宋体" w:hAnsi="宋体" w:eastAsia="宋体" w:cs="宋体"/>
        </w:rPr>
        <w:t>采购合同</w:t>
      </w:r>
    </w:p>
    <w:p w14:paraId="7B9F9511">
      <w:pPr>
        <w:pStyle w:val="282"/>
        <w:rPr>
          <w:rFonts w:hint="eastAsia" w:ascii="宋体" w:hAnsi="宋体" w:eastAsia="宋体" w:cs="宋体"/>
          <w:sz w:val="24"/>
          <w:szCs w:val="24"/>
        </w:rPr>
      </w:pPr>
      <w:r>
        <w:rPr>
          <w:rFonts w:hint="eastAsia" w:ascii="宋体" w:hAnsi="宋体" w:eastAsia="宋体" w:cs="宋体"/>
          <w:b/>
          <w:bCs/>
          <w:sz w:val="24"/>
          <w:szCs w:val="24"/>
        </w:rPr>
        <w:t>合同编号</w:t>
      </w:r>
      <w:r>
        <w:rPr>
          <w:rFonts w:hint="eastAsia" w:ascii="宋体" w:hAnsi="宋体" w:eastAsia="宋体" w:cs="宋体"/>
          <w:sz w:val="24"/>
          <w:szCs w:val="24"/>
        </w:rPr>
        <w:t>：【】</w:t>
      </w:r>
    </w:p>
    <w:p w14:paraId="411A7DE4">
      <w:pPr>
        <w:pStyle w:val="282"/>
        <w:rPr>
          <w:rFonts w:hint="eastAsia" w:ascii="宋体" w:hAnsi="宋体" w:eastAsia="宋体" w:cs="宋体"/>
          <w:sz w:val="24"/>
          <w:szCs w:val="24"/>
        </w:rPr>
      </w:pPr>
      <w:r>
        <w:rPr>
          <w:rFonts w:hint="eastAsia" w:ascii="宋体" w:hAnsi="宋体" w:eastAsia="宋体" w:cs="宋体"/>
          <w:b/>
          <w:bCs/>
          <w:sz w:val="24"/>
          <w:szCs w:val="24"/>
        </w:rPr>
        <w:t>签订地点</w:t>
      </w:r>
      <w:r>
        <w:rPr>
          <w:rFonts w:hint="eastAsia" w:ascii="宋体" w:hAnsi="宋体" w:eastAsia="宋体" w:cs="宋体"/>
          <w:sz w:val="24"/>
          <w:szCs w:val="24"/>
        </w:rPr>
        <w:t>：【】</w:t>
      </w:r>
    </w:p>
    <w:p w14:paraId="3F202A48">
      <w:pPr>
        <w:pStyle w:val="282"/>
        <w:rPr>
          <w:rFonts w:hint="eastAsia" w:ascii="宋体" w:hAnsi="宋体" w:eastAsia="宋体" w:cs="宋体"/>
          <w:sz w:val="24"/>
          <w:szCs w:val="24"/>
        </w:rPr>
      </w:pPr>
      <w:r>
        <w:rPr>
          <w:rFonts w:hint="eastAsia" w:ascii="宋体" w:hAnsi="宋体" w:eastAsia="宋体" w:cs="宋体"/>
          <w:b/>
          <w:bCs/>
          <w:sz w:val="24"/>
          <w:szCs w:val="24"/>
        </w:rPr>
        <w:t>签订日期</w:t>
      </w:r>
      <w:r>
        <w:rPr>
          <w:rFonts w:hint="eastAsia" w:ascii="宋体" w:hAnsi="宋体" w:eastAsia="宋体" w:cs="宋体"/>
          <w:sz w:val="24"/>
          <w:szCs w:val="24"/>
        </w:rPr>
        <w:t>：____年____月____日</w:t>
      </w:r>
    </w:p>
    <w:p w14:paraId="3DBFE0BB">
      <w:pPr>
        <w:pStyle w:val="3"/>
        <w:tabs>
          <w:tab w:val="left" w:pos="420"/>
          <w:tab w:val="clear" w:pos="0"/>
        </w:tabs>
        <w:rPr>
          <w:rFonts w:hint="eastAsia" w:ascii="宋体" w:hAnsi="宋体" w:eastAsia="宋体" w:cs="宋体"/>
        </w:rPr>
      </w:pPr>
      <w:r>
        <w:rPr>
          <w:rFonts w:hint="eastAsia" w:ascii="宋体" w:hAnsi="宋体" w:eastAsia="宋体" w:cs="宋体"/>
        </w:rPr>
        <w:t>合同双方</w:t>
      </w:r>
    </w:p>
    <w:p w14:paraId="637E126E">
      <w:pPr>
        <w:pStyle w:val="4"/>
        <w:rPr>
          <w:rFonts w:hint="eastAsia" w:ascii="宋体" w:hAnsi="宋体" w:eastAsia="宋体" w:cs="宋体"/>
        </w:rPr>
      </w:pPr>
      <w:r>
        <w:rPr>
          <w:rFonts w:hint="eastAsia" w:ascii="宋体" w:hAnsi="宋体" w:eastAsia="宋体" w:cs="宋体"/>
        </w:rPr>
        <w:t>甲方（采购方）</w:t>
      </w:r>
    </w:p>
    <w:p w14:paraId="2FA8BABF">
      <w:pPr>
        <w:pStyle w:val="282"/>
        <w:rPr>
          <w:rFonts w:hint="eastAsia" w:ascii="宋体" w:hAnsi="宋体" w:eastAsia="宋体" w:cs="宋体"/>
          <w:sz w:val="24"/>
          <w:szCs w:val="24"/>
        </w:rPr>
      </w:pPr>
      <w:r>
        <w:rPr>
          <w:rFonts w:hint="eastAsia" w:ascii="宋体" w:hAnsi="宋体" w:eastAsia="宋体" w:cs="宋体"/>
          <w:sz w:val="24"/>
          <w:szCs w:val="24"/>
        </w:rPr>
        <w:t>全称：</w:t>
      </w:r>
    </w:p>
    <w:p w14:paraId="78D7ED1B">
      <w:pPr>
        <w:pStyle w:val="282"/>
        <w:rPr>
          <w:rFonts w:hint="eastAsia" w:ascii="宋体" w:hAnsi="宋体" w:eastAsia="宋体" w:cs="宋体"/>
          <w:sz w:val="24"/>
          <w:szCs w:val="24"/>
        </w:rPr>
      </w:pPr>
      <w:r>
        <w:rPr>
          <w:rFonts w:hint="eastAsia" w:ascii="宋体" w:hAnsi="宋体" w:eastAsia="宋体" w:cs="宋体"/>
          <w:sz w:val="24"/>
          <w:szCs w:val="24"/>
        </w:rPr>
        <w:t>统一社会信用代码：</w:t>
      </w:r>
    </w:p>
    <w:p w14:paraId="5E185834">
      <w:pPr>
        <w:pStyle w:val="282"/>
        <w:rPr>
          <w:rFonts w:hint="eastAsia" w:ascii="宋体" w:hAnsi="宋体" w:eastAsia="宋体" w:cs="宋体"/>
          <w:sz w:val="24"/>
          <w:szCs w:val="24"/>
        </w:rPr>
      </w:pPr>
      <w:r>
        <w:rPr>
          <w:rFonts w:hint="eastAsia" w:ascii="宋体" w:hAnsi="宋体" w:eastAsia="宋体" w:cs="宋体"/>
          <w:sz w:val="24"/>
          <w:szCs w:val="24"/>
        </w:rPr>
        <w:t>法定代表人/授权代表人：</w:t>
      </w:r>
    </w:p>
    <w:p w14:paraId="3FEEA871">
      <w:pPr>
        <w:pStyle w:val="282"/>
        <w:rPr>
          <w:rFonts w:hint="eastAsia" w:ascii="宋体" w:hAnsi="宋体" w:eastAsia="宋体" w:cs="宋体"/>
          <w:sz w:val="24"/>
          <w:szCs w:val="24"/>
        </w:rPr>
      </w:pPr>
      <w:r>
        <w:rPr>
          <w:rFonts w:hint="eastAsia" w:ascii="宋体" w:hAnsi="宋体" w:eastAsia="宋体" w:cs="宋体"/>
          <w:sz w:val="24"/>
          <w:szCs w:val="24"/>
        </w:rPr>
        <w:t>联系地址：</w:t>
      </w:r>
    </w:p>
    <w:p w14:paraId="18D13D8E">
      <w:pPr>
        <w:pStyle w:val="282"/>
        <w:rPr>
          <w:rFonts w:hint="eastAsia" w:ascii="宋体" w:hAnsi="宋体" w:eastAsia="宋体" w:cs="宋体"/>
          <w:sz w:val="24"/>
          <w:szCs w:val="24"/>
        </w:rPr>
      </w:pPr>
      <w:r>
        <w:rPr>
          <w:rFonts w:hint="eastAsia" w:ascii="宋体" w:hAnsi="宋体" w:eastAsia="宋体" w:cs="宋体"/>
          <w:sz w:val="24"/>
          <w:szCs w:val="24"/>
        </w:rPr>
        <w:t>联系电话：</w:t>
      </w:r>
    </w:p>
    <w:p w14:paraId="35B5907A">
      <w:pPr>
        <w:pStyle w:val="282"/>
        <w:rPr>
          <w:rFonts w:hint="eastAsia" w:ascii="宋体" w:hAnsi="宋体" w:eastAsia="宋体" w:cs="宋体"/>
          <w:sz w:val="24"/>
          <w:szCs w:val="24"/>
        </w:rPr>
      </w:pPr>
      <w:r>
        <w:rPr>
          <w:rFonts w:hint="eastAsia" w:ascii="宋体" w:hAnsi="宋体" w:eastAsia="宋体" w:cs="宋体"/>
          <w:sz w:val="24"/>
          <w:szCs w:val="24"/>
        </w:rPr>
        <w:t>电子邮箱：</w:t>
      </w:r>
    </w:p>
    <w:p w14:paraId="3F8169D5">
      <w:pPr>
        <w:pStyle w:val="4"/>
        <w:rPr>
          <w:rFonts w:hint="eastAsia" w:ascii="宋体" w:hAnsi="宋体" w:eastAsia="宋体" w:cs="宋体"/>
        </w:rPr>
      </w:pPr>
      <w:r>
        <w:rPr>
          <w:rFonts w:hint="eastAsia" w:ascii="宋体" w:hAnsi="宋体" w:eastAsia="宋体" w:cs="宋体"/>
        </w:rPr>
        <w:t>乙方（供货方）</w:t>
      </w:r>
    </w:p>
    <w:p w14:paraId="0E980C12">
      <w:pPr>
        <w:pStyle w:val="282"/>
        <w:rPr>
          <w:rFonts w:hint="eastAsia" w:ascii="宋体" w:hAnsi="宋体" w:eastAsia="宋体" w:cs="宋体"/>
          <w:sz w:val="24"/>
          <w:szCs w:val="24"/>
        </w:rPr>
      </w:pPr>
      <w:r>
        <w:rPr>
          <w:rFonts w:hint="eastAsia" w:ascii="宋体" w:hAnsi="宋体" w:eastAsia="宋体" w:cs="宋体"/>
          <w:sz w:val="24"/>
          <w:szCs w:val="24"/>
        </w:rPr>
        <w:t>全称：</w:t>
      </w:r>
    </w:p>
    <w:p w14:paraId="090F20F4">
      <w:pPr>
        <w:pStyle w:val="282"/>
        <w:rPr>
          <w:rFonts w:hint="eastAsia" w:ascii="宋体" w:hAnsi="宋体" w:eastAsia="宋体" w:cs="宋体"/>
          <w:sz w:val="24"/>
          <w:szCs w:val="24"/>
        </w:rPr>
      </w:pPr>
      <w:r>
        <w:rPr>
          <w:rFonts w:hint="eastAsia" w:ascii="宋体" w:hAnsi="宋体" w:eastAsia="宋体" w:cs="宋体"/>
          <w:sz w:val="24"/>
          <w:szCs w:val="24"/>
        </w:rPr>
        <w:t>统一社会信用代码：</w:t>
      </w:r>
    </w:p>
    <w:p w14:paraId="38D8DF07">
      <w:pPr>
        <w:pStyle w:val="282"/>
        <w:rPr>
          <w:rFonts w:hint="eastAsia" w:ascii="宋体" w:hAnsi="宋体" w:eastAsia="宋体" w:cs="宋体"/>
          <w:sz w:val="24"/>
          <w:szCs w:val="24"/>
        </w:rPr>
      </w:pPr>
      <w:r>
        <w:rPr>
          <w:rFonts w:hint="eastAsia" w:ascii="宋体" w:hAnsi="宋体" w:eastAsia="宋体" w:cs="宋体"/>
          <w:sz w:val="24"/>
          <w:szCs w:val="24"/>
        </w:rPr>
        <w:t>法定代表人/授权代表人：</w:t>
      </w:r>
    </w:p>
    <w:p w14:paraId="1243BC8D">
      <w:pPr>
        <w:pStyle w:val="282"/>
        <w:rPr>
          <w:rFonts w:hint="eastAsia" w:ascii="宋体" w:hAnsi="宋体" w:eastAsia="宋体" w:cs="宋体"/>
          <w:sz w:val="24"/>
          <w:szCs w:val="24"/>
        </w:rPr>
      </w:pPr>
      <w:r>
        <w:rPr>
          <w:rFonts w:hint="eastAsia" w:ascii="宋体" w:hAnsi="宋体" w:eastAsia="宋体" w:cs="宋体"/>
          <w:sz w:val="24"/>
          <w:szCs w:val="24"/>
        </w:rPr>
        <w:t>联系地址：</w:t>
      </w:r>
    </w:p>
    <w:p w14:paraId="71824676">
      <w:pPr>
        <w:pStyle w:val="282"/>
        <w:rPr>
          <w:rFonts w:hint="eastAsia" w:ascii="宋体" w:hAnsi="宋体" w:eastAsia="宋体" w:cs="宋体"/>
          <w:sz w:val="24"/>
          <w:szCs w:val="24"/>
        </w:rPr>
      </w:pPr>
      <w:r>
        <w:rPr>
          <w:rFonts w:hint="eastAsia" w:ascii="宋体" w:hAnsi="宋体" w:eastAsia="宋体" w:cs="宋体"/>
          <w:sz w:val="24"/>
          <w:szCs w:val="24"/>
        </w:rPr>
        <w:t>联系电话：</w:t>
      </w:r>
    </w:p>
    <w:p w14:paraId="200CC650">
      <w:pPr>
        <w:pStyle w:val="282"/>
        <w:rPr>
          <w:rFonts w:hint="eastAsia" w:ascii="宋体" w:hAnsi="宋体" w:eastAsia="宋体" w:cs="宋体"/>
          <w:sz w:val="24"/>
          <w:szCs w:val="24"/>
        </w:rPr>
      </w:pPr>
      <w:r>
        <w:rPr>
          <w:rFonts w:hint="eastAsia" w:ascii="宋体" w:hAnsi="宋体" w:eastAsia="宋体" w:cs="宋体"/>
          <w:sz w:val="24"/>
          <w:szCs w:val="24"/>
        </w:rPr>
        <w:t>电子邮箱：</w:t>
      </w:r>
    </w:p>
    <w:p w14:paraId="04D41420">
      <w:pPr>
        <w:pStyle w:val="282"/>
        <w:rPr>
          <w:rFonts w:hint="eastAsia" w:ascii="宋体" w:hAnsi="宋体" w:eastAsia="宋体" w:cs="宋体"/>
          <w:sz w:val="24"/>
          <w:szCs w:val="24"/>
        </w:rPr>
      </w:pPr>
      <w:r>
        <w:rPr>
          <w:rFonts w:hint="eastAsia" w:ascii="宋体" w:hAnsi="宋体" w:eastAsia="宋体" w:cs="宋体"/>
          <w:b/>
          <w:bCs/>
          <w:sz w:val="24"/>
          <w:szCs w:val="24"/>
        </w:rPr>
        <w:t>资质要求</w:t>
      </w:r>
      <w:r>
        <w:rPr>
          <w:rFonts w:hint="eastAsia" w:ascii="宋体" w:hAnsi="宋体" w:eastAsia="宋体" w:cs="宋体"/>
          <w:sz w:val="24"/>
          <w:szCs w:val="24"/>
        </w:rPr>
        <w:t>：</w:t>
      </w:r>
    </w:p>
    <w:p w14:paraId="01B30703">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若供应</w:t>
      </w:r>
      <w:r>
        <w:rPr>
          <w:rFonts w:hint="eastAsia" w:ascii="宋体" w:hAnsi="宋体" w:eastAsia="宋体" w:cs="宋体"/>
          <w:b/>
          <w:bCs/>
          <w:sz w:val="24"/>
          <w:szCs w:val="24"/>
        </w:rPr>
        <w:t>医疗器械</w:t>
      </w:r>
      <w:r>
        <w:rPr>
          <w:rFonts w:hint="eastAsia" w:ascii="宋体" w:hAnsi="宋体" w:eastAsia="宋体" w:cs="宋体"/>
          <w:sz w:val="24"/>
          <w:szCs w:val="24"/>
        </w:rPr>
        <w:t>，乙方需具备有效的《医疗器械经营许可证》/备案凭证，所供产品具备医疗器械注册证及注册登记表；</w:t>
      </w:r>
    </w:p>
    <w:p w14:paraId="0EC4C364">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若供应</w:t>
      </w:r>
      <w:r>
        <w:rPr>
          <w:rFonts w:hint="eastAsia" w:ascii="宋体" w:hAnsi="宋体" w:eastAsia="宋体" w:cs="宋体"/>
          <w:b/>
          <w:bCs/>
          <w:sz w:val="24"/>
          <w:szCs w:val="24"/>
        </w:rPr>
        <w:t>厨房设备</w:t>
      </w:r>
      <w:r>
        <w:rPr>
          <w:rFonts w:hint="eastAsia" w:ascii="宋体" w:hAnsi="宋体" w:eastAsia="宋体" w:cs="宋体"/>
          <w:sz w:val="24"/>
          <w:szCs w:val="24"/>
        </w:rPr>
        <w:t>，乙方需具备相关生产/经营资质，涉食品接触设备需符合食品安全国家标准；</w:t>
      </w:r>
    </w:p>
    <w:p w14:paraId="4770B2F3">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若供应</w:t>
      </w:r>
      <w:r>
        <w:rPr>
          <w:rFonts w:hint="eastAsia" w:ascii="宋体" w:hAnsi="宋体" w:eastAsia="宋体" w:cs="宋体"/>
          <w:b/>
          <w:bCs/>
          <w:sz w:val="24"/>
          <w:szCs w:val="24"/>
        </w:rPr>
        <w:t>会议室信息化产品</w:t>
      </w:r>
      <w:r>
        <w:rPr>
          <w:rFonts w:hint="eastAsia" w:ascii="宋体" w:hAnsi="宋体" w:eastAsia="宋体" w:cs="宋体"/>
          <w:sz w:val="24"/>
          <w:szCs w:val="24"/>
        </w:rPr>
        <w:t>，乙方需具备对应产品经营、安装及售后维修资质，产品符合国家3C认证及行业技术标准。</w:t>
      </w:r>
    </w:p>
    <w:p w14:paraId="05A00C9E">
      <w:pPr>
        <w:pStyle w:val="282"/>
        <w:rPr>
          <w:rFonts w:hint="eastAsia" w:ascii="宋体" w:hAnsi="宋体" w:eastAsia="宋体" w:cs="宋体"/>
          <w:sz w:val="24"/>
          <w:szCs w:val="24"/>
        </w:rPr>
      </w:pPr>
      <w:r>
        <w:rPr>
          <w:rFonts w:hint="eastAsia" w:ascii="宋体" w:hAnsi="宋体" w:eastAsia="宋体" w:cs="宋体"/>
          <w:sz w:val="24"/>
          <w:szCs w:val="24"/>
        </w:rPr>
        <w:t>甲乙双方本着平等自愿、诚实信用、公平公正的原则，依据《中华人民共和国民法典》《中华人民共和国产品质量法》《医疗器械监督管理条例》等相关法律法规，就甲方向乙方采购会议室信息化产品、医疗器械、厨房设备事宜，经充分协商，订立本合同，以资共同信守。</w:t>
      </w:r>
    </w:p>
    <w:p w14:paraId="2B8B48EC">
      <w:pPr>
        <w:pStyle w:val="3"/>
        <w:tabs>
          <w:tab w:val="left" w:pos="420"/>
          <w:tab w:val="clear" w:pos="0"/>
        </w:tabs>
        <w:rPr>
          <w:rFonts w:hint="eastAsia" w:ascii="宋体" w:hAnsi="宋体" w:eastAsia="宋体" w:cs="宋体"/>
        </w:rPr>
      </w:pPr>
      <w:r>
        <w:rPr>
          <w:rFonts w:hint="eastAsia" w:ascii="宋体" w:hAnsi="宋体" w:eastAsia="宋体" w:cs="宋体"/>
        </w:rPr>
        <w:t>采购标的、规格及价款</w:t>
      </w:r>
    </w:p>
    <w:p w14:paraId="50ACD825">
      <w:pPr>
        <w:pStyle w:val="4"/>
        <w:rPr>
          <w:rFonts w:hint="eastAsia" w:ascii="宋体" w:hAnsi="宋体" w:eastAsia="宋体" w:cs="宋体"/>
        </w:rPr>
      </w:pPr>
      <w:r>
        <w:rPr>
          <w:rFonts w:hint="eastAsia" w:ascii="宋体" w:hAnsi="宋体" w:eastAsia="宋体" w:cs="宋体"/>
        </w:rPr>
        <w:t>（一）采购内容</w:t>
      </w:r>
    </w:p>
    <w:p w14:paraId="3A20612E">
      <w:pPr>
        <w:pStyle w:val="282"/>
        <w:rPr>
          <w:rFonts w:hint="eastAsia" w:ascii="宋体" w:hAnsi="宋体" w:eastAsia="宋体" w:cs="宋体"/>
          <w:sz w:val="24"/>
          <w:szCs w:val="24"/>
        </w:rPr>
      </w:pPr>
      <w:r>
        <w:rPr>
          <w:rFonts w:hint="eastAsia" w:ascii="宋体" w:hAnsi="宋体" w:eastAsia="宋体" w:cs="宋体"/>
          <w:sz w:val="24"/>
          <w:szCs w:val="24"/>
        </w:rPr>
        <w:t>本合同采购产品分为三类，具体名称、品牌、型号规格、数量、技术参数、单价、总价、备注等详细信息，详见附件一《采购产品清单及技术规格表》，附件为本合同不可分割的组成部分，与本合同具有同等法律效力。</w:t>
      </w:r>
    </w:p>
    <w:p w14:paraId="040233A0">
      <w:pPr>
        <w:pStyle w:val="282"/>
        <w:numPr>
          <w:ilvl w:val="0"/>
          <w:numId w:val="65"/>
        </w:numPr>
        <w:rPr>
          <w:rFonts w:hint="eastAsia" w:ascii="宋体" w:hAnsi="宋体" w:eastAsia="宋体" w:cs="宋体"/>
          <w:sz w:val="24"/>
          <w:szCs w:val="24"/>
        </w:rPr>
      </w:pPr>
      <w:r>
        <w:rPr>
          <w:rFonts w:hint="eastAsia" w:ascii="宋体" w:hAnsi="宋体" w:eastAsia="宋体" w:cs="宋体"/>
          <w:b/>
          <w:bCs/>
          <w:sz w:val="24"/>
          <w:szCs w:val="24"/>
        </w:rPr>
        <w:t>会议室信息化产品</w:t>
      </w:r>
      <w:r>
        <w:rPr>
          <w:rFonts w:hint="eastAsia" w:ascii="宋体" w:hAnsi="宋体" w:eastAsia="宋体" w:cs="宋体"/>
          <w:sz w:val="24"/>
          <w:szCs w:val="24"/>
        </w:rPr>
        <w:t>：包括但不限于会议平板、音响功放、投影设备、中控系统、会议桌椅、网络布线、拼接屏、摄像头、麦克风等，需明确技术参数、接口标准、安装配套配件；</w:t>
      </w:r>
    </w:p>
    <w:p w14:paraId="5D70721D">
      <w:pPr>
        <w:pStyle w:val="282"/>
        <w:numPr>
          <w:ilvl w:val="0"/>
          <w:numId w:val="65"/>
        </w:numPr>
        <w:rPr>
          <w:rFonts w:hint="eastAsia" w:ascii="宋体" w:hAnsi="宋体" w:eastAsia="宋体" w:cs="宋体"/>
          <w:sz w:val="24"/>
          <w:szCs w:val="24"/>
        </w:rPr>
      </w:pPr>
      <w:r>
        <w:rPr>
          <w:rFonts w:hint="eastAsia" w:ascii="宋体" w:hAnsi="宋体" w:eastAsia="宋体" w:cs="宋体"/>
          <w:b/>
          <w:bCs/>
          <w:sz w:val="24"/>
          <w:szCs w:val="24"/>
        </w:rPr>
        <w:t>医疗器械</w:t>
      </w:r>
      <w:r>
        <w:rPr>
          <w:rFonts w:hint="eastAsia" w:ascii="宋体" w:hAnsi="宋体" w:eastAsia="宋体" w:cs="宋体"/>
          <w:sz w:val="24"/>
          <w:szCs w:val="24"/>
        </w:rPr>
        <w:t>：包括但不限于辅助医疗设备等，需明确医疗器械注册证号、生产厂家、生产批号、有效期、适用范围、灭菌方式（如有）；</w:t>
      </w:r>
    </w:p>
    <w:p w14:paraId="16277044">
      <w:pPr>
        <w:pStyle w:val="282"/>
        <w:numPr>
          <w:ilvl w:val="0"/>
          <w:numId w:val="65"/>
        </w:numPr>
        <w:rPr>
          <w:rFonts w:hint="eastAsia" w:ascii="宋体" w:hAnsi="宋体" w:eastAsia="宋体" w:cs="宋体"/>
          <w:sz w:val="24"/>
          <w:szCs w:val="24"/>
        </w:rPr>
      </w:pPr>
      <w:r>
        <w:rPr>
          <w:rFonts w:hint="eastAsia" w:ascii="宋体" w:hAnsi="宋体" w:eastAsia="宋体" w:cs="宋体"/>
          <w:b/>
          <w:bCs/>
          <w:sz w:val="24"/>
          <w:szCs w:val="24"/>
        </w:rPr>
        <w:t>厨房设备</w:t>
      </w:r>
      <w:r>
        <w:rPr>
          <w:rFonts w:hint="eastAsia" w:ascii="宋体" w:hAnsi="宋体" w:eastAsia="宋体" w:cs="宋体"/>
          <w:sz w:val="24"/>
          <w:szCs w:val="24"/>
        </w:rPr>
        <w:t>：包括但不限于灶具、蒸饭柜、冰箱、消毒柜、排烟系统、洗菜池、工作台等，需明确材质、尺寸、功率、卫生标准、安装接驳要求。</w:t>
      </w:r>
    </w:p>
    <w:p w14:paraId="30080D27">
      <w:pPr>
        <w:pStyle w:val="4"/>
        <w:rPr>
          <w:rFonts w:hint="eastAsia" w:ascii="宋体" w:hAnsi="宋体" w:eastAsia="宋体" w:cs="宋体"/>
        </w:rPr>
      </w:pPr>
      <w:r>
        <w:rPr>
          <w:rFonts w:hint="eastAsia" w:ascii="宋体" w:hAnsi="宋体" w:eastAsia="宋体" w:cs="宋体"/>
        </w:rPr>
        <w:t>（二）合同价款</w:t>
      </w:r>
    </w:p>
    <w:p w14:paraId="579C94DF">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本合同总价款为人民币</w:t>
      </w:r>
      <w:r>
        <w:rPr>
          <w:rFonts w:hint="eastAsia" w:ascii="宋体" w:hAnsi="宋体" w:eastAsia="宋体" w:cs="宋体"/>
          <w:b/>
          <w:bCs/>
          <w:sz w:val="24"/>
          <w:szCs w:val="24"/>
        </w:rPr>
        <w:t>元整（大写：）</w:t>
      </w:r>
      <w:r>
        <w:rPr>
          <w:rFonts w:hint="eastAsia" w:ascii="宋体" w:hAnsi="宋体" w:eastAsia="宋体" w:cs="宋体"/>
          <w:sz w:val="24"/>
          <w:szCs w:val="24"/>
        </w:rPr>
        <w:t>，此价款为</w:t>
      </w:r>
      <w:r>
        <w:rPr>
          <w:rFonts w:hint="eastAsia" w:ascii="宋体" w:hAnsi="宋体" w:eastAsia="宋体" w:cs="宋体"/>
          <w:b/>
          <w:bCs/>
          <w:sz w:val="24"/>
          <w:szCs w:val="24"/>
        </w:rPr>
        <w:t>固定总价</w:t>
      </w:r>
      <w:r>
        <w:rPr>
          <w:rFonts w:hint="eastAsia" w:ascii="宋体" w:hAnsi="宋体" w:eastAsia="宋体" w:cs="宋体"/>
          <w:sz w:val="24"/>
          <w:szCs w:val="24"/>
        </w:rPr>
        <w:t>，包含产品出厂价、包装费、运输费、装卸费、保险费、安装调试费（如有）、培训费、税费、质保期内维修费、零配件费等全部费用，甲方无需支付本合同约定外的任何其他费用。</w:t>
      </w:r>
    </w:p>
    <w:p w14:paraId="33B3322C">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价款明细详见附件一，单价一经确定，合同履行期间不作任何调整，除非双方另行签订书面补充协议。</w:t>
      </w:r>
    </w:p>
    <w:p w14:paraId="3E559CD5">
      <w:pPr>
        <w:pStyle w:val="3"/>
        <w:tabs>
          <w:tab w:val="left" w:pos="420"/>
          <w:tab w:val="clear" w:pos="0"/>
        </w:tabs>
        <w:rPr>
          <w:rFonts w:hint="eastAsia" w:ascii="宋体" w:hAnsi="宋体" w:eastAsia="宋体" w:cs="宋体"/>
        </w:rPr>
      </w:pPr>
      <w:r>
        <w:rPr>
          <w:rFonts w:hint="eastAsia" w:ascii="宋体" w:hAnsi="宋体" w:eastAsia="宋体" w:cs="宋体"/>
        </w:rPr>
        <w:t>质量标准与技术要求</w:t>
      </w:r>
    </w:p>
    <w:p w14:paraId="0916B4DD">
      <w:pPr>
        <w:pStyle w:val="4"/>
        <w:rPr>
          <w:rFonts w:hint="eastAsia" w:ascii="宋体" w:hAnsi="宋体" w:eastAsia="宋体" w:cs="宋体"/>
        </w:rPr>
      </w:pPr>
      <w:r>
        <w:rPr>
          <w:rFonts w:hint="eastAsia" w:ascii="宋体" w:hAnsi="宋体" w:eastAsia="宋体" w:cs="宋体"/>
        </w:rPr>
        <w:t>（一）通用质量标准</w:t>
      </w:r>
    </w:p>
    <w:p w14:paraId="7AEA6FF6">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乙方所供产品必须为</w:t>
      </w:r>
      <w:r>
        <w:rPr>
          <w:rFonts w:hint="eastAsia" w:ascii="宋体" w:hAnsi="宋体" w:eastAsia="宋体" w:cs="宋体"/>
          <w:b/>
          <w:bCs/>
          <w:sz w:val="24"/>
          <w:szCs w:val="24"/>
        </w:rPr>
        <w:t>全新、原厂正品、未使用过的合格产品</w:t>
      </w:r>
      <w:r>
        <w:rPr>
          <w:rFonts w:hint="eastAsia" w:ascii="宋体" w:hAnsi="宋体" w:eastAsia="宋体" w:cs="宋体"/>
          <w:sz w:val="24"/>
          <w:szCs w:val="24"/>
        </w:rPr>
        <w:t>，无任何质量瑕疵、破损、缺陷，符合国家现行有效的强制性标准、行业标准、规范及甲方使用要求；</w:t>
      </w:r>
    </w:p>
    <w:p w14:paraId="6731F04D">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产品外包装完好，标识清晰，随货附带产品合格证、质量检验报告、使用说明书、保修卡、出厂证明等全套资料；医疗器械需额外提供医疗器械注册证、生产许可证、经营许可证复印件（加盖乙方公章），厨房设备需提供食品安全检测报告，信息化产品需提供3C认证证书。</w:t>
      </w:r>
    </w:p>
    <w:p w14:paraId="312D2CF3">
      <w:pPr>
        <w:pStyle w:val="4"/>
        <w:rPr>
          <w:rFonts w:hint="eastAsia" w:ascii="宋体" w:hAnsi="宋体" w:eastAsia="宋体" w:cs="宋体"/>
        </w:rPr>
      </w:pPr>
      <w:r>
        <w:rPr>
          <w:rFonts w:hint="eastAsia" w:ascii="宋体" w:hAnsi="宋体" w:eastAsia="宋体" w:cs="宋体"/>
        </w:rPr>
        <w:t>（二）分类专项标准</w:t>
      </w:r>
    </w:p>
    <w:p w14:paraId="750B7C6B">
      <w:pPr>
        <w:pStyle w:val="282"/>
        <w:numPr>
          <w:ilvl w:val="0"/>
          <w:numId w:val="65"/>
        </w:numPr>
        <w:rPr>
          <w:rFonts w:hint="eastAsia" w:ascii="宋体" w:hAnsi="宋体" w:eastAsia="宋体" w:cs="宋体"/>
          <w:sz w:val="24"/>
          <w:szCs w:val="24"/>
        </w:rPr>
      </w:pPr>
      <w:r>
        <w:rPr>
          <w:rFonts w:hint="eastAsia" w:ascii="宋体" w:hAnsi="宋体" w:eastAsia="宋体" w:cs="宋体"/>
          <w:b/>
          <w:bCs/>
          <w:sz w:val="24"/>
          <w:szCs w:val="24"/>
        </w:rPr>
        <w:t>会议室信息化产品</w:t>
      </w:r>
      <w:r>
        <w:rPr>
          <w:rFonts w:hint="eastAsia" w:ascii="宋体" w:hAnsi="宋体" w:eastAsia="宋体" w:cs="宋体"/>
          <w:sz w:val="24"/>
          <w:szCs w:val="24"/>
        </w:rPr>
        <w:t>：符合国家电子信息产品质量标准，技术参数完全匹配附件一要求，系统兼容稳定，安装调试后可正常运行，满足会议室日常会议、投屏、音响、网络等使用需求；</w:t>
      </w:r>
    </w:p>
    <w:p w14:paraId="2127373F">
      <w:pPr>
        <w:pStyle w:val="282"/>
        <w:numPr>
          <w:ilvl w:val="0"/>
          <w:numId w:val="65"/>
        </w:numPr>
        <w:rPr>
          <w:rFonts w:hint="eastAsia" w:ascii="宋体" w:hAnsi="宋体" w:eastAsia="宋体" w:cs="宋体"/>
          <w:sz w:val="24"/>
          <w:szCs w:val="24"/>
        </w:rPr>
      </w:pPr>
      <w:r>
        <w:rPr>
          <w:rFonts w:hint="eastAsia" w:ascii="宋体" w:hAnsi="宋体" w:eastAsia="宋体" w:cs="宋体"/>
          <w:b/>
          <w:bCs/>
          <w:sz w:val="24"/>
          <w:szCs w:val="24"/>
        </w:rPr>
        <w:t>医疗器械</w:t>
      </w:r>
      <w:r>
        <w:rPr>
          <w:rFonts w:hint="eastAsia" w:ascii="宋体" w:hAnsi="宋体" w:eastAsia="宋体" w:cs="宋体"/>
          <w:sz w:val="24"/>
          <w:szCs w:val="24"/>
        </w:rPr>
        <w:t>：严格符合《医疗器械监督管理条例》及相关国家标准、行业标准，与医疗器械注册证载明的技术要求完全一致，在有效期内，无菌、无破损，具备可追溯性，严禁提供过期、不合格、假冒伪劣医疗器械；</w:t>
      </w:r>
    </w:p>
    <w:p w14:paraId="43E24A0A">
      <w:pPr>
        <w:pStyle w:val="282"/>
        <w:numPr>
          <w:ilvl w:val="0"/>
          <w:numId w:val="65"/>
        </w:numPr>
        <w:rPr>
          <w:rFonts w:hint="eastAsia" w:ascii="宋体" w:hAnsi="宋体" w:eastAsia="宋体" w:cs="宋体"/>
          <w:sz w:val="24"/>
          <w:szCs w:val="24"/>
        </w:rPr>
      </w:pPr>
      <w:r>
        <w:rPr>
          <w:rFonts w:hint="eastAsia" w:ascii="宋体" w:hAnsi="宋体" w:eastAsia="宋体" w:cs="宋体"/>
          <w:b/>
          <w:bCs/>
          <w:sz w:val="24"/>
          <w:szCs w:val="24"/>
        </w:rPr>
        <w:t>厨房设备</w:t>
      </w:r>
      <w:r>
        <w:rPr>
          <w:rFonts w:hint="eastAsia" w:ascii="宋体" w:hAnsi="宋体" w:eastAsia="宋体" w:cs="宋体"/>
          <w:sz w:val="24"/>
          <w:szCs w:val="24"/>
        </w:rPr>
        <w:t>：符合食品安全国家标准及厨房设备行业规范，不锈钢材质达标，设备密封、排烟、水电接驳性能良好，耐高温、耐腐蚀，满足厨房安全、卫生、高效使用要求，排烟系统需符合环保排放标准。</w:t>
      </w:r>
    </w:p>
    <w:p w14:paraId="67EE4093">
      <w:pPr>
        <w:pStyle w:val="4"/>
        <w:rPr>
          <w:rFonts w:hint="eastAsia" w:ascii="宋体" w:hAnsi="宋体" w:eastAsia="宋体" w:cs="宋体"/>
        </w:rPr>
      </w:pPr>
      <w:r>
        <w:rPr>
          <w:rFonts w:hint="eastAsia" w:ascii="宋体" w:hAnsi="宋体" w:eastAsia="宋体" w:cs="宋体"/>
        </w:rPr>
        <w:t>（三）样品约定</w:t>
      </w:r>
    </w:p>
    <w:p w14:paraId="5B9DFFC8">
      <w:pPr>
        <w:pStyle w:val="282"/>
        <w:rPr>
          <w:rFonts w:hint="eastAsia" w:ascii="宋体" w:hAnsi="宋体" w:eastAsia="宋体" w:cs="宋体"/>
          <w:sz w:val="24"/>
          <w:szCs w:val="24"/>
        </w:rPr>
      </w:pPr>
      <w:r>
        <w:rPr>
          <w:rFonts w:hint="eastAsia" w:ascii="宋体" w:hAnsi="宋体" w:eastAsia="宋体" w:cs="宋体"/>
          <w:sz w:val="24"/>
          <w:szCs w:val="24"/>
        </w:rPr>
        <w:t>若双方签订合同前封存样品，产品质量需与封存样品完全一致，样品作为验收依据之一。</w:t>
      </w:r>
    </w:p>
    <w:p w14:paraId="1BB3DD8B">
      <w:pPr>
        <w:pStyle w:val="3"/>
        <w:tabs>
          <w:tab w:val="left" w:pos="420"/>
          <w:tab w:val="clear" w:pos="0"/>
        </w:tabs>
        <w:rPr>
          <w:rFonts w:hint="eastAsia" w:ascii="宋体" w:hAnsi="宋体" w:eastAsia="宋体" w:cs="宋体"/>
        </w:rPr>
      </w:pPr>
      <w:r>
        <w:rPr>
          <w:rFonts w:hint="eastAsia" w:ascii="宋体" w:hAnsi="宋体" w:eastAsia="宋体" w:cs="宋体"/>
        </w:rPr>
        <w:t>交货、运输及安装</w:t>
      </w:r>
    </w:p>
    <w:p w14:paraId="5A24DB9E">
      <w:pPr>
        <w:pStyle w:val="4"/>
        <w:rPr>
          <w:rFonts w:hint="eastAsia" w:ascii="宋体" w:hAnsi="宋体" w:eastAsia="宋体" w:cs="宋体"/>
        </w:rPr>
      </w:pPr>
      <w:r>
        <w:rPr>
          <w:rFonts w:hint="eastAsia" w:ascii="宋体" w:hAnsi="宋体" w:eastAsia="宋体" w:cs="宋体"/>
        </w:rPr>
        <w:t>（一）交货时间</w:t>
      </w:r>
    </w:p>
    <w:p w14:paraId="5FFF57C9">
      <w:pPr>
        <w:pStyle w:val="282"/>
        <w:rPr>
          <w:rFonts w:hint="eastAsia" w:ascii="宋体" w:hAnsi="宋体" w:eastAsia="宋体" w:cs="宋体"/>
          <w:sz w:val="24"/>
          <w:szCs w:val="24"/>
        </w:rPr>
      </w:pPr>
      <w:r>
        <w:rPr>
          <w:rFonts w:hint="eastAsia" w:ascii="宋体" w:hAnsi="宋体" w:eastAsia="宋体" w:cs="宋体"/>
          <w:sz w:val="24"/>
          <w:szCs w:val="24"/>
        </w:rPr>
        <w:t>乙方应于</w:t>
      </w:r>
      <w:r>
        <w:rPr>
          <w:rFonts w:hint="eastAsia" w:ascii="宋体" w:hAnsi="宋体" w:eastAsia="宋体" w:cs="宋体"/>
          <w:b/>
          <w:bCs/>
          <w:sz w:val="24"/>
          <w:szCs w:val="24"/>
          <w:lang w:val="en-US" w:eastAsia="zh-CN"/>
        </w:rPr>
        <w:t>合同签订完成后一个月之内</w:t>
      </w:r>
      <w:r>
        <w:rPr>
          <w:rFonts w:hint="eastAsia" w:ascii="宋体" w:hAnsi="宋体" w:eastAsia="宋体" w:cs="宋体"/>
          <w:sz w:val="24"/>
          <w:szCs w:val="24"/>
        </w:rPr>
        <w:t>前完成全部产品的交货、安装调试并交付甲方使用；分批交货的，双方另行约定每批次交货时间，以甲方书面通知为准。</w:t>
      </w:r>
    </w:p>
    <w:p w14:paraId="353237A2">
      <w:pPr>
        <w:pStyle w:val="4"/>
        <w:rPr>
          <w:rFonts w:hint="eastAsia" w:ascii="宋体" w:hAnsi="宋体" w:eastAsia="宋体" w:cs="宋体"/>
        </w:rPr>
      </w:pPr>
      <w:r>
        <w:rPr>
          <w:rFonts w:hint="eastAsia" w:ascii="宋体" w:hAnsi="宋体" w:eastAsia="宋体" w:cs="宋体"/>
        </w:rPr>
        <w:t>（二）交货地点</w:t>
      </w:r>
    </w:p>
    <w:p w14:paraId="24CD9413">
      <w:pPr>
        <w:pStyle w:val="282"/>
        <w:rPr>
          <w:rFonts w:hint="eastAsia" w:ascii="宋体" w:hAnsi="宋体" w:eastAsia="宋体" w:cs="宋体"/>
          <w:sz w:val="24"/>
          <w:szCs w:val="24"/>
        </w:rPr>
      </w:pPr>
      <w:r>
        <w:rPr>
          <w:rFonts w:hint="eastAsia" w:ascii="宋体" w:hAnsi="宋体" w:eastAsia="宋体" w:cs="宋体"/>
          <w:sz w:val="24"/>
          <w:szCs w:val="24"/>
        </w:rPr>
        <w:t>甲方指定地点：【北京市海淀区地锦路中关村环保科技园内</w:t>
      </w:r>
      <w:r>
        <w:rPr>
          <w:rFonts w:hint="eastAsia" w:ascii="宋体" w:hAnsi="宋体" w:eastAsia="宋体" w:cs="宋体"/>
          <w:sz w:val="24"/>
          <w:szCs w:val="24"/>
          <w:lang w:val="en-US" w:eastAsia="zh-CN"/>
        </w:rPr>
        <w:t>残联康复中心</w:t>
      </w:r>
      <w:r>
        <w:rPr>
          <w:rFonts w:hint="eastAsia" w:ascii="宋体" w:hAnsi="宋体" w:eastAsia="宋体" w:cs="宋体"/>
          <w:sz w:val="24"/>
          <w:szCs w:val="24"/>
        </w:rPr>
        <w:t>】（具体到楼层/房间，会议室、医疗室、厨房操作间等）</w:t>
      </w:r>
    </w:p>
    <w:p w14:paraId="2B4B617D">
      <w:pPr>
        <w:pStyle w:val="4"/>
        <w:rPr>
          <w:rFonts w:hint="eastAsia" w:ascii="宋体" w:hAnsi="宋体" w:eastAsia="宋体" w:cs="宋体"/>
        </w:rPr>
      </w:pPr>
      <w:r>
        <w:rPr>
          <w:rFonts w:hint="eastAsia" w:ascii="宋体" w:hAnsi="宋体" w:eastAsia="宋体" w:cs="宋体"/>
        </w:rPr>
        <w:t>（三）交货及运输</w:t>
      </w:r>
    </w:p>
    <w:p w14:paraId="4008D048">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乙方负责产品的运输、装卸，全程承担运输、装卸过程中的全部风险及费用，产品交付甲方前的毁损、灭失责任由乙方承担；</w:t>
      </w:r>
    </w:p>
    <w:p w14:paraId="09AEF883">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产品到货前24小时，乙方需书面或电话通知甲方，以便甲方安排验收；到货时乙方需提供送货单，注明产品名称、规格、数量、合同编号。</w:t>
      </w:r>
    </w:p>
    <w:p w14:paraId="53F2C0B6">
      <w:pPr>
        <w:pStyle w:val="4"/>
        <w:rPr>
          <w:rFonts w:hint="eastAsia" w:ascii="宋体" w:hAnsi="宋体" w:eastAsia="宋体" w:cs="宋体"/>
        </w:rPr>
      </w:pPr>
      <w:r>
        <w:rPr>
          <w:rFonts w:hint="eastAsia" w:ascii="宋体" w:hAnsi="宋体" w:eastAsia="宋体" w:cs="宋体"/>
        </w:rPr>
        <w:t>（四）安装调试</w:t>
      </w:r>
    </w:p>
    <w:p w14:paraId="43562712">
      <w:pPr>
        <w:pStyle w:val="282"/>
        <w:numPr>
          <w:ilvl w:val="0"/>
          <w:numId w:val="65"/>
        </w:numPr>
        <w:rPr>
          <w:rFonts w:hint="eastAsia" w:ascii="宋体" w:hAnsi="宋体" w:eastAsia="宋体" w:cs="宋体"/>
          <w:sz w:val="24"/>
          <w:szCs w:val="24"/>
        </w:rPr>
      </w:pPr>
      <w:r>
        <w:rPr>
          <w:rFonts w:hint="eastAsia" w:ascii="宋体" w:hAnsi="宋体" w:eastAsia="宋体" w:cs="宋体"/>
          <w:b/>
          <w:bCs/>
          <w:sz w:val="24"/>
          <w:szCs w:val="24"/>
        </w:rPr>
        <w:t>会议室信息化产品</w:t>
      </w:r>
      <w:r>
        <w:rPr>
          <w:rFonts w:hint="eastAsia" w:ascii="宋体" w:hAnsi="宋体" w:eastAsia="宋体" w:cs="宋体"/>
          <w:sz w:val="24"/>
          <w:szCs w:val="24"/>
        </w:rPr>
        <w:t>：乙方负责免费上门安装、布线、调试，确保整套系统正常运行，安装过程不得损坏甲方现有装修及设施，安装完毕后清理现场；</w:t>
      </w:r>
    </w:p>
    <w:p w14:paraId="3A63072A">
      <w:pPr>
        <w:pStyle w:val="282"/>
        <w:numPr>
          <w:ilvl w:val="0"/>
          <w:numId w:val="65"/>
        </w:numPr>
        <w:rPr>
          <w:rFonts w:hint="eastAsia" w:ascii="宋体" w:hAnsi="宋体" w:eastAsia="宋体" w:cs="宋体"/>
          <w:sz w:val="24"/>
          <w:szCs w:val="24"/>
        </w:rPr>
      </w:pPr>
      <w:r>
        <w:rPr>
          <w:rFonts w:hint="eastAsia" w:ascii="宋体" w:hAnsi="宋体" w:eastAsia="宋体" w:cs="宋体"/>
          <w:b/>
          <w:bCs/>
          <w:sz w:val="24"/>
          <w:szCs w:val="24"/>
        </w:rPr>
        <w:t>厨房设备</w:t>
      </w:r>
      <w:r>
        <w:rPr>
          <w:rFonts w:hint="eastAsia" w:ascii="宋体" w:hAnsi="宋体" w:eastAsia="宋体" w:cs="宋体"/>
          <w:sz w:val="24"/>
          <w:szCs w:val="24"/>
        </w:rPr>
        <w:t>：乙方负责设备就位、水电燃气接驳、排烟管道安装、调试，确保设备运行正常，符合厨房使用及安全规范，安装后清理施工垃圾；</w:t>
      </w:r>
    </w:p>
    <w:p w14:paraId="47E87AA5">
      <w:pPr>
        <w:pStyle w:val="282"/>
        <w:numPr>
          <w:ilvl w:val="0"/>
          <w:numId w:val="65"/>
        </w:numPr>
        <w:rPr>
          <w:rFonts w:hint="eastAsia" w:ascii="宋体" w:hAnsi="宋体" w:eastAsia="宋体" w:cs="宋体"/>
          <w:sz w:val="24"/>
          <w:szCs w:val="24"/>
        </w:rPr>
      </w:pPr>
      <w:r>
        <w:rPr>
          <w:rFonts w:hint="eastAsia" w:ascii="宋体" w:hAnsi="宋体" w:eastAsia="宋体" w:cs="宋体"/>
          <w:b/>
          <w:bCs/>
          <w:sz w:val="24"/>
          <w:szCs w:val="24"/>
        </w:rPr>
        <w:t>医疗器械</w:t>
      </w:r>
      <w:r>
        <w:rPr>
          <w:rFonts w:hint="eastAsia" w:ascii="宋体" w:hAnsi="宋体" w:eastAsia="宋体" w:cs="宋体"/>
          <w:sz w:val="24"/>
          <w:szCs w:val="24"/>
        </w:rPr>
        <w:t>：如需安装调试的大型设备，乙方负责免费安装调试，操作简单的小型设备无需安装，直接交付。</w:t>
      </w:r>
    </w:p>
    <w:p w14:paraId="35407E25">
      <w:pPr>
        <w:pStyle w:val="4"/>
        <w:rPr>
          <w:rFonts w:hint="eastAsia" w:ascii="宋体" w:hAnsi="宋体" w:eastAsia="宋体" w:cs="宋体"/>
        </w:rPr>
      </w:pPr>
      <w:r>
        <w:rPr>
          <w:rFonts w:hint="eastAsia" w:ascii="宋体" w:hAnsi="宋体" w:eastAsia="宋体" w:cs="宋体"/>
        </w:rPr>
        <w:t>（五）现场配合</w:t>
      </w:r>
    </w:p>
    <w:p w14:paraId="2CEBE87C">
      <w:pPr>
        <w:pStyle w:val="282"/>
        <w:rPr>
          <w:rFonts w:hint="eastAsia" w:ascii="宋体" w:hAnsi="宋体" w:eastAsia="宋体" w:cs="宋体"/>
          <w:sz w:val="24"/>
          <w:szCs w:val="24"/>
        </w:rPr>
      </w:pPr>
      <w:r>
        <w:rPr>
          <w:rFonts w:hint="eastAsia" w:ascii="宋体" w:hAnsi="宋体" w:eastAsia="宋体" w:cs="宋体"/>
          <w:sz w:val="24"/>
          <w:szCs w:val="24"/>
        </w:rPr>
        <w:t>甲方为乙方交货、安装提供必要的现场条件（如水电、场地），乙方施工人员需遵守甲方现场管理规定，文明施工，安全作业，若造成甲方或第三方财产损失、人身伤害，由乙方承担全部责任。</w:t>
      </w:r>
    </w:p>
    <w:p w14:paraId="49B5638F">
      <w:pPr>
        <w:pStyle w:val="3"/>
        <w:tabs>
          <w:tab w:val="left" w:pos="420"/>
          <w:tab w:val="clear" w:pos="0"/>
        </w:tabs>
        <w:rPr>
          <w:rFonts w:hint="eastAsia" w:ascii="宋体" w:hAnsi="宋体" w:eastAsia="宋体" w:cs="宋体"/>
        </w:rPr>
      </w:pPr>
      <w:r>
        <w:rPr>
          <w:rFonts w:hint="eastAsia" w:ascii="宋体" w:hAnsi="宋体" w:eastAsia="宋体" w:cs="宋体"/>
        </w:rPr>
        <w:t>验收标准与流程</w:t>
      </w:r>
    </w:p>
    <w:p w14:paraId="7208D3F3">
      <w:pPr>
        <w:pStyle w:val="4"/>
        <w:rPr>
          <w:rFonts w:hint="eastAsia" w:ascii="宋体" w:hAnsi="宋体" w:eastAsia="宋体" w:cs="宋体"/>
        </w:rPr>
      </w:pPr>
      <w:r>
        <w:rPr>
          <w:rFonts w:hint="eastAsia" w:ascii="宋体" w:hAnsi="宋体" w:eastAsia="宋体" w:cs="宋体"/>
        </w:rPr>
        <w:t>（一）初步验收</w:t>
      </w:r>
    </w:p>
    <w:p w14:paraId="5A5BDF7C">
      <w:pPr>
        <w:pStyle w:val="282"/>
        <w:rPr>
          <w:rFonts w:hint="eastAsia" w:ascii="宋体" w:hAnsi="宋体" w:eastAsia="宋体" w:cs="宋体"/>
          <w:sz w:val="24"/>
          <w:szCs w:val="24"/>
        </w:rPr>
      </w:pPr>
      <w:r>
        <w:rPr>
          <w:rFonts w:hint="eastAsia" w:ascii="宋体" w:hAnsi="宋体" w:eastAsia="宋体" w:cs="宋体"/>
          <w:sz w:val="24"/>
          <w:szCs w:val="24"/>
        </w:rPr>
        <w:t>产品到货后，甲方在</w:t>
      </w:r>
      <w:r>
        <w:rPr>
          <w:rFonts w:hint="eastAsia" w:ascii="宋体" w:hAnsi="宋体" w:eastAsia="宋体" w:cs="宋体"/>
          <w:b/>
          <w:bCs/>
          <w:sz w:val="24"/>
          <w:szCs w:val="24"/>
        </w:rPr>
        <w:t>3个工作日内</w:t>
      </w:r>
      <w:r>
        <w:rPr>
          <w:rFonts w:hint="eastAsia" w:ascii="宋体" w:hAnsi="宋体" w:eastAsia="宋体" w:cs="宋体"/>
          <w:sz w:val="24"/>
          <w:szCs w:val="24"/>
        </w:rPr>
        <w:t>组织初步验收，核对产品名称、规格型号、数量、外包装、随货资料，外观无破损、资料齐全的，签署初步验收单；初步验收仅为数量及外观确认，不视为产品最终质量合格。</w:t>
      </w:r>
    </w:p>
    <w:p w14:paraId="18E1E15B">
      <w:pPr>
        <w:pStyle w:val="4"/>
        <w:rPr>
          <w:rFonts w:hint="eastAsia" w:ascii="宋体" w:hAnsi="宋体" w:eastAsia="宋体" w:cs="宋体"/>
        </w:rPr>
      </w:pPr>
      <w:r>
        <w:rPr>
          <w:rFonts w:hint="eastAsia" w:ascii="宋体" w:hAnsi="宋体" w:eastAsia="宋体" w:cs="宋体"/>
        </w:rPr>
        <w:t>（二）最终验收</w:t>
      </w:r>
    </w:p>
    <w:p w14:paraId="667211BB">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无需安装的产品：初步验收后</w:t>
      </w:r>
      <w:r>
        <w:rPr>
          <w:rFonts w:hint="eastAsia" w:ascii="宋体" w:hAnsi="宋体" w:eastAsia="宋体" w:cs="宋体"/>
          <w:b/>
          <w:bCs/>
          <w:sz w:val="24"/>
          <w:szCs w:val="24"/>
        </w:rPr>
        <w:t>5个工作日内</w:t>
      </w:r>
      <w:r>
        <w:rPr>
          <w:rFonts w:hint="eastAsia" w:ascii="宋体" w:hAnsi="宋体" w:eastAsia="宋体" w:cs="宋体"/>
          <w:sz w:val="24"/>
          <w:szCs w:val="24"/>
        </w:rPr>
        <w:t>，甲方对产品质量、性能进行最终验收；</w:t>
      </w:r>
    </w:p>
    <w:p w14:paraId="6232C164">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需安装调试的产品：安装调试完毕后</w:t>
      </w:r>
      <w:r>
        <w:rPr>
          <w:rFonts w:hint="eastAsia" w:ascii="宋体" w:hAnsi="宋体" w:eastAsia="宋体" w:cs="宋体"/>
          <w:b/>
          <w:bCs/>
          <w:sz w:val="24"/>
          <w:szCs w:val="24"/>
        </w:rPr>
        <w:t>7个工作日内</w:t>
      </w:r>
      <w:r>
        <w:rPr>
          <w:rFonts w:hint="eastAsia" w:ascii="宋体" w:hAnsi="宋体" w:eastAsia="宋体" w:cs="宋体"/>
          <w:sz w:val="24"/>
          <w:szCs w:val="24"/>
        </w:rPr>
        <w:t>，甲方组织最终验收，测试产品运行性能、技术参数，三类产品分别按对应标准验收，验收合格后双方签署《最终验收合格确认书》；</w:t>
      </w:r>
    </w:p>
    <w:p w14:paraId="51278FFC">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医疗器械验收需额外核对注册证号、有效期、生产批号，确保合规可追溯；厨房设备需测试水电燃气运行、排烟效果、卫生性能；信息化产品需测试系统稳定性、功能完整性。</w:t>
      </w:r>
    </w:p>
    <w:p w14:paraId="0CC92D59">
      <w:pPr>
        <w:pStyle w:val="4"/>
        <w:rPr>
          <w:rFonts w:hint="eastAsia" w:ascii="宋体" w:hAnsi="宋体" w:eastAsia="宋体" w:cs="宋体"/>
        </w:rPr>
      </w:pPr>
      <w:r>
        <w:rPr>
          <w:rFonts w:hint="eastAsia" w:ascii="宋体" w:hAnsi="宋体" w:eastAsia="宋体" w:cs="宋体"/>
        </w:rPr>
        <w:t>（三）验收异议处理</w:t>
      </w:r>
    </w:p>
    <w:p w14:paraId="7E1AB448">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验收不合格的，甲方当场提出书面异议，注明不合格事项及整改要求；</w:t>
      </w:r>
    </w:p>
    <w:p w14:paraId="1F158820">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乙方应在</w:t>
      </w:r>
      <w:r>
        <w:rPr>
          <w:rFonts w:hint="eastAsia" w:ascii="宋体" w:hAnsi="宋体" w:eastAsia="宋体" w:cs="宋体"/>
          <w:b/>
          <w:bCs/>
          <w:sz w:val="24"/>
          <w:szCs w:val="24"/>
        </w:rPr>
        <w:t>3个工作日内</w:t>
      </w:r>
      <w:r>
        <w:rPr>
          <w:rFonts w:hint="eastAsia" w:ascii="宋体" w:hAnsi="宋体" w:eastAsia="宋体" w:cs="宋体"/>
          <w:sz w:val="24"/>
          <w:szCs w:val="24"/>
        </w:rPr>
        <w:t>无条件更换、退货或维修，直至验收合格，由此产生的全部费用、工期延误由乙方承担；</w:t>
      </w:r>
    </w:p>
    <w:p w14:paraId="7129B23E">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甲方逾期未提出书面异议，且未签署验收合格确认书的，视为产品初步验收合格；最终验收逾期未提出异议的，视为最终验收合格。</w:t>
      </w:r>
    </w:p>
    <w:p w14:paraId="57F941DC">
      <w:pPr>
        <w:pStyle w:val="3"/>
        <w:numPr>
          <w:ilvl w:val="0"/>
          <w:numId w:val="66"/>
        </w:numPr>
        <w:tabs>
          <w:tab w:val="left" w:pos="420"/>
          <w:tab w:val="clear" w:pos="0"/>
        </w:tabs>
        <w:rPr>
          <w:rFonts w:hint="eastAsia" w:ascii="宋体" w:hAnsi="宋体" w:eastAsia="宋体" w:cs="宋体"/>
        </w:rPr>
      </w:pPr>
      <w:r>
        <w:rPr>
          <w:rFonts w:hint="eastAsia" w:ascii="宋体" w:hAnsi="宋体" w:eastAsia="宋体" w:cs="宋体"/>
        </w:rPr>
        <w:t>付款方式</w:t>
      </w:r>
    </w:p>
    <w:p w14:paraId="2A884E01">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第一阶段，自合同签订后，乙方向甲方提供等额有效发票，甲方在收到发票后，且财政资金到甲方账户后的15个工作日内向乙方支付合同总金额的40%，即     元（小写¥    ）作为货物生产的预付款；</w:t>
      </w:r>
    </w:p>
    <w:p w14:paraId="1A4B09DC">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第二阶段，乙方按照合同约定的摆放方案，把所有合同约定的标的物安装调试到位并经甲方验收合格后，乙方向甲方提供等额有效发票后的15个工作日内，且财政资金到甲方账户后甲方支付合同金额的50%给乙方；</w:t>
      </w:r>
    </w:p>
    <w:p w14:paraId="7D821069">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第三阶段，剩余合同金额的10%验收合格之日起365个自然日内，乙方向甲方提供等额有效发票且财政资金到甲方账户后的15个工作日内甲方无息支付给乙方；</w:t>
      </w:r>
    </w:p>
    <w:p w14:paraId="4BB2043A">
      <w:pPr>
        <w:pStyle w:val="282"/>
        <w:numPr>
          <w:ilvl w:val="0"/>
          <w:numId w:val="0"/>
        </w:numPr>
        <w:ind w:leftChars="0"/>
        <w:rPr>
          <w:rFonts w:hint="eastAsia" w:ascii="宋体" w:hAnsi="宋体" w:eastAsia="宋体" w:cs="宋体"/>
          <w:sz w:val="24"/>
          <w:szCs w:val="24"/>
        </w:rPr>
      </w:pPr>
      <w:r>
        <w:rPr>
          <w:rFonts w:hint="eastAsia" w:ascii="宋体" w:hAnsi="宋体" w:eastAsia="宋体" w:cs="宋体"/>
          <w:sz w:val="24"/>
          <w:szCs w:val="24"/>
        </w:rPr>
        <w:t>乙方需在甲方付款前，开具对应金额的合法有效</w:t>
      </w:r>
      <w:r>
        <w:rPr>
          <w:rFonts w:hint="eastAsia" w:ascii="宋体" w:hAnsi="宋体" w:eastAsia="宋体" w:cs="宋体"/>
          <w:b/>
          <w:bCs/>
          <w:sz w:val="24"/>
          <w:szCs w:val="24"/>
        </w:rPr>
        <w:t>增值税专</w:t>
      </w:r>
      <w:r>
        <w:rPr>
          <w:rFonts w:hint="eastAsia" w:ascii="宋体" w:hAnsi="宋体" w:eastAsia="宋体" w:cs="宋体"/>
          <w:b/>
          <w:bCs/>
          <w:sz w:val="24"/>
          <w:szCs w:val="24"/>
          <w:lang w:val="en-US" w:eastAsia="zh-CN"/>
        </w:rPr>
        <w:t>/普</w:t>
      </w:r>
      <w:r>
        <w:rPr>
          <w:rFonts w:hint="eastAsia" w:ascii="宋体" w:hAnsi="宋体" w:eastAsia="宋体" w:cs="宋体"/>
          <w:b/>
          <w:bCs/>
          <w:sz w:val="24"/>
          <w:szCs w:val="24"/>
        </w:rPr>
        <w:t>用发票</w:t>
      </w:r>
      <w:r>
        <w:rPr>
          <w:rFonts w:hint="eastAsia" w:ascii="宋体" w:hAnsi="宋体" w:eastAsia="宋体" w:cs="宋体"/>
          <w:sz w:val="24"/>
          <w:szCs w:val="24"/>
        </w:rPr>
        <w:t>，否则甲方有权顺延付款，且不承担违约责任。</w:t>
      </w:r>
    </w:p>
    <w:p w14:paraId="55298C99">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付款账户：</w:t>
      </w:r>
    </w:p>
    <w:p w14:paraId="48AA86A3">
      <w:pPr>
        <w:pStyle w:val="282"/>
        <w:rPr>
          <w:rFonts w:hint="eastAsia" w:ascii="宋体" w:hAnsi="宋体" w:eastAsia="宋体" w:cs="宋体"/>
          <w:sz w:val="24"/>
          <w:szCs w:val="24"/>
        </w:rPr>
      </w:pPr>
      <w:r>
        <w:rPr>
          <w:rFonts w:hint="eastAsia" w:ascii="宋体" w:hAnsi="宋体" w:eastAsia="宋体" w:cs="宋体"/>
          <w:sz w:val="24"/>
          <w:szCs w:val="24"/>
        </w:rPr>
        <w:t>开户名：</w:t>
      </w:r>
    </w:p>
    <w:p w14:paraId="55B68C14">
      <w:pPr>
        <w:pStyle w:val="282"/>
        <w:rPr>
          <w:rFonts w:hint="eastAsia" w:ascii="宋体" w:hAnsi="宋体" w:eastAsia="宋体" w:cs="宋体"/>
          <w:sz w:val="24"/>
          <w:szCs w:val="24"/>
        </w:rPr>
      </w:pPr>
      <w:r>
        <w:rPr>
          <w:rFonts w:hint="eastAsia" w:ascii="宋体" w:hAnsi="宋体" w:eastAsia="宋体" w:cs="宋体"/>
          <w:sz w:val="24"/>
          <w:szCs w:val="24"/>
        </w:rPr>
        <w:t>开户行：</w:t>
      </w:r>
    </w:p>
    <w:p w14:paraId="68431DD2">
      <w:pPr>
        <w:pStyle w:val="282"/>
        <w:rPr>
          <w:rFonts w:hint="eastAsia" w:ascii="宋体" w:hAnsi="宋体" w:eastAsia="宋体" w:cs="宋体"/>
          <w:sz w:val="24"/>
          <w:szCs w:val="24"/>
        </w:rPr>
      </w:pPr>
      <w:r>
        <w:rPr>
          <w:rFonts w:hint="eastAsia" w:ascii="宋体" w:hAnsi="宋体" w:eastAsia="宋体" w:cs="宋体"/>
          <w:sz w:val="24"/>
          <w:szCs w:val="24"/>
        </w:rPr>
        <w:t>账号：</w:t>
      </w:r>
    </w:p>
    <w:p w14:paraId="1705B9B6">
      <w:pPr>
        <w:pStyle w:val="3"/>
        <w:tabs>
          <w:tab w:val="left" w:pos="420"/>
          <w:tab w:val="clear" w:pos="0"/>
        </w:tabs>
        <w:rPr>
          <w:rFonts w:hint="eastAsia" w:ascii="宋体" w:hAnsi="宋体" w:eastAsia="宋体" w:cs="宋体"/>
        </w:rPr>
      </w:pPr>
      <w:r>
        <w:rPr>
          <w:rFonts w:hint="eastAsia" w:ascii="宋体" w:hAnsi="宋体" w:eastAsia="宋体" w:cs="宋体"/>
        </w:rPr>
        <w:t>质保期与售后服务</w:t>
      </w:r>
    </w:p>
    <w:p w14:paraId="74EC06CC">
      <w:pPr>
        <w:pStyle w:val="4"/>
        <w:rPr>
          <w:rFonts w:hint="eastAsia" w:ascii="宋体" w:hAnsi="宋体" w:eastAsia="宋体" w:cs="宋体"/>
        </w:rPr>
      </w:pPr>
      <w:r>
        <w:rPr>
          <w:rFonts w:hint="eastAsia" w:ascii="宋体" w:hAnsi="宋体" w:eastAsia="宋体" w:cs="宋体"/>
        </w:rPr>
        <w:t>（一）质保期限</w:t>
      </w:r>
    </w:p>
    <w:p w14:paraId="61BAE4CD">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本合同产品质保期为</w:t>
      </w:r>
      <w:r>
        <w:rPr>
          <w:rFonts w:hint="eastAsia" w:ascii="宋体" w:hAnsi="宋体" w:eastAsia="宋体" w:cs="宋体"/>
          <w:b/>
          <w:bCs/>
          <w:sz w:val="24"/>
          <w:szCs w:val="24"/>
          <w:lang w:val="en-US" w:eastAsia="zh-CN"/>
        </w:rPr>
        <w:t>12</w:t>
      </w:r>
      <w:r>
        <w:rPr>
          <w:rFonts w:hint="eastAsia" w:ascii="宋体" w:hAnsi="宋体" w:eastAsia="宋体" w:cs="宋体"/>
          <w:b/>
          <w:bCs/>
          <w:sz w:val="24"/>
          <w:szCs w:val="24"/>
        </w:rPr>
        <w:t>个月</w:t>
      </w:r>
      <w:r>
        <w:rPr>
          <w:rFonts w:hint="eastAsia" w:ascii="宋体" w:hAnsi="宋体" w:eastAsia="宋体" w:cs="宋体"/>
          <w:sz w:val="24"/>
          <w:szCs w:val="24"/>
        </w:rPr>
        <w:t>，自</w:t>
      </w:r>
      <w:r>
        <w:rPr>
          <w:rFonts w:hint="eastAsia" w:ascii="宋体" w:hAnsi="宋体" w:eastAsia="宋体" w:cs="宋体"/>
          <w:b/>
          <w:bCs/>
          <w:sz w:val="24"/>
          <w:szCs w:val="24"/>
        </w:rPr>
        <w:t>最终验收合格之日</w:t>
      </w:r>
      <w:r>
        <w:rPr>
          <w:rFonts w:hint="eastAsia" w:ascii="宋体" w:hAnsi="宋体" w:eastAsia="宋体" w:cs="宋体"/>
          <w:sz w:val="24"/>
          <w:szCs w:val="24"/>
        </w:rPr>
        <w:t>起计算；国家法律法规或产品说明书规定质保期更长的，从其规定；医疗器械质保期按国家医疗器械相关规定及产品说明书执行，不得低于法定标准。</w:t>
      </w:r>
    </w:p>
    <w:p w14:paraId="1C598D13">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质保期内，乙方提供</w:t>
      </w:r>
      <w:r>
        <w:rPr>
          <w:rFonts w:hint="eastAsia" w:ascii="宋体" w:hAnsi="宋体" w:eastAsia="宋体" w:cs="宋体"/>
          <w:b/>
          <w:bCs/>
          <w:sz w:val="24"/>
          <w:szCs w:val="24"/>
        </w:rPr>
        <w:t>免费保修、免费更换零配件、免费上门维修</w:t>
      </w:r>
      <w:r>
        <w:rPr>
          <w:rFonts w:hint="eastAsia" w:ascii="宋体" w:hAnsi="宋体" w:eastAsia="宋体" w:cs="宋体"/>
          <w:sz w:val="24"/>
          <w:szCs w:val="24"/>
        </w:rPr>
        <w:t>服务，人为损坏、不可抗力、甲方操作不当除外。</w:t>
      </w:r>
    </w:p>
    <w:p w14:paraId="364CC87D">
      <w:pPr>
        <w:pStyle w:val="4"/>
        <w:rPr>
          <w:rFonts w:hint="eastAsia" w:ascii="宋体" w:hAnsi="宋体" w:eastAsia="宋体" w:cs="宋体"/>
        </w:rPr>
      </w:pPr>
      <w:r>
        <w:rPr>
          <w:rFonts w:hint="eastAsia" w:ascii="宋体" w:hAnsi="宋体" w:eastAsia="宋体" w:cs="宋体"/>
        </w:rPr>
        <w:t>（二）售后服务响应</w:t>
      </w:r>
    </w:p>
    <w:p w14:paraId="78F78A5D">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乙方设立专属售后服务专员，接到甲方故障通知后，</w:t>
      </w: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小时内响应，</w:t>
      </w:r>
      <w:r>
        <w:rPr>
          <w:rFonts w:hint="eastAsia" w:ascii="宋体" w:hAnsi="宋体" w:eastAsia="宋体" w:cs="宋体"/>
          <w:b/>
          <w:bCs/>
          <w:sz w:val="24"/>
          <w:szCs w:val="24"/>
          <w:lang w:val="en-US" w:eastAsia="zh-CN"/>
        </w:rPr>
        <w:t>48</w:t>
      </w:r>
      <w:r>
        <w:rPr>
          <w:rFonts w:hint="eastAsia" w:ascii="宋体" w:hAnsi="宋体" w:eastAsia="宋体" w:cs="宋体"/>
          <w:b/>
          <w:bCs/>
          <w:sz w:val="24"/>
          <w:szCs w:val="24"/>
        </w:rPr>
        <w:t>小时内派员到场维修</w:t>
      </w:r>
      <w:r>
        <w:rPr>
          <w:rFonts w:hint="eastAsia" w:ascii="宋体" w:hAnsi="宋体" w:eastAsia="宋体" w:cs="宋体"/>
          <w:sz w:val="24"/>
          <w:szCs w:val="24"/>
        </w:rPr>
        <w:t>，紧急情况（如医疗器械故障、厨房设备停用、会议系统瘫痪）需</w:t>
      </w:r>
      <w:r>
        <w:rPr>
          <w:rFonts w:hint="eastAsia" w:ascii="宋体" w:hAnsi="宋体" w:eastAsia="宋体" w:cs="宋体"/>
          <w:b/>
          <w:bCs/>
          <w:sz w:val="24"/>
          <w:szCs w:val="24"/>
        </w:rPr>
        <w:t>12小时内到场</w:t>
      </w:r>
      <w:r>
        <w:rPr>
          <w:rFonts w:hint="eastAsia" w:ascii="宋体" w:hAnsi="宋体" w:eastAsia="宋体" w:cs="宋体"/>
          <w:sz w:val="24"/>
          <w:szCs w:val="24"/>
        </w:rPr>
        <w:t>；</w:t>
      </w:r>
    </w:p>
    <w:p w14:paraId="2C9D7C35">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一般故障</w:t>
      </w:r>
      <w:r>
        <w:rPr>
          <w:rFonts w:hint="eastAsia" w:ascii="宋体" w:hAnsi="宋体" w:eastAsia="宋体" w:cs="宋体"/>
          <w:b/>
          <w:bCs/>
          <w:sz w:val="24"/>
          <w:szCs w:val="24"/>
          <w:lang w:val="en-US" w:eastAsia="zh-CN"/>
        </w:rPr>
        <w:t>96</w:t>
      </w:r>
      <w:r>
        <w:rPr>
          <w:rFonts w:hint="eastAsia" w:ascii="宋体" w:hAnsi="宋体" w:eastAsia="宋体" w:cs="宋体"/>
          <w:b/>
          <w:bCs/>
          <w:sz w:val="24"/>
          <w:szCs w:val="24"/>
        </w:rPr>
        <w:t>小时内修复</w:t>
      </w:r>
      <w:r>
        <w:rPr>
          <w:rFonts w:hint="eastAsia" w:ascii="宋体" w:hAnsi="宋体" w:eastAsia="宋体" w:cs="宋体"/>
          <w:sz w:val="24"/>
          <w:szCs w:val="24"/>
        </w:rPr>
        <w:t>，重大故障无法当场修复的，乙方需提供备用产品，确保甲方正常使用，直至产品修复完毕；</w:t>
      </w:r>
    </w:p>
    <w:p w14:paraId="19F0844D">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质保期内，产品因质量问题出现故障，乙方无法修复的，无条件更换全新合格产品，更换后质保期重新计算。</w:t>
      </w:r>
    </w:p>
    <w:p w14:paraId="2F0DB912">
      <w:pPr>
        <w:pStyle w:val="4"/>
        <w:rPr>
          <w:rFonts w:hint="eastAsia" w:ascii="宋体" w:hAnsi="宋体" w:eastAsia="宋体" w:cs="宋体"/>
        </w:rPr>
      </w:pPr>
      <w:r>
        <w:rPr>
          <w:rFonts w:hint="eastAsia" w:ascii="宋体" w:hAnsi="宋体" w:eastAsia="宋体" w:cs="宋体"/>
        </w:rPr>
        <w:t>（三）培训服务</w:t>
      </w:r>
    </w:p>
    <w:p w14:paraId="307DE441">
      <w:pPr>
        <w:pStyle w:val="282"/>
        <w:rPr>
          <w:rFonts w:hint="eastAsia" w:ascii="宋体" w:hAnsi="宋体" w:eastAsia="宋体" w:cs="宋体"/>
          <w:sz w:val="24"/>
          <w:szCs w:val="24"/>
        </w:rPr>
      </w:pPr>
      <w:r>
        <w:rPr>
          <w:rFonts w:hint="eastAsia" w:ascii="宋体" w:hAnsi="宋体" w:eastAsia="宋体" w:cs="宋体"/>
          <w:sz w:val="24"/>
          <w:szCs w:val="24"/>
        </w:rPr>
        <w:t>乙方免费为甲方操作人员提供产品使用、日常维护、简单故障排查培训，确保甲方人员熟练操作，培训记录双方签字确认。</w:t>
      </w:r>
    </w:p>
    <w:p w14:paraId="67372DC9">
      <w:pPr>
        <w:pStyle w:val="4"/>
        <w:rPr>
          <w:rFonts w:hint="eastAsia" w:ascii="宋体" w:hAnsi="宋体" w:eastAsia="宋体" w:cs="宋体"/>
        </w:rPr>
      </w:pPr>
      <w:r>
        <w:rPr>
          <w:rFonts w:hint="eastAsia" w:ascii="宋体" w:hAnsi="宋体" w:eastAsia="宋体" w:cs="宋体"/>
        </w:rPr>
        <w:t>（四）质保期外服务</w:t>
      </w:r>
    </w:p>
    <w:p w14:paraId="33B7F212">
      <w:pPr>
        <w:pStyle w:val="282"/>
        <w:rPr>
          <w:rFonts w:hint="eastAsia" w:ascii="宋体" w:hAnsi="宋体" w:eastAsia="宋体" w:cs="宋体"/>
          <w:sz w:val="24"/>
          <w:szCs w:val="24"/>
        </w:rPr>
      </w:pPr>
      <w:r>
        <w:rPr>
          <w:rFonts w:hint="eastAsia" w:ascii="宋体" w:hAnsi="宋体" w:eastAsia="宋体" w:cs="宋体"/>
          <w:sz w:val="24"/>
          <w:szCs w:val="24"/>
        </w:rPr>
        <w:t>质保期满后，乙方提供终身维修服务，仅收取零配件成本费，免收上门服务费、维修费，维修价格不得高于市场同期价格。</w:t>
      </w:r>
    </w:p>
    <w:p w14:paraId="083F1FD8">
      <w:pPr>
        <w:pStyle w:val="3"/>
        <w:tabs>
          <w:tab w:val="left" w:pos="420"/>
          <w:tab w:val="clear" w:pos="0"/>
        </w:tabs>
        <w:rPr>
          <w:rFonts w:hint="eastAsia" w:ascii="宋体" w:hAnsi="宋体" w:eastAsia="宋体" w:cs="宋体"/>
        </w:rPr>
      </w:pPr>
      <w:r>
        <w:rPr>
          <w:rFonts w:hint="eastAsia" w:ascii="宋体" w:hAnsi="宋体" w:eastAsia="宋体" w:cs="宋体"/>
        </w:rPr>
        <w:t>八、双方权利与义务</w:t>
      </w:r>
    </w:p>
    <w:p w14:paraId="724031DD">
      <w:pPr>
        <w:pStyle w:val="4"/>
        <w:rPr>
          <w:rFonts w:hint="eastAsia" w:ascii="宋体" w:hAnsi="宋体" w:eastAsia="宋体" w:cs="宋体"/>
        </w:rPr>
      </w:pPr>
      <w:r>
        <w:rPr>
          <w:rFonts w:hint="eastAsia" w:ascii="宋体" w:hAnsi="宋体" w:eastAsia="宋体" w:cs="宋体"/>
        </w:rPr>
        <w:t>（一）甲方权利义务</w:t>
      </w:r>
    </w:p>
    <w:p w14:paraId="796CD0DE">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按合同约定及时支付货款，提供交货、安装所需的现场条件；</w:t>
      </w:r>
    </w:p>
    <w:p w14:paraId="632BA42F">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按约定及时组织产品验收，配合乙方完成安装、调试及培训工作；</w:t>
      </w:r>
    </w:p>
    <w:p w14:paraId="6BCE8486">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有权对产品质量、交货进度进行监督，发现不合格产品有权要求乙方退换；</w:t>
      </w:r>
    </w:p>
    <w:p w14:paraId="0E7DC97B">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妥善保管已交付的产品，按说明书规范操作，不得擅自拆卸、改装产品；</w:t>
      </w:r>
    </w:p>
    <w:p w14:paraId="63AD3B19">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及时向乙方反馈产品使用问题，配合乙方开展售后服务。</w:t>
      </w:r>
    </w:p>
    <w:p w14:paraId="64A8A748">
      <w:pPr>
        <w:pStyle w:val="4"/>
        <w:rPr>
          <w:rFonts w:hint="eastAsia" w:ascii="宋体" w:hAnsi="宋体" w:eastAsia="宋体" w:cs="宋体"/>
        </w:rPr>
      </w:pPr>
      <w:r>
        <w:rPr>
          <w:rFonts w:hint="eastAsia" w:ascii="宋体" w:hAnsi="宋体" w:eastAsia="宋体" w:cs="宋体"/>
        </w:rPr>
        <w:t>（二）乙方权利义务</w:t>
      </w:r>
    </w:p>
    <w:p w14:paraId="5D72F20E">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按合同约定按时、按质、按量交付产品，完成安装调试，确保产品合规、合格；</w:t>
      </w:r>
    </w:p>
    <w:p w14:paraId="3D26194B">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保证所供产品无知识产权纠纷，若引发侵权责任，由乙方承担全部赔偿责任；</w:t>
      </w:r>
    </w:p>
    <w:p w14:paraId="6AC1948E">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严格履行质保及售后服务义务，及时处理甲方提出的质量异议及故障问题；</w:t>
      </w:r>
    </w:p>
    <w:p w14:paraId="7D60221C">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提供产品全套合格资料，配合甲方完成验收、入账、备案（如医疗器械备案）工作；</w:t>
      </w:r>
    </w:p>
    <w:p w14:paraId="4E8F3FEA">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遵守甲方现场管理规定，文明施工，承担产品交付前及安装期间的全部安全责任。</w:t>
      </w:r>
    </w:p>
    <w:p w14:paraId="6D668143">
      <w:pPr>
        <w:pStyle w:val="3"/>
        <w:tabs>
          <w:tab w:val="left" w:pos="420"/>
          <w:tab w:val="clear" w:pos="0"/>
        </w:tabs>
        <w:rPr>
          <w:rFonts w:hint="eastAsia" w:ascii="宋体" w:hAnsi="宋体" w:eastAsia="宋体" w:cs="宋体"/>
        </w:rPr>
      </w:pPr>
      <w:r>
        <w:rPr>
          <w:rFonts w:hint="eastAsia" w:ascii="宋体" w:hAnsi="宋体" w:eastAsia="宋体" w:cs="宋体"/>
        </w:rPr>
        <w:t>违约责任</w:t>
      </w:r>
    </w:p>
    <w:p w14:paraId="696E2C67">
      <w:pPr>
        <w:pStyle w:val="4"/>
        <w:rPr>
          <w:rFonts w:hint="eastAsia" w:ascii="宋体" w:hAnsi="宋体" w:eastAsia="宋体" w:cs="宋体"/>
        </w:rPr>
      </w:pPr>
      <w:r>
        <w:rPr>
          <w:rFonts w:hint="eastAsia" w:ascii="宋体" w:hAnsi="宋体" w:eastAsia="宋体" w:cs="宋体"/>
        </w:rPr>
        <w:t>（一）乙方违约责任</w:t>
      </w:r>
    </w:p>
    <w:p w14:paraId="0899A9F9">
      <w:pPr>
        <w:pStyle w:val="282"/>
        <w:numPr>
          <w:ilvl w:val="0"/>
          <w:numId w:val="65"/>
        </w:numPr>
        <w:rPr>
          <w:rFonts w:hint="eastAsia" w:ascii="宋体" w:hAnsi="宋体" w:eastAsia="宋体" w:cs="宋体"/>
          <w:sz w:val="24"/>
          <w:szCs w:val="24"/>
        </w:rPr>
      </w:pPr>
      <w:r>
        <w:rPr>
          <w:rFonts w:hint="eastAsia" w:ascii="宋体" w:hAnsi="宋体" w:eastAsia="宋体" w:cs="宋体"/>
          <w:b/>
          <w:bCs/>
          <w:sz w:val="24"/>
          <w:szCs w:val="24"/>
        </w:rPr>
        <w:t>逾期交货/安装</w:t>
      </w:r>
      <w:r>
        <w:rPr>
          <w:rFonts w:hint="eastAsia" w:ascii="宋体" w:hAnsi="宋体" w:eastAsia="宋体" w:cs="宋体"/>
          <w:sz w:val="24"/>
          <w:szCs w:val="24"/>
        </w:rPr>
        <w:t>：每逾期一日，按合同总价款的</w:t>
      </w:r>
      <w:r>
        <w:rPr>
          <w:rFonts w:hint="eastAsia" w:ascii="宋体" w:hAnsi="宋体" w:eastAsia="宋体" w:cs="宋体"/>
          <w:b/>
          <w:bCs/>
          <w:sz w:val="24"/>
          <w:szCs w:val="24"/>
        </w:rPr>
        <w:t>0.5‰向甲方支付违约金；逾期超过15日</w:t>
      </w:r>
      <w:r>
        <w:rPr>
          <w:rFonts w:hint="eastAsia" w:ascii="宋体" w:hAnsi="宋体" w:eastAsia="宋体" w:cs="宋体"/>
          <w:sz w:val="24"/>
          <w:szCs w:val="24"/>
        </w:rPr>
        <w:t>，甲方有权解除合同，乙方需退还甲方已支付的全部款项，并按合同总价款的20%支付违约金，同时赔偿甲方全部损失；</w:t>
      </w:r>
    </w:p>
    <w:p w14:paraId="58F8E351">
      <w:pPr>
        <w:pStyle w:val="282"/>
        <w:numPr>
          <w:ilvl w:val="0"/>
          <w:numId w:val="65"/>
        </w:numPr>
        <w:rPr>
          <w:rFonts w:hint="eastAsia" w:ascii="宋体" w:hAnsi="宋体" w:eastAsia="宋体" w:cs="宋体"/>
          <w:sz w:val="24"/>
          <w:szCs w:val="24"/>
        </w:rPr>
      </w:pPr>
      <w:r>
        <w:rPr>
          <w:rFonts w:hint="eastAsia" w:ascii="宋体" w:hAnsi="宋体" w:eastAsia="宋体" w:cs="宋体"/>
          <w:b/>
          <w:bCs/>
          <w:sz w:val="24"/>
          <w:szCs w:val="24"/>
        </w:rPr>
        <w:t>产品质量不合格</w:t>
      </w:r>
      <w:r>
        <w:rPr>
          <w:rFonts w:hint="eastAsia" w:ascii="宋体" w:hAnsi="宋体" w:eastAsia="宋体" w:cs="宋体"/>
          <w:sz w:val="24"/>
          <w:szCs w:val="24"/>
        </w:rPr>
        <w:t>：乙方无条件退换货，承担全部费用，按合同总价款的20%支付违约金，若造成甲方人身伤害、财产损失、工期延误等全部损失，由乙方全额赔偿；供应不合格医疗器械的，乙方还需承担相关行政责任及法律责任；</w:t>
      </w:r>
    </w:p>
    <w:p w14:paraId="6C625863">
      <w:pPr>
        <w:pStyle w:val="282"/>
        <w:numPr>
          <w:ilvl w:val="0"/>
          <w:numId w:val="65"/>
        </w:numPr>
        <w:rPr>
          <w:rFonts w:hint="eastAsia" w:ascii="宋体" w:hAnsi="宋体" w:eastAsia="宋体" w:cs="宋体"/>
          <w:sz w:val="24"/>
          <w:szCs w:val="24"/>
        </w:rPr>
      </w:pPr>
      <w:r>
        <w:rPr>
          <w:rFonts w:hint="eastAsia" w:ascii="宋体" w:hAnsi="宋体" w:eastAsia="宋体" w:cs="宋体"/>
          <w:b/>
          <w:bCs/>
          <w:sz w:val="24"/>
          <w:szCs w:val="24"/>
        </w:rPr>
        <w:t>违反质保及售后义务</w:t>
      </w:r>
      <w:r>
        <w:rPr>
          <w:rFonts w:hint="eastAsia" w:ascii="宋体" w:hAnsi="宋体" w:eastAsia="宋体" w:cs="宋体"/>
          <w:sz w:val="24"/>
          <w:szCs w:val="24"/>
        </w:rPr>
        <w:t>：乙方未按约定响应维修、更换产品，每逾期一日，按合同总价款的0.3‰支付违约金，逾期超过7日，甲方有权自行委托第三方维修，费用由乙方承担，同时扣除全部质保金；</w:t>
      </w:r>
    </w:p>
    <w:p w14:paraId="759ACF6F">
      <w:pPr>
        <w:pStyle w:val="282"/>
        <w:numPr>
          <w:ilvl w:val="0"/>
          <w:numId w:val="65"/>
        </w:numPr>
        <w:rPr>
          <w:rFonts w:hint="eastAsia" w:ascii="宋体" w:hAnsi="宋体" w:eastAsia="宋体" w:cs="宋体"/>
          <w:sz w:val="24"/>
          <w:szCs w:val="24"/>
        </w:rPr>
      </w:pPr>
      <w:r>
        <w:rPr>
          <w:rFonts w:hint="eastAsia" w:ascii="宋体" w:hAnsi="宋体" w:eastAsia="宋体" w:cs="宋体"/>
          <w:b/>
          <w:bCs/>
          <w:sz w:val="24"/>
          <w:szCs w:val="24"/>
        </w:rPr>
        <w:t>虚假资质/假冒产品</w:t>
      </w:r>
      <w:r>
        <w:rPr>
          <w:rFonts w:hint="eastAsia" w:ascii="宋体" w:hAnsi="宋体" w:eastAsia="宋体" w:cs="宋体"/>
          <w:sz w:val="24"/>
          <w:szCs w:val="24"/>
        </w:rPr>
        <w:t>：乙方提供虚假资质、假冒伪劣产品，甲方有权立即解除合同，乙方退还全部货款，按合同总价款的30%支付违约金，并承担由此引发的全部法律责任及赔偿责任。</w:t>
      </w:r>
    </w:p>
    <w:p w14:paraId="0AF8E91A">
      <w:pPr>
        <w:pStyle w:val="4"/>
        <w:rPr>
          <w:rFonts w:hint="eastAsia" w:ascii="宋体" w:hAnsi="宋体" w:eastAsia="宋体" w:cs="宋体"/>
        </w:rPr>
      </w:pPr>
      <w:r>
        <w:rPr>
          <w:rFonts w:hint="eastAsia" w:ascii="宋体" w:hAnsi="宋体" w:eastAsia="宋体" w:cs="宋体"/>
        </w:rPr>
        <w:t>（二）甲方违约责任</w:t>
      </w:r>
    </w:p>
    <w:p w14:paraId="5D2D0867">
      <w:pPr>
        <w:pStyle w:val="282"/>
        <w:numPr>
          <w:ilvl w:val="0"/>
          <w:numId w:val="65"/>
        </w:numPr>
        <w:rPr>
          <w:rFonts w:hint="eastAsia" w:ascii="宋体" w:hAnsi="宋体" w:eastAsia="宋体" w:cs="宋体"/>
          <w:sz w:val="24"/>
          <w:szCs w:val="24"/>
        </w:rPr>
      </w:pPr>
      <w:r>
        <w:rPr>
          <w:rFonts w:hint="eastAsia" w:ascii="宋体" w:hAnsi="宋体" w:eastAsia="宋体" w:cs="宋体"/>
          <w:b/>
          <w:bCs/>
          <w:sz w:val="24"/>
          <w:szCs w:val="24"/>
        </w:rPr>
        <w:t>逾期付款</w:t>
      </w:r>
      <w:r>
        <w:rPr>
          <w:rFonts w:hint="eastAsia" w:ascii="宋体" w:hAnsi="宋体" w:eastAsia="宋体" w:cs="宋体"/>
          <w:sz w:val="24"/>
          <w:szCs w:val="24"/>
        </w:rPr>
        <w:t>：每逾期一日，按应付未付款金额的0.5‰向乙方支付违约金，逾期超过30日，乙方有权暂停供货、安装及售后服务；</w:t>
      </w:r>
    </w:p>
    <w:p w14:paraId="03892A9C">
      <w:pPr>
        <w:pStyle w:val="282"/>
        <w:numPr>
          <w:ilvl w:val="0"/>
          <w:numId w:val="65"/>
        </w:numPr>
        <w:rPr>
          <w:rFonts w:hint="eastAsia" w:ascii="宋体" w:hAnsi="宋体" w:eastAsia="宋体" w:cs="宋体"/>
          <w:sz w:val="24"/>
          <w:szCs w:val="24"/>
        </w:rPr>
      </w:pPr>
      <w:r>
        <w:rPr>
          <w:rFonts w:hint="eastAsia" w:ascii="宋体" w:hAnsi="宋体" w:eastAsia="宋体" w:cs="宋体"/>
          <w:b/>
          <w:bCs/>
          <w:sz w:val="24"/>
          <w:szCs w:val="24"/>
        </w:rPr>
        <w:t>无正当理由拒收产品</w:t>
      </w:r>
      <w:r>
        <w:rPr>
          <w:rFonts w:hint="eastAsia" w:ascii="宋体" w:hAnsi="宋体" w:eastAsia="宋体" w:cs="宋体"/>
          <w:sz w:val="24"/>
          <w:szCs w:val="24"/>
        </w:rPr>
        <w:t>：甲方无正当理由拒绝接收合格产品，按合同总价款的10%向乙方支付违约金，赔偿乙方运输、仓储等实际损失；</w:t>
      </w:r>
    </w:p>
    <w:p w14:paraId="3E2ECE21">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因甲方原因导致交货、安装延期，责任由甲方承担，乙方不承担违约责任。</w:t>
      </w:r>
    </w:p>
    <w:p w14:paraId="15CACD92">
      <w:pPr>
        <w:pStyle w:val="3"/>
        <w:tabs>
          <w:tab w:val="left" w:pos="420"/>
          <w:tab w:val="clear" w:pos="0"/>
        </w:tabs>
        <w:rPr>
          <w:rFonts w:hint="eastAsia" w:ascii="宋体" w:hAnsi="宋体" w:eastAsia="宋体" w:cs="宋体"/>
        </w:rPr>
      </w:pPr>
      <w:r>
        <w:rPr>
          <w:rFonts w:hint="eastAsia" w:ascii="宋体" w:hAnsi="宋体" w:eastAsia="宋体" w:cs="宋体"/>
        </w:rPr>
        <w:t>不可抗力</w:t>
      </w:r>
    </w:p>
    <w:p w14:paraId="58BFB1F4">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因地震、火灾、洪水、台风、战争、政府征收等不能预见、不能避免、不能克服的不可抗力事件，导致本合同无法履行的，受影响一方应立即通知对方，在事件发生后15日内提供有效证明文件，双方协商延期履行、部分履行或解除合同；</w:t>
      </w:r>
    </w:p>
    <w:p w14:paraId="57556AE1">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不可抗力导致的损失，双方互不承担违约责任，但应尽力减少损失，逾期通知导致损失扩大的，由责任方承担扩大损失部分。</w:t>
      </w:r>
    </w:p>
    <w:p w14:paraId="0E745843">
      <w:pPr>
        <w:pStyle w:val="3"/>
        <w:tabs>
          <w:tab w:val="left" w:pos="420"/>
          <w:tab w:val="clear" w:pos="0"/>
        </w:tabs>
        <w:rPr>
          <w:rFonts w:hint="eastAsia" w:ascii="宋体" w:hAnsi="宋体" w:eastAsia="宋体" w:cs="宋体"/>
        </w:rPr>
      </w:pPr>
      <w:r>
        <w:rPr>
          <w:rFonts w:hint="eastAsia" w:ascii="宋体" w:hAnsi="宋体" w:eastAsia="宋体" w:cs="宋体"/>
        </w:rPr>
        <w:t>合同的变更与解除</w:t>
      </w:r>
    </w:p>
    <w:p w14:paraId="43F4C427">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本合同的任何变更、补充，需经双方协商一致，签订书面补充协议，补充协议与本合同具有同等法律效力；</w:t>
      </w:r>
    </w:p>
    <w:p w14:paraId="09A193B7">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除本合同约定外，任何一方不得擅自解除合同，如需解除，需提前30日书面通知对方，经双方协商一致后方可解除，否则承担违约责任；</w:t>
      </w:r>
    </w:p>
    <w:p w14:paraId="7554F014">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乙方出现下列情形之一，甲方有权单方解除合同，乙方承担全部违约责任：</w:t>
      </w:r>
    </w:p>
    <w:p w14:paraId="70C3AF00">
      <w:pPr>
        <w:pStyle w:val="282"/>
        <w:rPr>
          <w:rFonts w:hint="eastAsia" w:ascii="宋体" w:hAnsi="宋体" w:eastAsia="宋体" w:cs="宋体"/>
          <w:sz w:val="24"/>
          <w:szCs w:val="24"/>
        </w:rPr>
      </w:pPr>
      <w:r>
        <w:rPr>
          <w:rFonts w:hint="eastAsia" w:ascii="宋体" w:hAnsi="宋体" w:eastAsia="宋体" w:cs="宋体"/>
          <w:sz w:val="24"/>
          <w:szCs w:val="24"/>
        </w:rPr>
        <w:t>（1）产品质量严重不合格，逾期未整改到位；</w:t>
      </w:r>
    </w:p>
    <w:p w14:paraId="4F0CD336">
      <w:pPr>
        <w:pStyle w:val="282"/>
        <w:rPr>
          <w:rFonts w:hint="eastAsia" w:ascii="宋体" w:hAnsi="宋体" w:eastAsia="宋体" w:cs="宋体"/>
          <w:sz w:val="24"/>
          <w:szCs w:val="24"/>
        </w:rPr>
      </w:pPr>
      <w:r>
        <w:rPr>
          <w:rFonts w:hint="eastAsia" w:ascii="宋体" w:hAnsi="宋体" w:eastAsia="宋体" w:cs="宋体"/>
          <w:sz w:val="24"/>
          <w:szCs w:val="24"/>
        </w:rPr>
        <w:t>（2）逾期交货/安装超过15日；</w:t>
      </w:r>
    </w:p>
    <w:p w14:paraId="6BA832CC">
      <w:pPr>
        <w:pStyle w:val="282"/>
        <w:rPr>
          <w:rFonts w:hint="eastAsia" w:ascii="宋体" w:hAnsi="宋体" w:eastAsia="宋体" w:cs="宋体"/>
          <w:sz w:val="24"/>
          <w:szCs w:val="24"/>
        </w:rPr>
      </w:pPr>
      <w:r>
        <w:rPr>
          <w:rFonts w:hint="eastAsia" w:ascii="宋体" w:hAnsi="宋体" w:eastAsia="宋体" w:cs="宋体"/>
          <w:sz w:val="24"/>
          <w:szCs w:val="24"/>
        </w:rPr>
        <w:t>（3）提供虚假资质、假冒产品；</w:t>
      </w:r>
    </w:p>
    <w:p w14:paraId="294B82B0">
      <w:pPr>
        <w:pStyle w:val="282"/>
        <w:rPr>
          <w:rFonts w:hint="eastAsia" w:ascii="宋体" w:hAnsi="宋体" w:eastAsia="宋体" w:cs="宋体"/>
          <w:sz w:val="24"/>
          <w:szCs w:val="24"/>
        </w:rPr>
      </w:pPr>
      <w:r>
        <w:rPr>
          <w:rFonts w:hint="eastAsia" w:ascii="宋体" w:hAnsi="宋体" w:eastAsia="宋体" w:cs="宋体"/>
          <w:sz w:val="24"/>
          <w:szCs w:val="24"/>
        </w:rPr>
        <w:t>（4）拒不履行质保及售后服务义务。</w:t>
      </w:r>
    </w:p>
    <w:p w14:paraId="5885216D">
      <w:pPr>
        <w:pStyle w:val="3"/>
        <w:tabs>
          <w:tab w:val="left" w:pos="420"/>
          <w:tab w:val="clear" w:pos="0"/>
        </w:tabs>
        <w:rPr>
          <w:rFonts w:hint="eastAsia" w:ascii="宋体" w:hAnsi="宋体" w:eastAsia="宋体" w:cs="宋体"/>
        </w:rPr>
      </w:pPr>
      <w:r>
        <w:rPr>
          <w:rFonts w:hint="eastAsia" w:ascii="宋体" w:hAnsi="宋体" w:eastAsia="宋体" w:cs="宋体"/>
        </w:rPr>
        <w:t>争议解决</w:t>
      </w:r>
    </w:p>
    <w:p w14:paraId="3A487404">
      <w:pPr>
        <w:pStyle w:val="282"/>
        <w:rPr>
          <w:rFonts w:hint="eastAsia" w:ascii="宋体" w:hAnsi="宋体" w:eastAsia="宋体" w:cs="宋体"/>
          <w:sz w:val="24"/>
          <w:szCs w:val="24"/>
        </w:rPr>
      </w:pPr>
      <w:r>
        <w:rPr>
          <w:rFonts w:hint="eastAsia" w:ascii="宋体" w:hAnsi="宋体" w:eastAsia="宋体" w:cs="宋体"/>
          <w:sz w:val="24"/>
          <w:szCs w:val="24"/>
        </w:rPr>
        <w:t>因本合同引起的或与本合同有关的任何争议，双方应首先友好协商解决；协商不成的，任何一方均有权向</w:t>
      </w:r>
      <w:r>
        <w:rPr>
          <w:rFonts w:hint="eastAsia" w:ascii="宋体" w:hAnsi="宋体" w:eastAsia="宋体" w:cs="宋体"/>
          <w:b/>
          <w:bCs/>
          <w:sz w:val="24"/>
          <w:szCs w:val="24"/>
        </w:rPr>
        <w:t>甲方所在地有管辖权的人民法院</w:t>
      </w:r>
      <w:r>
        <w:rPr>
          <w:rFonts w:hint="eastAsia" w:ascii="宋体" w:hAnsi="宋体" w:eastAsia="宋体" w:cs="宋体"/>
          <w:sz w:val="24"/>
          <w:szCs w:val="24"/>
        </w:rPr>
        <w:t>提起诉讼。</w:t>
      </w:r>
    </w:p>
    <w:p w14:paraId="13D389E4">
      <w:pPr>
        <w:pStyle w:val="3"/>
        <w:tabs>
          <w:tab w:val="left" w:pos="420"/>
          <w:tab w:val="clear" w:pos="0"/>
        </w:tabs>
        <w:rPr>
          <w:rFonts w:hint="eastAsia" w:ascii="宋体" w:hAnsi="宋体" w:eastAsia="宋体" w:cs="宋体"/>
        </w:rPr>
      </w:pPr>
      <w:r>
        <w:rPr>
          <w:rFonts w:hint="eastAsia" w:ascii="宋体" w:hAnsi="宋体" w:eastAsia="宋体" w:cs="宋体"/>
        </w:rPr>
        <w:t>其他约定</w:t>
      </w:r>
    </w:p>
    <w:p w14:paraId="00F88F28">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本合同附件（《采购产品清单及技术规格表》《乙方资质文件》）为本合同不可分割的组成部分，与本合同具有同等法律效力；</w:t>
      </w:r>
    </w:p>
    <w:p w14:paraId="3A97C425">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双方确认本合同载明的联系地址、电话、邮箱为有效送达地址，任何书面通知按此地址送达，即视为有效送达；</w:t>
      </w:r>
    </w:p>
    <w:p w14:paraId="408023DB">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本合同自双方法定代表人/授权代表人签字并加盖公章（或合同专用章）之日起生效；</w:t>
      </w:r>
    </w:p>
    <w:p w14:paraId="7EB8424B">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b/>
          <w:bCs/>
          <w:sz w:val="24"/>
          <w:szCs w:val="24"/>
        </w:rPr>
        <w:t>肆份</w:t>
      </w:r>
      <w:r>
        <w:rPr>
          <w:rFonts w:hint="eastAsia" w:ascii="宋体" w:hAnsi="宋体" w:eastAsia="宋体" w:cs="宋体"/>
          <w:sz w:val="24"/>
          <w:szCs w:val="24"/>
        </w:rPr>
        <w:t>，甲方执</w:t>
      </w:r>
      <w:r>
        <w:rPr>
          <w:rFonts w:hint="eastAsia" w:ascii="宋体" w:hAnsi="宋体" w:eastAsia="宋体" w:cs="宋体"/>
          <w:b/>
          <w:bCs/>
          <w:sz w:val="24"/>
          <w:szCs w:val="24"/>
        </w:rPr>
        <w:t>贰份</w:t>
      </w:r>
      <w:r>
        <w:rPr>
          <w:rFonts w:hint="eastAsia" w:ascii="宋体" w:hAnsi="宋体" w:eastAsia="宋体" w:cs="宋体"/>
          <w:sz w:val="24"/>
          <w:szCs w:val="24"/>
        </w:rPr>
        <w:t>，乙方执</w:t>
      </w:r>
      <w:r>
        <w:rPr>
          <w:rFonts w:hint="eastAsia" w:ascii="宋体" w:hAnsi="宋体" w:eastAsia="宋体" w:cs="宋体"/>
          <w:b/>
          <w:bCs/>
          <w:sz w:val="24"/>
          <w:szCs w:val="24"/>
        </w:rPr>
        <w:t>贰份</w:t>
      </w:r>
      <w:r>
        <w:rPr>
          <w:rFonts w:hint="eastAsia" w:ascii="宋体" w:hAnsi="宋体" w:eastAsia="宋体" w:cs="宋体"/>
          <w:sz w:val="24"/>
          <w:szCs w:val="24"/>
        </w:rPr>
        <w:t>，具有同等法律效力；</w:t>
      </w:r>
    </w:p>
    <w:p w14:paraId="6295D700">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未尽事宜，双方另行协商签订补充协议。</w:t>
      </w:r>
    </w:p>
    <w:p w14:paraId="40D4F252">
      <w:pPr>
        <w:pStyle w:val="282"/>
        <w:rPr>
          <w:rFonts w:hint="eastAsia" w:ascii="宋体" w:hAnsi="宋体" w:eastAsia="宋体" w:cs="宋体"/>
          <w:sz w:val="24"/>
          <w:szCs w:val="24"/>
        </w:rPr>
      </w:pPr>
      <w:r>
        <w:rPr>
          <w:rFonts w:hint="eastAsia" w:ascii="宋体" w:hAnsi="宋体" w:eastAsia="宋体" w:cs="宋体"/>
          <w:sz w:val="24"/>
          <w:szCs w:val="24"/>
        </w:rPr>
        <w:t>（以下无正文，为合同签字盖章页）</w:t>
      </w:r>
    </w:p>
    <w:p w14:paraId="6583D021">
      <w:pPr>
        <w:pStyle w:val="4"/>
        <w:rPr>
          <w:rFonts w:hint="eastAsia" w:ascii="宋体" w:hAnsi="宋体" w:eastAsia="宋体" w:cs="宋体"/>
        </w:rPr>
      </w:pPr>
      <w:r>
        <w:rPr>
          <w:rFonts w:hint="eastAsia" w:ascii="宋体" w:hAnsi="宋体" w:eastAsia="宋体" w:cs="宋体"/>
        </w:rPr>
        <w:t>甲方（盖章）：</w:t>
      </w:r>
    </w:p>
    <w:p w14:paraId="2F8BF7DA">
      <w:pPr>
        <w:pStyle w:val="282"/>
        <w:rPr>
          <w:rFonts w:hint="eastAsia" w:ascii="宋体" w:hAnsi="宋体" w:eastAsia="宋体" w:cs="宋体"/>
          <w:sz w:val="24"/>
          <w:szCs w:val="24"/>
        </w:rPr>
      </w:pPr>
      <w:r>
        <w:rPr>
          <w:rFonts w:hint="eastAsia" w:ascii="宋体" w:hAnsi="宋体" w:eastAsia="宋体" w:cs="宋体"/>
          <w:sz w:val="24"/>
          <w:szCs w:val="24"/>
        </w:rPr>
        <w:t>法定代表人/授权代表人（签字）：</w:t>
      </w:r>
    </w:p>
    <w:p w14:paraId="01017856">
      <w:pPr>
        <w:pStyle w:val="282"/>
        <w:rPr>
          <w:rFonts w:hint="eastAsia" w:ascii="宋体" w:hAnsi="宋体" w:eastAsia="宋体" w:cs="宋体"/>
          <w:sz w:val="24"/>
          <w:szCs w:val="24"/>
        </w:rPr>
      </w:pPr>
      <w:r>
        <w:rPr>
          <w:rFonts w:hint="eastAsia" w:ascii="宋体" w:hAnsi="宋体" w:eastAsia="宋体" w:cs="宋体"/>
          <w:sz w:val="24"/>
          <w:szCs w:val="24"/>
        </w:rPr>
        <w:t>日期：____年____月____日</w:t>
      </w:r>
    </w:p>
    <w:p w14:paraId="083A2612">
      <w:pPr>
        <w:pStyle w:val="4"/>
        <w:rPr>
          <w:rFonts w:hint="eastAsia" w:ascii="宋体" w:hAnsi="宋体" w:eastAsia="宋体" w:cs="宋体"/>
        </w:rPr>
      </w:pPr>
      <w:r>
        <w:rPr>
          <w:rFonts w:hint="eastAsia" w:ascii="宋体" w:hAnsi="宋体" w:eastAsia="宋体" w:cs="宋体"/>
        </w:rPr>
        <w:t>乙方（盖章）：</w:t>
      </w:r>
    </w:p>
    <w:p w14:paraId="38062679">
      <w:pPr>
        <w:pStyle w:val="282"/>
        <w:rPr>
          <w:rFonts w:hint="eastAsia" w:ascii="宋体" w:hAnsi="宋体" w:eastAsia="宋体" w:cs="宋体"/>
          <w:sz w:val="24"/>
          <w:szCs w:val="24"/>
        </w:rPr>
      </w:pPr>
      <w:r>
        <w:rPr>
          <w:rFonts w:hint="eastAsia" w:ascii="宋体" w:hAnsi="宋体" w:eastAsia="宋体" w:cs="宋体"/>
          <w:sz w:val="24"/>
          <w:szCs w:val="24"/>
        </w:rPr>
        <w:t>法定代表人/授权代表人（签字）：</w:t>
      </w:r>
    </w:p>
    <w:p w14:paraId="7CBFBD4F">
      <w:pPr>
        <w:pStyle w:val="282"/>
        <w:rPr>
          <w:rFonts w:hint="eastAsia" w:ascii="宋体" w:hAnsi="宋体" w:eastAsia="宋体" w:cs="宋体"/>
          <w:sz w:val="24"/>
          <w:szCs w:val="24"/>
        </w:rPr>
      </w:pPr>
      <w:r>
        <w:rPr>
          <w:rFonts w:hint="eastAsia" w:ascii="宋体" w:hAnsi="宋体" w:eastAsia="宋体" w:cs="宋体"/>
          <w:sz w:val="24"/>
          <w:szCs w:val="24"/>
        </w:rPr>
        <w:t>日期：____年____月____日</w:t>
      </w:r>
    </w:p>
    <w:p w14:paraId="3816B12E">
      <w:pPr>
        <w:pStyle w:val="3"/>
        <w:tabs>
          <w:tab w:val="left" w:pos="420"/>
          <w:tab w:val="clear" w:pos="0"/>
        </w:tabs>
        <w:rPr>
          <w:rFonts w:hint="eastAsia" w:ascii="宋体" w:hAnsi="宋体" w:eastAsia="宋体" w:cs="宋体"/>
        </w:rPr>
      </w:pPr>
      <w:r>
        <w:rPr>
          <w:rFonts w:hint="eastAsia" w:ascii="宋体" w:hAnsi="宋体" w:eastAsia="宋体" w:cs="宋体"/>
        </w:rPr>
        <w:t>附件一 采购产品清单及技术规格表</w:t>
      </w:r>
    </w:p>
    <w:p w14:paraId="2CCBD897">
      <w:pPr>
        <w:pStyle w:val="282"/>
        <w:rPr>
          <w:rFonts w:hint="eastAsia" w:ascii="宋体" w:hAnsi="宋体" w:eastAsia="宋体" w:cs="宋体"/>
        </w:rPr>
      </w:pPr>
    </w:p>
    <w:tbl>
      <w:tblPr>
        <w:tblStyle w:val="46"/>
        <w:tblW w:w="48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48"/>
        <w:gridCol w:w="828"/>
        <w:gridCol w:w="816"/>
        <w:gridCol w:w="780"/>
        <w:gridCol w:w="924"/>
        <w:gridCol w:w="912"/>
        <w:gridCol w:w="852"/>
        <w:gridCol w:w="792"/>
        <w:gridCol w:w="900"/>
        <w:gridCol w:w="864"/>
        <w:gridCol w:w="1224"/>
      </w:tblGrid>
      <w:tr w14:paraId="6344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C6BA61">
            <w:pPr>
              <w:pStyle w:val="282"/>
              <w:rPr>
                <w:rFonts w:hint="eastAsia" w:ascii="宋体" w:hAnsi="宋体" w:eastAsia="宋体" w:cs="宋体"/>
                <w:sz w:val="24"/>
                <w:szCs w:val="24"/>
              </w:rPr>
            </w:pPr>
            <w:r>
              <w:rPr>
                <w:rFonts w:hint="eastAsia" w:ascii="宋体" w:hAnsi="宋体" w:eastAsia="宋体" w:cs="宋体"/>
                <w:sz w:val="24"/>
                <w:szCs w:val="24"/>
              </w:rPr>
              <w:t>序号</w:t>
            </w:r>
          </w:p>
        </w:tc>
        <w:tc>
          <w:tcPr>
            <w:tcW w:w="429"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88C8EB">
            <w:pPr>
              <w:pStyle w:val="282"/>
              <w:rPr>
                <w:rFonts w:hint="eastAsia" w:ascii="宋体" w:hAnsi="宋体" w:eastAsia="宋体" w:cs="宋体"/>
                <w:sz w:val="24"/>
                <w:szCs w:val="24"/>
              </w:rPr>
            </w:pPr>
            <w:r>
              <w:rPr>
                <w:rFonts w:hint="eastAsia" w:ascii="宋体" w:hAnsi="宋体" w:eastAsia="宋体" w:cs="宋体"/>
                <w:sz w:val="24"/>
                <w:szCs w:val="24"/>
              </w:rPr>
              <w:t>产品类别</w:t>
            </w:r>
          </w:p>
        </w:tc>
        <w:tc>
          <w:tcPr>
            <w:tcW w:w="42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E72906">
            <w:pPr>
              <w:pStyle w:val="282"/>
              <w:rPr>
                <w:rFonts w:hint="eastAsia" w:ascii="宋体" w:hAnsi="宋体" w:eastAsia="宋体" w:cs="宋体"/>
                <w:sz w:val="24"/>
                <w:szCs w:val="24"/>
              </w:rPr>
            </w:pPr>
            <w:r>
              <w:rPr>
                <w:rFonts w:hint="eastAsia" w:ascii="宋体" w:hAnsi="宋体" w:eastAsia="宋体" w:cs="宋体"/>
                <w:sz w:val="24"/>
                <w:szCs w:val="24"/>
              </w:rPr>
              <w:t>产品名称</w:t>
            </w:r>
          </w:p>
        </w:tc>
        <w:tc>
          <w:tcPr>
            <w:tcW w:w="404"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7C8D9F">
            <w:pPr>
              <w:pStyle w:val="282"/>
              <w:rPr>
                <w:rFonts w:hint="eastAsia" w:ascii="宋体" w:hAnsi="宋体" w:eastAsia="宋体" w:cs="宋体"/>
                <w:sz w:val="24"/>
                <w:szCs w:val="24"/>
              </w:rPr>
            </w:pPr>
            <w:r>
              <w:rPr>
                <w:rFonts w:hint="eastAsia" w:ascii="宋体" w:hAnsi="宋体" w:eastAsia="宋体" w:cs="宋体"/>
                <w:sz w:val="24"/>
                <w:szCs w:val="24"/>
              </w:rPr>
              <w:t>品牌</w:t>
            </w:r>
          </w:p>
        </w:tc>
        <w:tc>
          <w:tcPr>
            <w:tcW w:w="479"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00D643">
            <w:pPr>
              <w:pStyle w:val="282"/>
              <w:rPr>
                <w:rFonts w:hint="eastAsia" w:ascii="宋体" w:hAnsi="宋体" w:eastAsia="宋体" w:cs="宋体"/>
                <w:sz w:val="24"/>
                <w:szCs w:val="24"/>
              </w:rPr>
            </w:pPr>
            <w:r>
              <w:rPr>
                <w:rFonts w:hint="eastAsia" w:ascii="宋体" w:hAnsi="宋体" w:eastAsia="宋体" w:cs="宋体"/>
                <w:sz w:val="24"/>
                <w:szCs w:val="24"/>
              </w:rPr>
              <w:t>型号规格</w:t>
            </w:r>
          </w:p>
        </w:tc>
        <w:tc>
          <w:tcPr>
            <w:tcW w:w="47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7628F2">
            <w:pPr>
              <w:pStyle w:val="282"/>
              <w:rPr>
                <w:rFonts w:hint="eastAsia" w:ascii="宋体" w:hAnsi="宋体" w:eastAsia="宋体" w:cs="宋体"/>
                <w:sz w:val="24"/>
                <w:szCs w:val="24"/>
              </w:rPr>
            </w:pPr>
            <w:r>
              <w:rPr>
                <w:rFonts w:hint="eastAsia" w:ascii="宋体" w:hAnsi="宋体" w:eastAsia="宋体" w:cs="宋体"/>
                <w:sz w:val="24"/>
                <w:szCs w:val="24"/>
              </w:rPr>
              <w:t>技术参数</w:t>
            </w:r>
          </w:p>
        </w:tc>
        <w:tc>
          <w:tcPr>
            <w:tcW w:w="441"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704425">
            <w:pPr>
              <w:pStyle w:val="282"/>
              <w:rPr>
                <w:rFonts w:hint="eastAsia" w:ascii="宋体" w:hAnsi="宋体" w:eastAsia="宋体" w:cs="宋体"/>
                <w:sz w:val="24"/>
                <w:szCs w:val="24"/>
              </w:rPr>
            </w:pPr>
            <w:r>
              <w:rPr>
                <w:rFonts w:hint="eastAsia" w:ascii="宋体" w:hAnsi="宋体" w:eastAsia="宋体" w:cs="宋体"/>
                <w:sz w:val="24"/>
                <w:szCs w:val="24"/>
              </w:rPr>
              <w:t>单位</w:t>
            </w:r>
          </w:p>
        </w:tc>
        <w:tc>
          <w:tcPr>
            <w:tcW w:w="41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A48C29">
            <w:pPr>
              <w:pStyle w:val="282"/>
              <w:rPr>
                <w:rFonts w:hint="eastAsia" w:ascii="宋体" w:hAnsi="宋体" w:eastAsia="宋体" w:cs="宋体"/>
                <w:sz w:val="24"/>
                <w:szCs w:val="24"/>
              </w:rPr>
            </w:pPr>
            <w:r>
              <w:rPr>
                <w:rFonts w:hint="eastAsia" w:ascii="宋体" w:hAnsi="宋体" w:eastAsia="宋体" w:cs="宋体"/>
                <w:sz w:val="24"/>
                <w:szCs w:val="24"/>
              </w:rPr>
              <w:t>数量</w:t>
            </w:r>
          </w:p>
        </w:tc>
        <w:tc>
          <w:tcPr>
            <w:tcW w:w="466"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A22945">
            <w:pPr>
              <w:pStyle w:val="282"/>
              <w:rPr>
                <w:rFonts w:hint="eastAsia" w:ascii="宋体" w:hAnsi="宋体" w:eastAsia="宋体" w:cs="宋体"/>
                <w:sz w:val="24"/>
                <w:szCs w:val="24"/>
              </w:rPr>
            </w:pPr>
            <w:r>
              <w:rPr>
                <w:rFonts w:hint="eastAsia" w:ascii="宋体" w:hAnsi="宋体" w:eastAsia="宋体" w:cs="宋体"/>
                <w:sz w:val="24"/>
                <w:szCs w:val="24"/>
              </w:rPr>
              <w:t>单价（元）</w:t>
            </w:r>
          </w:p>
        </w:tc>
        <w:tc>
          <w:tcPr>
            <w:tcW w:w="448"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83C24A">
            <w:pPr>
              <w:pStyle w:val="282"/>
              <w:rPr>
                <w:rFonts w:hint="eastAsia" w:ascii="宋体" w:hAnsi="宋体" w:eastAsia="宋体" w:cs="宋体"/>
                <w:sz w:val="24"/>
                <w:szCs w:val="24"/>
              </w:rPr>
            </w:pPr>
            <w:r>
              <w:rPr>
                <w:rFonts w:hint="eastAsia" w:ascii="宋体" w:hAnsi="宋体" w:eastAsia="宋体" w:cs="宋体"/>
                <w:sz w:val="24"/>
                <w:szCs w:val="24"/>
              </w:rPr>
              <w:t>总价（元）</w:t>
            </w:r>
          </w:p>
        </w:tc>
        <w:tc>
          <w:tcPr>
            <w:tcW w:w="634"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5FE906">
            <w:pPr>
              <w:pStyle w:val="282"/>
              <w:rPr>
                <w:rFonts w:hint="eastAsia" w:ascii="宋体" w:hAnsi="宋体" w:eastAsia="宋体" w:cs="宋体"/>
                <w:sz w:val="24"/>
                <w:szCs w:val="24"/>
              </w:rPr>
            </w:pPr>
            <w:r>
              <w:rPr>
                <w:rFonts w:hint="eastAsia" w:ascii="宋体" w:hAnsi="宋体" w:eastAsia="宋体" w:cs="宋体"/>
                <w:sz w:val="24"/>
                <w:szCs w:val="24"/>
              </w:rPr>
              <w:t>备注（注册证号/材质/安装要求等）</w:t>
            </w:r>
          </w:p>
        </w:tc>
      </w:tr>
      <w:tr w14:paraId="097F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DCC477">
            <w:pPr>
              <w:pStyle w:val="282"/>
              <w:rPr>
                <w:rFonts w:hint="eastAsia" w:ascii="宋体" w:hAnsi="宋体" w:eastAsia="宋体" w:cs="宋体"/>
                <w:sz w:val="24"/>
                <w:szCs w:val="24"/>
              </w:rPr>
            </w:pPr>
            <w:r>
              <w:rPr>
                <w:rFonts w:hint="eastAsia" w:ascii="宋体" w:hAnsi="宋体" w:eastAsia="宋体" w:cs="宋体"/>
                <w:sz w:val="24"/>
                <w:szCs w:val="24"/>
              </w:rPr>
              <w:t>1</w:t>
            </w:r>
          </w:p>
        </w:tc>
        <w:tc>
          <w:tcPr>
            <w:tcW w:w="429"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E083FE">
            <w:pPr>
              <w:pStyle w:val="282"/>
              <w:rPr>
                <w:rFonts w:hint="eastAsia" w:ascii="宋体" w:hAnsi="宋体" w:eastAsia="宋体" w:cs="宋体"/>
                <w:sz w:val="24"/>
                <w:szCs w:val="24"/>
              </w:rPr>
            </w:pPr>
            <w:r>
              <w:rPr>
                <w:rFonts w:hint="eastAsia" w:ascii="宋体" w:hAnsi="宋体" w:eastAsia="宋体" w:cs="宋体"/>
                <w:sz w:val="24"/>
                <w:szCs w:val="24"/>
              </w:rPr>
              <w:t>会议室信息化产品</w:t>
            </w:r>
          </w:p>
        </w:tc>
        <w:tc>
          <w:tcPr>
            <w:tcW w:w="42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D5BEF6">
            <w:pPr>
              <w:pStyle w:val="282"/>
              <w:rPr>
                <w:rFonts w:hint="eastAsia" w:ascii="宋体" w:hAnsi="宋体" w:eastAsia="宋体" w:cs="宋体"/>
                <w:sz w:val="24"/>
                <w:szCs w:val="24"/>
              </w:rPr>
            </w:pPr>
          </w:p>
        </w:tc>
        <w:tc>
          <w:tcPr>
            <w:tcW w:w="404"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6E4A8A">
            <w:pPr>
              <w:pStyle w:val="282"/>
              <w:rPr>
                <w:rFonts w:hint="eastAsia" w:ascii="宋体" w:hAnsi="宋体" w:eastAsia="宋体" w:cs="宋体"/>
                <w:sz w:val="24"/>
                <w:szCs w:val="24"/>
              </w:rPr>
            </w:pPr>
          </w:p>
        </w:tc>
        <w:tc>
          <w:tcPr>
            <w:tcW w:w="479"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CE0188">
            <w:pPr>
              <w:pStyle w:val="282"/>
              <w:rPr>
                <w:rFonts w:hint="eastAsia" w:ascii="宋体" w:hAnsi="宋体" w:eastAsia="宋体" w:cs="宋体"/>
                <w:sz w:val="24"/>
                <w:szCs w:val="24"/>
              </w:rPr>
            </w:pPr>
          </w:p>
        </w:tc>
        <w:tc>
          <w:tcPr>
            <w:tcW w:w="47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80DB31">
            <w:pPr>
              <w:pStyle w:val="282"/>
              <w:rPr>
                <w:rFonts w:hint="eastAsia" w:ascii="宋体" w:hAnsi="宋体" w:eastAsia="宋体" w:cs="宋体"/>
                <w:sz w:val="24"/>
                <w:szCs w:val="24"/>
              </w:rPr>
            </w:pPr>
          </w:p>
        </w:tc>
        <w:tc>
          <w:tcPr>
            <w:tcW w:w="441"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4F23B1">
            <w:pPr>
              <w:pStyle w:val="282"/>
              <w:rPr>
                <w:rFonts w:hint="eastAsia" w:ascii="宋体" w:hAnsi="宋体" w:eastAsia="宋体" w:cs="宋体"/>
                <w:sz w:val="24"/>
                <w:szCs w:val="24"/>
              </w:rPr>
            </w:pPr>
          </w:p>
        </w:tc>
        <w:tc>
          <w:tcPr>
            <w:tcW w:w="41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310060">
            <w:pPr>
              <w:pStyle w:val="282"/>
              <w:rPr>
                <w:rFonts w:hint="eastAsia" w:ascii="宋体" w:hAnsi="宋体" w:eastAsia="宋体" w:cs="宋体"/>
                <w:sz w:val="24"/>
                <w:szCs w:val="24"/>
              </w:rPr>
            </w:pPr>
          </w:p>
        </w:tc>
        <w:tc>
          <w:tcPr>
            <w:tcW w:w="466"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36C826">
            <w:pPr>
              <w:pStyle w:val="282"/>
              <w:rPr>
                <w:rFonts w:hint="eastAsia" w:ascii="宋体" w:hAnsi="宋体" w:eastAsia="宋体" w:cs="宋体"/>
                <w:sz w:val="24"/>
                <w:szCs w:val="24"/>
              </w:rPr>
            </w:pPr>
          </w:p>
        </w:tc>
        <w:tc>
          <w:tcPr>
            <w:tcW w:w="448"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6676CB">
            <w:pPr>
              <w:pStyle w:val="282"/>
              <w:rPr>
                <w:rFonts w:hint="eastAsia" w:ascii="宋体" w:hAnsi="宋体" w:eastAsia="宋体" w:cs="宋体"/>
                <w:sz w:val="24"/>
                <w:szCs w:val="24"/>
              </w:rPr>
            </w:pPr>
          </w:p>
        </w:tc>
        <w:tc>
          <w:tcPr>
            <w:tcW w:w="634"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2AADBE">
            <w:pPr>
              <w:pStyle w:val="282"/>
              <w:rPr>
                <w:rFonts w:hint="eastAsia" w:ascii="宋体" w:hAnsi="宋体" w:eastAsia="宋体" w:cs="宋体"/>
                <w:sz w:val="24"/>
                <w:szCs w:val="24"/>
              </w:rPr>
            </w:pPr>
          </w:p>
        </w:tc>
      </w:tr>
      <w:tr w14:paraId="0159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3D9C05">
            <w:pPr>
              <w:pStyle w:val="282"/>
              <w:rPr>
                <w:rFonts w:hint="eastAsia" w:ascii="宋体" w:hAnsi="宋体" w:eastAsia="宋体" w:cs="宋体"/>
                <w:sz w:val="24"/>
                <w:szCs w:val="24"/>
              </w:rPr>
            </w:pPr>
            <w:r>
              <w:rPr>
                <w:rFonts w:hint="eastAsia" w:ascii="宋体" w:hAnsi="宋体" w:eastAsia="宋体" w:cs="宋体"/>
                <w:sz w:val="24"/>
                <w:szCs w:val="24"/>
              </w:rPr>
              <w:t>2</w:t>
            </w:r>
          </w:p>
        </w:tc>
        <w:tc>
          <w:tcPr>
            <w:tcW w:w="429"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04859F">
            <w:pPr>
              <w:pStyle w:val="282"/>
              <w:rPr>
                <w:rFonts w:hint="eastAsia" w:ascii="宋体" w:hAnsi="宋体" w:eastAsia="宋体" w:cs="宋体"/>
                <w:sz w:val="24"/>
                <w:szCs w:val="24"/>
              </w:rPr>
            </w:pPr>
            <w:r>
              <w:rPr>
                <w:rFonts w:hint="eastAsia" w:ascii="宋体" w:hAnsi="宋体" w:eastAsia="宋体" w:cs="宋体"/>
                <w:sz w:val="24"/>
                <w:szCs w:val="24"/>
              </w:rPr>
              <w:t>医疗器械</w:t>
            </w:r>
          </w:p>
        </w:tc>
        <w:tc>
          <w:tcPr>
            <w:tcW w:w="42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D8EA70">
            <w:pPr>
              <w:pStyle w:val="282"/>
              <w:rPr>
                <w:rFonts w:hint="eastAsia" w:ascii="宋体" w:hAnsi="宋体" w:eastAsia="宋体" w:cs="宋体"/>
                <w:sz w:val="24"/>
                <w:szCs w:val="24"/>
              </w:rPr>
            </w:pPr>
          </w:p>
        </w:tc>
        <w:tc>
          <w:tcPr>
            <w:tcW w:w="404"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340C84">
            <w:pPr>
              <w:pStyle w:val="282"/>
              <w:rPr>
                <w:rFonts w:hint="eastAsia" w:ascii="宋体" w:hAnsi="宋体" w:eastAsia="宋体" w:cs="宋体"/>
                <w:sz w:val="24"/>
                <w:szCs w:val="24"/>
              </w:rPr>
            </w:pPr>
          </w:p>
        </w:tc>
        <w:tc>
          <w:tcPr>
            <w:tcW w:w="479"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25D442">
            <w:pPr>
              <w:pStyle w:val="282"/>
              <w:rPr>
                <w:rFonts w:hint="eastAsia" w:ascii="宋体" w:hAnsi="宋体" w:eastAsia="宋体" w:cs="宋体"/>
                <w:sz w:val="24"/>
                <w:szCs w:val="24"/>
              </w:rPr>
            </w:pPr>
          </w:p>
        </w:tc>
        <w:tc>
          <w:tcPr>
            <w:tcW w:w="47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121D44">
            <w:pPr>
              <w:pStyle w:val="282"/>
              <w:rPr>
                <w:rFonts w:hint="eastAsia" w:ascii="宋体" w:hAnsi="宋体" w:eastAsia="宋体" w:cs="宋体"/>
                <w:sz w:val="24"/>
                <w:szCs w:val="24"/>
              </w:rPr>
            </w:pPr>
          </w:p>
        </w:tc>
        <w:tc>
          <w:tcPr>
            <w:tcW w:w="441"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E046E3">
            <w:pPr>
              <w:pStyle w:val="282"/>
              <w:rPr>
                <w:rFonts w:hint="eastAsia" w:ascii="宋体" w:hAnsi="宋体" w:eastAsia="宋体" w:cs="宋体"/>
                <w:sz w:val="24"/>
                <w:szCs w:val="24"/>
              </w:rPr>
            </w:pPr>
          </w:p>
        </w:tc>
        <w:tc>
          <w:tcPr>
            <w:tcW w:w="41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15C6D9">
            <w:pPr>
              <w:pStyle w:val="282"/>
              <w:rPr>
                <w:rFonts w:hint="eastAsia" w:ascii="宋体" w:hAnsi="宋体" w:eastAsia="宋体" w:cs="宋体"/>
                <w:sz w:val="24"/>
                <w:szCs w:val="24"/>
              </w:rPr>
            </w:pPr>
          </w:p>
        </w:tc>
        <w:tc>
          <w:tcPr>
            <w:tcW w:w="466"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0C2F13">
            <w:pPr>
              <w:pStyle w:val="282"/>
              <w:rPr>
                <w:rFonts w:hint="eastAsia" w:ascii="宋体" w:hAnsi="宋体" w:eastAsia="宋体" w:cs="宋体"/>
                <w:sz w:val="24"/>
                <w:szCs w:val="24"/>
              </w:rPr>
            </w:pPr>
          </w:p>
        </w:tc>
        <w:tc>
          <w:tcPr>
            <w:tcW w:w="448"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047794">
            <w:pPr>
              <w:pStyle w:val="282"/>
              <w:rPr>
                <w:rFonts w:hint="eastAsia" w:ascii="宋体" w:hAnsi="宋体" w:eastAsia="宋体" w:cs="宋体"/>
                <w:sz w:val="24"/>
                <w:szCs w:val="24"/>
              </w:rPr>
            </w:pPr>
          </w:p>
        </w:tc>
        <w:tc>
          <w:tcPr>
            <w:tcW w:w="634"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4B2D4B">
            <w:pPr>
              <w:pStyle w:val="282"/>
              <w:rPr>
                <w:rFonts w:hint="eastAsia" w:ascii="宋体" w:hAnsi="宋体" w:eastAsia="宋体" w:cs="宋体"/>
                <w:sz w:val="24"/>
                <w:szCs w:val="24"/>
              </w:rPr>
            </w:pPr>
          </w:p>
        </w:tc>
      </w:tr>
      <w:tr w14:paraId="36C3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ADAC4C">
            <w:pPr>
              <w:pStyle w:val="282"/>
              <w:rPr>
                <w:rFonts w:hint="eastAsia" w:ascii="宋体" w:hAnsi="宋体" w:eastAsia="宋体" w:cs="宋体"/>
                <w:sz w:val="24"/>
                <w:szCs w:val="24"/>
              </w:rPr>
            </w:pPr>
            <w:r>
              <w:rPr>
                <w:rFonts w:hint="eastAsia" w:ascii="宋体" w:hAnsi="宋体" w:eastAsia="宋体" w:cs="宋体"/>
                <w:sz w:val="24"/>
                <w:szCs w:val="24"/>
              </w:rPr>
              <w:t>3</w:t>
            </w:r>
          </w:p>
        </w:tc>
        <w:tc>
          <w:tcPr>
            <w:tcW w:w="429"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60E449">
            <w:pPr>
              <w:pStyle w:val="282"/>
              <w:rPr>
                <w:rFonts w:hint="eastAsia" w:ascii="宋体" w:hAnsi="宋体" w:eastAsia="宋体" w:cs="宋体"/>
                <w:sz w:val="24"/>
                <w:szCs w:val="24"/>
              </w:rPr>
            </w:pPr>
            <w:r>
              <w:rPr>
                <w:rFonts w:hint="eastAsia" w:ascii="宋体" w:hAnsi="宋体" w:eastAsia="宋体" w:cs="宋体"/>
                <w:sz w:val="24"/>
                <w:szCs w:val="24"/>
              </w:rPr>
              <w:t>厨房设备</w:t>
            </w:r>
          </w:p>
        </w:tc>
        <w:tc>
          <w:tcPr>
            <w:tcW w:w="42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4CF7F2">
            <w:pPr>
              <w:pStyle w:val="282"/>
              <w:rPr>
                <w:rFonts w:hint="eastAsia" w:ascii="宋体" w:hAnsi="宋体" w:eastAsia="宋体" w:cs="宋体"/>
                <w:sz w:val="24"/>
                <w:szCs w:val="24"/>
              </w:rPr>
            </w:pPr>
          </w:p>
        </w:tc>
        <w:tc>
          <w:tcPr>
            <w:tcW w:w="404"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A65EC2">
            <w:pPr>
              <w:pStyle w:val="282"/>
              <w:rPr>
                <w:rFonts w:hint="eastAsia" w:ascii="宋体" w:hAnsi="宋体" w:eastAsia="宋体" w:cs="宋体"/>
                <w:sz w:val="24"/>
                <w:szCs w:val="24"/>
              </w:rPr>
            </w:pPr>
          </w:p>
        </w:tc>
        <w:tc>
          <w:tcPr>
            <w:tcW w:w="479"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160AE6">
            <w:pPr>
              <w:pStyle w:val="282"/>
              <w:rPr>
                <w:rFonts w:hint="eastAsia" w:ascii="宋体" w:hAnsi="宋体" w:eastAsia="宋体" w:cs="宋体"/>
                <w:sz w:val="24"/>
                <w:szCs w:val="24"/>
              </w:rPr>
            </w:pPr>
          </w:p>
        </w:tc>
        <w:tc>
          <w:tcPr>
            <w:tcW w:w="47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859A76">
            <w:pPr>
              <w:pStyle w:val="282"/>
              <w:rPr>
                <w:rFonts w:hint="eastAsia" w:ascii="宋体" w:hAnsi="宋体" w:eastAsia="宋体" w:cs="宋体"/>
                <w:sz w:val="24"/>
                <w:szCs w:val="24"/>
              </w:rPr>
            </w:pPr>
          </w:p>
        </w:tc>
        <w:tc>
          <w:tcPr>
            <w:tcW w:w="441"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D8941A">
            <w:pPr>
              <w:pStyle w:val="282"/>
              <w:rPr>
                <w:rFonts w:hint="eastAsia" w:ascii="宋体" w:hAnsi="宋体" w:eastAsia="宋体" w:cs="宋体"/>
                <w:sz w:val="24"/>
                <w:szCs w:val="24"/>
              </w:rPr>
            </w:pPr>
          </w:p>
        </w:tc>
        <w:tc>
          <w:tcPr>
            <w:tcW w:w="41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32451E">
            <w:pPr>
              <w:pStyle w:val="282"/>
              <w:rPr>
                <w:rFonts w:hint="eastAsia" w:ascii="宋体" w:hAnsi="宋体" w:eastAsia="宋体" w:cs="宋体"/>
                <w:sz w:val="24"/>
                <w:szCs w:val="24"/>
              </w:rPr>
            </w:pPr>
          </w:p>
        </w:tc>
        <w:tc>
          <w:tcPr>
            <w:tcW w:w="466"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F039E1">
            <w:pPr>
              <w:pStyle w:val="282"/>
              <w:rPr>
                <w:rFonts w:hint="eastAsia" w:ascii="宋体" w:hAnsi="宋体" w:eastAsia="宋体" w:cs="宋体"/>
                <w:sz w:val="24"/>
                <w:szCs w:val="24"/>
              </w:rPr>
            </w:pPr>
          </w:p>
        </w:tc>
        <w:tc>
          <w:tcPr>
            <w:tcW w:w="448"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7A8250">
            <w:pPr>
              <w:pStyle w:val="282"/>
              <w:rPr>
                <w:rFonts w:hint="eastAsia" w:ascii="宋体" w:hAnsi="宋体" w:eastAsia="宋体" w:cs="宋体"/>
                <w:sz w:val="24"/>
                <w:szCs w:val="24"/>
              </w:rPr>
            </w:pPr>
          </w:p>
        </w:tc>
        <w:tc>
          <w:tcPr>
            <w:tcW w:w="634"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039809">
            <w:pPr>
              <w:pStyle w:val="282"/>
              <w:rPr>
                <w:rFonts w:hint="eastAsia" w:ascii="宋体" w:hAnsi="宋体" w:eastAsia="宋体" w:cs="宋体"/>
                <w:sz w:val="24"/>
                <w:szCs w:val="24"/>
              </w:rPr>
            </w:pPr>
          </w:p>
        </w:tc>
      </w:tr>
      <w:tr w14:paraId="5389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3FDF91">
            <w:pPr>
              <w:pStyle w:val="282"/>
              <w:rPr>
                <w:rFonts w:hint="eastAsia" w:ascii="宋体" w:hAnsi="宋体" w:eastAsia="宋体" w:cs="宋体"/>
                <w:sz w:val="24"/>
                <w:szCs w:val="24"/>
              </w:rPr>
            </w:pPr>
          </w:p>
        </w:tc>
        <w:tc>
          <w:tcPr>
            <w:tcW w:w="429"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8F8C63">
            <w:pPr>
              <w:pStyle w:val="282"/>
              <w:rPr>
                <w:rFonts w:hint="eastAsia" w:ascii="宋体" w:hAnsi="宋体" w:eastAsia="宋体" w:cs="宋体"/>
                <w:sz w:val="24"/>
                <w:szCs w:val="24"/>
              </w:rPr>
            </w:pPr>
            <w:r>
              <w:rPr>
                <w:rFonts w:hint="eastAsia" w:ascii="宋体" w:hAnsi="宋体" w:eastAsia="宋体" w:cs="宋体"/>
                <w:sz w:val="24"/>
                <w:szCs w:val="24"/>
              </w:rPr>
              <w:t>合计金额（人民币）</w:t>
            </w:r>
          </w:p>
        </w:tc>
        <w:tc>
          <w:tcPr>
            <w:tcW w:w="42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93BCAF">
            <w:pPr>
              <w:pStyle w:val="282"/>
              <w:rPr>
                <w:rFonts w:hint="eastAsia" w:ascii="宋体" w:hAnsi="宋体" w:eastAsia="宋体" w:cs="宋体"/>
                <w:sz w:val="24"/>
                <w:szCs w:val="24"/>
              </w:rPr>
            </w:pPr>
          </w:p>
        </w:tc>
        <w:tc>
          <w:tcPr>
            <w:tcW w:w="404"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319867">
            <w:pPr>
              <w:pStyle w:val="282"/>
              <w:rPr>
                <w:rFonts w:hint="eastAsia" w:ascii="宋体" w:hAnsi="宋体" w:eastAsia="宋体" w:cs="宋体"/>
                <w:sz w:val="24"/>
                <w:szCs w:val="24"/>
              </w:rPr>
            </w:pPr>
          </w:p>
        </w:tc>
        <w:tc>
          <w:tcPr>
            <w:tcW w:w="479"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C9C509">
            <w:pPr>
              <w:pStyle w:val="282"/>
              <w:rPr>
                <w:rFonts w:hint="eastAsia" w:ascii="宋体" w:hAnsi="宋体" w:eastAsia="宋体" w:cs="宋体"/>
                <w:sz w:val="24"/>
                <w:szCs w:val="24"/>
              </w:rPr>
            </w:pPr>
          </w:p>
        </w:tc>
        <w:tc>
          <w:tcPr>
            <w:tcW w:w="473"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931C3C">
            <w:pPr>
              <w:pStyle w:val="282"/>
              <w:rPr>
                <w:rFonts w:hint="eastAsia" w:ascii="宋体" w:hAnsi="宋体" w:eastAsia="宋体" w:cs="宋体"/>
                <w:sz w:val="24"/>
                <w:szCs w:val="24"/>
              </w:rPr>
            </w:pPr>
          </w:p>
        </w:tc>
        <w:tc>
          <w:tcPr>
            <w:tcW w:w="441"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2F466E3">
            <w:pPr>
              <w:pStyle w:val="282"/>
              <w:rPr>
                <w:rFonts w:hint="eastAsia" w:ascii="宋体" w:hAnsi="宋体" w:eastAsia="宋体" w:cs="宋体"/>
                <w:sz w:val="24"/>
                <w:szCs w:val="24"/>
              </w:rPr>
            </w:pPr>
          </w:p>
        </w:tc>
        <w:tc>
          <w:tcPr>
            <w:tcW w:w="410"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0A3326">
            <w:pPr>
              <w:pStyle w:val="282"/>
              <w:rPr>
                <w:rFonts w:hint="eastAsia" w:ascii="宋体" w:hAnsi="宋体" w:eastAsia="宋体" w:cs="宋体"/>
                <w:sz w:val="24"/>
                <w:szCs w:val="24"/>
              </w:rPr>
            </w:pPr>
          </w:p>
        </w:tc>
        <w:tc>
          <w:tcPr>
            <w:tcW w:w="466"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6BA025">
            <w:pPr>
              <w:pStyle w:val="282"/>
              <w:rPr>
                <w:rFonts w:hint="eastAsia" w:ascii="宋体" w:hAnsi="宋体" w:eastAsia="宋体" w:cs="宋体"/>
                <w:sz w:val="24"/>
                <w:szCs w:val="24"/>
              </w:rPr>
            </w:pPr>
          </w:p>
        </w:tc>
        <w:tc>
          <w:tcPr>
            <w:tcW w:w="448"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3A9079">
            <w:pPr>
              <w:pStyle w:val="282"/>
              <w:rPr>
                <w:rFonts w:hint="eastAsia" w:ascii="宋体" w:hAnsi="宋体" w:eastAsia="宋体" w:cs="宋体"/>
                <w:sz w:val="24"/>
                <w:szCs w:val="24"/>
              </w:rPr>
            </w:pPr>
          </w:p>
        </w:tc>
        <w:tc>
          <w:tcPr>
            <w:tcW w:w="634" w:type="pct"/>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CA6185">
            <w:pPr>
              <w:pStyle w:val="282"/>
              <w:rPr>
                <w:rFonts w:hint="eastAsia" w:ascii="宋体" w:hAnsi="宋体" w:eastAsia="宋体" w:cs="宋体"/>
                <w:sz w:val="24"/>
                <w:szCs w:val="24"/>
              </w:rPr>
            </w:pPr>
          </w:p>
        </w:tc>
      </w:tr>
    </w:tbl>
    <w:p w14:paraId="194BEE35">
      <w:pPr>
        <w:pStyle w:val="282"/>
        <w:rPr>
          <w:rFonts w:hint="eastAsia" w:ascii="宋体" w:hAnsi="宋体" w:eastAsia="宋体" w:cs="宋体"/>
          <w:sz w:val="24"/>
          <w:szCs w:val="24"/>
        </w:rPr>
      </w:pPr>
      <w:r>
        <w:rPr>
          <w:rFonts w:hint="eastAsia" w:ascii="宋体" w:hAnsi="宋体" w:eastAsia="宋体" w:cs="宋体"/>
          <w:sz w:val="24"/>
          <w:szCs w:val="24"/>
        </w:rPr>
        <w:t>甲方确认（签字/盖章）：</w:t>
      </w:r>
    </w:p>
    <w:p w14:paraId="292F300F">
      <w:pPr>
        <w:pStyle w:val="282"/>
        <w:rPr>
          <w:rFonts w:hint="eastAsia" w:ascii="宋体" w:hAnsi="宋体" w:eastAsia="宋体" w:cs="宋体"/>
          <w:sz w:val="24"/>
          <w:szCs w:val="24"/>
        </w:rPr>
      </w:pPr>
      <w:r>
        <w:rPr>
          <w:rFonts w:hint="eastAsia" w:ascii="宋体" w:hAnsi="宋体" w:eastAsia="宋体" w:cs="宋体"/>
          <w:sz w:val="24"/>
          <w:szCs w:val="24"/>
        </w:rPr>
        <w:t>乙方确认（签字/盖章）：</w:t>
      </w:r>
    </w:p>
    <w:p w14:paraId="62C4975E">
      <w:pPr>
        <w:pStyle w:val="3"/>
        <w:tabs>
          <w:tab w:val="left" w:pos="420"/>
          <w:tab w:val="clear" w:pos="0"/>
        </w:tabs>
        <w:rPr>
          <w:rFonts w:hint="eastAsia" w:ascii="宋体" w:hAnsi="宋体" w:eastAsia="宋体" w:cs="宋体"/>
        </w:rPr>
      </w:pPr>
      <w:r>
        <w:rPr>
          <w:rFonts w:hint="eastAsia" w:ascii="宋体" w:hAnsi="宋体" w:eastAsia="宋体" w:cs="宋体"/>
        </w:rPr>
        <w:t>附件二 乙方资质文件（复印件加盖公章）</w:t>
      </w:r>
    </w:p>
    <w:p w14:paraId="62823380">
      <w:pPr>
        <w:pStyle w:val="282"/>
        <w:numPr>
          <w:ilvl w:val="0"/>
          <w:numId w:val="65"/>
        </w:numPr>
        <w:rPr>
          <w:rFonts w:hint="eastAsia" w:ascii="宋体" w:hAnsi="宋体" w:eastAsia="宋体" w:cs="宋体"/>
        </w:rPr>
      </w:pPr>
      <w:r>
        <w:rPr>
          <w:rFonts w:hint="eastAsia" w:ascii="宋体" w:hAnsi="宋体" w:eastAsia="宋体" w:cs="宋体"/>
        </w:rPr>
        <w:t>营业执照</w:t>
      </w:r>
    </w:p>
    <w:p w14:paraId="5AA351E3">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医疗器械经营许可证/备案凭证（如有）</w:t>
      </w:r>
    </w:p>
    <w:p w14:paraId="6962B1E8">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产品注册证、3C认证、检测报告（如有）</w:t>
      </w:r>
    </w:p>
    <w:p w14:paraId="35EBCB63">
      <w:pPr>
        <w:pStyle w:val="282"/>
        <w:numPr>
          <w:ilvl w:val="0"/>
          <w:numId w:val="65"/>
        </w:numPr>
        <w:rPr>
          <w:rFonts w:hint="eastAsia" w:ascii="宋体" w:hAnsi="宋体" w:eastAsia="宋体" w:cs="宋体"/>
          <w:sz w:val="24"/>
          <w:szCs w:val="24"/>
        </w:rPr>
      </w:pPr>
      <w:r>
        <w:rPr>
          <w:rFonts w:hint="eastAsia" w:ascii="宋体" w:hAnsi="宋体" w:eastAsia="宋体" w:cs="宋体"/>
          <w:sz w:val="24"/>
          <w:szCs w:val="24"/>
        </w:rPr>
        <w:t>法定代表人身份证明、授权委托书（如有）</w:t>
      </w:r>
    </w:p>
    <w:p w14:paraId="176CA997">
      <w:pPr>
        <w:pStyle w:val="282"/>
        <w:rPr>
          <w:rFonts w:hint="eastAsia" w:ascii="宋体" w:hAnsi="宋体" w:eastAsia="宋体" w:cs="宋体"/>
        </w:rPr>
      </w:pPr>
    </w:p>
    <w:p w14:paraId="6638396A">
      <w:pPr>
        <w:pStyle w:val="2"/>
        <w:bidi w:val="0"/>
        <w:rPr>
          <w:rFonts w:hint="eastAsia" w:ascii="宋体" w:hAnsi="宋体" w:eastAsia="宋体" w:cs="宋体"/>
          <w:color w:val="auto"/>
          <w:highlight w:val="none"/>
        </w:rPr>
      </w:pPr>
      <w:r>
        <w:rPr>
          <w:rFonts w:hint="eastAsia" w:ascii="宋体" w:hAnsi="宋体" w:eastAsia="宋体" w:cs="宋体"/>
          <w:b/>
          <w:color w:val="auto"/>
          <w:szCs w:val="36"/>
          <w:highlight w:val="none"/>
        </w:rPr>
        <w:br w:type="page"/>
      </w:r>
      <w:bookmarkStart w:id="51" w:name="_Toc99301426"/>
      <w:r>
        <w:rPr>
          <w:rFonts w:hint="eastAsia" w:ascii="宋体" w:hAnsi="宋体" w:eastAsia="宋体" w:cs="宋体"/>
          <w:color w:val="auto"/>
          <w:highlight w:val="none"/>
        </w:rPr>
        <w:t xml:space="preserve">  </w:t>
      </w:r>
      <w:bookmarkStart w:id="52" w:name="_Toc853"/>
      <w:r>
        <w:rPr>
          <w:rFonts w:hint="eastAsia" w:ascii="宋体" w:hAnsi="宋体" w:eastAsia="宋体" w:cs="宋体"/>
          <w:color w:val="auto"/>
          <w:highlight w:val="none"/>
        </w:rPr>
        <w:t>投标文件格式</w:t>
      </w:r>
      <w:bookmarkEnd w:id="51"/>
      <w:bookmarkEnd w:id="52"/>
    </w:p>
    <w:p w14:paraId="682917CB">
      <w:pPr>
        <w:tabs>
          <w:tab w:val="left" w:pos="900"/>
          <w:tab w:val="left" w:pos="1980"/>
        </w:tabs>
        <w:snapToGrid w:val="0"/>
        <w:spacing w:line="360" w:lineRule="auto"/>
        <w:ind w:left="142"/>
        <w:rPr>
          <w:rFonts w:hint="eastAsia" w:ascii="宋体" w:hAnsi="宋体" w:eastAsia="宋体" w:cs="宋体"/>
          <w:b/>
          <w:color w:val="auto"/>
          <w:sz w:val="24"/>
          <w:highlight w:val="none"/>
        </w:rPr>
      </w:pPr>
    </w:p>
    <w:p w14:paraId="6179839C">
      <w:pPr>
        <w:tabs>
          <w:tab w:val="left" w:pos="900"/>
          <w:tab w:val="left" w:pos="1980"/>
        </w:tabs>
        <w:snapToGrid w:val="0"/>
        <w:spacing w:line="360" w:lineRule="auto"/>
        <w:ind w:left="142"/>
        <w:rPr>
          <w:rFonts w:hint="eastAsia" w:ascii="宋体" w:hAnsi="宋体" w:eastAsia="宋体" w:cs="宋体"/>
          <w:b/>
          <w:color w:val="auto"/>
          <w:sz w:val="24"/>
          <w:highlight w:val="none"/>
        </w:rPr>
      </w:pPr>
    </w:p>
    <w:p w14:paraId="18FC59BF">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b/>
          <w:color w:val="auto"/>
          <w:sz w:val="24"/>
          <w:highlight w:val="none"/>
        </w:rPr>
        <w:t>投标人编制文件须知</w:t>
      </w:r>
    </w:p>
    <w:p w14:paraId="09D6F56E">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投标人按照本部分的顺序编制投标文件（资格证明文件）、投标文件（商务技术文件），编制中涉及格式资料的，应按照本部分提供的内容和格式（所有表格的格式可扩展）填写提交。</w:t>
      </w:r>
    </w:p>
    <w:p w14:paraId="416BF9F9">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eastAsia="宋体" w:cs="宋体"/>
          <w:b/>
          <w:bCs/>
          <w:color w:val="auto"/>
          <w:highlight w:val="none"/>
          <w:lang w:eastAsia="zh-CN"/>
        </w:rPr>
        <w:t>投标无效</w:t>
      </w:r>
      <w:r>
        <w:rPr>
          <w:rFonts w:hint="eastAsia" w:ascii="宋体" w:hAnsi="宋体" w:eastAsia="宋体" w:cs="宋体"/>
          <w:color w:val="auto"/>
          <w:highlight w:val="none"/>
        </w:rPr>
        <w:t>。未标记“实质性格式”的文件和招标文件未提供格式的内容，可由投标人自行编写。</w:t>
      </w:r>
    </w:p>
    <w:p w14:paraId="3506E29E">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全部声明和问题的回答及所附材料必须是真实的、准确的和完整的。</w:t>
      </w:r>
    </w:p>
    <w:p w14:paraId="4A37CE3E">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0CCC358">
      <w:pPr>
        <w:rPr>
          <w:rFonts w:hint="eastAsia" w:ascii="宋体" w:hAnsi="宋体" w:eastAsia="宋体" w:cs="宋体"/>
          <w:b/>
          <w:color w:val="auto"/>
          <w:spacing w:val="20"/>
          <w:szCs w:val="21"/>
          <w:highlight w:val="none"/>
        </w:rPr>
      </w:pPr>
    </w:p>
    <w:p w14:paraId="369D1398">
      <w:pPr>
        <w:rPr>
          <w:rFonts w:hint="eastAsia" w:ascii="宋体" w:hAnsi="宋体" w:eastAsia="宋体" w:cs="宋体"/>
          <w:b/>
          <w:color w:val="auto"/>
          <w:sz w:val="24"/>
          <w:highlight w:val="none"/>
        </w:rPr>
      </w:pPr>
      <w:r>
        <w:rPr>
          <w:rFonts w:hint="eastAsia" w:ascii="宋体" w:hAnsi="宋体" w:eastAsia="宋体" w:cs="宋体"/>
          <w:b/>
          <w:color w:val="auto"/>
          <w:spacing w:val="20"/>
          <w:sz w:val="24"/>
          <w:highlight w:val="none"/>
        </w:rPr>
        <w:t>投标文件</w:t>
      </w:r>
      <w:r>
        <w:rPr>
          <w:rFonts w:hint="eastAsia" w:ascii="宋体" w:hAnsi="宋体" w:eastAsia="宋体" w:cs="宋体"/>
          <w:b/>
          <w:color w:val="auto"/>
          <w:sz w:val="24"/>
          <w:highlight w:val="none"/>
        </w:rPr>
        <w:t>封面（非实质性格式）</w:t>
      </w:r>
    </w:p>
    <w:p w14:paraId="1E0158A9">
      <w:pPr>
        <w:jc w:val="center"/>
        <w:rPr>
          <w:rFonts w:hint="eastAsia" w:ascii="宋体" w:hAnsi="宋体" w:eastAsia="宋体" w:cs="宋体"/>
          <w:color w:val="auto"/>
          <w:szCs w:val="21"/>
          <w:highlight w:val="none"/>
        </w:rPr>
      </w:pPr>
    </w:p>
    <w:p w14:paraId="707A6A1D">
      <w:pPr>
        <w:jc w:val="center"/>
        <w:rPr>
          <w:rFonts w:hint="eastAsia" w:ascii="宋体" w:hAnsi="宋体" w:eastAsia="宋体" w:cs="宋体"/>
          <w:b/>
          <w:color w:val="auto"/>
          <w:spacing w:val="60"/>
          <w:sz w:val="84"/>
          <w:szCs w:val="84"/>
          <w:highlight w:val="none"/>
        </w:rPr>
      </w:pPr>
      <w:r>
        <w:rPr>
          <w:rFonts w:hint="eastAsia" w:ascii="宋体" w:hAnsi="宋体" w:eastAsia="宋体" w:cs="宋体"/>
          <w:b/>
          <w:color w:val="auto"/>
          <w:spacing w:val="60"/>
          <w:sz w:val="84"/>
          <w:szCs w:val="84"/>
          <w:highlight w:val="none"/>
        </w:rPr>
        <w:t>投 标 文 件</w:t>
      </w:r>
    </w:p>
    <w:p w14:paraId="3C4DB56A">
      <w:pPr>
        <w:jc w:val="center"/>
        <w:rPr>
          <w:rFonts w:hint="eastAsia" w:ascii="宋体" w:hAnsi="宋体" w:eastAsia="宋体" w:cs="宋体"/>
          <w:b/>
          <w:color w:val="auto"/>
          <w:spacing w:val="60"/>
          <w:sz w:val="52"/>
          <w:szCs w:val="52"/>
          <w:highlight w:val="none"/>
          <w:lang w:eastAsia="zh-CN"/>
        </w:rPr>
      </w:pPr>
      <w:r>
        <w:rPr>
          <w:rFonts w:hint="eastAsia" w:ascii="宋体" w:hAnsi="宋体" w:eastAsia="宋体" w:cs="宋体"/>
          <w:b/>
          <w:color w:val="auto"/>
          <w:spacing w:val="60"/>
          <w:sz w:val="52"/>
          <w:szCs w:val="52"/>
          <w:highlight w:val="none"/>
          <w:lang w:val="en-US" w:eastAsia="zh-CN"/>
        </w:rPr>
        <w:t xml:space="preserve"> </w:t>
      </w:r>
    </w:p>
    <w:p w14:paraId="134F0483">
      <w:pPr>
        <w:ind w:firstLine="542" w:firstLineChars="150"/>
        <w:rPr>
          <w:rFonts w:hint="eastAsia" w:ascii="宋体" w:hAnsi="宋体" w:eastAsia="宋体" w:cs="宋体"/>
          <w:b/>
          <w:color w:val="auto"/>
          <w:spacing w:val="20"/>
          <w:sz w:val="32"/>
          <w:szCs w:val="32"/>
          <w:highlight w:val="none"/>
        </w:rPr>
      </w:pPr>
    </w:p>
    <w:p w14:paraId="53CF5AA4">
      <w:pPr>
        <w:ind w:firstLine="542" w:firstLineChars="150"/>
        <w:rPr>
          <w:rFonts w:hint="eastAsia" w:ascii="宋体" w:hAnsi="宋体" w:eastAsia="宋体" w:cs="宋体"/>
          <w:b/>
          <w:color w:val="auto"/>
          <w:spacing w:val="20"/>
          <w:sz w:val="32"/>
          <w:szCs w:val="32"/>
          <w:highlight w:val="none"/>
        </w:rPr>
      </w:pPr>
    </w:p>
    <w:p w14:paraId="6F936A3D">
      <w:pPr>
        <w:ind w:firstLine="482" w:firstLineChars="150"/>
        <w:rPr>
          <w:rFonts w:hint="eastAsia" w:ascii="宋体" w:hAnsi="宋体" w:eastAsia="宋体" w:cs="宋体"/>
          <w:b/>
          <w:color w:val="auto"/>
          <w:spacing w:val="0"/>
          <w:w w:val="100"/>
          <w:kern w:val="0"/>
          <w:position w:val="0"/>
          <w:sz w:val="32"/>
          <w:szCs w:val="32"/>
          <w:highlight w:val="none"/>
        </w:rPr>
      </w:pPr>
      <w:r>
        <w:rPr>
          <w:rFonts w:hint="eastAsia" w:ascii="宋体" w:hAnsi="宋体" w:eastAsia="宋体" w:cs="宋体"/>
          <w:b/>
          <w:color w:val="auto"/>
          <w:spacing w:val="0"/>
          <w:w w:val="100"/>
          <w:kern w:val="0"/>
          <w:position w:val="0"/>
          <w:sz w:val="32"/>
          <w:szCs w:val="32"/>
          <w:highlight w:val="none"/>
        </w:rPr>
        <w:t>项目名称</w:t>
      </w:r>
      <w:r>
        <w:rPr>
          <w:rFonts w:hint="eastAsia" w:ascii="宋体" w:hAnsi="宋体" w:eastAsia="宋体" w:cs="宋体"/>
          <w:b/>
          <w:color w:val="auto"/>
          <w:spacing w:val="0"/>
          <w:w w:val="100"/>
          <w:kern w:val="0"/>
          <w:position w:val="0"/>
          <w:sz w:val="32"/>
          <w:szCs w:val="32"/>
          <w:highlight w:val="none"/>
          <w:lang w:eastAsia="zh-CN"/>
        </w:rPr>
        <w:t>：</w:t>
      </w:r>
    </w:p>
    <w:p w14:paraId="626A44D5">
      <w:pPr>
        <w:ind w:firstLine="482" w:firstLineChars="150"/>
        <w:rPr>
          <w:rFonts w:hint="eastAsia" w:ascii="宋体" w:hAnsi="宋体" w:eastAsia="宋体" w:cs="宋体"/>
          <w:b/>
          <w:color w:val="auto"/>
          <w:spacing w:val="0"/>
          <w:w w:val="100"/>
          <w:kern w:val="0"/>
          <w:position w:val="0"/>
          <w:sz w:val="32"/>
          <w:szCs w:val="32"/>
          <w:highlight w:val="none"/>
        </w:rPr>
      </w:pPr>
      <w:r>
        <w:rPr>
          <w:rFonts w:hint="eastAsia" w:ascii="宋体" w:hAnsi="宋体" w:eastAsia="宋体" w:cs="宋体"/>
          <w:b/>
          <w:color w:val="auto"/>
          <w:spacing w:val="0"/>
          <w:w w:val="100"/>
          <w:kern w:val="0"/>
          <w:position w:val="0"/>
          <w:sz w:val="32"/>
          <w:szCs w:val="32"/>
          <w:highlight w:val="none"/>
        </w:rPr>
        <w:t>项目编号：</w:t>
      </w:r>
    </w:p>
    <w:p w14:paraId="2B0D9CB7">
      <w:pPr>
        <w:ind w:firstLine="482" w:firstLineChars="150"/>
        <w:rPr>
          <w:rFonts w:hint="eastAsia" w:ascii="宋体" w:hAnsi="宋体" w:eastAsia="宋体" w:cs="宋体"/>
          <w:b/>
          <w:color w:val="auto"/>
          <w:spacing w:val="0"/>
          <w:w w:val="100"/>
          <w:kern w:val="0"/>
          <w:position w:val="0"/>
          <w:sz w:val="32"/>
          <w:szCs w:val="32"/>
          <w:highlight w:val="none"/>
          <w:lang w:eastAsia="zh-CN"/>
        </w:rPr>
      </w:pPr>
      <w:r>
        <w:rPr>
          <w:rFonts w:hint="eastAsia" w:ascii="宋体" w:hAnsi="宋体" w:eastAsia="宋体" w:cs="宋体"/>
          <w:b/>
          <w:color w:val="auto"/>
          <w:spacing w:val="0"/>
          <w:w w:val="100"/>
          <w:kern w:val="0"/>
          <w:position w:val="0"/>
          <w:sz w:val="32"/>
          <w:szCs w:val="32"/>
          <w:highlight w:val="none"/>
        </w:rPr>
        <w:t>包号</w:t>
      </w:r>
      <w:r>
        <w:rPr>
          <w:rFonts w:hint="eastAsia" w:ascii="宋体" w:hAnsi="宋体" w:eastAsia="宋体" w:cs="宋体"/>
          <w:b/>
          <w:color w:val="auto"/>
          <w:spacing w:val="0"/>
          <w:w w:val="100"/>
          <w:kern w:val="0"/>
          <w:position w:val="0"/>
          <w:sz w:val="32"/>
          <w:szCs w:val="32"/>
          <w:highlight w:val="none"/>
          <w:lang w:eastAsia="zh-CN"/>
        </w:rPr>
        <w:t>：</w:t>
      </w:r>
    </w:p>
    <w:p w14:paraId="5210BD4F">
      <w:pPr>
        <w:ind w:firstLine="482" w:firstLineChars="150"/>
        <w:rPr>
          <w:rFonts w:hint="eastAsia" w:ascii="宋体" w:hAnsi="宋体" w:eastAsia="宋体" w:cs="宋体"/>
          <w:b/>
          <w:color w:val="auto"/>
          <w:spacing w:val="0"/>
          <w:w w:val="100"/>
          <w:kern w:val="0"/>
          <w:position w:val="0"/>
          <w:sz w:val="32"/>
          <w:szCs w:val="32"/>
          <w:highlight w:val="none"/>
          <w:lang w:eastAsia="zh-CN"/>
        </w:rPr>
      </w:pPr>
      <w:r>
        <w:rPr>
          <w:rFonts w:hint="eastAsia" w:ascii="宋体" w:hAnsi="宋体" w:eastAsia="宋体" w:cs="宋体"/>
          <w:b/>
          <w:color w:val="auto"/>
          <w:spacing w:val="0"/>
          <w:w w:val="100"/>
          <w:kern w:val="0"/>
          <w:position w:val="0"/>
          <w:sz w:val="32"/>
          <w:szCs w:val="32"/>
          <w:highlight w:val="none"/>
          <w:lang w:eastAsia="zh-CN"/>
        </w:rPr>
        <w:t>分包名称：</w:t>
      </w:r>
    </w:p>
    <w:p w14:paraId="3F2A27DE">
      <w:pPr>
        <w:ind w:firstLine="542" w:firstLineChars="150"/>
        <w:rPr>
          <w:rFonts w:hint="eastAsia" w:ascii="宋体" w:hAnsi="宋体" w:eastAsia="宋体" w:cs="宋体"/>
          <w:b/>
          <w:color w:val="auto"/>
          <w:spacing w:val="20"/>
          <w:sz w:val="32"/>
          <w:szCs w:val="32"/>
          <w:highlight w:val="none"/>
        </w:rPr>
      </w:pPr>
    </w:p>
    <w:p w14:paraId="256DC200">
      <w:pPr>
        <w:ind w:firstLine="542" w:firstLineChars="150"/>
        <w:rPr>
          <w:rFonts w:hint="eastAsia" w:ascii="宋体" w:hAnsi="宋体" w:eastAsia="宋体" w:cs="宋体"/>
          <w:b/>
          <w:color w:val="auto"/>
          <w:spacing w:val="20"/>
          <w:sz w:val="32"/>
          <w:szCs w:val="32"/>
          <w:highlight w:val="none"/>
        </w:rPr>
      </w:pPr>
    </w:p>
    <w:p w14:paraId="725D15BC">
      <w:pPr>
        <w:jc w:val="center"/>
        <w:rPr>
          <w:rFonts w:hint="eastAsia" w:ascii="宋体" w:hAnsi="宋体" w:eastAsia="宋体" w:cs="宋体"/>
          <w:b/>
          <w:color w:val="auto"/>
          <w:sz w:val="32"/>
          <w:szCs w:val="32"/>
          <w:highlight w:val="none"/>
        </w:rPr>
      </w:pPr>
    </w:p>
    <w:p w14:paraId="2886A344">
      <w:pPr>
        <w:jc w:val="center"/>
        <w:rPr>
          <w:rFonts w:hint="eastAsia" w:ascii="宋体" w:hAnsi="宋体" w:eastAsia="宋体" w:cs="宋体"/>
          <w:b/>
          <w:color w:val="auto"/>
          <w:sz w:val="32"/>
          <w:szCs w:val="32"/>
          <w:highlight w:val="none"/>
        </w:rPr>
      </w:pPr>
    </w:p>
    <w:p w14:paraId="3A3FC08C">
      <w:pPr>
        <w:jc w:val="center"/>
        <w:rPr>
          <w:rFonts w:hint="eastAsia" w:ascii="宋体" w:hAnsi="宋体" w:eastAsia="宋体" w:cs="宋体"/>
          <w:b/>
          <w:color w:val="auto"/>
          <w:sz w:val="32"/>
          <w:szCs w:val="32"/>
          <w:highlight w:val="none"/>
        </w:rPr>
      </w:pPr>
    </w:p>
    <w:p w14:paraId="58C17A7F">
      <w:pPr>
        <w:jc w:val="center"/>
        <w:rPr>
          <w:rFonts w:hint="eastAsia" w:ascii="宋体" w:hAnsi="宋体" w:eastAsia="宋体" w:cs="宋体"/>
          <w:b/>
          <w:color w:val="auto"/>
          <w:spacing w:val="20"/>
          <w:sz w:val="32"/>
          <w:szCs w:val="32"/>
          <w:highlight w:val="none"/>
        </w:rPr>
      </w:pPr>
    </w:p>
    <w:p w14:paraId="2C0DAE20">
      <w:pPr>
        <w:jc w:val="center"/>
        <w:rPr>
          <w:rFonts w:hint="eastAsia" w:ascii="宋体" w:hAnsi="宋体" w:eastAsia="宋体" w:cs="宋体"/>
          <w:b/>
          <w:color w:val="auto"/>
          <w:spacing w:val="20"/>
          <w:sz w:val="32"/>
          <w:szCs w:val="32"/>
          <w:highlight w:val="none"/>
        </w:rPr>
      </w:pPr>
    </w:p>
    <w:p w14:paraId="020D742D">
      <w:pPr>
        <w:jc w:val="center"/>
        <w:rPr>
          <w:rFonts w:hint="eastAsia" w:ascii="宋体" w:hAnsi="宋体" w:eastAsia="宋体" w:cs="宋体"/>
          <w:b/>
          <w:color w:val="auto"/>
          <w:spacing w:val="20"/>
          <w:sz w:val="32"/>
          <w:szCs w:val="32"/>
          <w:highlight w:val="none"/>
        </w:rPr>
      </w:pPr>
    </w:p>
    <w:p w14:paraId="43557896">
      <w:pPr>
        <w:spacing w:line="360" w:lineRule="auto"/>
        <w:ind w:firstLine="1445" w:firstLineChars="400"/>
        <w:jc w:val="left"/>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投标人名称：</w:t>
      </w:r>
    </w:p>
    <w:p w14:paraId="1C4D3C70">
      <w:pPr>
        <w:jc w:val="center"/>
        <w:rPr>
          <w:rFonts w:hint="eastAsia" w:ascii="宋体" w:hAnsi="宋体" w:eastAsia="宋体" w:cs="宋体"/>
          <w:b/>
          <w:color w:val="auto"/>
          <w:sz w:val="32"/>
          <w:szCs w:val="32"/>
          <w:highlight w:val="none"/>
        </w:rPr>
      </w:pPr>
    </w:p>
    <w:p w14:paraId="75AB5A87">
      <w:pPr>
        <w:rPr>
          <w:rFonts w:hint="eastAsia" w:ascii="宋体" w:hAnsi="宋体" w:eastAsia="宋体" w:cs="宋体"/>
          <w:b/>
          <w:color w:val="auto"/>
          <w:highlight w:val="none"/>
        </w:rPr>
      </w:pPr>
      <w:r>
        <w:rPr>
          <w:rFonts w:hint="eastAsia" w:ascii="宋体" w:hAnsi="宋体" w:eastAsia="宋体" w:cs="宋体"/>
          <w:b/>
          <w:color w:val="auto"/>
          <w:spacing w:val="20"/>
          <w:sz w:val="32"/>
          <w:szCs w:val="32"/>
          <w:highlight w:val="none"/>
        </w:rPr>
        <w:br w:type="page"/>
      </w:r>
    </w:p>
    <w:p w14:paraId="5FF026CD">
      <w:pPr>
        <w:keepLines/>
        <w:widowControl w:val="0"/>
        <w:numPr>
          <w:ilvl w:val="1"/>
          <w:numId w:val="67"/>
        </w:numPr>
        <w:tabs>
          <w:tab w:val="left" w:pos="0"/>
        </w:tabs>
        <w:autoSpaceDE w:val="0"/>
        <w:autoSpaceDN w:val="0"/>
        <w:adjustRightInd w:val="0"/>
        <w:spacing w:before="120" w:after="120" w:line="300" w:lineRule="auto"/>
        <w:ind w:left="567" w:hanging="567"/>
        <w:jc w:val="left"/>
        <w:outlineLvl w:val="1"/>
        <w:rPr>
          <w:rFonts w:hint="eastAsia" w:ascii="宋体" w:hAnsi="宋体" w:eastAsia="宋体" w:cs="宋体"/>
          <w:b/>
          <w:bCs/>
          <w:color w:val="auto"/>
          <w:spacing w:val="0"/>
          <w:w w:val="100"/>
          <w:kern w:val="0"/>
          <w:position w:val="0"/>
          <w:sz w:val="28"/>
          <w:szCs w:val="28"/>
          <w:highlight w:val="none"/>
          <w:lang w:val="en-US" w:eastAsia="zh-CN" w:bidi="ar-SA"/>
        </w:rPr>
      </w:pPr>
      <w:r>
        <w:rPr>
          <w:rFonts w:hint="eastAsia" w:ascii="宋体" w:hAnsi="宋体" w:eastAsia="宋体" w:cs="宋体"/>
          <w:b/>
          <w:bCs/>
          <w:color w:val="auto"/>
          <w:spacing w:val="0"/>
          <w:w w:val="100"/>
          <w:kern w:val="0"/>
          <w:position w:val="0"/>
          <w:sz w:val="28"/>
          <w:szCs w:val="28"/>
          <w:highlight w:val="none"/>
          <w:lang w:val="en-US" w:eastAsia="zh-CN" w:bidi="ar-SA"/>
        </w:rPr>
        <w:t>资格证明文件格式</w:t>
      </w:r>
    </w:p>
    <w:p w14:paraId="728F8D3A">
      <w:pPr>
        <w:pStyle w:val="4"/>
        <w:numPr>
          <w:ilvl w:val="2"/>
          <w:numId w:val="68"/>
        </w:numPr>
        <w:bidi w:val="0"/>
        <w:rPr>
          <w:rFonts w:hint="eastAsia" w:ascii="宋体" w:hAnsi="宋体" w:eastAsia="宋体" w:cs="宋体"/>
          <w:color w:val="auto"/>
          <w:highlight w:val="none"/>
        </w:rPr>
      </w:pPr>
      <w:r>
        <w:rPr>
          <w:rFonts w:hint="eastAsia" w:ascii="宋体" w:hAnsi="宋体" w:eastAsia="宋体" w:cs="宋体"/>
          <w:color w:val="auto"/>
          <w:highlight w:val="none"/>
        </w:rPr>
        <w:t>满足《中华人民共和国政府采购法》第二十二条规定</w:t>
      </w:r>
    </w:p>
    <w:p w14:paraId="44081D8E">
      <w:pPr>
        <w:pStyle w:val="5"/>
        <w:numPr>
          <w:ilvl w:val="3"/>
          <w:numId w:val="68"/>
        </w:numPr>
        <w:bidi w:val="0"/>
        <w:rPr>
          <w:rFonts w:hint="eastAsia" w:ascii="宋体" w:hAnsi="宋体" w:eastAsia="宋体" w:cs="宋体"/>
          <w:color w:val="auto"/>
          <w:highlight w:val="none"/>
        </w:rPr>
      </w:pPr>
      <w:r>
        <w:rPr>
          <w:rFonts w:hint="eastAsia" w:ascii="宋体" w:hAnsi="宋体" w:eastAsia="宋体" w:cs="宋体"/>
          <w:color w:val="auto"/>
          <w:highlight w:val="none"/>
        </w:rPr>
        <w:t>营业执照等证明文件</w:t>
      </w:r>
    </w:p>
    <w:p w14:paraId="16421F68">
      <w:pPr>
        <w:tabs>
          <w:tab w:val="left" w:pos="1080"/>
        </w:tabs>
        <w:snapToGrid w:val="0"/>
        <w:rPr>
          <w:rFonts w:hint="eastAsia" w:ascii="宋体" w:hAnsi="宋体" w:eastAsia="宋体" w:cs="宋体"/>
          <w:color w:val="auto"/>
          <w:sz w:val="24"/>
          <w:highlight w:val="none"/>
        </w:rPr>
      </w:pPr>
    </w:p>
    <w:p w14:paraId="65D7E653">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br w:type="page"/>
      </w:r>
    </w:p>
    <w:p w14:paraId="13546DFD">
      <w:pPr>
        <w:pStyle w:val="5"/>
        <w:numPr>
          <w:ilvl w:val="3"/>
          <w:numId w:val="68"/>
        </w:numPr>
        <w:bidi w:val="0"/>
        <w:rPr>
          <w:rFonts w:hint="eastAsia" w:ascii="宋体" w:hAnsi="宋体" w:eastAsia="宋体" w:cs="宋体"/>
          <w:color w:val="auto"/>
          <w:highlight w:val="none"/>
        </w:rPr>
      </w:pPr>
      <w:r>
        <w:rPr>
          <w:rFonts w:hint="eastAsia" w:ascii="宋体" w:hAnsi="宋体" w:eastAsia="宋体" w:cs="宋体"/>
          <w:color w:val="auto"/>
          <w:highlight w:val="none"/>
        </w:rPr>
        <w:t>投标人资格声明书</w:t>
      </w:r>
    </w:p>
    <w:p w14:paraId="420F7F84">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投标人资格声明书</w:t>
      </w:r>
    </w:p>
    <w:p w14:paraId="7B5A2C88">
      <w:pPr>
        <w:tabs>
          <w:tab w:val="left" w:pos="5580"/>
        </w:tabs>
        <w:spacing w:line="360" w:lineRule="auto"/>
        <w:rPr>
          <w:rFonts w:hint="eastAsia" w:ascii="宋体" w:hAnsi="宋体" w:eastAsia="宋体" w:cs="宋体"/>
          <w:color w:val="auto"/>
          <w:sz w:val="24"/>
          <w:highlight w:val="none"/>
        </w:rPr>
      </w:pPr>
    </w:p>
    <w:p w14:paraId="66C388E4">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采购人或采购代理机构</w:t>
      </w:r>
    </w:p>
    <w:p w14:paraId="6BC79F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在参与本次项目投标中，我单位承诺：</w:t>
      </w:r>
    </w:p>
    <w:p w14:paraId="4471B66F">
      <w:pPr>
        <w:numPr>
          <w:ilvl w:val="0"/>
          <w:numId w:val="69"/>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具有良好的商业信誉和健全的财务会计制度；</w:t>
      </w:r>
    </w:p>
    <w:p w14:paraId="2BFB355C">
      <w:pPr>
        <w:numPr>
          <w:ilvl w:val="0"/>
          <w:numId w:val="69"/>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具有履行合同所必需的设备和专业技术能力；</w:t>
      </w:r>
    </w:p>
    <w:p w14:paraId="69ED229A">
      <w:pPr>
        <w:numPr>
          <w:ilvl w:val="0"/>
          <w:numId w:val="69"/>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有依法缴纳税收和社会保障资金的良好记录；</w:t>
      </w:r>
    </w:p>
    <w:p w14:paraId="1D9C6A86">
      <w:pPr>
        <w:numPr>
          <w:ilvl w:val="0"/>
          <w:numId w:val="69"/>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413A0FF">
      <w:pPr>
        <w:numPr>
          <w:ilvl w:val="0"/>
          <w:numId w:val="69"/>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我单位不属于政府采购法律、行政法规规定的公益一类事业单位、或使用事业编制且由财政拨款保障的群团组织（仅适用于政府购买服务项目）；</w:t>
      </w:r>
    </w:p>
    <w:p w14:paraId="0DB49B79">
      <w:pPr>
        <w:numPr>
          <w:ilvl w:val="0"/>
          <w:numId w:val="69"/>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我单位不存在为采购项目提供整体设计、规范编制或者项目管理、监理、检测等服务后，再参加该采购项目的其他采购活动的情形（单一来源采购项目除外）；</w:t>
      </w:r>
    </w:p>
    <w:p w14:paraId="772D4135">
      <w:pPr>
        <w:numPr>
          <w:ilvl w:val="0"/>
          <w:numId w:val="69"/>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3DFD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8E4DE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4574" w:type="dxa"/>
            <w:vAlign w:val="center"/>
          </w:tcPr>
          <w:p w14:paraId="269AA2E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2976" w:type="dxa"/>
            <w:vAlign w:val="center"/>
          </w:tcPr>
          <w:p w14:paraId="462562A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相互关系</w:t>
            </w:r>
          </w:p>
        </w:tc>
      </w:tr>
      <w:tr w14:paraId="4167D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700F9A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574" w:type="dxa"/>
            <w:vAlign w:val="center"/>
          </w:tcPr>
          <w:p w14:paraId="58711FDE">
            <w:pPr>
              <w:jc w:val="center"/>
              <w:rPr>
                <w:rFonts w:hint="eastAsia" w:ascii="宋体" w:hAnsi="宋体" w:eastAsia="宋体" w:cs="宋体"/>
                <w:color w:val="auto"/>
                <w:sz w:val="24"/>
                <w:highlight w:val="none"/>
              </w:rPr>
            </w:pPr>
          </w:p>
        </w:tc>
        <w:tc>
          <w:tcPr>
            <w:tcW w:w="2976" w:type="dxa"/>
            <w:vAlign w:val="center"/>
          </w:tcPr>
          <w:p w14:paraId="336AE1D1">
            <w:pPr>
              <w:jc w:val="center"/>
              <w:rPr>
                <w:rFonts w:hint="eastAsia" w:ascii="宋体" w:hAnsi="宋体" w:eastAsia="宋体" w:cs="宋体"/>
                <w:color w:val="auto"/>
                <w:sz w:val="24"/>
                <w:highlight w:val="none"/>
              </w:rPr>
            </w:pPr>
          </w:p>
        </w:tc>
      </w:tr>
      <w:tr w14:paraId="3DF44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5B8970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574" w:type="dxa"/>
            <w:vAlign w:val="center"/>
          </w:tcPr>
          <w:p w14:paraId="50A16C6A">
            <w:pPr>
              <w:jc w:val="center"/>
              <w:rPr>
                <w:rFonts w:hint="eastAsia" w:ascii="宋体" w:hAnsi="宋体" w:eastAsia="宋体" w:cs="宋体"/>
                <w:color w:val="auto"/>
                <w:sz w:val="24"/>
                <w:highlight w:val="none"/>
              </w:rPr>
            </w:pPr>
          </w:p>
        </w:tc>
        <w:tc>
          <w:tcPr>
            <w:tcW w:w="2976" w:type="dxa"/>
            <w:vAlign w:val="center"/>
          </w:tcPr>
          <w:p w14:paraId="7A57A5BD">
            <w:pPr>
              <w:jc w:val="center"/>
              <w:rPr>
                <w:rFonts w:hint="eastAsia" w:ascii="宋体" w:hAnsi="宋体" w:eastAsia="宋体" w:cs="宋体"/>
                <w:color w:val="auto"/>
                <w:sz w:val="24"/>
                <w:highlight w:val="none"/>
              </w:rPr>
            </w:pPr>
          </w:p>
        </w:tc>
      </w:tr>
      <w:tr w14:paraId="72D73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A8504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4574" w:type="dxa"/>
            <w:vAlign w:val="center"/>
          </w:tcPr>
          <w:p w14:paraId="15D71A22">
            <w:pPr>
              <w:jc w:val="center"/>
              <w:rPr>
                <w:rFonts w:hint="eastAsia" w:ascii="宋体" w:hAnsi="宋体" w:eastAsia="宋体" w:cs="宋体"/>
                <w:color w:val="auto"/>
                <w:sz w:val="24"/>
                <w:highlight w:val="none"/>
              </w:rPr>
            </w:pPr>
          </w:p>
        </w:tc>
        <w:tc>
          <w:tcPr>
            <w:tcW w:w="2976" w:type="dxa"/>
            <w:vAlign w:val="center"/>
          </w:tcPr>
          <w:p w14:paraId="407486BC">
            <w:pPr>
              <w:jc w:val="center"/>
              <w:rPr>
                <w:rFonts w:hint="eastAsia" w:ascii="宋体" w:hAnsi="宋体" w:eastAsia="宋体" w:cs="宋体"/>
                <w:color w:val="auto"/>
                <w:sz w:val="24"/>
                <w:highlight w:val="none"/>
              </w:rPr>
            </w:pPr>
          </w:p>
        </w:tc>
      </w:tr>
    </w:tbl>
    <w:p w14:paraId="69810CD2">
      <w:pPr>
        <w:rPr>
          <w:rFonts w:hint="eastAsia" w:ascii="宋体" w:hAnsi="宋体" w:eastAsia="宋体" w:cs="宋体"/>
          <w:color w:val="auto"/>
          <w:highlight w:val="none"/>
        </w:rPr>
      </w:pPr>
    </w:p>
    <w:p w14:paraId="4479474A">
      <w:pPr>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上述声明真实有效，否则我方负全部责任。</w:t>
      </w:r>
    </w:p>
    <w:p w14:paraId="5625772B">
      <w:pPr>
        <w:spacing w:line="360" w:lineRule="auto"/>
        <w:rPr>
          <w:rFonts w:hint="eastAsia" w:ascii="宋体" w:hAnsi="宋体" w:eastAsia="宋体" w:cs="宋体"/>
          <w:color w:val="auto"/>
          <w:sz w:val="24"/>
          <w:highlight w:val="none"/>
        </w:rPr>
      </w:pPr>
    </w:p>
    <w:p w14:paraId="7E184C46">
      <w:pPr>
        <w:autoSpaceDE w:val="0"/>
        <w:autoSpaceDN w:val="0"/>
        <w:adjustRightInd w:val="0"/>
        <w:snapToGrid w:val="0"/>
        <w:spacing w:before="25" w:after="25" w:line="360" w:lineRule="auto"/>
        <w:jc w:val="righ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14:paraId="577C876E">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 xml:space="preserve">日期：_____年______月______日   </w:t>
      </w:r>
    </w:p>
    <w:p w14:paraId="75F614DB">
      <w:pPr>
        <w:autoSpaceDE w:val="0"/>
        <w:autoSpaceDN w:val="0"/>
        <w:adjustRightInd w:val="0"/>
        <w:snapToGrid w:val="0"/>
        <w:spacing w:before="25" w:after="25"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说明：供应商承诺不实的，依据《政府采购法》第七十七条“提供虚假材料谋取中标、成交的”有关规定予以处理。</w:t>
      </w:r>
    </w:p>
    <w:p w14:paraId="0D14BB9D">
      <w:pPr>
        <w:rPr>
          <w:rFonts w:hint="eastAsia" w:ascii="宋体" w:hAnsi="宋体" w:eastAsia="宋体" w:cs="宋体"/>
          <w:color w:val="auto"/>
          <w:highlight w:val="none"/>
        </w:rPr>
      </w:pPr>
      <w:r>
        <w:rPr>
          <w:rFonts w:hint="eastAsia" w:ascii="宋体" w:hAnsi="宋体" w:eastAsia="宋体" w:cs="宋体"/>
          <w:color w:val="auto"/>
          <w:sz w:val="24"/>
          <w:highlight w:val="none"/>
        </w:rPr>
        <w:br w:type="page"/>
      </w:r>
    </w:p>
    <w:p w14:paraId="07EE4C40">
      <w:pPr>
        <w:pStyle w:val="4"/>
        <w:numPr>
          <w:ilvl w:val="2"/>
          <w:numId w:val="68"/>
        </w:numPr>
        <w:bidi w:val="0"/>
        <w:rPr>
          <w:rFonts w:hint="eastAsia" w:ascii="宋体" w:hAnsi="宋体" w:eastAsia="宋体" w:cs="宋体"/>
          <w:color w:val="auto"/>
          <w:highlight w:val="none"/>
        </w:rPr>
      </w:pPr>
      <w:r>
        <w:rPr>
          <w:rFonts w:hint="eastAsia" w:ascii="宋体" w:hAnsi="宋体" w:eastAsia="宋体" w:cs="宋体"/>
          <w:color w:val="auto"/>
          <w:highlight w:val="none"/>
        </w:rPr>
        <w:t>落实政府采购政策需满足的资格要求（如有）</w:t>
      </w:r>
    </w:p>
    <w:p w14:paraId="15E4879B">
      <w:pPr>
        <w:pStyle w:val="5"/>
        <w:numPr>
          <w:ilvl w:val="3"/>
          <w:numId w:val="68"/>
        </w:numPr>
        <w:bidi w:val="0"/>
        <w:rPr>
          <w:rFonts w:hint="eastAsia" w:ascii="宋体" w:hAnsi="宋体" w:eastAsia="宋体" w:cs="宋体"/>
          <w:color w:val="auto"/>
          <w:highlight w:val="none"/>
        </w:rPr>
      </w:pPr>
      <w:r>
        <w:rPr>
          <w:rFonts w:hint="eastAsia" w:ascii="宋体" w:hAnsi="宋体" w:eastAsia="宋体" w:cs="宋体"/>
          <w:color w:val="auto"/>
          <w:highlight w:val="none"/>
        </w:rPr>
        <w:t>中小企业政策证明文件</w:t>
      </w:r>
    </w:p>
    <w:p w14:paraId="0FDEFE3C">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27ABBDD3">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DB76A76">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563FC5B">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18193D6">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（4）如本项目（包）预留部分采购项目预算专门面向中小企业采购，且要求供应商以联合体形式参加采购活动</w:t>
      </w:r>
      <w:r>
        <w:rPr>
          <w:rFonts w:hint="eastAsia" w:ascii="宋体" w:hAnsi="宋体" w:eastAsia="宋体" w:cs="宋体"/>
          <w:color w:val="auto"/>
          <w:highlight w:val="none"/>
        </w:rPr>
        <w:t>，</w:t>
      </w:r>
      <w:bookmarkStart w:id="53" w:name="_Hlk145526067"/>
      <w:r>
        <w:rPr>
          <w:rFonts w:hint="eastAsia" w:ascii="宋体" w:hAnsi="宋体" w:eastAsia="宋体" w:cs="宋体"/>
          <w:color w:val="auto"/>
          <w:sz w:val="24"/>
          <w:highlight w:val="none"/>
        </w:rPr>
        <w:t>如供应商为联合体的，</w:t>
      </w:r>
      <w:bookmarkEnd w:id="53"/>
      <w:r>
        <w:rPr>
          <w:rFonts w:hint="eastAsia" w:ascii="宋体" w:hAnsi="宋体" w:eastAsia="宋体" w:cs="宋体"/>
          <w:color w:val="auto"/>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012B9FD">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（5）中小企业声明函填写注意事项</w:t>
      </w:r>
    </w:p>
    <w:p w14:paraId="3DF29A19">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1）《中小企业声明函》由参加政府采购活动的投标人出具。联合体投标的，《中小企业声明函》可由牵头人出具。</w:t>
      </w:r>
    </w:p>
    <w:p w14:paraId="673F7351">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63DF9FA">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3）对于多标的采购项目，投标人应充分、准确地了解所提供货物的制造企业、提供服务的承接企业信息。对相关情况了解不清楚的，不建议填报本声明函。</w:t>
      </w:r>
    </w:p>
    <w:p w14:paraId="00E513C2">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3CE8091C">
      <w:pPr>
        <w:tabs>
          <w:tab w:val="left" w:pos="5580"/>
        </w:tabs>
        <w:spacing w:line="360" w:lineRule="auto"/>
        <w:rPr>
          <w:rFonts w:hint="eastAsia" w:ascii="宋体" w:hAnsi="宋体" w:eastAsia="宋体" w:cs="宋体"/>
          <w:color w:val="auto"/>
          <w:sz w:val="24"/>
          <w:highlight w:val="none"/>
        </w:rPr>
      </w:pPr>
    </w:p>
    <w:p w14:paraId="25DD3D31">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C89433D">
      <w:pPr>
        <w:pStyle w:val="6"/>
        <w:numPr>
          <w:ilvl w:val="4"/>
          <w:numId w:val="68"/>
        </w:numPr>
        <w:bidi w:val="0"/>
        <w:rPr>
          <w:rFonts w:hint="eastAsia" w:ascii="宋体" w:hAnsi="宋体" w:eastAsia="宋体" w:cs="宋体"/>
          <w:color w:val="auto"/>
          <w:highlight w:val="none"/>
        </w:rPr>
      </w:pPr>
      <w:r>
        <w:rPr>
          <w:rFonts w:hint="eastAsia" w:ascii="宋体" w:hAnsi="宋体" w:eastAsia="宋体" w:cs="宋体"/>
          <w:color w:val="auto"/>
          <w:highlight w:val="none"/>
        </w:rPr>
        <w:t>中小企业证明文件</w:t>
      </w:r>
    </w:p>
    <w:p w14:paraId="485D9628">
      <w:pPr>
        <w:spacing w:before="240" w:beforeLines="100" w:after="240" w:afterLines="100" w:line="360" w:lineRule="auto"/>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rPr>
        <w:t>中小企业声明函（货物）格式</w:t>
      </w:r>
    </w:p>
    <w:p w14:paraId="55D9C101">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7F1D3289">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行业；制造商为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w:t>
      </w:r>
      <w:r>
        <w:rPr>
          <w:rFonts w:hint="eastAsia" w:ascii="宋体" w:hAnsi="宋体" w:eastAsia="宋体" w:cs="宋体"/>
          <w:color w:val="auto"/>
          <w:spacing w:val="6"/>
          <w:sz w:val="24"/>
          <w:highlight w:val="none"/>
          <w:vertAlign w:val="superscript"/>
        </w:rPr>
        <w:t>1</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14:paraId="47C45DF1">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行业；制造商为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14:paraId="29B3F412">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14:paraId="7D6C1597">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14:paraId="298A10BE">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14:paraId="1D267432">
      <w:pPr>
        <w:spacing w:line="360" w:lineRule="auto"/>
        <w:ind w:firstLine="504"/>
        <w:rPr>
          <w:rFonts w:hint="eastAsia" w:ascii="宋体" w:hAnsi="宋体" w:eastAsia="宋体" w:cs="宋体"/>
          <w:color w:val="auto"/>
          <w:spacing w:val="6"/>
          <w:sz w:val="24"/>
          <w:highlight w:val="none"/>
        </w:rPr>
      </w:pPr>
    </w:p>
    <w:p w14:paraId="4A42C637">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企业名称（盖章）：________</w:t>
      </w:r>
    </w:p>
    <w:p w14:paraId="7804DD4B">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期：________</w:t>
      </w:r>
    </w:p>
    <w:p w14:paraId="70B9B58B">
      <w:pPr>
        <w:spacing w:line="360" w:lineRule="auto"/>
        <w:ind w:right="360" w:firstLine="480"/>
        <w:jc w:val="right"/>
        <w:rPr>
          <w:rFonts w:hint="eastAsia" w:ascii="宋体" w:hAnsi="宋体" w:eastAsia="宋体" w:cs="宋体"/>
          <w:color w:val="auto"/>
          <w:sz w:val="24"/>
          <w:highlight w:val="none"/>
        </w:rPr>
      </w:pPr>
    </w:p>
    <w:p w14:paraId="7FAD3055">
      <w:pPr>
        <w:spacing w:line="360" w:lineRule="auto"/>
        <w:ind w:right="360" w:firstLine="480"/>
        <w:jc w:val="right"/>
        <w:rPr>
          <w:rFonts w:hint="eastAsia" w:ascii="宋体" w:hAnsi="宋体" w:eastAsia="宋体" w:cs="宋体"/>
          <w:color w:val="auto"/>
          <w:sz w:val="24"/>
          <w:highlight w:val="none"/>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4A29BA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97D1AB1">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tc>
      </w:tr>
    </w:tbl>
    <w:p w14:paraId="72FB91C9">
      <w:pPr>
        <w:autoSpaceDE w:val="0"/>
        <w:autoSpaceDN w:val="0"/>
        <w:adjustRightInd w:val="0"/>
        <w:ind w:firstLine="420"/>
        <w:jc w:val="left"/>
        <w:rPr>
          <w:rFonts w:hint="eastAsia" w:ascii="宋体" w:hAnsi="宋体" w:eastAsia="宋体" w:cs="宋体"/>
          <w:color w:val="auto"/>
          <w:sz w:val="24"/>
          <w:highlight w:val="none"/>
        </w:rPr>
      </w:pPr>
    </w:p>
    <w:p w14:paraId="2ED58DD9">
      <w:pPr>
        <w:spacing w:line="360" w:lineRule="auto"/>
        <w:rPr>
          <w:rFonts w:hint="eastAsia" w:ascii="宋体" w:hAnsi="宋体" w:eastAsia="宋体" w:cs="宋体"/>
          <w:color w:val="auto"/>
          <w:sz w:val="24"/>
          <w:highlight w:val="none"/>
        </w:rPr>
      </w:pPr>
    </w:p>
    <w:p w14:paraId="640090B0">
      <w:pPr>
        <w:spacing w:line="360" w:lineRule="auto"/>
        <w:jc w:val="center"/>
        <w:outlineLvl w:val="9"/>
        <w:rPr>
          <w:rFonts w:hint="eastAsia" w:ascii="宋体" w:hAnsi="宋体" w:eastAsia="宋体" w:cs="宋体"/>
          <w:b/>
          <w:color w:val="auto"/>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6"/>
          <w:szCs w:val="36"/>
          <w:highlight w:val="none"/>
        </w:rPr>
        <w:t>残疾人福利性单位声明函格式</w:t>
      </w:r>
    </w:p>
    <w:p w14:paraId="00CCC1D4">
      <w:pPr>
        <w:spacing w:line="588" w:lineRule="exact"/>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w:t>
      </w:r>
      <w:r>
        <w:rPr>
          <w:rFonts w:hint="eastAsia" w:ascii="宋体" w:hAnsi="宋体" w:eastAsia="宋体" w:cs="宋体"/>
          <w:b/>
          <w:color w:val="auto"/>
          <w:sz w:val="24"/>
          <w:highlight w:val="none"/>
        </w:rPr>
        <w:t>（请进行选择）</w:t>
      </w:r>
      <w:r>
        <w:rPr>
          <w:rFonts w:hint="eastAsia" w:ascii="宋体" w:hAnsi="宋体" w:eastAsia="宋体" w:cs="宋体"/>
          <w:color w:val="auto"/>
          <w:spacing w:val="6"/>
          <w:sz w:val="24"/>
          <w:highlight w:val="none"/>
        </w:rPr>
        <w:t>：</w:t>
      </w:r>
    </w:p>
    <w:p w14:paraId="5DCBA170">
      <w:pPr>
        <w:spacing w:line="588" w:lineRule="exact"/>
        <w:ind w:firstLine="482"/>
        <w:rPr>
          <w:rFonts w:hint="eastAsia" w:ascii="宋体" w:hAnsi="宋体" w:eastAsia="宋体" w:cs="宋体"/>
          <w:b/>
          <w:color w:val="auto"/>
          <w:spacing w:val="6"/>
          <w:sz w:val="24"/>
          <w:highlight w:val="none"/>
        </w:rPr>
      </w:pPr>
      <w:r>
        <w:rPr>
          <w:rFonts w:hint="eastAsia" w:ascii="宋体" w:hAnsi="宋体" w:eastAsia="宋体" w:cs="宋体"/>
          <w:b/>
          <w:color w:val="auto"/>
          <w:sz w:val="24"/>
          <w:highlight w:val="none"/>
          <w:lang w:eastAsia="zh-CN"/>
        </w:rPr>
        <w:t>□</w:t>
      </w:r>
      <w:r>
        <w:rPr>
          <w:rFonts w:hint="eastAsia" w:ascii="宋体" w:hAnsi="宋体" w:eastAsia="宋体" w:cs="宋体"/>
          <w:b/>
          <w:color w:val="auto"/>
          <w:spacing w:val="6"/>
          <w:sz w:val="24"/>
          <w:highlight w:val="none"/>
        </w:rPr>
        <w:t>不属于符合条件的残疾人福利性单位。</w:t>
      </w:r>
    </w:p>
    <w:p w14:paraId="671EAFD4">
      <w:pPr>
        <w:spacing w:line="588" w:lineRule="exact"/>
        <w:ind w:firstLine="482"/>
        <w:rPr>
          <w:rFonts w:hint="eastAsia" w:ascii="宋体" w:hAnsi="宋体" w:eastAsia="宋体" w:cs="宋体"/>
          <w:color w:val="auto"/>
          <w:spacing w:val="6"/>
          <w:sz w:val="24"/>
          <w:highlight w:val="none"/>
        </w:rPr>
      </w:pPr>
      <w:r>
        <w:rPr>
          <w:rFonts w:hint="eastAsia" w:ascii="宋体" w:hAnsi="宋体" w:eastAsia="宋体" w:cs="宋体"/>
          <w:b/>
          <w:color w:val="auto"/>
          <w:sz w:val="24"/>
          <w:highlight w:val="none"/>
          <w:lang w:eastAsia="zh-CN"/>
        </w:rPr>
        <w:t>□</w:t>
      </w:r>
      <w:r>
        <w:rPr>
          <w:rFonts w:hint="eastAsia" w:ascii="宋体" w:hAnsi="宋体" w:eastAsia="宋体" w:cs="宋体"/>
          <w:b/>
          <w:color w:val="auto"/>
          <w:spacing w:val="6"/>
          <w:sz w:val="24"/>
          <w:highlight w:val="none"/>
        </w:rPr>
        <w:t>属于符合条件的残疾人福利性单位，</w:t>
      </w:r>
      <w:r>
        <w:rPr>
          <w:rFonts w:hint="eastAsia" w:ascii="宋体" w:hAnsi="宋体" w:eastAsia="宋体" w:cs="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29B5DE46">
      <w:pPr>
        <w:spacing w:line="588" w:lineRule="exact"/>
        <w:ind w:firstLine="506" w:firstLineChars="200"/>
        <w:rPr>
          <w:rFonts w:hint="eastAsia" w:ascii="宋体" w:hAnsi="宋体" w:eastAsia="宋体" w:cs="宋体"/>
          <w:color w:val="auto"/>
          <w:spacing w:val="6"/>
          <w:sz w:val="24"/>
          <w:highlight w:val="none"/>
        </w:rPr>
      </w:pPr>
      <w:r>
        <w:rPr>
          <w:rFonts w:hint="eastAsia" w:ascii="宋体" w:hAnsi="宋体" w:eastAsia="宋体" w:cs="宋体"/>
          <w:b/>
          <w:color w:val="auto"/>
          <w:spacing w:val="6"/>
          <w:sz w:val="24"/>
          <w:highlight w:val="none"/>
        </w:rPr>
        <w:t>本单位对上述声明的真实性负责。如有虚假，将依法承担相应责任。</w:t>
      </w:r>
    </w:p>
    <w:p w14:paraId="56A1CB0B">
      <w:pPr>
        <w:spacing w:line="588" w:lineRule="exact"/>
        <w:ind w:firstLine="504" w:firstLineChars="200"/>
        <w:rPr>
          <w:rFonts w:hint="eastAsia" w:ascii="宋体" w:hAnsi="宋体" w:eastAsia="宋体" w:cs="宋体"/>
          <w:color w:val="auto"/>
          <w:spacing w:val="6"/>
          <w:sz w:val="24"/>
          <w:highlight w:val="none"/>
        </w:rPr>
      </w:pPr>
    </w:p>
    <w:p w14:paraId="2E04F0EA">
      <w:pPr>
        <w:spacing w:line="588" w:lineRule="exact"/>
        <w:ind w:firstLine="504" w:firstLineChars="200"/>
        <w:rPr>
          <w:rFonts w:hint="eastAsia" w:ascii="宋体" w:hAnsi="宋体" w:eastAsia="宋体" w:cs="宋体"/>
          <w:color w:val="auto"/>
          <w:spacing w:val="6"/>
          <w:sz w:val="24"/>
          <w:highlight w:val="none"/>
        </w:rPr>
      </w:pPr>
    </w:p>
    <w:p w14:paraId="75A65235">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单位名称（盖章）：</w:t>
      </w:r>
    </w:p>
    <w:p w14:paraId="68029410">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  期：</w:t>
      </w:r>
    </w:p>
    <w:p w14:paraId="73BF2B08">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14:paraId="0D163542">
      <w:pPr>
        <w:pStyle w:val="5"/>
        <w:numPr>
          <w:ilvl w:val="3"/>
          <w:numId w:val="68"/>
        </w:numPr>
        <w:bidi w:val="0"/>
        <w:rPr>
          <w:rFonts w:hint="eastAsia" w:ascii="宋体" w:hAnsi="宋体" w:eastAsia="宋体" w:cs="宋体"/>
          <w:color w:val="auto"/>
          <w:highlight w:val="none"/>
        </w:rPr>
      </w:pPr>
      <w:r>
        <w:rPr>
          <w:rFonts w:hint="eastAsia" w:ascii="宋体" w:hAnsi="宋体" w:eastAsia="宋体" w:cs="宋体"/>
          <w:color w:val="auto"/>
          <w:highlight w:val="none"/>
        </w:rPr>
        <w:t>其它落实政府采购政策的资格要求（如有）</w:t>
      </w:r>
    </w:p>
    <w:p w14:paraId="380BDCC9">
      <w:pPr>
        <w:widowControl/>
        <w:jc w:val="left"/>
        <w:rPr>
          <w:rFonts w:hint="eastAsia" w:ascii="宋体" w:hAnsi="宋体" w:eastAsia="宋体" w:cs="宋体"/>
          <w:color w:val="auto"/>
          <w:sz w:val="24"/>
          <w:highlight w:val="none"/>
        </w:rPr>
      </w:pPr>
    </w:p>
    <w:p w14:paraId="53317954">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A28BAAA">
      <w:pPr>
        <w:pStyle w:val="4"/>
        <w:numPr>
          <w:ilvl w:val="2"/>
          <w:numId w:val="68"/>
        </w:numPr>
        <w:bidi w:val="0"/>
        <w:rPr>
          <w:rFonts w:hint="eastAsia" w:ascii="宋体" w:hAnsi="宋体" w:eastAsia="宋体" w:cs="宋体"/>
          <w:color w:val="auto"/>
          <w:highlight w:val="none"/>
        </w:rPr>
      </w:pPr>
      <w:r>
        <w:rPr>
          <w:rFonts w:hint="eastAsia" w:ascii="宋体" w:hAnsi="宋体" w:eastAsia="宋体" w:cs="宋体"/>
          <w:color w:val="auto"/>
          <w:highlight w:val="none"/>
        </w:rPr>
        <w:t>本项目的特定资格要求（如有）</w:t>
      </w:r>
    </w:p>
    <w:p w14:paraId="6307ED84">
      <w:pPr>
        <w:pStyle w:val="5"/>
        <w:numPr>
          <w:ilvl w:val="3"/>
          <w:numId w:val="68"/>
        </w:numPr>
        <w:bidi w:val="0"/>
        <w:rPr>
          <w:rFonts w:hint="eastAsia" w:ascii="宋体" w:hAnsi="宋体" w:eastAsia="宋体" w:cs="宋体"/>
          <w:color w:val="auto"/>
          <w:highlight w:val="none"/>
        </w:rPr>
      </w:pPr>
      <w:r>
        <w:rPr>
          <w:rFonts w:hint="eastAsia" w:ascii="宋体" w:hAnsi="宋体" w:eastAsia="宋体" w:cs="宋体"/>
          <w:color w:val="auto"/>
          <w:highlight w:val="none"/>
        </w:rPr>
        <w:t>联合协议（如有）</w:t>
      </w:r>
    </w:p>
    <w:p w14:paraId="48C652DD">
      <w:pPr>
        <w:autoSpaceDE w:val="0"/>
        <w:autoSpaceDN w:val="0"/>
        <w:adjustRightInd w:val="0"/>
        <w:spacing w:line="360" w:lineRule="auto"/>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联合协议</w:t>
      </w:r>
      <w:r>
        <w:rPr>
          <w:rFonts w:hint="eastAsia" w:ascii="宋体" w:hAnsi="宋体" w:eastAsia="宋体" w:cs="宋体"/>
          <w:b/>
          <w:color w:val="auto"/>
          <w:sz w:val="36"/>
          <w:szCs w:val="36"/>
          <w:highlight w:val="none"/>
          <w:lang w:eastAsia="zh-CN"/>
        </w:rPr>
        <w:t>（</w:t>
      </w:r>
      <w:r>
        <w:rPr>
          <w:rFonts w:hint="eastAsia" w:ascii="宋体" w:hAnsi="宋体" w:eastAsia="宋体" w:cs="宋体"/>
          <w:b/>
          <w:color w:val="auto"/>
          <w:sz w:val="36"/>
          <w:szCs w:val="36"/>
          <w:highlight w:val="none"/>
          <w:lang w:val="en-US" w:eastAsia="zh-CN"/>
        </w:rPr>
        <w:t>本项目不适用</w:t>
      </w:r>
      <w:r>
        <w:rPr>
          <w:rFonts w:hint="eastAsia" w:ascii="宋体" w:hAnsi="宋体" w:eastAsia="宋体" w:cs="宋体"/>
          <w:b/>
          <w:color w:val="auto"/>
          <w:sz w:val="36"/>
          <w:szCs w:val="36"/>
          <w:highlight w:val="none"/>
          <w:lang w:eastAsia="zh-CN"/>
        </w:rPr>
        <w:t>）</w:t>
      </w:r>
    </w:p>
    <w:p w14:paraId="7E7B9756">
      <w:pPr>
        <w:spacing w:line="360" w:lineRule="auto"/>
        <w:ind w:firstLine="828" w:firstLineChars="345"/>
        <w:rPr>
          <w:rFonts w:hint="eastAsia" w:ascii="宋体" w:hAnsi="宋体" w:eastAsia="宋体" w:cs="宋体"/>
          <w:bCs/>
          <w:color w:val="auto"/>
          <w:highlight w:val="none"/>
        </w:rPr>
      </w:pPr>
      <w:r>
        <w:rPr>
          <w:rFonts w:hint="eastAsia" w:ascii="宋体" w:hAnsi="宋体" w:eastAsia="宋体" w:cs="宋体"/>
          <w:bCs/>
          <w:color w:val="auto"/>
          <w:sz w:val="24"/>
          <w:highlight w:val="none"/>
        </w:rPr>
        <w:t>______ 、 _____ 及 _____就“________（项目名称）</w:t>
      </w:r>
      <w:r>
        <w:rPr>
          <w:rFonts w:hint="eastAsia" w:ascii="宋体" w:hAnsi="宋体" w:eastAsia="宋体" w:cs="宋体"/>
          <w:color w:val="auto"/>
          <w:sz w:val="24"/>
          <w:highlight w:val="none"/>
        </w:rPr>
        <w:t>”____包</w:t>
      </w:r>
      <w:r>
        <w:rPr>
          <w:rFonts w:hint="eastAsia" w:ascii="宋体" w:hAnsi="宋体" w:eastAsia="宋体" w:cs="宋体"/>
          <w:bCs/>
          <w:color w:val="auto"/>
          <w:sz w:val="24"/>
          <w:highlight w:val="none"/>
        </w:rPr>
        <w:t>招标项目的投标事宜，经各方充分协商一致，达成如下协议：</w:t>
      </w:r>
    </w:p>
    <w:p w14:paraId="6FE09B7E">
      <w:pPr>
        <w:numPr>
          <w:ilvl w:val="0"/>
          <w:numId w:val="70"/>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由_________牵头，_________、__________参加，组成联合体共同进行招标项目的投标工作。</w:t>
      </w:r>
    </w:p>
    <w:p w14:paraId="549679FD">
      <w:pPr>
        <w:numPr>
          <w:ilvl w:val="0"/>
          <w:numId w:val="70"/>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联合体中标后，联合体各方共同与采购人签订合同，就采购合同约定的事项对采购人承担连带责任。</w:t>
      </w:r>
    </w:p>
    <w:p w14:paraId="611A960F">
      <w:pPr>
        <w:numPr>
          <w:ilvl w:val="0"/>
          <w:numId w:val="70"/>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联合体各方均同意由牵头人代表其他联合体成员单位按招标文件要求出具《授权委托书》。</w:t>
      </w:r>
    </w:p>
    <w:p w14:paraId="1247DB6C">
      <w:pPr>
        <w:numPr>
          <w:ilvl w:val="0"/>
          <w:numId w:val="70"/>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牵头人为项目的总负责单位；组织各参加方进行项目实施工作。</w:t>
      </w:r>
    </w:p>
    <w:p w14:paraId="22C57782">
      <w:pPr>
        <w:numPr>
          <w:ilvl w:val="0"/>
          <w:numId w:val="70"/>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______负责_____，具体工作范围、内容以投标文件及合同为准。</w:t>
      </w:r>
    </w:p>
    <w:p w14:paraId="58812F65">
      <w:pPr>
        <w:numPr>
          <w:ilvl w:val="0"/>
          <w:numId w:val="70"/>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______负责_____，具体工作范围、内容以投标文件及合同为准。</w:t>
      </w:r>
    </w:p>
    <w:p w14:paraId="3A991711">
      <w:pPr>
        <w:numPr>
          <w:ilvl w:val="0"/>
          <w:numId w:val="70"/>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______负责_____（如有），具体工作范围、内容以投标文件及合同为准。</w:t>
      </w:r>
    </w:p>
    <w:p w14:paraId="452C8432">
      <w:pPr>
        <w:numPr>
          <w:ilvl w:val="0"/>
          <w:numId w:val="70"/>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本项目联合协议合同总额为________元，联合体各成员按照如下比例分摊（按联合体成员分别列明）：</w:t>
      </w:r>
    </w:p>
    <w:p w14:paraId="62E56B38">
      <w:pPr>
        <w:tabs>
          <w:tab w:val="left" w:pos="720"/>
          <w:tab w:val="left" w:pos="900"/>
        </w:tabs>
        <w:spacing w:line="360" w:lineRule="auto"/>
        <w:ind w:left="85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r>
        <w:rPr>
          <w:rFonts w:hint="eastAsia" w:ascii="宋体" w:hAnsi="宋体" w:eastAsia="宋体" w:cs="宋体"/>
          <w:bCs/>
          <w:color w:val="auto"/>
          <w:sz w:val="24"/>
          <w:szCs w:val="20"/>
          <w:highlight w:val="none"/>
        </w:rPr>
        <w:t>______</w:t>
      </w:r>
      <w:r>
        <w:rPr>
          <w:rFonts w:hint="eastAsia" w:ascii="宋体" w:hAnsi="宋体" w:eastAsia="宋体" w:cs="宋体"/>
          <w:color w:val="auto"/>
          <w:sz w:val="24"/>
          <w:szCs w:val="20"/>
          <w:highlight w:val="none"/>
        </w:rPr>
        <w:t>为</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大型企业</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中型企业、</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小微企业（包含监狱企业、残疾人福利性单位）、</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其他，合同金额为_____元；</w:t>
      </w:r>
    </w:p>
    <w:p w14:paraId="50D15E1E">
      <w:pPr>
        <w:tabs>
          <w:tab w:val="left" w:pos="720"/>
          <w:tab w:val="left" w:pos="900"/>
        </w:tabs>
        <w:spacing w:line="360" w:lineRule="auto"/>
        <w:ind w:left="85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r>
        <w:rPr>
          <w:rFonts w:hint="eastAsia" w:ascii="宋体" w:hAnsi="宋体" w:eastAsia="宋体" w:cs="宋体"/>
          <w:bCs/>
          <w:color w:val="auto"/>
          <w:sz w:val="24"/>
          <w:szCs w:val="20"/>
          <w:highlight w:val="none"/>
        </w:rPr>
        <w:t>______</w:t>
      </w:r>
      <w:r>
        <w:rPr>
          <w:rFonts w:hint="eastAsia" w:ascii="宋体" w:hAnsi="宋体" w:eastAsia="宋体" w:cs="宋体"/>
          <w:color w:val="auto"/>
          <w:sz w:val="24"/>
          <w:szCs w:val="20"/>
          <w:highlight w:val="none"/>
        </w:rPr>
        <w:t>为</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大型企业</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中型企业、</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小微企业（包含监狱企业、残疾人福利性单位）、</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其他，合同金额为_____元；</w:t>
      </w:r>
    </w:p>
    <w:p w14:paraId="5EB5BC84">
      <w:pPr>
        <w:tabs>
          <w:tab w:val="left" w:pos="720"/>
          <w:tab w:val="left" w:pos="900"/>
        </w:tabs>
        <w:spacing w:line="360" w:lineRule="auto"/>
        <w:ind w:left="85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r>
        <w:rPr>
          <w:rFonts w:hint="eastAsia" w:ascii="宋体" w:hAnsi="宋体" w:eastAsia="宋体" w:cs="宋体"/>
          <w:bCs/>
          <w:color w:val="auto"/>
          <w:sz w:val="24"/>
          <w:szCs w:val="20"/>
          <w:highlight w:val="none"/>
        </w:rPr>
        <w:t>______</w:t>
      </w:r>
      <w:r>
        <w:rPr>
          <w:rFonts w:hint="eastAsia" w:ascii="宋体" w:hAnsi="宋体" w:eastAsia="宋体" w:cs="宋体"/>
          <w:color w:val="auto"/>
          <w:sz w:val="24"/>
          <w:szCs w:val="20"/>
          <w:highlight w:val="none"/>
        </w:rPr>
        <w:t>为</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大型企业</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中型企业、</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小微企业（包含监狱企业、残疾人福利性单位）、</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其他，合同金额为_____元。</w:t>
      </w:r>
    </w:p>
    <w:p w14:paraId="66F12870">
      <w:pPr>
        <w:numPr>
          <w:ilvl w:val="0"/>
          <w:numId w:val="70"/>
        </w:numPr>
        <w:tabs>
          <w:tab w:val="left" w:pos="993"/>
        </w:tabs>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以联合体形式参加政府采购活动的，联合体各方不得再单独参加或者与其他供应商另外组成联合体参加同一合同项下的政府采购活动。</w:t>
      </w:r>
    </w:p>
    <w:p w14:paraId="73644D01">
      <w:pPr>
        <w:numPr>
          <w:ilvl w:val="0"/>
          <w:numId w:val="70"/>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其他约定（如有）：_______。</w:t>
      </w:r>
    </w:p>
    <w:p w14:paraId="21CAE5C1">
      <w:pPr>
        <w:tabs>
          <w:tab w:val="left" w:pos="7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本协议自各方盖章后生效，采购合同履行完毕后自动失效。如未中标，本协议自动终止。</w:t>
      </w:r>
      <w:r>
        <w:rPr>
          <w:rFonts w:hint="eastAsia" w:ascii="宋体" w:hAnsi="宋体" w:eastAsia="宋体" w:cs="宋体"/>
          <w:color w:val="auto"/>
          <w:sz w:val="24"/>
          <w:highlight w:val="none"/>
        </w:rPr>
        <w:br w:type="page"/>
      </w:r>
    </w:p>
    <w:p w14:paraId="70F1ECDA">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联合体牵头人名称：</w:t>
      </w:r>
      <w:r>
        <w:rPr>
          <w:rFonts w:hint="eastAsia" w:ascii="宋体" w:hAnsi="宋体" w:eastAsia="宋体" w:cs="宋体"/>
          <w:color w:val="auto"/>
          <w:sz w:val="24"/>
          <w:szCs w:val="20"/>
          <w:highlight w:val="none"/>
        </w:rPr>
        <w:t>______</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联合体成员名称：</w:t>
      </w:r>
      <w:r>
        <w:rPr>
          <w:rFonts w:hint="eastAsia" w:ascii="宋体" w:hAnsi="宋体" w:eastAsia="宋体" w:cs="宋体"/>
          <w:color w:val="auto"/>
          <w:sz w:val="24"/>
          <w:szCs w:val="20"/>
          <w:highlight w:val="none"/>
        </w:rPr>
        <w:t>______</w:t>
      </w:r>
    </w:p>
    <w:p w14:paraId="261AC720">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r>
        <w:rPr>
          <w:rFonts w:hint="eastAsia" w:ascii="宋体" w:hAnsi="宋体" w:eastAsia="宋体" w:cs="宋体"/>
          <w:color w:val="auto"/>
          <w:sz w:val="24"/>
          <w:szCs w:val="20"/>
          <w:highlight w:val="none"/>
        </w:rPr>
        <w:t>______</w:t>
      </w:r>
      <w:r>
        <w:rPr>
          <w:rFonts w:hint="eastAsia" w:ascii="宋体" w:hAnsi="宋体" w:eastAsia="宋体" w:cs="宋体"/>
          <w:color w:val="auto"/>
          <w:sz w:val="24"/>
          <w:highlight w:val="none"/>
        </w:rPr>
        <w:t xml:space="preserve">                           盖章：</w:t>
      </w:r>
      <w:r>
        <w:rPr>
          <w:rFonts w:hint="eastAsia" w:ascii="宋体" w:hAnsi="宋体" w:eastAsia="宋体" w:cs="宋体"/>
          <w:color w:val="auto"/>
          <w:sz w:val="24"/>
          <w:szCs w:val="20"/>
          <w:highlight w:val="none"/>
        </w:rPr>
        <w:t>______</w:t>
      </w:r>
    </w:p>
    <w:p w14:paraId="4D456ADE">
      <w:pPr>
        <w:spacing w:line="360" w:lineRule="auto"/>
        <w:ind w:firstLine="471"/>
        <w:rPr>
          <w:rFonts w:hint="eastAsia" w:ascii="宋体" w:hAnsi="宋体" w:eastAsia="宋体" w:cs="宋体"/>
          <w:color w:val="auto"/>
          <w:sz w:val="24"/>
          <w:highlight w:val="none"/>
        </w:rPr>
      </w:pPr>
    </w:p>
    <w:p w14:paraId="5A8645BA">
      <w:pPr>
        <w:spacing w:line="360" w:lineRule="auto"/>
        <w:ind w:firstLine="471"/>
        <w:rPr>
          <w:rFonts w:hint="eastAsia" w:ascii="宋体" w:hAnsi="宋体" w:eastAsia="宋体" w:cs="宋体"/>
          <w:color w:val="auto"/>
          <w:sz w:val="24"/>
          <w:highlight w:val="none"/>
        </w:rPr>
      </w:pPr>
    </w:p>
    <w:p w14:paraId="7246D7B4">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联合体成员名称：</w:t>
      </w:r>
      <w:r>
        <w:rPr>
          <w:rFonts w:hint="eastAsia" w:ascii="宋体" w:hAnsi="宋体" w:eastAsia="宋体" w:cs="宋体"/>
          <w:color w:val="auto"/>
          <w:sz w:val="24"/>
          <w:szCs w:val="20"/>
          <w:highlight w:val="none"/>
        </w:rPr>
        <w:t>______</w:t>
      </w:r>
    </w:p>
    <w:p w14:paraId="13E7C185">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r>
        <w:rPr>
          <w:rFonts w:hint="eastAsia" w:ascii="宋体" w:hAnsi="宋体" w:eastAsia="宋体" w:cs="宋体"/>
          <w:color w:val="auto"/>
          <w:sz w:val="24"/>
          <w:szCs w:val="20"/>
          <w:highlight w:val="none"/>
        </w:rPr>
        <w:t>______</w:t>
      </w:r>
      <w:r>
        <w:rPr>
          <w:rFonts w:hint="eastAsia" w:ascii="宋体" w:hAnsi="宋体" w:eastAsia="宋体" w:cs="宋体"/>
          <w:color w:val="auto"/>
          <w:sz w:val="24"/>
          <w:highlight w:val="none"/>
        </w:rPr>
        <w:t xml:space="preserve">                                </w:t>
      </w:r>
    </w:p>
    <w:p w14:paraId="7A17D081">
      <w:pPr>
        <w:spacing w:line="360" w:lineRule="auto"/>
        <w:ind w:firstLine="471"/>
        <w:rPr>
          <w:rFonts w:hint="eastAsia" w:ascii="宋体" w:hAnsi="宋体" w:eastAsia="宋体" w:cs="宋体"/>
          <w:color w:val="auto"/>
          <w:sz w:val="24"/>
          <w:highlight w:val="none"/>
        </w:rPr>
      </w:pPr>
    </w:p>
    <w:p w14:paraId="3B2BBE62">
      <w:pPr>
        <w:spacing w:line="360" w:lineRule="auto"/>
        <w:ind w:firstLine="471"/>
        <w:rPr>
          <w:rFonts w:hint="eastAsia" w:ascii="宋体" w:hAnsi="宋体" w:eastAsia="宋体" w:cs="宋体"/>
          <w:color w:val="auto"/>
          <w:sz w:val="24"/>
          <w:highlight w:val="none"/>
        </w:rPr>
      </w:pPr>
    </w:p>
    <w:p w14:paraId="01A28781">
      <w:pPr>
        <w:spacing w:line="360" w:lineRule="auto"/>
        <w:ind w:left="480"/>
        <w:jc w:val="right"/>
        <w:rPr>
          <w:rFonts w:hint="eastAsia" w:ascii="宋体" w:hAnsi="宋体" w:eastAsia="宋体" w:cs="宋体"/>
          <w:color w:val="auto"/>
          <w:sz w:val="24"/>
          <w:highlight w:val="none"/>
        </w:rPr>
      </w:pPr>
    </w:p>
    <w:p w14:paraId="38A22222">
      <w:pPr>
        <w:spacing w:line="360" w:lineRule="auto"/>
        <w:ind w:left="480"/>
        <w:jc w:val="right"/>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日期：_____年______月______日</w:t>
      </w:r>
    </w:p>
    <w:p w14:paraId="5C95CE19">
      <w:pPr>
        <w:spacing w:line="360" w:lineRule="auto"/>
        <w:ind w:left="480"/>
        <w:jc w:val="right"/>
        <w:rPr>
          <w:rFonts w:hint="eastAsia" w:ascii="宋体" w:hAnsi="宋体" w:eastAsia="宋体" w:cs="宋体"/>
          <w:b/>
          <w:color w:val="auto"/>
          <w:sz w:val="24"/>
          <w:highlight w:val="none"/>
        </w:rPr>
      </w:pPr>
    </w:p>
    <w:p w14:paraId="701B7979">
      <w:pPr>
        <w:tabs>
          <w:tab w:val="left" w:pos="8280"/>
        </w:tabs>
        <w:spacing w:line="360" w:lineRule="auto"/>
        <w:ind w:firstLine="480"/>
        <w:rPr>
          <w:rFonts w:hint="eastAsia" w:ascii="宋体" w:hAnsi="宋体" w:eastAsia="宋体" w:cs="宋体"/>
          <w:color w:val="auto"/>
          <w:sz w:val="24"/>
          <w:highlight w:val="none"/>
        </w:rPr>
      </w:pPr>
    </w:p>
    <w:p w14:paraId="0B7D5494">
      <w:pPr>
        <w:tabs>
          <w:tab w:val="left" w:pos="8280"/>
        </w:tabs>
        <w:spacing w:line="360" w:lineRule="auto"/>
        <w:ind w:firstLine="480"/>
        <w:rPr>
          <w:rFonts w:hint="eastAsia" w:ascii="宋体" w:hAnsi="宋体" w:eastAsia="宋体" w:cs="宋体"/>
          <w:color w:val="auto"/>
          <w:sz w:val="24"/>
          <w:highlight w:val="none"/>
        </w:rPr>
      </w:pPr>
    </w:p>
    <w:p w14:paraId="5B4E01A0">
      <w:pPr>
        <w:spacing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941B87C">
      <w:pPr>
        <w:spacing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 如本项目（包）接受供应商以联合体形式参加采购活动，且供应商以联合体形式参与时，须提供《联合协议》，否则</w:t>
      </w:r>
      <w:r>
        <w:rPr>
          <w:rFonts w:hint="eastAsia" w:ascii="宋体" w:hAnsi="宋体" w:eastAsia="宋体" w:cs="宋体"/>
          <w:b/>
          <w:bCs/>
          <w:color w:val="auto"/>
          <w:sz w:val="24"/>
          <w:highlight w:val="none"/>
          <w:lang w:eastAsia="zh-CN"/>
        </w:rPr>
        <w:t>投标无效</w:t>
      </w:r>
      <w:r>
        <w:rPr>
          <w:rFonts w:hint="eastAsia" w:ascii="宋体" w:hAnsi="宋体" w:eastAsia="宋体" w:cs="宋体"/>
          <w:color w:val="auto"/>
          <w:sz w:val="24"/>
          <w:highlight w:val="none"/>
        </w:rPr>
        <w:t>。</w:t>
      </w:r>
    </w:p>
    <w:p w14:paraId="1D0A5F41">
      <w:pPr>
        <w:spacing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 联合体各方成员须在本协议上共同盖章。</w:t>
      </w:r>
    </w:p>
    <w:p w14:paraId="610EEB4E">
      <w:pPr>
        <w:spacing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56D4DD9">
      <w:pPr>
        <w:pStyle w:val="5"/>
        <w:numPr>
          <w:ilvl w:val="3"/>
          <w:numId w:val="68"/>
        </w:numPr>
        <w:bidi w:val="0"/>
        <w:rPr>
          <w:rFonts w:hint="eastAsia" w:ascii="宋体" w:hAnsi="宋体" w:eastAsia="宋体" w:cs="宋体"/>
          <w:color w:val="auto"/>
          <w:highlight w:val="none"/>
        </w:rPr>
      </w:pPr>
      <w:r>
        <w:rPr>
          <w:rFonts w:hint="eastAsia" w:ascii="宋体" w:hAnsi="宋体" w:eastAsia="宋体" w:cs="宋体"/>
          <w:color w:val="auto"/>
          <w:highlight w:val="none"/>
        </w:rPr>
        <w:t>其他特定资格要求</w:t>
      </w:r>
    </w:p>
    <w:p w14:paraId="4DD6DCFA">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14:paraId="045F8D05">
      <w:pPr>
        <w:pStyle w:val="4"/>
        <w:numPr>
          <w:ilvl w:val="2"/>
          <w:numId w:val="68"/>
        </w:numPr>
        <w:bidi w:val="0"/>
        <w:rPr>
          <w:rFonts w:hint="eastAsia" w:ascii="宋体" w:hAnsi="宋体" w:eastAsia="宋体" w:cs="宋体"/>
          <w:color w:val="auto"/>
          <w:highlight w:val="none"/>
        </w:rPr>
      </w:pPr>
      <w:r>
        <w:rPr>
          <w:rFonts w:hint="eastAsia" w:ascii="宋体" w:hAnsi="宋体" w:eastAsia="宋体" w:cs="宋体"/>
          <w:color w:val="auto"/>
          <w:highlight w:val="none"/>
        </w:rPr>
        <w:t>投标保证金凭证/交款单据电子件</w:t>
      </w:r>
    </w:p>
    <w:p w14:paraId="7A9910EB">
      <w:pPr>
        <w:spacing w:line="360" w:lineRule="auto"/>
        <w:rPr>
          <w:rFonts w:hint="eastAsia" w:ascii="宋体" w:hAnsi="宋体" w:eastAsia="宋体" w:cs="宋体"/>
          <w:color w:val="auto"/>
          <w:sz w:val="24"/>
          <w:szCs w:val="20"/>
          <w:highlight w:val="none"/>
        </w:rPr>
      </w:pPr>
    </w:p>
    <w:p w14:paraId="6CF907A0">
      <w:pPr>
        <w:spacing w:line="360" w:lineRule="auto"/>
        <w:rPr>
          <w:rFonts w:hint="eastAsia" w:ascii="宋体" w:hAnsi="宋体" w:eastAsia="宋体" w:cs="宋体"/>
          <w:color w:val="auto"/>
          <w:sz w:val="24"/>
          <w:szCs w:val="20"/>
          <w:highlight w:val="none"/>
        </w:rPr>
      </w:pPr>
    </w:p>
    <w:p w14:paraId="57D3DDE7">
      <w:pPr>
        <w:widowControl/>
        <w:jc w:val="left"/>
        <w:rPr>
          <w:rFonts w:hint="eastAsia" w:ascii="宋体" w:hAnsi="宋体" w:eastAsia="宋体" w:cs="宋体"/>
          <w:color w:val="auto"/>
          <w:kern w:val="0"/>
          <w:sz w:val="24"/>
          <w:szCs w:val="20"/>
          <w:highlight w:val="none"/>
        </w:rPr>
      </w:pPr>
      <w:r>
        <w:rPr>
          <w:rFonts w:hint="eastAsia" w:ascii="宋体" w:hAnsi="宋体" w:eastAsia="宋体" w:cs="宋体"/>
          <w:color w:val="auto"/>
          <w:sz w:val="24"/>
          <w:szCs w:val="20"/>
          <w:highlight w:val="none"/>
        </w:rPr>
        <w:br w:type="page"/>
      </w:r>
    </w:p>
    <w:p w14:paraId="24C9F894">
      <w:pPr>
        <w:keepLines/>
        <w:widowControl w:val="0"/>
        <w:numPr>
          <w:ilvl w:val="1"/>
          <w:numId w:val="1"/>
        </w:numPr>
        <w:tabs>
          <w:tab w:val="left" w:pos="0"/>
        </w:tabs>
        <w:autoSpaceDE w:val="0"/>
        <w:autoSpaceDN w:val="0"/>
        <w:bidi w:val="0"/>
        <w:adjustRightInd w:val="0"/>
        <w:spacing w:before="120" w:after="120" w:line="300" w:lineRule="auto"/>
        <w:ind w:left="567" w:leftChars="0" w:hanging="567" w:firstLineChars="0"/>
        <w:jc w:val="left"/>
        <w:outlineLvl w:val="1"/>
        <w:rPr>
          <w:rFonts w:hint="eastAsia" w:ascii="宋体" w:hAnsi="宋体" w:eastAsia="宋体" w:cs="宋体"/>
          <w:b/>
          <w:bCs/>
          <w:color w:val="auto"/>
          <w:spacing w:val="0"/>
          <w:kern w:val="0"/>
          <w:sz w:val="28"/>
          <w:szCs w:val="28"/>
          <w:highlight w:val="none"/>
          <w:lang w:val="en-US" w:eastAsia="zh-CN" w:bidi="ar-SA"/>
        </w:rPr>
      </w:pPr>
      <w:r>
        <w:rPr>
          <w:rFonts w:hint="eastAsia" w:ascii="宋体" w:hAnsi="宋体" w:eastAsia="宋体" w:cs="宋体"/>
          <w:b/>
          <w:bCs/>
          <w:color w:val="auto"/>
          <w:spacing w:val="0"/>
          <w:kern w:val="0"/>
          <w:sz w:val="28"/>
          <w:szCs w:val="28"/>
          <w:highlight w:val="none"/>
          <w:lang w:val="en-US" w:eastAsia="zh-CN" w:bidi="ar-SA"/>
        </w:rPr>
        <w:t>商务技术文件格式</w:t>
      </w:r>
    </w:p>
    <w:p w14:paraId="24AED9E6">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投标书（实质性格式）</w:t>
      </w:r>
    </w:p>
    <w:p w14:paraId="400BE621">
      <w:pPr>
        <w:tabs>
          <w:tab w:val="left" w:pos="5580"/>
        </w:tabs>
        <w:spacing w:line="360" w:lineRule="auto"/>
        <w:rPr>
          <w:rFonts w:hint="eastAsia" w:ascii="宋体" w:hAnsi="宋体" w:eastAsia="宋体" w:cs="宋体"/>
          <w:color w:val="auto"/>
          <w:sz w:val="24"/>
          <w:highlight w:val="none"/>
        </w:rPr>
      </w:pPr>
    </w:p>
    <w:p w14:paraId="140F744A">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投标书</w:t>
      </w:r>
    </w:p>
    <w:p w14:paraId="00D513A0">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（采购人或采购代理机构）</w:t>
      </w:r>
    </w:p>
    <w:p w14:paraId="2288B950">
      <w:pPr>
        <w:tabs>
          <w:tab w:val="left" w:pos="5580"/>
        </w:tabs>
        <w:spacing w:line="360" w:lineRule="auto"/>
        <w:rPr>
          <w:rFonts w:hint="eastAsia" w:ascii="宋体" w:hAnsi="宋体" w:eastAsia="宋体" w:cs="宋体"/>
          <w:color w:val="auto"/>
          <w:sz w:val="24"/>
          <w:szCs w:val="20"/>
          <w:highlight w:val="none"/>
        </w:rPr>
      </w:pPr>
    </w:p>
    <w:p w14:paraId="5FDBE37F">
      <w:pPr>
        <w:tabs>
          <w:tab w:val="left" w:pos="5580"/>
        </w:tabs>
        <w:spacing w:line="360" w:lineRule="auto"/>
        <w:ind w:firstLine="408"/>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我方参加你方就___________（项目名称，项目编号/包号）组织的招标活动，并对此项目进行投标。</w:t>
      </w:r>
    </w:p>
    <w:p w14:paraId="4F8F2EED">
      <w:pPr>
        <w:tabs>
          <w:tab w:val="left" w:pos="5580"/>
        </w:tabs>
        <w:spacing w:line="360" w:lineRule="auto"/>
        <w:ind w:firstLine="408"/>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 我方</w:t>
      </w:r>
      <w:r>
        <w:rPr>
          <w:rFonts w:hint="eastAsia" w:ascii="宋体" w:hAnsi="宋体" w:eastAsia="宋体" w:cs="宋体"/>
          <w:color w:val="auto"/>
          <w:sz w:val="24"/>
          <w:highlight w:val="none"/>
        </w:rPr>
        <w:t>已详细审查全部招标文件</w:t>
      </w:r>
      <w:r>
        <w:rPr>
          <w:rFonts w:hint="eastAsia" w:ascii="宋体" w:hAnsi="宋体" w:eastAsia="宋体" w:cs="宋体"/>
          <w:color w:val="auto"/>
          <w:sz w:val="24"/>
          <w:szCs w:val="20"/>
          <w:highlight w:val="none"/>
        </w:rPr>
        <w:t>，自愿参与投标并承诺如下：</w:t>
      </w:r>
    </w:p>
    <w:p w14:paraId="2B7B2FFE">
      <w:pPr>
        <w:tabs>
          <w:tab w:val="left" w:pos="720"/>
          <w:tab w:val="left" w:pos="900"/>
        </w:tabs>
        <w:spacing w:line="360" w:lineRule="auto"/>
        <w:ind w:left="360" w:firstLine="72" w:firstLineChars="3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（1）本投标有效期为自提交投标文件的截止之日起</w:t>
      </w:r>
      <w:r>
        <w:rPr>
          <w:rFonts w:hint="eastAsia" w:ascii="宋体" w:hAnsi="宋体" w:eastAsia="宋体" w:cs="宋体"/>
          <w:color w:val="auto"/>
          <w:sz w:val="24"/>
          <w:highlight w:val="none"/>
        </w:rPr>
        <w:t>_____</w:t>
      </w:r>
      <w:r>
        <w:rPr>
          <w:rFonts w:hint="eastAsia" w:ascii="宋体" w:hAnsi="宋体" w:eastAsia="宋体" w:cs="宋体"/>
          <w:color w:val="auto"/>
          <w:sz w:val="24"/>
          <w:szCs w:val="20"/>
          <w:highlight w:val="none"/>
        </w:rPr>
        <w:t>个日历日。</w:t>
      </w:r>
    </w:p>
    <w:p w14:paraId="08CF4AEA">
      <w:pPr>
        <w:tabs>
          <w:tab w:val="left" w:pos="720"/>
          <w:tab w:val="left" w:pos="900"/>
        </w:tabs>
        <w:spacing w:line="360" w:lineRule="auto"/>
        <w:ind w:left="360" w:firstLine="72" w:firstLineChars="3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（2）除合同条款及采购需求偏离表列出的偏离外，我方响应招标文件的全部要求。</w:t>
      </w:r>
    </w:p>
    <w:p w14:paraId="34637650">
      <w:pPr>
        <w:tabs>
          <w:tab w:val="left" w:pos="5580"/>
        </w:tabs>
        <w:spacing w:line="360" w:lineRule="auto"/>
        <w:ind w:firstLine="420" w:firstLineChars="17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（3）我方已提供的全部文件资料是真实、准确的，并对此承担一切法律后果。</w:t>
      </w:r>
    </w:p>
    <w:p w14:paraId="4BA901AB">
      <w:pPr>
        <w:tabs>
          <w:tab w:val="left" w:pos="5580"/>
        </w:tabs>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（4）如我方中标，我方将在法律规定的期限内与你方签订合同，按照招标文件要求提交履约保证金，并在合同约定的期限内完成合同规定的全部义务。</w:t>
      </w:r>
    </w:p>
    <w:p w14:paraId="43005F09">
      <w:pPr>
        <w:spacing w:line="360" w:lineRule="auto"/>
        <w:ind w:left="420"/>
        <w:rPr>
          <w:rFonts w:hint="eastAsia" w:ascii="宋体" w:hAnsi="宋体" w:eastAsia="宋体" w:cs="宋体"/>
          <w:color w:val="auto"/>
          <w:sz w:val="24"/>
          <w:highlight w:val="none"/>
        </w:rPr>
      </w:pPr>
      <w:r>
        <w:rPr>
          <w:rFonts w:hint="eastAsia" w:ascii="宋体" w:hAnsi="宋体" w:eastAsia="宋体" w:cs="宋体"/>
          <w:color w:val="auto"/>
          <w:sz w:val="24"/>
          <w:highlight w:val="none"/>
        </w:rPr>
        <w:t>2. 其他补充条款（如有）：</w:t>
      </w:r>
      <w:r>
        <w:rPr>
          <w:rFonts w:hint="eastAsia" w:ascii="宋体" w:hAnsi="宋体" w:eastAsia="宋体" w:cs="宋体"/>
          <w:color w:val="auto"/>
          <w:sz w:val="24"/>
          <w:szCs w:val="20"/>
          <w:highlight w:val="none"/>
        </w:rPr>
        <w:t>___________</w:t>
      </w:r>
      <w:r>
        <w:rPr>
          <w:rFonts w:hint="eastAsia" w:ascii="宋体" w:hAnsi="宋体" w:eastAsia="宋体" w:cs="宋体"/>
          <w:color w:val="auto"/>
          <w:sz w:val="24"/>
          <w:highlight w:val="none"/>
        </w:rPr>
        <w:t>。</w:t>
      </w:r>
    </w:p>
    <w:p w14:paraId="5F0592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与本投标有关的一切正式往来信函请寄：</w:t>
      </w:r>
    </w:p>
    <w:p w14:paraId="433CAC82">
      <w:pPr>
        <w:tabs>
          <w:tab w:val="left" w:pos="5580"/>
        </w:tabs>
        <w:spacing w:line="360" w:lineRule="auto"/>
        <w:ind w:left="420"/>
        <w:rPr>
          <w:rFonts w:hint="eastAsia" w:ascii="宋体" w:hAnsi="宋体" w:eastAsia="宋体" w:cs="宋体"/>
          <w:color w:val="auto"/>
          <w:sz w:val="24"/>
          <w:szCs w:val="20"/>
          <w:highlight w:val="none"/>
        </w:rPr>
      </w:pPr>
    </w:p>
    <w:p w14:paraId="5A8BBA8D">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地址_________________________     传真____________________________</w:t>
      </w:r>
    </w:p>
    <w:p w14:paraId="0963611D">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电话_________________________     电子函件________________________</w:t>
      </w:r>
    </w:p>
    <w:p w14:paraId="4931B62A">
      <w:pPr>
        <w:tabs>
          <w:tab w:val="left" w:pos="5580"/>
        </w:tabs>
        <w:spacing w:line="360" w:lineRule="auto"/>
        <w:ind w:left="420"/>
        <w:rPr>
          <w:rFonts w:hint="eastAsia" w:ascii="宋体" w:hAnsi="宋体" w:eastAsia="宋体" w:cs="宋体"/>
          <w:color w:val="auto"/>
          <w:sz w:val="24"/>
          <w:szCs w:val="20"/>
          <w:highlight w:val="none"/>
        </w:rPr>
      </w:pPr>
    </w:p>
    <w:p w14:paraId="1EF64FDA">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投标人名称（加盖公章） ___________</w:t>
      </w:r>
    </w:p>
    <w:p w14:paraId="55D55A9E">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日期：_____年______月______日    </w:t>
      </w:r>
    </w:p>
    <w:p w14:paraId="310FAC3C">
      <w:pPr>
        <w:tabs>
          <w:tab w:val="left" w:pos="5580"/>
        </w:tabs>
        <w:spacing w:line="360" w:lineRule="auto"/>
        <w:ind w:left="420"/>
        <w:rPr>
          <w:rFonts w:hint="eastAsia" w:ascii="宋体" w:hAnsi="宋体" w:eastAsia="宋体" w:cs="宋体"/>
          <w:color w:val="auto"/>
          <w:sz w:val="24"/>
          <w:szCs w:val="20"/>
          <w:highlight w:val="none"/>
          <w:u w:val="single"/>
        </w:rPr>
      </w:pPr>
    </w:p>
    <w:p w14:paraId="4DD5BF3F">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06B3208">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授权委托书（实质性格式）</w:t>
      </w:r>
    </w:p>
    <w:p w14:paraId="5A5DA4FE">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授权委托书</w:t>
      </w:r>
    </w:p>
    <w:p w14:paraId="3EDE5F20">
      <w:pPr>
        <w:spacing w:line="360" w:lineRule="auto"/>
        <w:ind w:firstLine="420"/>
        <w:rPr>
          <w:rFonts w:hint="eastAsia" w:ascii="宋体" w:hAnsi="宋体" w:eastAsia="宋体" w:cs="宋体"/>
          <w:color w:val="auto"/>
          <w:sz w:val="24"/>
          <w:szCs w:val="20"/>
          <w:highlight w:val="none"/>
        </w:rPr>
      </w:pPr>
    </w:p>
    <w:p w14:paraId="2DEE8B4C">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本人</w:t>
      </w:r>
      <w:r>
        <w:rPr>
          <w:rFonts w:hint="eastAsia" w:ascii="宋体" w:hAnsi="宋体" w:eastAsia="宋体" w:cs="宋体"/>
          <w:color w:val="auto"/>
          <w:sz w:val="24"/>
          <w:highlight w:val="none"/>
          <w:lang w:val="zh-CN"/>
        </w:rPr>
        <w:t>_______</w:t>
      </w:r>
      <w:r>
        <w:rPr>
          <w:rFonts w:hint="eastAsia" w:ascii="宋体" w:hAnsi="宋体" w:eastAsia="宋体" w:cs="宋体"/>
          <w:color w:val="auto"/>
          <w:sz w:val="24"/>
          <w:szCs w:val="20"/>
          <w:highlight w:val="none"/>
        </w:rPr>
        <w:t>（姓名）系</w:t>
      </w:r>
      <w:r>
        <w:rPr>
          <w:rFonts w:hint="eastAsia" w:ascii="宋体" w:hAnsi="宋体" w:eastAsia="宋体" w:cs="宋体"/>
          <w:color w:val="auto"/>
          <w:sz w:val="24"/>
          <w:highlight w:val="none"/>
          <w:lang w:val="zh-CN"/>
        </w:rPr>
        <w:t>________________</w:t>
      </w:r>
      <w:r>
        <w:rPr>
          <w:rFonts w:hint="eastAsia" w:ascii="宋体" w:hAnsi="宋体" w:eastAsia="宋体" w:cs="宋体"/>
          <w:color w:val="auto"/>
          <w:sz w:val="24"/>
          <w:szCs w:val="20"/>
          <w:highlight w:val="none"/>
        </w:rPr>
        <w:t>（投标人名称）的法定代表人（单位负责人），现委托</w:t>
      </w:r>
      <w:r>
        <w:rPr>
          <w:rFonts w:hint="eastAsia" w:ascii="宋体" w:hAnsi="宋体" w:eastAsia="宋体" w:cs="宋体"/>
          <w:color w:val="auto"/>
          <w:sz w:val="24"/>
          <w:highlight w:val="none"/>
          <w:lang w:val="zh-CN"/>
        </w:rPr>
        <w:t>_______</w:t>
      </w:r>
      <w:r>
        <w:rPr>
          <w:rFonts w:hint="eastAsia" w:ascii="宋体" w:hAnsi="宋体" w:eastAsia="宋体" w:cs="宋体"/>
          <w:color w:val="auto"/>
          <w:sz w:val="24"/>
          <w:szCs w:val="20"/>
          <w:highlight w:val="none"/>
        </w:rPr>
        <w:t>（姓名）为我方代理人。代理人根据授权，以我方名义签署、澄清确认、提交、撤回、修改</w:t>
      </w:r>
      <w:r>
        <w:rPr>
          <w:rFonts w:hint="eastAsia" w:ascii="宋体" w:hAnsi="宋体" w:eastAsia="宋体" w:cs="宋体"/>
          <w:color w:val="auto"/>
          <w:sz w:val="24"/>
          <w:highlight w:val="none"/>
          <w:lang w:val="zh-CN"/>
        </w:rPr>
        <w:t>________________</w:t>
      </w:r>
      <w:r>
        <w:rPr>
          <w:rFonts w:hint="eastAsia" w:ascii="宋体" w:hAnsi="宋体" w:eastAsia="宋体" w:cs="宋体"/>
          <w:color w:val="auto"/>
          <w:sz w:val="24"/>
          <w:szCs w:val="20"/>
          <w:highlight w:val="none"/>
        </w:rPr>
        <w:t>（项目名称）投标文件和处理有关事宜，其法律后果由我方承担。</w:t>
      </w:r>
    </w:p>
    <w:p w14:paraId="10CEA8BB">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委托期限：自本授权委托书签署之日起至投标有效期届满之日止。</w:t>
      </w:r>
    </w:p>
    <w:p w14:paraId="1F013084">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代理人无转委托权。</w:t>
      </w:r>
      <w:r>
        <w:rPr>
          <w:rFonts w:hint="eastAsia" w:ascii="宋体" w:hAnsi="宋体" w:eastAsia="宋体" w:cs="宋体"/>
          <w:color w:val="auto"/>
          <w:sz w:val="24"/>
          <w:szCs w:val="20"/>
          <w:highlight w:val="none"/>
        </w:rPr>
        <w:cr/>
      </w:r>
    </w:p>
    <w:p w14:paraId="339E50FA">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：________________</w:t>
      </w:r>
    </w:p>
    <w:p w14:paraId="01D9EF8E">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w:t>
      </w:r>
      <w:r>
        <w:rPr>
          <w:rFonts w:hint="eastAsia" w:ascii="宋体" w:hAnsi="宋体" w:eastAsia="宋体" w:cs="宋体"/>
          <w:color w:val="auto"/>
          <w:sz w:val="24"/>
          <w:szCs w:val="20"/>
          <w:highlight w:val="none"/>
          <w:lang w:eastAsia="zh-CN"/>
        </w:rPr>
        <w:t>签字或盖章</w:t>
      </w:r>
      <w:r>
        <w:rPr>
          <w:rFonts w:hint="eastAsia" w:ascii="宋体" w:hAnsi="宋体" w:eastAsia="宋体" w:cs="宋体"/>
          <w:color w:val="auto"/>
          <w:sz w:val="24"/>
          <w:szCs w:val="20"/>
          <w:highlight w:val="none"/>
        </w:rPr>
        <w:t>）：</w:t>
      </w:r>
      <w:r>
        <w:rPr>
          <w:rFonts w:hint="eastAsia" w:ascii="宋体" w:hAnsi="宋体" w:eastAsia="宋体" w:cs="宋体"/>
          <w:color w:val="auto"/>
          <w:sz w:val="24"/>
          <w:highlight w:val="none"/>
          <w:lang w:val="zh-CN"/>
        </w:rPr>
        <w:t>________________</w:t>
      </w:r>
    </w:p>
    <w:p w14:paraId="76D9F3E0">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________________</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 xml:space="preserve">                      </w:t>
      </w:r>
    </w:p>
    <w:p w14:paraId="5F2AA926">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日期：_____年______月______日</w:t>
      </w:r>
    </w:p>
    <w:p w14:paraId="49960121">
      <w:pPr>
        <w:tabs>
          <w:tab w:val="left" w:pos="5580"/>
        </w:tabs>
        <w:spacing w:line="360" w:lineRule="auto"/>
        <w:ind w:firstLine="480" w:firstLineChars="200"/>
        <w:rPr>
          <w:rFonts w:hint="eastAsia" w:ascii="宋体" w:hAnsi="宋体" w:eastAsia="宋体" w:cs="宋体"/>
          <w:color w:val="auto"/>
          <w:sz w:val="24"/>
          <w:szCs w:val="20"/>
          <w:highlight w:val="none"/>
        </w:rPr>
      </w:pPr>
    </w:p>
    <w:p w14:paraId="034602BA">
      <w:pPr>
        <w:tabs>
          <w:tab w:val="left" w:pos="5580"/>
        </w:tabs>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附：法定代表人（单位负责人）及委托代理人身份证明文件电子件：</w:t>
      </w:r>
    </w:p>
    <w:p w14:paraId="7B5E060A">
      <w:pPr>
        <w:tabs>
          <w:tab w:val="left" w:pos="5580"/>
        </w:tabs>
        <w:spacing w:line="360" w:lineRule="auto"/>
        <w:jc w:val="left"/>
        <w:rPr>
          <w:rFonts w:hint="eastAsia" w:ascii="宋体" w:hAnsi="宋体" w:eastAsia="宋体" w:cs="宋体"/>
          <w:color w:val="auto"/>
          <w:sz w:val="24"/>
          <w:szCs w:val="20"/>
          <w:highlight w:val="none"/>
        </w:rPr>
      </w:pPr>
    </w:p>
    <w:p w14:paraId="2700D791">
      <w:pPr>
        <w:tabs>
          <w:tab w:val="left" w:pos="5580"/>
        </w:tabs>
        <w:spacing w:line="360" w:lineRule="auto"/>
        <w:jc w:val="left"/>
        <w:rPr>
          <w:rFonts w:hint="eastAsia" w:ascii="宋体" w:hAnsi="宋体" w:eastAsia="宋体" w:cs="宋体"/>
          <w:color w:val="auto"/>
          <w:sz w:val="24"/>
          <w:szCs w:val="20"/>
          <w:highlight w:val="none"/>
        </w:rPr>
      </w:pPr>
    </w:p>
    <w:p w14:paraId="2198C857">
      <w:pPr>
        <w:tabs>
          <w:tab w:val="left" w:pos="5580"/>
        </w:tabs>
        <w:spacing w:line="360" w:lineRule="auto"/>
        <w:jc w:val="left"/>
        <w:rPr>
          <w:rFonts w:hint="eastAsia" w:ascii="宋体" w:hAnsi="宋体" w:eastAsia="宋体" w:cs="宋体"/>
          <w:color w:val="auto"/>
          <w:sz w:val="24"/>
          <w:szCs w:val="20"/>
          <w:highlight w:val="none"/>
        </w:rPr>
      </w:pPr>
    </w:p>
    <w:p w14:paraId="752EA528">
      <w:pPr>
        <w:tabs>
          <w:tab w:val="left" w:pos="5580"/>
        </w:tabs>
        <w:spacing w:line="360" w:lineRule="auto"/>
        <w:jc w:val="left"/>
        <w:rPr>
          <w:rFonts w:hint="eastAsia" w:ascii="宋体" w:hAnsi="宋体" w:eastAsia="宋体" w:cs="宋体"/>
          <w:color w:val="auto"/>
          <w:sz w:val="24"/>
          <w:szCs w:val="20"/>
          <w:highlight w:val="none"/>
        </w:rPr>
      </w:pPr>
    </w:p>
    <w:p w14:paraId="509DBCD8">
      <w:pPr>
        <w:tabs>
          <w:tab w:val="left" w:pos="5580"/>
        </w:tabs>
        <w:spacing w:line="360" w:lineRule="auto"/>
        <w:jc w:val="left"/>
        <w:rPr>
          <w:rFonts w:hint="eastAsia" w:ascii="宋体" w:hAnsi="宋体" w:eastAsia="宋体" w:cs="宋体"/>
          <w:color w:val="auto"/>
          <w:sz w:val="24"/>
          <w:szCs w:val="20"/>
          <w:highlight w:val="none"/>
        </w:rPr>
      </w:pPr>
    </w:p>
    <w:p w14:paraId="7BB6CC5E">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p w14:paraId="03768EAB">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1.若供应商为事业单位或其他组织或分支机构，则法定代表人（单位负责人）处的签署人可为单位负责人。</w:t>
      </w:r>
    </w:p>
    <w:p w14:paraId="2364B917">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350CFA4D">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3.供应商为自然人的情形，可不提供本《授权委托书》。</w:t>
      </w:r>
    </w:p>
    <w:p w14:paraId="61070A76">
      <w:pPr>
        <w:tabs>
          <w:tab w:val="left" w:pos="5580"/>
        </w:tabs>
        <w:spacing w:line="360" w:lineRule="auto"/>
        <w:jc w:val="left"/>
        <w:rPr>
          <w:rFonts w:hint="eastAsia" w:ascii="宋体" w:hAnsi="宋体" w:eastAsia="宋体" w:cs="宋体"/>
          <w:color w:val="auto"/>
          <w:sz w:val="30"/>
          <w:szCs w:val="30"/>
          <w:highlight w:val="none"/>
        </w:rPr>
      </w:pPr>
      <w:r>
        <w:rPr>
          <w:rFonts w:hint="eastAsia" w:ascii="宋体" w:hAnsi="宋体" w:eastAsia="宋体" w:cs="宋体"/>
          <w:color w:val="auto"/>
          <w:sz w:val="24"/>
          <w:szCs w:val="20"/>
          <w:highlight w:val="none"/>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color w:val="auto"/>
          <w:sz w:val="24"/>
          <w:szCs w:val="20"/>
          <w:highlight w:val="none"/>
        </w:rPr>
        <w:t>双面</w:t>
      </w:r>
      <w:r>
        <w:rPr>
          <w:rFonts w:hint="eastAsia" w:ascii="宋体" w:hAnsi="宋体" w:eastAsia="宋体" w:cs="宋体"/>
          <w:color w:val="auto"/>
          <w:sz w:val="24"/>
          <w:szCs w:val="20"/>
          <w:highlight w:val="none"/>
        </w:rPr>
        <w:t>电子件。</w:t>
      </w:r>
      <w:r>
        <w:rPr>
          <w:rFonts w:hint="eastAsia" w:ascii="宋体" w:hAnsi="宋体" w:eastAsia="宋体" w:cs="宋体"/>
          <w:color w:val="auto"/>
          <w:sz w:val="30"/>
          <w:szCs w:val="30"/>
          <w:highlight w:val="none"/>
        </w:rPr>
        <w:br w:type="page"/>
      </w:r>
    </w:p>
    <w:p w14:paraId="67B22F99">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法定代表人（单位负责人）身份证明</w:t>
      </w:r>
    </w:p>
    <w:p w14:paraId="3E3E99D1">
      <w:pPr>
        <w:kinsoku w:val="0"/>
        <w:overflowPunct w:val="0"/>
        <w:spacing w:line="200" w:lineRule="exact"/>
        <w:rPr>
          <w:rFonts w:hint="eastAsia" w:ascii="宋体" w:hAnsi="宋体" w:eastAsia="宋体" w:cs="宋体"/>
          <w:color w:val="auto"/>
          <w:sz w:val="20"/>
          <w:szCs w:val="20"/>
          <w:highlight w:val="none"/>
        </w:rPr>
      </w:pPr>
    </w:p>
    <w:p w14:paraId="414B3A0F">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（采购人或采购代理机构）</w:t>
      </w:r>
    </w:p>
    <w:p w14:paraId="7DFBE64E">
      <w:pPr>
        <w:pStyle w:val="18"/>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兹证明，</w:t>
      </w:r>
    </w:p>
    <w:p w14:paraId="1B04CBF5">
      <w:pPr>
        <w:pStyle w:val="18"/>
        <w:tabs>
          <w:tab w:val="left" w:pos="1690"/>
          <w:tab w:val="left" w:pos="3400"/>
          <w:tab w:val="left" w:pos="5110"/>
          <w:tab w:val="left" w:pos="6821"/>
        </w:tabs>
        <w:kinsoku w:val="0"/>
        <w:overflowPunct w:val="0"/>
        <w:spacing w:line="335" w:lineRule="exact"/>
        <w:rPr>
          <w:rFonts w:hint="eastAsia" w:ascii="宋体" w:hAnsi="宋体" w:eastAsia="宋体" w:cs="宋体"/>
          <w:color w:val="auto"/>
          <w:highlight w:val="none"/>
        </w:rPr>
      </w:pPr>
      <w:r>
        <w:rPr>
          <w:rFonts w:hint="eastAsia" w:ascii="宋体" w:hAnsi="宋体" w:eastAsia="宋体" w:cs="宋体"/>
          <w:color w:val="auto"/>
          <w:highlight w:val="none"/>
        </w:rPr>
        <w:t>姓名：____性别：____年龄：____职务：____</w:t>
      </w:r>
    </w:p>
    <w:p w14:paraId="28CEF2CC">
      <w:pPr>
        <w:pStyle w:val="18"/>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14:paraId="06CB4C60">
      <w:pPr>
        <w:pStyle w:val="18"/>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highlight w:val="none"/>
          <w:u w:val="single"/>
        </w:rPr>
        <w:tab/>
      </w:r>
      <w:r>
        <w:rPr>
          <w:rFonts w:hint="eastAsia" w:ascii="宋体" w:hAnsi="宋体" w:eastAsia="宋体" w:cs="宋体"/>
          <w:color w:val="auto"/>
          <w:highlight w:val="none"/>
        </w:rPr>
        <w:t>（投标人名称）的法定代表人（单位负责人）。</w:t>
      </w:r>
    </w:p>
    <w:p w14:paraId="05A7D442">
      <w:pPr>
        <w:pStyle w:val="18"/>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14:paraId="4D7B22F0">
      <w:pPr>
        <w:pStyle w:val="18"/>
        <w:kinsoku w:val="0"/>
        <w:overflowPunct w:val="0"/>
        <w:spacing w:line="583" w:lineRule="auto"/>
        <w:ind w:right="-46"/>
        <w:rPr>
          <w:rFonts w:hint="eastAsia" w:ascii="宋体" w:hAnsi="宋体" w:eastAsia="宋体" w:cs="宋体"/>
          <w:color w:val="auto"/>
          <w:szCs w:val="20"/>
          <w:highlight w:val="none"/>
        </w:rPr>
      </w:pPr>
      <w:r>
        <w:rPr>
          <w:rFonts w:hint="eastAsia" w:ascii="宋体" w:hAnsi="宋体" w:eastAsia="宋体" w:cs="宋体"/>
          <w:color w:val="auto"/>
          <w:szCs w:val="20"/>
          <w:highlight w:val="none"/>
        </w:rPr>
        <w:t>附：法定代表人（单位负责人）身份证或护照等身份证明文件电子件：</w:t>
      </w:r>
    </w:p>
    <w:p w14:paraId="6E187DB0">
      <w:pPr>
        <w:pStyle w:val="18"/>
        <w:kinsoku w:val="0"/>
        <w:overflowPunct w:val="0"/>
        <w:spacing w:line="583" w:lineRule="auto"/>
        <w:ind w:right="4305"/>
        <w:rPr>
          <w:rFonts w:hint="eastAsia" w:ascii="宋体" w:hAnsi="宋体" w:eastAsia="宋体" w:cs="宋体"/>
          <w:color w:val="auto"/>
          <w:spacing w:val="-3"/>
          <w:highlight w:val="none"/>
        </w:rPr>
      </w:pPr>
    </w:p>
    <w:p w14:paraId="0E6F739A">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：________________</w:t>
      </w:r>
    </w:p>
    <w:p w14:paraId="41D6E556">
      <w:pPr>
        <w:pStyle w:val="18"/>
        <w:kinsoku w:val="0"/>
        <w:overflowPunct w:val="0"/>
        <w:spacing w:line="583" w:lineRule="auto"/>
        <w:ind w:right="9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法定代表人（</w:t>
      </w:r>
      <w:r>
        <w:rPr>
          <w:rFonts w:hint="eastAsia" w:ascii="宋体" w:hAnsi="宋体" w:eastAsia="宋体" w:cs="宋体"/>
          <w:color w:val="auto"/>
          <w:highlight w:val="none"/>
        </w:rPr>
        <w:t>单位负责人</w:t>
      </w:r>
      <w:r>
        <w:rPr>
          <w:rFonts w:hint="eastAsia" w:ascii="宋体" w:hAnsi="宋体" w:eastAsia="宋体" w:cs="宋体"/>
          <w:color w:val="auto"/>
          <w:spacing w:val="-3"/>
          <w:highlight w:val="none"/>
        </w:rPr>
        <w:t>）（</w:t>
      </w:r>
      <w:r>
        <w:rPr>
          <w:rFonts w:hint="eastAsia" w:ascii="宋体" w:hAnsi="宋体" w:eastAsia="宋体" w:cs="宋体"/>
          <w:color w:val="auto"/>
          <w:spacing w:val="-3"/>
          <w:highlight w:val="none"/>
          <w:lang w:eastAsia="zh-CN"/>
        </w:rPr>
        <w:t>签字或盖章</w:t>
      </w:r>
      <w:r>
        <w:rPr>
          <w:rFonts w:hint="eastAsia" w:ascii="宋体" w:hAnsi="宋体" w:eastAsia="宋体" w:cs="宋体"/>
          <w:color w:val="auto"/>
          <w:spacing w:val="-3"/>
          <w:highlight w:val="none"/>
        </w:rPr>
        <w:t>）：_______</w:t>
      </w:r>
    </w:p>
    <w:p w14:paraId="063D7687">
      <w:pPr>
        <w:autoSpaceDE w:val="0"/>
        <w:autoSpaceDN w:val="0"/>
        <w:adjustRightInd w:val="0"/>
        <w:snapToGrid w:val="0"/>
        <w:spacing w:line="360" w:lineRule="auto"/>
        <w:rPr>
          <w:rFonts w:hint="eastAsia" w:ascii="宋体" w:hAnsi="宋体" w:eastAsia="宋体" w:cs="宋体"/>
          <w:color w:val="auto"/>
          <w:sz w:val="24"/>
          <w:highlight w:val="none"/>
        </w:rPr>
      </w:pPr>
    </w:p>
    <w:p w14:paraId="78699C73">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日期：_____年______月______日</w:t>
      </w:r>
    </w:p>
    <w:p w14:paraId="37114A63">
      <w:pPr>
        <w:widowControl/>
        <w:jc w:val="left"/>
        <w:rPr>
          <w:rFonts w:hint="eastAsia" w:ascii="宋体" w:hAnsi="宋体" w:eastAsia="宋体" w:cs="宋体"/>
          <w:i/>
          <w:color w:val="auto"/>
          <w:sz w:val="24"/>
          <w:szCs w:val="20"/>
          <w:highlight w:val="none"/>
          <w:u w:val="single"/>
        </w:rPr>
      </w:pPr>
    </w:p>
    <w:p w14:paraId="099ABC63">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14:paraId="0175CA2E">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开标一览表（实质性格式）</w:t>
      </w:r>
    </w:p>
    <w:p w14:paraId="07F643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057E046A">
      <w:pPr>
        <w:tabs>
          <w:tab w:val="left" w:pos="1800"/>
          <w:tab w:val="left" w:pos="5580"/>
        </w:tabs>
        <w:spacing w:line="360" w:lineRule="auto"/>
        <w:jc w:val="left"/>
        <w:rPr>
          <w:rFonts w:hint="eastAsia" w:ascii="宋体" w:hAnsi="宋体" w:eastAsia="宋体" w:cs="宋体"/>
          <w:i/>
          <w:color w:val="auto"/>
          <w:sz w:val="24"/>
          <w:highlight w:val="none"/>
        </w:rPr>
      </w:pPr>
    </w:p>
    <w:p w14:paraId="6A25D539">
      <w:pPr>
        <w:tabs>
          <w:tab w:val="left" w:pos="1800"/>
          <w:tab w:val="left" w:pos="5580"/>
        </w:tabs>
        <w:spacing w:line="360" w:lineRule="auto"/>
        <w:jc w:val="left"/>
        <w:rPr>
          <w:rFonts w:hint="eastAsia" w:ascii="宋体" w:hAnsi="宋体" w:eastAsia="宋体" w:cs="宋体"/>
          <w:i/>
          <w:color w:val="FF0000"/>
          <w:sz w:val="24"/>
          <w:highlight w:val="none"/>
        </w:rPr>
      </w:pPr>
    </w:p>
    <w:p w14:paraId="05C7A783">
      <w:pPr>
        <w:tabs>
          <w:tab w:val="left" w:pos="1800"/>
          <w:tab w:val="left" w:pos="5580"/>
        </w:tabs>
        <w:spacing w:line="360" w:lineRule="auto"/>
        <w:ind w:firstLine="240" w:firstLineChars="1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项目编号：_____________________     项目名称：____________</w:t>
      </w:r>
    </w:p>
    <w:tbl>
      <w:tblPr>
        <w:tblStyle w:val="4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0"/>
        <w:gridCol w:w="3982"/>
        <w:gridCol w:w="2136"/>
        <w:gridCol w:w="2130"/>
      </w:tblGrid>
      <w:tr w14:paraId="1B04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241E80B5">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包号</w:t>
            </w:r>
          </w:p>
        </w:tc>
        <w:tc>
          <w:tcPr>
            <w:tcW w:w="2215" w:type="pct"/>
            <w:vMerge w:val="restart"/>
            <w:vAlign w:val="center"/>
          </w:tcPr>
          <w:p w14:paraId="2041054C">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投标人名称</w:t>
            </w:r>
          </w:p>
        </w:tc>
        <w:tc>
          <w:tcPr>
            <w:tcW w:w="2373" w:type="pct"/>
            <w:gridSpan w:val="2"/>
            <w:vAlign w:val="center"/>
          </w:tcPr>
          <w:p w14:paraId="66800F8D">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w:t>
            </w:r>
          </w:p>
        </w:tc>
      </w:tr>
      <w:tr w14:paraId="7975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05A01FE0">
            <w:pPr>
              <w:tabs>
                <w:tab w:val="left" w:pos="5580"/>
              </w:tabs>
              <w:jc w:val="center"/>
              <w:rPr>
                <w:rFonts w:hint="eastAsia" w:ascii="宋体" w:hAnsi="宋体" w:eastAsia="宋体" w:cs="宋体"/>
                <w:color w:val="auto"/>
                <w:sz w:val="24"/>
                <w:highlight w:val="none"/>
              </w:rPr>
            </w:pPr>
          </w:p>
        </w:tc>
        <w:tc>
          <w:tcPr>
            <w:tcW w:w="2215" w:type="pct"/>
            <w:vMerge w:val="continue"/>
            <w:vAlign w:val="center"/>
          </w:tcPr>
          <w:p w14:paraId="782926E3">
            <w:pPr>
              <w:tabs>
                <w:tab w:val="left" w:pos="5580"/>
              </w:tabs>
              <w:jc w:val="center"/>
              <w:rPr>
                <w:rFonts w:hint="eastAsia" w:ascii="宋体" w:hAnsi="宋体" w:eastAsia="宋体" w:cs="宋体"/>
                <w:color w:val="auto"/>
                <w:sz w:val="24"/>
                <w:highlight w:val="none"/>
              </w:rPr>
            </w:pPr>
          </w:p>
        </w:tc>
        <w:tc>
          <w:tcPr>
            <w:tcW w:w="1188" w:type="pct"/>
            <w:vAlign w:val="center"/>
          </w:tcPr>
          <w:p w14:paraId="7745E5C1">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大写</w:t>
            </w:r>
          </w:p>
        </w:tc>
        <w:tc>
          <w:tcPr>
            <w:tcW w:w="1182" w:type="pct"/>
            <w:vAlign w:val="center"/>
          </w:tcPr>
          <w:p w14:paraId="3C5284BD">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小写</w:t>
            </w:r>
          </w:p>
        </w:tc>
      </w:tr>
      <w:tr w14:paraId="6DB4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0514DF9D">
            <w:pPr>
              <w:tabs>
                <w:tab w:val="left" w:pos="5580"/>
              </w:tabs>
              <w:jc w:val="center"/>
              <w:rPr>
                <w:rFonts w:hint="eastAsia" w:ascii="宋体" w:hAnsi="宋体" w:eastAsia="宋体" w:cs="宋体"/>
                <w:color w:val="auto"/>
                <w:sz w:val="24"/>
                <w:highlight w:val="none"/>
              </w:rPr>
            </w:pPr>
          </w:p>
        </w:tc>
        <w:tc>
          <w:tcPr>
            <w:tcW w:w="2215" w:type="pct"/>
            <w:vAlign w:val="center"/>
          </w:tcPr>
          <w:p w14:paraId="05F96AC7">
            <w:pPr>
              <w:tabs>
                <w:tab w:val="left" w:pos="5580"/>
              </w:tabs>
              <w:jc w:val="center"/>
              <w:rPr>
                <w:rFonts w:hint="eastAsia" w:ascii="宋体" w:hAnsi="宋体" w:eastAsia="宋体" w:cs="宋体"/>
                <w:color w:val="auto"/>
                <w:sz w:val="24"/>
                <w:highlight w:val="none"/>
              </w:rPr>
            </w:pPr>
          </w:p>
        </w:tc>
        <w:tc>
          <w:tcPr>
            <w:tcW w:w="1188" w:type="pct"/>
            <w:vAlign w:val="center"/>
          </w:tcPr>
          <w:p w14:paraId="3F78FBDA">
            <w:pPr>
              <w:tabs>
                <w:tab w:val="left" w:pos="5580"/>
              </w:tabs>
              <w:jc w:val="center"/>
              <w:rPr>
                <w:rFonts w:hint="eastAsia" w:ascii="宋体" w:hAnsi="宋体" w:eastAsia="宋体" w:cs="宋体"/>
                <w:color w:val="auto"/>
                <w:sz w:val="24"/>
                <w:highlight w:val="none"/>
              </w:rPr>
            </w:pPr>
          </w:p>
        </w:tc>
        <w:tc>
          <w:tcPr>
            <w:tcW w:w="1182" w:type="pct"/>
            <w:vAlign w:val="center"/>
          </w:tcPr>
          <w:p w14:paraId="60A24BC6">
            <w:pPr>
              <w:tabs>
                <w:tab w:val="left" w:pos="5580"/>
              </w:tabs>
              <w:jc w:val="center"/>
              <w:rPr>
                <w:rFonts w:hint="eastAsia" w:ascii="宋体" w:hAnsi="宋体" w:eastAsia="宋体" w:cs="宋体"/>
                <w:color w:val="auto"/>
                <w:sz w:val="24"/>
                <w:highlight w:val="none"/>
              </w:rPr>
            </w:pPr>
          </w:p>
        </w:tc>
      </w:tr>
    </w:tbl>
    <w:p w14:paraId="333AFD47">
      <w:pPr>
        <w:autoSpaceDE w:val="0"/>
        <w:autoSpaceDN w:val="0"/>
        <w:adjustRightInd w:val="0"/>
        <w:jc w:val="left"/>
        <w:rPr>
          <w:rFonts w:hint="eastAsia" w:ascii="宋体" w:hAnsi="宋体" w:eastAsia="宋体" w:cs="宋体"/>
          <w:color w:val="auto"/>
          <w:kern w:val="0"/>
          <w:sz w:val="24"/>
          <w:highlight w:val="none"/>
        </w:rPr>
      </w:pPr>
    </w:p>
    <w:p w14:paraId="04191997">
      <w:pPr>
        <w:autoSpaceDE w:val="0"/>
        <w:autoSpaceDN w:val="0"/>
        <w:adjustRightInd w:val="0"/>
        <w:jc w:val="left"/>
        <w:rPr>
          <w:rFonts w:hint="eastAsia" w:ascii="宋体" w:hAnsi="宋体" w:eastAsia="宋体" w:cs="宋体"/>
          <w:color w:val="auto"/>
          <w:sz w:val="24"/>
          <w:szCs w:val="20"/>
          <w:highlight w:val="none"/>
        </w:rPr>
      </w:pPr>
      <w:r>
        <w:rPr>
          <w:rFonts w:hint="eastAsia" w:ascii="宋体" w:hAnsi="宋体" w:eastAsia="宋体" w:cs="宋体"/>
          <w:color w:val="auto"/>
          <w:kern w:val="0"/>
          <w:sz w:val="24"/>
          <w:highlight w:val="none"/>
        </w:rPr>
        <w:t>注：1</w:t>
      </w:r>
      <w:r>
        <w:rPr>
          <w:rFonts w:hint="eastAsia" w:ascii="宋体" w:hAnsi="宋体" w:eastAsia="宋体" w:cs="宋体"/>
          <w:color w:val="auto"/>
          <w:sz w:val="24"/>
          <w:szCs w:val="20"/>
          <w:highlight w:val="none"/>
        </w:rPr>
        <w:t>.此表中，每包的投标报价应和《投标分项报价表》中的总价相一致。</w:t>
      </w:r>
    </w:p>
    <w:p w14:paraId="7D61578C">
      <w:pPr>
        <w:tabs>
          <w:tab w:val="left" w:pos="5580"/>
        </w:tabs>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2.本表必须按包分别填写。</w:t>
      </w:r>
    </w:p>
    <w:p w14:paraId="0FAB2C65">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p>
    <w:p w14:paraId="434B8E03">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w:t>
      </w:r>
    </w:p>
    <w:p w14:paraId="46117884">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：____________</w:t>
      </w:r>
    </w:p>
    <w:p w14:paraId="08CB00E9">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日期：_____年______月______日   </w:t>
      </w:r>
    </w:p>
    <w:p w14:paraId="2C33BE36">
      <w:pPr>
        <w:widowControl/>
        <w:jc w:val="left"/>
        <w:rPr>
          <w:rFonts w:hint="eastAsia" w:ascii="宋体" w:hAnsi="宋体" w:eastAsia="宋体" w:cs="宋体"/>
          <w:color w:val="auto"/>
          <w:sz w:val="24"/>
          <w:szCs w:val="20"/>
          <w:highlight w:val="none"/>
        </w:rPr>
      </w:pPr>
    </w:p>
    <w:p w14:paraId="1D7EAC53">
      <w:pP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14:paraId="5B3DD5A3">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投标分项报价表（实质性格式）</w:t>
      </w:r>
    </w:p>
    <w:p w14:paraId="7D20CA59">
      <w:pPr>
        <w:spacing w:line="360" w:lineRule="exact"/>
        <w:jc w:val="center"/>
        <w:rPr>
          <w:rFonts w:hint="eastAsia" w:ascii="宋体" w:hAnsi="宋体" w:eastAsia="宋体" w:cs="宋体"/>
          <w:color w:val="auto"/>
          <w:sz w:val="36"/>
          <w:szCs w:val="36"/>
          <w:highlight w:val="none"/>
        </w:rPr>
      </w:pPr>
    </w:p>
    <w:p w14:paraId="3947E3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投标分项报价表</w:t>
      </w:r>
    </w:p>
    <w:p w14:paraId="11221AB5">
      <w:pPr>
        <w:spacing w:line="260" w:lineRule="exact"/>
        <w:jc w:val="center"/>
        <w:rPr>
          <w:rFonts w:hint="eastAsia" w:ascii="宋体" w:hAnsi="宋体" w:eastAsia="宋体" w:cs="宋体"/>
          <w:color w:val="auto"/>
          <w:sz w:val="36"/>
          <w:szCs w:val="36"/>
          <w:highlight w:val="none"/>
        </w:rPr>
      </w:pPr>
    </w:p>
    <w:p w14:paraId="41BA7C11">
      <w:pPr>
        <w:tabs>
          <w:tab w:val="left" w:pos="1800"/>
          <w:tab w:val="left" w:pos="5580"/>
        </w:tabs>
        <w:rPr>
          <w:rFonts w:hint="eastAsia" w:ascii="宋体" w:hAnsi="宋体" w:eastAsia="宋体" w:cs="宋体"/>
          <w:color w:val="auto"/>
          <w:sz w:val="24"/>
          <w:highlight w:val="none"/>
        </w:rPr>
      </w:pPr>
      <w:bookmarkStart w:id="54" w:name="_Hlk217395562"/>
      <w:bookmarkStart w:id="55" w:name="_Hlk217395541"/>
      <w:r>
        <w:rPr>
          <w:rFonts w:hint="eastAsia" w:ascii="宋体" w:hAnsi="宋体" w:eastAsia="宋体" w:cs="宋体"/>
          <w:color w:val="auto"/>
          <w:sz w:val="24"/>
          <w:highlight w:val="none"/>
        </w:rPr>
        <w:t>项目编号/包号：________ 项目名称：__________报价单位：人民币元</w:t>
      </w:r>
    </w:p>
    <w:tbl>
      <w:tblPr>
        <w:tblStyle w:val="4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570"/>
        <w:gridCol w:w="743"/>
        <w:gridCol w:w="510"/>
        <w:gridCol w:w="990"/>
        <w:gridCol w:w="697"/>
        <w:gridCol w:w="697"/>
        <w:gridCol w:w="697"/>
        <w:gridCol w:w="697"/>
        <w:gridCol w:w="617"/>
        <w:gridCol w:w="956"/>
        <w:gridCol w:w="918"/>
        <w:gridCol w:w="22"/>
        <w:gridCol w:w="436"/>
        <w:gridCol w:w="28"/>
        <w:gridCol w:w="912"/>
        <w:gridCol w:w="6"/>
      </w:tblGrid>
      <w:tr w14:paraId="7B71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94" w:hRule="atLeast"/>
          <w:jc w:val="center"/>
        </w:trPr>
        <w:tc>
          <w:tcPr>
            <w:tcW w:w="228" w:type="pct"/>
            <w:vAlign w:val="center"/>
          </w:tcPr>
          <w:p w14:paraId="335765CF">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86" w:type="pct"/>
            <w:vAlign w:val="center"/>
          </w:tcPr>
          <w:p w14:paraId="7D6DCBCF">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分项名称</w:t>
            </w:r>
          </w:p>
        </w:tc>
        <w:tc>
          <w:tcPr>
            <w:tcW w:w="373" w:type="pct"/>
            <w:vAlign w:val="center"/>
          </w:tcPr>
          <w:p w14:paraId="76884CAE">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tc>
        <w:tc>
          <w:tcPr>
            <w:tcW w:w="256" w:type="pct"/>
            <w:vAlign w:val="center"/>
          </w:tcPr>
          <w:p w14:paraId="62D36F79">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产地/国别</w:t>
            </w:r>
          </w:p>
        </w:tc>
        <w:tc>
          <w:tcPr>
            <w:tcW w:w="497" w:type="pct"/>
            <w:vAlign w:val="center"/>
          </w:tcPr>
          <w:p w14:paraId="18FBE809">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p w14:paraId="76F6DB97">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统一社会信用代码</w:t>
            </w:r>
          </w:p>
        </w:tc>
        <w:tc>
          <w:tcPr>
            <w:tcW w:w="350" w:type="pct"/>
            <w:vAlign w:val="center"/>
          </w:tcPr>
          <w:p w14:paraId="4F9E518C">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p w14:paraId="4F4F6B77">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规模</w:t>
            </w:r>
          </w:p>
        </w:tc>
        <w:tc>
          <w:tcPr>
            <w:tcW w:w="350" w:type="pct"/>
            <w:vAlign w:val="center"/>
          </w:tcPr>
          <w:p w14:paraId="37244629">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制造商所属性别</w:t>
            </w:r>
          </w:p>
        </w:tc>
        <w:tc>
          <w:tcPr>
            <w:tcW w:w="350" w:type="pct"/>
            <w:vAlign w:val="center"/>
          </w:tcPr>
          <w:p w14:paraId="7C44B937">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外商投资类型</w:t>
            </w:r>
          </w:p>
        </w:tc>
        <w:tc>
          <w:tcPr>
            <w:tcW w:w="350" w:type="pct"/>
            <w:vAlign w:val="center"/>
          </w:tcPr>
          <w:p w14:paraId="54A4F1DF">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品牌</w:t>
            </w:r>
          </w:p>
        </w:tc>
        <w:tc>
          <w:tcPr>
            <w:tcW w:w="310" w:type="pct"/>
            <w:vAlign w:val="center"/>
          </w:tcPr>
          <w:p w14:paraId="6DA9B07C">
            <w:pPr>
              <w:adjustRightInd w:val="0"/>
              <w:snapToGrid w:val="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规格、型号</w:t>
            </w:r>
          </w:p>
        </w:tc>
        <w:tc>
          <w:tcPr>
            <w:tcW w:w="480" w:type="pct"/>
            <w:vAlign w:val="center"/>
          </w:tcPr>
          <w:p w14:paraId="11D5DDD8">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医疗器械管理类别及编号</w:t>
            </w:r>
          </w:p>
        </w:tc>
        <w:tc>
          <w:tcPr>
            <w:tcW w:w="461" w:type="pct"/>
            <w:vAlign w:val="center"/>
          </w:tcPr>
          <w:p w14:paraId="6F0645EE">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单价（元）</w:t>
            </w:r>
          </w:p>
        </w:tc>
        <w:tc>
          <w:tcPr>
            <w:tcW w:w="230" w:type="pct"/>
            <w:gridSpan w:val="2"/>
            <w:vAlign w:val="center"/>
          </w:tcPr>
          <w:p w14:paraId="2101D835">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472" w:type="pct"/>
            <w:gridSpan w:val="2"/>
            <w:vAlign w:val="center"/>
          </w:tcPr>
          <w:p w14:paraId="3EBC53C3">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合价（元）</w:t>
            </w:r>
          </w:p>
        </w:tc>
      </w:tr>
      <w:tr w14:paraId="6C2A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28" w:type="pct"/>
            <w:vAlign w:val="center"/>
          </w:tcPr>
          <w:p w14:paraId="10BAD3EF">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86" w:type="pct"/>
            <w:vAlign w:val="center"/>
          </w:tcPr>
          <w:p w14:paraId="304B580E">
            <w:pPr>
              <w:adjustRightInd w:val="0"/>
              <w:snapToGrid w:val="0"/>
              <w:jc w:val="left"/>
              <w:rPr>
                <w:rFonts w:hint="eastAsia" w:ascii="宋体" w:hAnsi="宋体" w:eastAsia="宋体" w:cs="宋体"/>
                <w:color w:val="auto"/>
                <w:sz w:val="24"/>
                <w:highlight w:val="none"/>
              </w:rPr>
            </w:pPr>
          </w:p>
        </w:tc>
        <w:tc>
          <w:tcPr>
            <w:tcW w:w="373" w:type="pct"/>
            <w:vAlign w:val="center"/>
          </w:tcPr>
          <w:p w14:paraId="20971F0A">
            <w:pPr>
              <w:adjustRightInd w:val="0"/>
              <w:snapToGrid w:val="0"/>
              <w:jc w:val="left"/>
              <w:rPr>
                <w:rFonts w:hint="eastAsia" w:ascii="宋体" w:hAnsi="宋体" w:eastAsia="宋体" w:cs="宋体"/>
                <w:color w:val="auto"/>
                <w:sz w:val="24"/>
                <w:highlight w:val="none"/>
              </w:rPr>
            </w:pPr>
          </w:p>
        </w:tc>
        <w:tc>
          <w:tcPr>
            <w:tcW w:w="256" w:type="pct"/>
          </w:tcPr>
          <w:p w14:paraId="7B05CC54">
            <w:pPr>
              <w:adjustRightInd w:val="0"/>
              <w:snapToGrid w:val="0"/>
              <w:jc w:val="left"/>
              <w:rPr>
                <w:rFonts w:hint="eastAsia" w:ascii="宋体" w:hAnsi="宋体" w:eastAsia="宋体" w:cs="宋体"/>
                <w:color w:val="auto"/>
                <w:sz w:val="24"/>
                <w:highlight w:val="none"/>
              </w:rPr>
            </w:pPr>
          </w:p>
        </w:tc>
        <w:tc>
          <w:tcPr>
            <w:tcW w:w="497" w:type="pct"/>
            <w:vAlign w:val="center"/>
          </w:tcPr>
          <w:p w14:paraId="07547013">
            <w:pPr>
              <w:adjustRightInd w:val="0"/>
              <w:snapToGrid w:val="0"/>
              <w:jc w:val="center"/>
              <w:rPr>
                <w:rFonts w:hint="eastAsia" w:ascii="宋体" w:hAnsi="宋体" w:eastAsia="宋体" w:cs="宋体"/>
                <w:color w:val="auto"/>
                <w:sz w:val="24"/>
                <w:highlight w:val="none"/>
              </w:rPr>
            </w:pPr>
          </w:p>
        </w:tc>
        <w:tc>
          <w:tcPr>
            <w:tcW w:w="350" w:type="pct"/>
            <w:vAlign w:val="center"/>
          </w:tcPr>
          <w:p w14:paraId="315EDBA3">
            <w:pPr>
              <w:adjustRightInd w:val="0"/>
              <w:snapToGrid w:val="0"/>
              <w:jc w:val="center"/>
              <w:rPr>
                <w:rFonts w:hint="eastAsia" w:ascii="宋体" w:hAnsi="宋体" w:eastAsia="宋体" w:cs="宋体"/>
                <w:color w:val="auto"/>
                <w:sz w:val="24"/>
                <w:highlight w:val="none"/>
              </w:rPr>
            </w:pPr>
          </w:p>
        </w:tc>
        <w:tc>
          <w:tcPr>
            <w:tcW w:w="350" w:type="pct"/>
          </w:tcPr>
          <w:p w14:paraId="4DF9DA95">
            <w:pPr>
              <w:adjustRightInd w:val="0"/>
              <w:snapToGrid w:val="0"/>
              <w:jc w:val="center"/>
              <w:rPr>
                <w:rFonts w:hint="eastAsia" w:ascii="宋体" w:hAnsi="宋体" w:eastAsia="宋体" w:cs="宋体"/>
                <w:color w:val="auto"/>
                <w:sz w:val="24"/>
                <w:highlight w:val="none"/>
              </w:rPr>
            </w:pPr>
          </w:p>
        </w:tc>
        <w:tc>
          <w:tcPr>
            <w:tcW w:w="350" w:type="pct"/>
          </w:tcPr>
          <w:p w14:paraId="48B32B4C">
            <w:pPr>
              <w:adjustRightInd w:val="0"/>
              <w:snapToGrid w:val="0"/>
              <w:jc w:val="center"/>
              <w:rPr>
                <w:rFonts w:hint="eastAsia" w:ascii="宋体" w:hAnsi="宋体" w:eastAsia="宋体" w:cs="宋体"/>
                <w:color w:val="auto"/>
                <w:sz w:val="24"/>
                <w:highlight w:val="none"/>
              </w:rPr>
            </w:pPr>
          </w:p>
        </w:tc>
        <w:tc>
          <w:tcPr>
            <w:tcW w:w="350" w:type="pct"/>
            <w:vAlign w:val="center"/>
          </w:tcPr>
          <w:p w14:paraId="7FA17B79">
            <w:pPr>
              <w:adjustRightInd w:val="0"/>
              <w:snapToGrid w:val="0"/>
              <w:jc w:val="center"/>
              <w:rPr>
                <w:rFonts w:hint="eastAsia" w:ascii="宋体" w:hAnsi="宋体" w:eastAsia="宋体" w:cs="宋体"/>
                <w:color w:val="auto"/>
                <w:sz w:val="24"/>
                <w:highlight w:val="none"/>
              </w:rPr>
            </w:pPr>
          </w:p>
        </w:tc>
        <w:tc>
          <w:tcPr>
            <w:tcW w:w="310" w:type="pct"/>
            <w:vAlign w:val="center"/>
          </w:tcPr>
          <w:p w14:paraId="3C22070A">
            <w:pPr>
              <w:adjustRightInd w:val="0"/>
              <w:snapToGrid w:val="0"/>
              <w:jc w:val="left"/>
              <w:rPr>
                <w:rFonts w:hint="eastAsia" w:ascii="宋体" w:hAnsi="宋体" w:eastAsia="宋体" w:cs="宋体"/>
                <w:color w:val="auto"/>
                <w:sz w:val="24"/>
                <w:highlight w:val="none"/>
              </w:rPr>
            </w:pPr>
          </w:p>
        </w:tc>
        <w:tc>
          <w:tcPr>
            <w:tcW w:w="480" w:type="pct"/>
            <w:vAlign w:val="center"/>
          </w:tcPr>
          <w:p w14:paraId="4053DAFF">
            <w:pPr>
              <w:adjustRightInd w:val="0"/>
              <w:snapToGrid w:val="0"/>
              <w:jc w:val="left"/>
              <w:rPr>
                <w:rFonts w:hint="eastAsia" w:ascii="宋体" w:hAnsi="宋体" w:eastAsia="宋体" w:cs="宋体"/>
                <w:color w:val="auto"/>
                <w:sz w:val="24"/>
                <w:highlight w:val="none"/>
              </w:rPr>
            </w:pPr>
          </w:p>
        </w:tc>
        <w:tc>
          <w:tcPr>
            <w:tcW w:w="461" w:type="pct"/>
            <w:vAlign w:val="center"/>
          </w:tcPr>
          <w:p w14:paraId="2C8427FE">
            <w:pPr>
              <w:adjustRightInd w:val="0"/>
              <w:snapToGrid w:val="0"/>
              <w:jc w:val="left"/>
              <w:rPr>
                <w:rFonts w:hint="eastAsia" w:ascii="宋体" w:hAnsi="宋体" w:eastAsia="宋体" w:cs="宋体"/>
                <w:color w:val="auto"/>
                <w:sz w:val="24"/>
                <w:highlight w:val="none"/>
              </w:rPr>
            </w:pPr>
          </w:p>
        </w:tc>
        <w:tc>
          <w:tcPr>
            <w:tcW w:w="230" w:type="pct"/>
            <w:gridSpan w:val="2"/>
            <w:vAlign w:val="center"/>
          </w:tcPr>
          <w:p w14:paraId="030771C2">
            <w:pPr>
              <w:adjustRightInd w:val="0"/>
              <w:snapToGrid w:val="0"/>
              <w:jc w:val="left"/>
              <w:rPr>
                <w:rFonts w:hint="eastAsia" w:ascii="宋体" w:hAnsi="宋体" w:eastAsia="宋体" w:cs="宋体"/>
                <w:color w:val="auto"/>
                <w:sz w:val="24"/>
                <w:highlight w:val="none"/>
              </w:rPr>
            </w:pPr>
          </w:p>
        </w:tc>
        <w:tc>
          <w:tcPr>
            <w:tcW w:w="472" w:type="pct"/>
            <w:gridSpan w:val="2"/>
            <w:vAlign w:val="center"/>
          </w:tcPr>
          <w:p w14:paraId="5CE5482C">
            <w:pPr>
              <w:adjustRightInd w:val="0"/>
              <w:snapToGrid w:val="0"/>
              <w:jc w:val="left"/>
              <w:rPr>
                <w:rFonts w:hint="eastAsia" w:ascii="宋体" w:hAnsi="宋体" w:eastAsia="宋体" w:cs="宋体"/>
                <w:color w:val="auto"/>
                <w:sz w:val="24"/>
                <w:highlight w:val="none"/>
              </w:rPr>
            </w:pPr>
          </w:p>
        </w:tc>
      </w:tr>
      <w:tr w14:paraId="4447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28" w:type="pct"/>
            <w:vAlign w:val="center"/>
          </w:tcPr>
          <w:p w14:paraId="36919F86">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86" w:type="pct"/>
            <w:vAlign w:val="center"/>
          </w:tcPr>
          <w:p w14:paraId="3A1A2C33">
            <w:pPr>
              <w:adjustRightInd w:val="0"/>
              <w:snapToGrid w:val="0"/>
              <w:jc w:val="left"/>
              <w:rPr>
                <w:rFonts w:hint="eastAsia" w:ascii="宋体" w:hAnsi="宋体" w:eastAsia="宋体" w:cs="宋体"/>
                <w:color w:val="auto"/>
                <w:sz w:val="24"/>
                <w:highlight w:val="none"/>
              </w:rPr>
            </w:pPr>
          </w:p>
        </w:tc>
        <w:tc>
          <w:tcPr>
            <w:tcW w:w="373" w:type="pct"/>
            <w:vAlign w:val="center"/>
          </w:tcPr>
          <w:p w14:paraId="64D1614F">
            <w:pPr>
              <w:adjustRightInd w:val="0"/>
              <w:snapToGrid w:val="0"/>
              <w:jc w:val="left"/>
              <w:rPr>
                <w:rFonts w:hint="eastAsia" w:ascii="宋体" w:hAnsi="宋体" w:eastAsia="宋体" w:cs="宋体"/>
                <w:color w:val="auto"/>
                <w:sz w:val="24"/>
                <w:highlight w:val="none"/>
              </w:rPr>
            </w:pPr>
          </w:p>
        </w:tc>
        <w:tc>
          <w:tcPr>
            <w:tcW w:w="256" w:type="pct"/>
          </w:tcPr>
          <w:p w14:paraId="63AF7D14">
            <w:pPr>
              <w:adjustRightInd w:val="0"/>
              <w:snapToGrid w:val="0"/>
              <w:jc w:val="left"/>
              <w:rPr>
                <w:rFonts w:hint="eastAsia" w:ascii="宋体" w:hAnsi="宋体" w:eastAsia="宋体" w:cs="宋体"/>
                <w:color w:val="auto"/>
                <w:sz w:val="24"/>
                <w:highlight w:val="none"/>
              </w:rPr>
            </w:pPr>
          </w:p>
        </w:tc>
        <w:tc>
          <w:tcPr>
            <w:tcW w:w="497" w:type="pct"/>
            <w:vAlign w:val="center"/>
          </w:tcPr>
          <w:p w14:paraId="634D3C3B">
            <w:pPr>
              <w:adjustRightInd w:val="0"/>
              <w:snapToGrid w:val="0"/>
              <w:jc w:val="center"/>
              <w:rPr>
                <w:rFonts w:hint="eastAsia" w:ascii="宋体" w:hAnsi="宋体" w:eastAsia="宋体" w:cs="宋体"/>
                <w:color w:val="auto"/>
                <w:sz w:val="24"/>
                <w:highlight w:val="none"/>
              </w:rPr>
            </w:pPr>
          </w:p>
        </w:tc>
        <w:tc>
          <w:tcPr>
            <w:tcW w:w="350" w:type="pct"/>
            <w:vAlign w:val="center"/>
          </w:tcPr>
          <w:p w14:paraId="5B699B4B">
            <w:pPr>
              <w:adjustRightInd w:val="0"/>
              <w:snapToGrid w:val="0"/>
              <w:jc w:val="center"/>
              <w:rPr>
                <w:rFonts w:hint="eastAsia" w:ascii="宋体" w:hAnsi="宋体" w:eastAsia="宋体" w:cs="宋体"/>
                <w:color w:val="auto"/>
                <w:sz w:val="24"/>
                <w:highlight w:val="none"/>
              </w:rPr>
            </w:pPr>
          </w:p>
        </w:tc>
        <w:tc>
          <w:tcPr>
            <w:tcW w:w="350" w:type="pct"/>
          </w:tcPr>
          <w:p w14:paraId="78DF6DB3">
            <w:pPr>
              <w:adjustRightInd w:val="0"/>
              <w:snapToGrid w:val="0"/>
              <w:jc w:val="center"/>
              <w:rPr>
                <w:rFonts w:hint="eastAsia" w:ascii="宋体" w:hAnsi="宋体" w:eastAsia="宋体" w:cs="宋体"/>
                <w:color w:val="auto"/>
                <w:sz w:val="24"/>
                <w:highlight w:val="none"/>
              </w:rPr>
            </w:pPr>
          </w:p>
        </w:tc>
        <w:tc>
          <w:tcPr>
            <w:tcW w:w="350" w:type="pct"/>
          </w:tcPr>
          <w:p w14:paraId="10960651">
            <w:pPr>
              <w:adjustRightInd w:val="0"/>
              <w:snapToGrid w:val="0"/>
              <w:jc w:val="center"/>
              <w:rPr>
                <w:rFonts w:hint="eastAsia" w:ascii="宋体" w:hAnsi="宋体" w:eastAsia="宋体" w:cs="宋体"/>
                <w:color w:val="auto"/>
                <w:sz w:val="24"/>
                <w:highlight w:val="none"/>
              </w:rPr>
            </w:pPr>
          </w:p>
        </w:tc>
        <w:tc>
          <w:tcPr>
            <w:tcW w:w="350" w:type="pct"/>
            <w:vAlign w:val="center"/>
          </w:tcPr>
          <w:p w14:paraId="629A9A5D">
            <w:pPr>
              <w:adjustRightInd w:val="0"/>
              <w:snapToGrid w:val="0"/>
              <w:jc w:val="center"/>
              <w:rPr>
                <w:rFonts w:hint="eastAsia" w:ascii="宋体" w:hAnsi="宋体" w:eastAsia="宋体" w:cs="宋体"/>
                <w:color w:val="auto"/>
                <w:sz w:val="24"/>
                <w:highlight w:val="none"/>
              </w:rPr>
            </w:pPr>
          </w:p>
        </w:tc>
        <w:tc>
          <w:tcPr>
            <w:tcW w:w="310" w:type="pct"/>
            <w:vAlign w:val="center"/>
          </w:tcPr>
          <w:p w14:paraId="7EC525C7">
            <w:pPr>
              <w:adjustRightInd w:val="0"/>
              <w:snapToGrid w:val="0"/>
              <w:jc w:val="left"/>
              <w:rPr>
                <w:rFonts w:hint="eastAsia" w:ascii="宋体" w:hAnsi="宋体" w:eastAsia="宋体" w:cs="宋体"/>
                <w:color w:val="auto"/>
                <w:sz w:val="24"/>
                <w:highlight w:val="none"/>
              </w:rPr>
            </w:pPr>
          </w:p>
        </w:tc>
        <w:tc>
          <w:tcPr>
            <w:tcW w:w="480" w:type="pct"/>
            <w:vAlign w:val="center"/>
          </w:tcPr>
          <w:p w14:paraId="71FC055A">
            <w:pPr>
              <w:adjustRightInd w:val="0"/>
              <w:snapToGrid w:val="0"/>
              <w:jc w:val="left"/>
              <w:rPr>
                <w:rFonts w:hint="eastAsia" w:ascii="宋体" w:hAnsi="宋体" w:eastAsia="宋体" w:cs="宋体"/>
                <w:color w:val="auto"/>
                <w:sz w:val="24"/>
                <w:highlight w:val="none"/>
              </w:rPr>
            </w:pPr>
          </w:p>
        </w:tc>
        <w:tc>
          <w:tcPr>
            <w:tcW w:w="461" w:type="pct"/>
            <w:vAlign w:val="center"/>
          </w:tcPr>
          <w:p w14:paraId="67B310B0">
            <w:pPr>
              <w:adjustRightInd w:val="0"/>
              <w:snapToGrid w:val="0"/>
              <w:jc w:val="left"/>
              <w:rPr>
                <w:rFonts w:hint="eastAsia" w:ascii="宋体" w:hAnsi="宋体" w:eastAsia="宋体" w:cs="宋体"/>
                <w:color w:val="auto"/>
                <w:sz w:val="24"/>
                <w:highlight w:val="none"/>
              </w:rPr>
            </w:pPr>
          </w:p>
        </w:tc>
        <w:tc>
          <w:tcPr>
            <w:tcW w:w="230" w:type="pct"/>
            <w:gridSpan w:val="2"/>
            <w:vAlign w:val="center"/>
          </w:tcPr>
          <w:p w14:paraId="258F9B55">
            <w:pPr>
              <w:adjustRightInd w:val="0"/>
              <w:snapToGrid w:val="0"/>
              <w:jc w:val="left"/>
              <w:rPr>
                <w:rFonts w:hint="eastAsia" w:ascii="宋体" w:hAnsi="宋体" w:eastAsia="宋体" w:cs="宋体"/>
                <w:color w:val="auto"/>
                <w:sz w:val="24"/>
                <w:highlight w:val="none"/>
              </w:rPr>
            </w:pPr>
          </w:p>
        </w:tc>
        <w:tc>
          <w:tcPr>
            <w:tcW w:w="472" w:type="pct"/>
            <w:gridSpan w:val="2"/>
            <w:vAlign w:val="center"/>
          </w:tcPr>
          <w:p w14:paraId="106D3F02">
            <w:pPr>
              <w:adjustRightInd w:val="0"/>
              <w:snapToGrid w:val="0"/>
              <w:jc w:val="left"/>
              <w:rPr>
                <w:rFonts w:hint="eastAsia" w:ascii="宋体" w:hAnsi="宋体" w:eastAsia="宋体" w:cs="宋体"/>
                <w:color w:val="auto"/>
                <w:sz w:val="24"/>
                <w:highlight w:val="none"/>
              </w:rPr>
            </w:pPr>
          </w:p>
        </w:tc>
      </w:tr>
      <w:tr w14:paraId="6C6C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28" w:type="pct"/>
            <w:vAlign w:val="center"/>
          </w:tcPr>
          <w:p w14:paraId="4F1DBFB0">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86" w:type="pct"/>
            <w:vAlign w:val="center"/>
          </w:tcPr>
          <w:p w14:paraId="6B42F250">
            <w:pPr>
              <w:adjustRightInd w:val="0"/>
              <w:snapToGrid w:val="0"/>
              <w:jc w:val="left"/>
              <w:rPr>
                <w:rFonts w:hint="eastAsia" w:ascii="宋体" w:hAnsi="宋体" w:eastAsia="宋体" w:cs="宋体"/>
                <w:color w:val="auto"/>
                <w:sz w:val="24"/>
                <w:highlight w:val="none"/>
              </w:rPr>
            </w:pPr>
          </w:p>
        </w:tc>
        <w:tc>
          <w:tcPr>
            <w:tcW w:w="373" w:type="pct"/>
            <w:vAlign w:val="center"/>
          </w:tcPr>
          <w:p w14:paraId="1AD6BEE7">
            <w:pPr>
              <w:adjustRightInd w:val="0"/>
              <w:snapToGrid w:val="0"/>
              <w:jc w:val="left"/>
              <w:rPr>
                <w:rFonts w:hint="eastAsia" w:ascii="宋体" w:hAnsi="宋体" w:eastAsia="宋体" w:cs="宋体"/>
                <w:color w:val="auto"/>
                <w:sz w:val="24"/>
                <w:highlight w:val="none"/>
              </w:rPr>
            </w:pPr>
          </w:p>
        </w:tc>
        <w:tc>
          <w:tcPr>
            <w:tcW w:w="256" w:type="pct"/>
          </w:tcPr>
          <w:p w14:paraId="1828CEDB">
            <w:pPr>
              <w:adjustRightInd w:val="0"/>
              <w:snapToGrid w:val="0"/>
              <w:jc w:val="left"/>
              <w:rPr>
                <w:rFonts w:hint="eastAsia" w:ascii="宋体" w:hAnsi="宋体" w:eastAsia="宋体" w:cs="宋体"/>
                <w:color w:val="auto"/>
                <w:sz w:val="24"/>
                <w:highlight w:val="none"/>
              </w:rPr>
            </w:pPr>
          </w:p>
        </w:tc>
        <w:tc>
          <w:tcPr>
            <w:tcW w:w="497" w:type="pct"/>
            <w:vAlign w:val="center"/>
          </w:tcPr>
          <w:p w14:paraId="40F3E4CA">
            <w:pPr>
              <w:adjustRightInd w:val="0"/>
              <w:snapToGrid w:val="0"/>
              <w:jc w:val="center"/>
              <w:rPr>
                <w:rFonts w:hint="eastAsia" w:ascii="宋体" w:hAnsi="宋体" w:eastAsia="宋体" w:cs="宋体"/>
                <w:color w:val="auto"/>
                <w:sz w:val="24"/>
                <w:highlight w:val="none"/>
              </w:rPr>
            </w:pPr>
          </w:p>
        </w:tc>
        <w:tc>
          <w:tcPr>
            <w:tcW w:w="350" w:type="pct"/>
            <w:vAlign w:val="center"/>
          </w:tcPr>
          <w:p w14:paraId="665A74E2">
            <w:pPr>
              <w:adjustRightInd w:val="0"/>
              <w:snapToGrid w:val="0"/>
              <w:jc w:val="center"/>
              <w:rPr>
                <w:rFonts w:hint="eastAsia" w:ascii="宋体" w:hAnsi="宋体" w:eastAsia="宋体" w:cs="宋体"/>
                <w:color w:val="auto"/>
                <w:sz w:val="24"/>
                <w:highlight w:val="none"/>
              </w:rPr>
            </w:pPr>
          </w:p>
        </w:tc>
        <w:tc>
          <w:tcPr>
            <w:tcW w:w="350" w:type="pct"/>
          </w:tcPr>
          <w:p w14:paraId="5270D2DD">
            <w:pPr>
              <w:adjustRightInd w:val="0"/>
              <w:snapToGrid w:val="0"/>
              <w:jc w:val="center"/>
              <w:rPr>
                <w:rFonts w:hint="eastAsia" w:ascii="宋体" w:hAnsi="宋体" w:eastAsia="宋体" w:cs="宋体"/>
                <w:color w:val="auto"/>
                <w:sz w:val="24"/>
                <w:highlight w:val="none"/>
              </w:rPr>
            </w:pPr>
          </w:p>
        </w:tc>
        <w:tc>
          <w:tcPr>
            <w:tcW w:w="350" w:type="pct"/>
          </w:tcPr>
          <w:p w14:paraId="4D212D72">
            <w:pPr>
              <w:adjustRightInd w:val="0"/>
              <w:snapToGrid w:val="0"/>
              <w:jc w:val="center"/>
              <w:rPr>
                <w:rFonts w:hint="eastAsia" w:ascii="宋体" w:hAnsi="宋体" w:eastAsia="宋体" w:cs="宋体"/>
                <w:color w:val="auto"/>
                <w:sz w:val="24"/>
                <w:highlight w:val="none"/>
              </w:rPr>
            </w:pPr>
          </w:p>
        </w:tc>
        <w:tc>
          <w:tcPr>
            <w:tcW w:w="350" w:type="pct"/>
            <w:vAlign w:val="center"/>
          </w:tcPr>
          <w:p w14:paraId="7CAF7381">
            <w:pPr>
              <w:adjustRightInd w:val="0"/>
              <w:snapToGrid w:val="0"/>
              <w:jc w:val="center"/>
              <w:rPr>
                <w:rFonts w:hint="eastAsia" w:ascii="宋体" w:hAnsi="宋体" w:eastAsia="宋体" w:cs="宋体"/>
                <w:color w:val="auto"/>
                <w:sz w:val="24"/>
                <w:highlight w:val="none"/>
              </w:rPr>
            </w:pPr>
          </w:p>
        </w:tc>
        <w:tc>
          <w:tcPr>
            <w:tcW w:w="310" w:type="pct"/>
            <w:vAlign w:val="center"/>
          </w:tcPr>
          <w:p w14:paraId="3D72CC5B">
            <w:pPr>
              <w:adjustRightInd w:val="0"/>
              <w:snapToGrid w:val="0"/>
              <w:jc w:val="left"/>
              <w:rPr>
                <w:rFonts w:hint="eastAsia" w:ascii="宋体" w:hAnsi="宋体" w:eastAsia="宋体" w:cs="宋体"/>
                <w:color w:val="auto"/>
                <w:sz w:val="24"/>
                <w:highlight w:val="none"/>
              </w:rPr>
            </w:pPr>
          </w:p>
        </w:tc>
        <w:tc>
          <w:tcPr>
            <w:tcW w:w="480" w:type="pct"/>
            <w:vAlign w:val="center"/>
          </w:tcPr>
          <w:p w14:paraId="644F3866">
            <w:pPr>
              <w:adjustRightInd w:val="0"/>
              <w:snapToGrid w:val="0"/>
              <w:jc w:val="left"/>
              <w:rPr>
                <w:rFonts w:hint="eastAsia" w:ascii="宋体" w:hAnsi="宋体" w:eastAsia="宋体" w:cs="宋体"/>
                <w:color w:val="auto"/>
                <w:sz w:val="24"/>
                <w:highlight w:val="none"/>
              </w:rPr>
            </w:pPr>
          </w:p>
        </w:tc>
        <w:tc>
          <w:tcPr>
            <w:tcW w:w="461" w:type="pct"/>
            <w:vAlign w:val="center"/>
          </w:tcPr>
          <w:p w14:paraId="72A71A63">
            <w:pPr>
              <w:adjustRightInd w:val="0"/>
              <w:snapToGrid w:val="0"/>
              <w:jc w:val="left"/>
              <w:rPr>
                <w:rFonts w:hint="eastAsia" w:ascii="宋体" w:hAnsi="宋体" w:eastAsia="宋体" w:cs="宋体"/>
                <w:color w:val="auto"/>
                <w:sz w:val="24"/>
                <w:highlight w:val="none"/>
              </w:rPr>
            </w:pPr>
          </w:p>
        </w:tc>
        <w:tc>
          <w:tcPr>
            <w:tcW w:w="230" w:type="pct"/>
            <w:gridSpan w:val="2"/>
            <w:vAlign w:val="center"/>
          </w:tcPr>
          <w:p w14:paraId="0E9BF7DE">
            <w:pPr>
              <w:adjustRightInd w:val="0"/>
              <w:snapToGrid w:val="0"/>
              <w:jc w:val="left"/>
              <w:rPr>
                <w:rFonts w:hint="eastAsia" w:ascii="宋体" w:hAnsi="宋体" w:eastAsia="宋体" w:cs="宋体"/>
                <w:color w:val="auto"/>
                <w:sz w:val="24"/>
                <w:highlight w:val="none"/>
              </w:rPr>
            </w:pPr>
          </w:p>
        </w:tc>
        <w:tc>
          <w:tcPr>
            <w:tcW w:w="472" w:type="pct"/>
            <w:gridSpan w:val="2"/>
            <w:vAlign w:val="center"/>
          </w:tcPr>
          <w:p w14:paraId="25F7FD31">
            <w:pPr>
              <w:adjustRightInd w:val="0"/>
              <w:snapToGrid w:val="0"/>
              <w:jc w:val="left"/>
              <w:rPr>
                <w:rFonts w:hint="eastAsia" w:ascii="宋体" w:hAnsi="宋体" w:eastAsia="宋体" w:cs="宋体"/>
                <w:color w:val="auto"/>
                <w:sz w:val="24"/>
                <w:highlight w:val="none"/>
              </w:rPr>
            </w:pPr>
          </w:p>
        </w:tc>
      </w:tr>
      <w:tr w14:paraId="5466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28" w:type="pct"/>
            <w:vAlign w:val="center"/>
          </w:tcPr>
          <w:p w14:paraId="5FF53660">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86" w:type="pct"/>
            <w:vAlign w:val="center"/>
          </w:tcPr>
          <w:p w14:paraId="7CD6AA64">
            <w:pPr>
              <w:adjustRightInd w:val="0"/>
              <w:snapToGrid w:val="0"/>
              <w:jc w:val="left"/>
              <w:rPr>
                <w:rFonts w:hint="eastAsia" w:ascii="宋体" w:hAnsi="宋体" w:eastAsia="宋体" w:cs="宋体"/>
                <w:color w:val="auto"/>
                <w:sz w:val="24"/>
                <w:highlight w:val="none"/>
              </w:rPr>
            </w:pPr>
          </w:p>
        </w:tc>
        <w:tc>
          <w:tcPr>
            <w:tcW w:w="373" w:type="pct"/>
            <w:vAlign w:val="center"/>
          </w:tcPr>
          <w:p w14:paraId="6B7962FC">
            <w:pPr>
              <w:adjustRightInd w:val="0"/>
              <w:snapToGrid w:val="0"/>
              <w:jc w:val="left"/>
              <w:rPr>
                <w:rFonts w:hint="eastAsia" w:ascii="宋体" w:hAnsi="宋体" w:eastAsia="宋体" w:cs="宋体"/>
                <w:color w:val="auto"/>
                <w:sz w:val="24"/>
                <w:highlight w:val="none"/>
              </w:rPr>
            </w:pPr>
          </w:p>
        </w:tc>
        <w:tc>
          <w:tcPr>
            <w:tcW w:w="256" w:type="pct"/>
          </w:tcPr>
          <w:p w14:paraId="79AFDEEF">
            <w:pPr>
              <w:adjustRightInd w:val="0"/>
              <w:snapToGrid w:val="0"/>
              <w:jc w:val="left"/>
              <w:rPr>
                <w:rFonts w:hint="eastAsia" w:ascii="宋体" w:hAnsi="宋体" w:eastAsia="宋体" w:cs="宋体"/>
                <w:color w:val="auto"/>
                <w:sz w:val="24"/>
                <w:highlight w:val="none"/>
              </w:rPr>
            </w:pPr>
          </w:p>
        </w:tc>
        <w:tc>
          <w:tcPr>
            <w:tcW w:w="497" w:type="pct"/>
            <w:vAlign w:val="center"/>
          </w:tcPr>
          <w:p w14:paraId="1E7D0FC0">
            <w:pPr>
              <w:adjustRightInd w:val="0"/>
              <w:snapToGrid w:val="0"/>
              <w:jc w:val="center"/>
              <w:rPr>
                <w:rFonts w:hint="eastAsia" w:ascii="宋体" w:hAnsi="宋体" w:eastAsia="宋体" w:cs="宋体"/>
                <w:color w:val="auto"/>
                <w:sz w:val="24"/>
                <w:highlight w:val="none"/>
              </w:rPr>
            </w:pPr>
          </w:p>
        </w:tc>
        <w:tc>
          <w:tcPr>
            <w:tcW w:w="350" w:type="pct"/>
            <w:vAlign w:val="center"/>
          </w:tcPr>
          <w:p w14:paraId="452F0446">
            <w:pPr>
              <w:adjustRightInd w:val="0"/>
              <w:snapToGrid w:val="0"/>
              <w:jc w:val="center"/>
              <w:rPr>
                <w:rFonts w:hint="eastAsia" w:ascii="宋体" w:hAnsi="宋体" w:eastAsia="宋体" w:cs="宋体"/>
                <w:color w:val="auto"/>
                <w:sz w:val="24"/>
                <w:highlight w:val="none"/>
              </w:rPr>
            </w:pPr>
          </w:p>
        </w:tc>
        <w:tc>
          <w:tcPr>
            <w:tcW w:w="350" w:type="pct"/>
          </w:tcPr>
          <w:p w14:paraId="39C9AA10">
            <w:pPr>
              <w:adjustRightInd w:val="0"/>
              <w:snapToGrid w:val="0"/>
              <w:jc w:val="center"/>
              <w:rPr>
                <w:rFonts w:hint="eastAsia" w:ascii="宋体" w:hAnsi="宋体" w:eastAsia="宋体" w:cs="宋体"/>
                <w:color w:val="auto"/>
                <w:sz w:val="24"/>
                <w:highlight w:val="none"/>
              </w:rPr>
            </w:pPr>
          </w:p>
        </w:tc>
        <w:tc>
          <w:tcPr>
            <w:tcW w:w="350" w:type="pct"/>
          </w:tcPr>
          <w:p w14:paraId="6CD615E3">
            <w:pPr>
              <w:adjustRightInd w:val="0"/>
              <w:snapToGrid w:val="0"/>
              <w:jc w:val="center"/>
              <w:rPr>
                <w:rFonts w:hint="eastAsia" w:ascii="宋体" w:hAnsi="宋体" w:eastAsia="宋体" w:cs="宋体"/>
                <w:color w:val="auto"/>
                <w:sz w:val="24"/>
                <w:highlight w:val="none"/>
              </w:rPr>
            </w:pPr>
          </w:p>
        </w:tc>
        <w:tc>
          <w:tcPr>
            <w:tcW w:w="350" w:type="pct"/>
            <w:vAlign w:val="center"/>
          </w:tcPr>
          <w:p w14:paraId="4A9AE286">
            <w:pPr>
              <w:adjustRightInd w:val="0"/>
              <w:snapToGrid w:val="0"/>
              <w:jc w:val="center"/>
              <w:rPr>
                <w:rFonts w:hint="eastAsia" w:ascii="宋体" w:hAnsi="宋体" w:eastAsia="宋体" w:cs="宋体"/>
                <w:color w:val="auto"/>
                <w:sz w:val="24"/>
                <w:highlight w:val="none"/>
              </w:rPr>
            </w:pPr>
          </w:p>
        </w:tc>
        <w:tc>
          <w:tcPr>
            <w:tcW w:w="310" w:type="pct"/>
            <w:vAlign w:val="center"/>
          </w:tcPr>
          <w:p w14:paraId="5562F38C">
            <w:pPr>
              <w:adjustRightInd w:val="0"/>
              <w:snapToGrid w:val="0"/>
              <w:jc w:val="left"/>
              <w:rPr>
                <w:rFonts w:hint="eastAsia" w:ascii="宋体" w:hAnsi="宋体" w:eastAsia="宋体" w:cs="宋体"/>
                <w:color w:val="auto"/>
                <w:sz w:val="24"/>
                <w:highlight w:val="none"/>
              </w:rPr>
            </w:pPr>
          </w:p>
        </w:tc>
        <w:tc>
          <w:tcPr>
            <w:tcW w:w="480" w:type="pct"/>
            <w:vAlign w:val="center"/>
          </w:tcPr>
          <w:p w14:paraId="23997491">
            <w:pPr>
              <w:adjustRightInd w:val="0"/>
              <w:snapToGrid w:val="0"/>
              <w:jc w:val="left"/>
              <w:rPr>
                <w:rFonts w:hint="eastAsia" w:ascii="宋体" w:hAnsi="宋体" w:eastAsia="宋体" w:cs="宋体"/>
                <w:color w:val="auto"/>
                <w:sz w:val="24"/>
                <w:highlight w:val="none"/>
              </w:rPr>
            </w:pPr>
          </w:p>
        </w:tc>
        <w:tc>
          <w:tcPr>
            <w:tcW w:w="461" w:type="pct"/>
            <w:vAlign w:val="center"/>
          </w:tcPr>
          <w:p w14:paraId="09B44BA0">
            <w:pPr>
              <w:adjustRightInd w:val="0"/>
              <w:snapToGrid w:val="0"/>
              <w:jc w:val="left"/>
              <w:rPr>
                <w:rFonts w:hint="eastAsia" w:ascii="宋体" w:hAnsi="宋体" w:eastAsia="宋体" w:cs="宋体"/>
                <w:color w:val="auto"/>
                <w:sz w:val="24"/>
                <w:highlight w:val="none"/>
              </w:rPr>
            </w:pPr>
          </w:p>
        </w:tc>
        <w:tc>
          <w:tcPr>
            <w:tcW w:w="230" w:type="pct"/>
            <w:gridSpan w:val="2"/>
            <w:vAlign w:val="center"/>
          </w:tcPr>
          <w:p w14:paraId="43A20495">
            <w:pPr>
              <w:adjustRightInd w:val="0"/>
              <w:snapToGrid w:val="0"/>
              <w:jc w:val="left"/>
              <w:rPr>
                <w:rFonts w:hint="eastAsia" w:ascii="宋体" w:hAnsi="宋体" w:eastAsia="宋体" w:cs="宋体"/>
                <w:color w:val="auto"/>
                <w:sz w:val="24"/>
                <w:highlight w:val="none"/>
              </w:rPr>
            </w:pPr>
          </w:p>
        </w:tc>
        <w:tc>
          <w:tcPr>
            <w:tcW w:w="472" w:type="pct"/>
            <w:gridSpan w:val="2"/>
            <w:vAlign w:val="center"/>
          </w:tcPr>
          <w:p w14:paraId="13566F76">
            <w:pPr>
              <w:adjustRightInd w:val="0"/>
              <w:snapToGrid w:val="0"/>
              <w:jc w:val="left"/>
              <w:rPr>
                <w:rFonts w:hint="eastAsia" w:ascii="宋体" w:hAnsi="宋体" w:eastAsia="宋体" w:cs="宋体"/>
                <w:color w:val="auto"/>
                <w:sz w:val="24"/>
                <w:highlight w:val="none"/>
              </w:rPr>
            </w:pPr>
          </w:p>
        </w:tc>
      </w:tr>
      <w:tr w14:paraId="1AFA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28" w:type="pct"/>
            <w:vAlign w:val="center"/>
          </w:tcPr>
          <w:p w14:paraId="6D13931A">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86" w:type="pct"/>
            <w:vAlign w:val="center"/>
          </w:tcPr>
          <w:p w14:paraId="3A478753">
            <w:pPr>
              <w:adjustRightInd w:val="0"/>
              <w:snapToGrid w:val="0"/>
              <w:jc w:val="left"/>
              <w:rPr>
                <w:rFonts w:hint="eastAsia" w:ascii="宋体" w:hAnsi="宋体" w:eastAsia="宋体" w:cs="宋体"/>
                <w:color w:val="auto"/>
                <w:sz w:val="24"/>
                <w:highlight w:val="none"/>
              </w:rPr>
            </w:pPr>
          </w:p>
        </w:tc>
        <w:tc>
          <w:tcPr>
            <w:tcW w:w="373" w:type="pct"/>
            <w:vAlign w:val="center"/>
          </w:tcPr>
          <w:p w14:paraId="27986733">
            <w:pPr>
              <w:adjustRightInd w:val="0"/>
              <w:snapToGrid w:val="0"/>
              <w:jc w:val="left"/>
              <w:rPr>
                <w:rFonts w:hint="eastAsia" w:ascii="宋体" w:hAnsi="宋体" w:eastAsia="宋体" w:cs="宋体"/>
                <w:color w:val="auto"/>
                <w:sz w:val="24"/>
                <w:highlight w:val="none"/>
              </w:rPr>
            </w:pPr>
          </w:p>
        </w:tc>
        <w:tc>
          <w:tcPr>
            <w:tcW w:w="256" w:type="pct"/>
          </w:tcPr>
          <w:p w14:paraId="1E8F1FFE">
            <w:pPr>
              <w:adjustRightInd w:val="0"/>
              <w:snapToGrid w:val="0"/>
              <w:jc w:val="left"/>
              <w:rPr>
                <w:rFonts w:hint="eastAsia" w:ascii="宋体" w:hAnsi="宋体" w:eastAsia="宋体" w:cs="宋体"/>
                <w:color w:val="auto"/>
                <w:sz w:val="24"/>
                <w:highlight w:val="none"/>
              </w:rPr>
            </w:pPr>
          </w:p>
        </w:tc>
        <w:tc>
          <w:tcPr>
            <w:tcW w:w="497" w:type="pct"/>
            <w:vAlign w:val="center"/>
          </w:tcPr>
          <w:p w14:paraId="7285A96D">
            <w:pPr>
              <w:adjustRightInd w:val="0"/>
              <w:snapToGrid w:val="0"/>
              <w:jc w:val="center"/>
              <w:rPr>
                <w:rFonts w:hint="eastAsia" w:ascii="宋体" w:hAnsi="宋体" w:eastAsia="宋体" w:cs="宋体"/>
                <w:color w:val="auto"/>
                <w:sz w:val="24"/>
                <w:highlight w:val="none"/>
              </w:rPr>
            </w:pPr>
          </w:p>
        </w:tc>
        <w:tc>
          <w:tcPr>
            <w:tcW w:w="350" w:type="pct"/>
            <w:vAlign w:val="center"/>
          </w:tcPr>
          <w:p w14:paraId="54512CEC">
            <w:pPr>
              <w:adjustRightInd w:val="0"/>
              <w:snapToGrid w:val="0"/>
              <w:jc w:val="center"/>
              <w:rPr>
                <w:rFonts w:hint="eastAsia" w:ascii="宋体" w:hAnsi="宋体" w:eastAsia="宋体" w:cs="宋体"/>
                <w:color w:val="auto"/>
                <w:sz w:val="24"/>
                <w:highlight w:val="none"/>
              </w:rPr>
            </w:pPr>
          </w:p>
        </w:tc>
        <w:tc>
          <w:tcPr>
            <w:tcW w:w="350" w:type="pct"/>
          </w:tcPr>
          <w:p w14:paraId="1CEA8391">
            <w:pPr>
              <w:adjustRightInd w:val="0"/>
              <w:snapToGrid w:val="0"/>
              <w:jc w:val="center"/>
              <w:rPr>
                <w:rFonts w:hint="eastAsia" w:ascii="宋体" w:hAnsi="宋体" w:eastAsia="宋体" w:cs="宋体"/>
                <w:color w:val="auto"/>
                <w:sz w:val="24"/>
                <w:highlight w:val="none"/>
              </w:rPr>
            </w:pPr>
          </w:p>
        </w:tc>
        <w:tc>
          <w:tcPr>
            <w:tcW w:w="350" w:type="pct"/>
          </w:tcPr>
          <w:p w14:paraId="167DCA16">
            <w:pPr>
              <w:adjustRightInd w:val="0"/>
              <w:snapToGrid w:val="0"/>
              <w:jc w:val="center"/>
              <w:rPr>
                <w:rFonts w:hint="eastAsia" w:ascii="宋体" w:hAnsi="宋体" w:eastAsia="宋体" w:cs="宋体"/>
                <w:color w:val="auto"/>
                <w:sz w:val="24"/>
                <w:highlight w:val="none"/>
              </w:rPr>
            </w:pPr>
          </w:p>
        </w:tc>
        <w:tc>
          <w:tcPr>
            <w:tcW w:w="350" w:type="pct"/>
            <w:vAlign w:val="center"/>
          </w:tcPr>
          <w:p w14:paraId="4322D7E5">
            <w:pPr>
              <w:adjustRightInd w:val="0"/>
              <w:snapToGrid w:val="0"/>
              <w:jc w:val="center"/>
              <w:rPr>
                <w:rFonts w:hint="eastAsia" w:ascii="宋体" w:hAnsi="宋体" w:eastAsia="宋体" w:cs="宋体"/>
                <w:color w:val="auto"/>
                <w:sz w:val="24"/>
                <w:highlight w:val="none"/>
              </w:rPr>
            </w:pPr>
          </w:p>
        </w:tc>
        <w:tc>
          <w:tcPr>
            <w:tcW w:w="310" w:type="pct"/>
            <w:vAlign w:val="center"/>
          </w:tcPr>
          <w:p w14:paraId="08665817">
            <w:pPr>
              <w:adjustRightInd w:val="0"/>
              <w:snapToGrid w:val="0"/>
              <w:jc w:val="left"/>
              <w:rPr>
                <w:rFonts w:hint="eastAsia" w:ascii="宋体" w:hAnsi="宋体" w:eastAsia="宋体" w:cs="宋体"/>
                <w:color w:val="auto"/>
                <w:sz w:val="24"/>
                <w:highlight w:val="none"/>
              </w:rPr>
            </w:pPr>
          </w:p>
        </w:tc>
        <w:tc>
          <w:tcPr>
            <w:tcW w:w="480" w:type="pct"/>
            <w:vAlign w:val="center"/>
          </w:tcPr>
          <w:p w14:paraId="3F8DA04B">
            <w:pPr>
              <w:adjustRightInd w:val="0"/>
              <w:snapToGrid w:val="0"/>
              <w:jc w:val="left"/>
              <w:rPr>
                <w:rFonts w:hint="eastAsia" w:ascii="宋体" w:hAnsi="宋体" w:eastAsia="宋体" w:cs="宋体"/>
                <w:color w:val="auto"/>
                <w:sz w:val="24"/>
                <w:highlight w:val="none"/>
              </w:rPr>
            </w:pPr>
          </w:p>
        </w:tc>
        <w:tc>
          <w:tcPr>
            <w:tcW w:w="461" w:type="pct"/>
            <w:vAlign w:val="center"/>
          </w:tcPr>
          <w:p w14:paraId="691F1F81">
            <w:pPr>
              <w:adjustRightInd w:val="0"/>
              <w:snapToGrid w:val="0"/>
              <w:jc w:val="left"/>
              <w:rPr>
                <w:rFonts w:hint="eastAsia" w:ascii="宋体" w:hAnsi="宋体" w:eastAsia="宋体" w:cs="宋体"/>
                <w:color w:val="auto"/>
                <w:sz w:val="24"/>
                <w:highlight w:val="none"/>
              </w:rPr>
            </w:pPr>
          </w:p>
        </w:tc>
        <w:tc>
          <w:tcPr>
            <w:tcW w:w="230" w:type="pct"/>
            <w:gridSpan w:val="2"/>
            <w:vAlign w:val="center"/>
          </w:tcPr>
          <w:p w14:paraId="039466C3">
            <w:pPr>
              <w:adjustRightInd w:val="0"/>
              <w:snapToGrid w:val="0"/>
              <w:jc w:val="left"/>
              <w:rPr>
                <w:rFonts w:hint="eastAsia" w:ascii="宋体" w:hAnsi="宋体" w:eastAsia="宋体" w:cs="宋体"/>
                <w:color w:val="auto"/>
                <w:sz w:val="24"/>
                <w:highlight w:val="none"/>
              </w:rPr>
            </w:pPr>
          </w:p>
        </w:tc>
        <w:tc>
          <w:tcPr>
            <w:tcW w:w="472" w:type="pct"/>
            <w:gridSpan w:val="2"/>
            <w:vAlign w:val="center"/>
          </w:tcPr>
          <w:p w14:paraId="78D0C17C">
            <w:pPr>
              <w:adjustRightInd w:val="0"/>
              <w:snapToGrid w:val="0"/>
              <w:jc w:val="left"/>
              <w:rPr>
                <w:rFonts w:hint="eastAsia" w:ascii="宋体" w:hAnsi="宋体" w:eastAsia="宋体" w:cs="宋体"/>
                <w:color w:val="auto"/>
                <w:sz w:val="24"/>
                <w:highlight w:val="none"/>
              </w:rPr>
            </w:pPr>
          </w:p>
        </w:tc>
      </w:tr>
      <w:tr w14:paraId="2304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3" w:type="pct"/>
            <w:gridSpan w:val="11"/>
            <w:vAlign w:val="center"/>
          </w:tcPr>
          <w:p w14:paraId="2D1A14A2">
            <w:pPr>
              <w:adjustRightInd w:val="0"/>
              <w:snapToGrid w:val="0"/>
              <w:jc w:val="righ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总价（元）</w:t>
            </w:r>
          </w:p>
        </w:tc>
        <w:tc>
          <w:tcPr>
            <w:tcW w:w="472" w:type="pct"/>
            <w:gridSpan w:val="2"/>
            <w:vAlign w:val="center"/>
          </w:tcPr>
          <w:p w14:paraId="728EAC8C">
            <w:pPr>
              <w:adjustRightInd w:val="0"/>
              <w:snapToGrid w:val="0"/>
              <w:jc w:val="right"/>
              <w:rPr>
                <w:rFonts w:hint="eastAsia" w:ascii="宋体" w:hAnsi="宋体" w:eastAsia="宋体" w:cs="宋体"/>
                <w:b/>
                <w:bCs/>
                <w:color w:val="auto"/>
                <w:sz w:val="24"/>
                <w:highlight w:val="none"/>
              </w:rPr>
            </w:pPr>
          </w:p>
        </w:tc>
        <w:tc>
          <w:tcPr>
            <w:tcW w:w="233" w:type="pct"/>
            <w:gridSpan w:val="2"/>
            <w:vAlign w:val="center"/>
          </w:tcPr>
          <w:p w14:paraId="721E716E">
            <w:pPr>
              <w:adjustRightInd w:val="0"/>
              <w:snapToGrid w:val="0"/>
              <w:jc w:val="left"/>
              <w:rPr>
                <w:rFonts w:hint="eastAsia" w:ascii="宋体" w:hAnsi="宋体" w:eastAsia="宋体" w:cs="宋体"/>
                <w:color w:val="auto"/>
                <w:sz w:val="24"/>
                <w:highlight w:val="none"/>
              </w:rPr>
            </w:pPr>
          </w:p>
        </w:tc>
        <w:tc>
          <w:tcPr>
            <w:tcW w:w="461" w:type="pct"/>
            <w:gridSpan w:val="2"/>
            <w:vAlign w:val="center"/>
          </w:tcPr>
          <w:p w14:paraId="040E8D79">
            <w:pPr>
              <w:adjustRightInd w:val="0"/>
              <w:snapToGrid w:val="0"/>
              <w:jc w:val="left"/>
              <w:rPr>
                <w:rFonts w:hint="eastAsia" w:ascii="宋体" w:hAnsi="宋体" w:eastAsia="宋体" w:cs="宋体"/>
                <w:color w:val="auto"/>
                <w:sz w:val="24"/>
                <w:highlight w:val="none"/>
              </w:rPr>
            </w:pPr>
          </w:p>
        </w:tc>
      </w:tr>
    </w:tbl>
    <w:p w14:paraId="3BA12C42">
      <w:pPr>
        <w:adjustRightInd w:val="0"/>
        <w:snapToGrid w:val="0"/>
        <w:jc w:val="left"/>
        <w:rPr>
          <w:rFonts w:hint="eastAsia" w:ascii="宋体" w:hAnsi="宋体" w:eastAsia="宋体" w:cs="宋体"/>
          <w:b/>
          <w:i/>
          <w:color w:val="auto"/>
          <w:sz w:val="24"/>
          <w:highlight w:val="none"/>
        </w:rPr>
      </w:pPr>
      <w:r>
        <w:rPr>
          <w:rFonts w:hint="eastAsia" w:ascii="宋体" w:hAnsi="宋体" w:eastAsia="宋体" w:cs="宋体"/>
          <w:b/>
          <w:i/>
          <w:color w:val="auto"/>
          <w:sz w:val="24"/>
          <w:highlight w:val="none"/>
        </w:rPr>
        <w:t>说明：制造商规模请填写</w:t>
      </w:r>
      <w:bookmarkStart w:id="56" w:name="_Hlk168431944"/>
      <w:r>
        <w:rPr>
          <w:rFonts w:hint="eastAsia" w:ascii="宋体" w:hAnsi="宋体" w:eastAsia="宋体" w:cs="宋体"/>
          <w:b/>
          <w:i/>
          <w:color w:val="auto"/>
          <w:sz w:val="24"/>
          <w:highlight w:val="none"/>
        </w:rPr>
        <w:t>“大型”、</w:t>
      </w:r>
      <w:bookmarkEnd w:id="56"/>
      <w:r>
        <w:rPr>
          <w:rFonts w:hint="eastAsia" w:ascii="宋体" w:hAnsi="宋体" w:eastAsia="宋体" w:cs="宋体"/>
          <w:b/>
          <w:i/>
          <w:color w:val="auto"/>
          <w:sz w:val="24"/>
          <w:highlight w:val="none"/>
        </w:rPr>
        <w:t>“中型”、“小型”、“微型”或“其他”，中小企业的定义见第二章《投标人须知》。</w:t>
      </w:r>
    </w:p>
    <w:p w14:paraId="0B456C7C">
      <w:pPr>
        <w:tabs>
          <w:tab w:val="left" w:pos="1800"/>
          <w:tab w:val="left" w:pos="5580"/>
        </w:tabs>
        <w:ind w:firstLine="723" w:firstLineChars="300"/>
        <w:jc w:val="left"/>
        <w:rPr>
          <w:rFonts w:hint="eastAsia" w:ascii="宋体" w:hAnsi="宋体" w:eastAsia="宋体" w:cs="宋体"/>
          <w:b/>
          <w:i/>
          <w:color w:val="auto"/>
          <w:sz w:val="24"/>
          <w:highlight w:val="none"/>
        </w:rPr>
      </w:pPr>
      <w:r>
        <w:rPr>
          <w:rFonts w:hint="eastAsia" w:ascii="宋体" w:hAnsi="宋体" w:eastAsia="宋体" w:cs="宋体"/>
          <w:b/>
          <w:i/>
          <w:color w:val="auto"/>
          <w:sz w:val="24"/>
          <w:highlight w:val="none"/>
        </w:rPr>
        <w:t>制造商所属性别请填写“男”或“女”，</w:t>
      </w:r>
      <w:r>
        <w:rPr>
          <w:rFonts w:hint="eastAsia" w:ascii="宋体" w:hAnsi="宋体" w:eastAsia="宋体" w:cs="宋体"/>
          <w:color w:val="auto"/>
          <w:sz w:val="24"/>
          <w:highlight w:val="none"/>
        </w:rPr>
        <w:t xml:space="preserve"> 指拥有制造商51%以上绝对所有权的性别；绝对所有权拥有者可以是一个人，也可以是多人合计计算</w:t>
      </w:r>
      <w:r>
        <w:rPr>
          <w:rFonts w:hint="eastAsia" w:ascii="宋体" w:hAnsi="宋体" w:eastAsia="宋体" w:cs="宋体"/>
          <w:bCs/>
          <w:i/>
          <w:color w:val="auto"/>
          <w:sz w:val="24"/>
          <w:highlight w:val="none"/>
        </w:rPr>
        <w:t>。</w:t>
      </w:r>
    </w:p>
    <w:p w14:paraId="0186E5AC">
      <w:pPr>
        <w:tabs>
          <w:tab w:val="left" w:pos="1800"/>
          <w:tab w:val="left" w:pos="5580"/>
        </w:tabs>
        <w:ind w:firstLine="723" w:firstLineChars="300"/>
        <w:jc w:val="left"/>
        <w:rPr>
          <w:rFonts w:hint="eastAsia" w:ascii="宋体" w:hAnsi="宋体" w:eastAsia="宋体" w:cs="宋体"/>
          <w:b/>
          <w:i/>
          <w:color w:val="auto"/>
          <w:sz w:val="24"/>
          <w:highlight w:val="none"/>
        </w:rPr>
      </w:pPr>
      <w:r>
        <w:rPr>
          <w:rFonts w:hint="eastAsia" w:ascii="宋体" w:hAnsi="宋体" w:eastAsia="宋体" w:cs="宋体"/>
          <w:b/>
          <w:i/>
          <w:color w:val="auto"/>
          <w:sz w:val="24"/>
          <w:highlight w:val="none"/>
        </w:rPr>
        <w:t>外商投资类型请填写“外商单独投资”、“外商部分投资”或“内资”。</w:t>
      </w:r>
      <w:bookmarkEnd w:id="54"/>
      <w:bookmarkEnd w:id="55"/>
      <w:r>
        <w:rPr>
          <w:rFonts w:hint="eastAsia" w:ascii="宋体" w:hAnsi="宋体" w:eastAsia="宋体" w:cs="宋体"/>
          <w:b/>
          <w:i/>
          <w:color w:val="auto"/>
          <w:sz w:val="24"/>
          <w:highlight w:val="none"/>
        </w:rPr>
        <w:br w:type="textWrapping"/>
      </w:r>
      <w:r>
        <w:rPr>
          <w:rFonts w:hint="eastAsia" w:ascii="宋体" w:hAnsi="宋体" w:eastAsia="宋体" w:cs="宋体"/>
          <w:b/>
          <w:i/>
          <w:color w:val="auto"/>
          <w:sz w:val="24"/>
          <w:highlight w:val="none"/>
        </w:rPr>
        <w:br w:type="textWrapping"/>
      </w:r>
      <w:r>
        <w:rPr>
          <w:rFonts w:hint="eastAsia" w:ascii="宋体" w:hAnsi="宋体" w:eastAsia="宋体" w:cs="宋体"/>
          <w:color w:val="auto"/>
          <w:sz w:val="24"/>
          <w:highlight w:val="none"/>
        </w:rPr>
        <w:t>注:1.本表应按包分别填写。</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2.如果不提供分项报价将视为没有实质性响应谈判文件。</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3.上述各项的详细规格(如有)，可另页描述。</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4.投标产品属于医疗器械的，供应商应根据国家药品监督管理局官网公布的医疗器。械分类目录，确定并标明投标产品管理类别及编号。例如:一次性使用静脉采血针分类属于第三类6815(以便于评标委员会复核供应商医疗器械许可的经营范围)。</w:t>
      </w:r>
    </w:p>
    <w:p w14:paraId="597EE326">
      <w:pPr>
        <w:rPr>
          <w:rFonts w:hint="eastAsia" w:ascii="宋体" w:hAnsi="宋体" w:eastAsia="宋体" w:cs="宋体"/>
          <w:b/>
          <w:i/>
          <w:color w:val="auto"/>
          <w:sz w:val="24"/>
          <w:highlight w:val="none"/>
        </w:rPr>
      </w:pPr>
      <w:r>
        <w:rPr>
          <w:rFonts w:hint="eastAsia" w:ascii="宋体" w:hAnsi="宋体" w:eastAsia="宋体" w:cs="宋体"/>
          <w:b/>
          <w:i/>
          <w:color w:val="auto"/>
          <w:sz w:val="24"/>
          <w:highlight w:val="none"/>
        </w:rPr>
        <w:br w:type="page"/>
      </w:r>
    </w:p>
    <w:p w14:paraId="0E81FB9B">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合同条款偏离表（实质性格式）</w:t>
      </w:r>
    </w:p>
    <w:p w14:paraId="6CCDFD76">
      <w:pPr>
        <w:spacing w:line="360" w:lineRule="auto"/>
        <w:rPr>
          <w:rFonts w:hint="eastAsia" w:ascii="宋体" w:hAnsi="宋体" w:eastAsia="宋体" w:cs="宋体"/>
          <w:color w:val="auto"/>
          <w:sz w:val="24"/>
          <w:szCs w:val="20"/>
          <w:highlight w:val="none"/>
        </w:rPr>
      </w:pPr>
    </w:p>
    <w:p w14:paraId="241A43A3">
      <w:pPr>
        <w:tabs>
          <w:tab w:val="left" w:pos="2775"/>
          <w:tab w:val="center" w:pos="4153"/>
        </w:tabs>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合同条款偏离表</w:t>
      </w:r>
    </w:p>
    <w:p w14:paraId="081EA52C">
      <w:pPr>
        <w:spacing w:line="360" w:lineRule="auto"/>
        <w:rPr>
          <w:rFonts w:hint="eastAsia" w:ascii="宋体" w:hAnsi="宋体" w:eastAsia="宋体" w:cs="宋体"/>
          <w:color w:val="auto"/>
          <w:sz w:val="24"/>
          <w:szCs w:val="20"/>
          <w:highlight w:val="none"/>
        </w:rPr>
      </w:pPr>
    </w:p>
    <w:p w14:paraId="3E2FF452">
      <w:pPr>
        <w:tabs>
          <w:tab w:val="left" w:pos="1800"/>
          <w:tab w:val="left" w:pos="5580"/>
        </w:tabs>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项目编号/包号：_____________________     项目名称：_____________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1956"/>
        <w:gridCol w:w="1762"/>
        <w:gridCol w:w="1762"/>
        <w:gridCol w:w="1949"/>
        <w:gridCol w:w="1255"/>
      </w:tblGrid>
      <w:tr w14:paraId="7EFF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28" w:type="dxa"/>
            <w:vAlign w:val="center"/>
          </w:tcPr>
          <w:p w14:paraId="71AB1702">
            <w:pPr>
              <w:adjustRightInd w:val="0"/>
              <w:snapToGrid w:val="0"/>
              <w:jc w:val="center"/>
              <w:rPr>
                <w:rFonts w:hint="eastAsia" w:ascii="宋体" w:hAnsi="宋体" w:eastAsia="宋体" w:cs="宋体"/>
                <w:color w:val="auto"/>
                <w:sz w:val="24"/>
                <w:highlight w:val="none"/>
              </w:rPr>
            </w:pPr>
            <w:bookmarkStart w:id="57" w:name="_Hlk144279231"/>
            <w:r>
              <w:rPr>
                <w:rFonts w:hint="eastAsia" w:ascii="宋体" w:hAnsi="宋体" w:eastAsia="宋体" w:cs="宋体"/>
                <w:color w:val="auto"/>
                <w:sz w:val="24"/>
                <w:highlight w:val="none"/>
              </w:rPr>
              <w:t>序号</w:t>
            </w:r>
          </w:p>
        </w:tc>
        <w:tc>
          <w:tcPr>
            <w:tcW w:w="1888" w:type="dxa"/>
            <w:vAlign w:val="center"/>
          </w:tcPr>
          <w:p w14:paraId="6A39F801">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招标文件</w:t>
            </w:r>
            <w:r>
              <w:rPr>
                <w:rFonts w:hint="eastAsia" w:ascii="宋体" w:hAnsi="宋体" w:eastAsia="宋体" w:cs="宋体"/>
                <w:color w:val="auto"/>
                <w:sz w:val="24"/>
                <w:highlight w:val="none"/>
              </w:rPr>
              <w:t>条目号（页码）</w:t>
            </w:r>
          </w:p>
        </w:tc>
        <w:tc>
          <w:tcPr>
            <w:tcW w:w="1805" w:type="dxa"/>
            <w:vAlign w:val="center"/>
          </w:tcPr>
          <w:p w14:paraId="423111B2">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招标文件</w:t>
            </w:r>
            <w:r>
              <w:rPr>
                <w:rFonts w:hint="eastAsia" w:ascii="宋体" w:hAnsi="宋体" w:eastAsia="宋体" w:cs="宋体"/>
                <w:color w:val="auto"/>
                <w:sz w:val="24"/>
                <w:highlight w:val="none"/>
              </w:rPr>
              <w:t>要求</w:t>
            </w:r>
          </w:p>
        </w:tc>
        <w:tc>
          <w:tcPr>
            <w:tcW w:w="1805" w:type="dxa"/>
            <w:vAlign w:val="center"/>
          </w:tcPr>
          <w:p w14:paraId="7836DD33">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投标文件内容</w:t>
            </w:r>
          </w:p>
        </w:tc>
        <w:tc>
          <w:tcPr>
            <w:tcW w:w="2025" w:type="dxa"/>
            <w:vAlign w:val="center"/>
          </w:tcPr>
          <w:p w14:paraId="78127DB3">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1206" w:type="dxa"/>
            <w:vAlign w:val="center"/>
          </w:tcPr>
          <w:p w14:paraId="1BCFD9B4">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54DF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6AFB147">
            <w:pPr>
              <w:adjustRightInd w:val="0"/>
              <w:snapToGrid w:val="0"/>
              <w:jc w:val="left"/>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对本项目合同条款的偏离情况</w:t>
            </w:r>
            <w:r>
              <w:rPr>
                <w:rFonts w:hint="eastAsia" w:ascii="宋体" w:hAnsi="宋体" w:eastAsia="宋体" w:cs="宋体"/>
                <w:bCs/>
                <w:color w:val="auto"/>
                <w:sz w:val="24"/>
                <w:highlight w:val="none"/>
              </w:rPr>
              <w:t>（应进行选择，未选择</w:t>
            </w:r>
            <w:r>
              <w:rPr>
                <w:rFonts w:hint="eastAsia" w:ascii="宋体" w:hAnsi="宋体" w:eastAsia="宋体" w:cs="宋体"/>
                <w:b/>
                <w:bCs/>
                <w:color w:val="auto"/>
                <w:sz w:val="24"/>
                <w:highlight w:val="none"/>
                <w:lang w:eastAsia="zh-CN"/>
              </w:rPr>
              <w:t>投标无效</w:t>
            </w:r>
            <w:r>
              <w:rPr>
                <w:rFonts w:hint="eastAsia" w:ascii="宋体" w:hAnsi="宋体" w:eastAsia="宋体" w:cs="宋体"/>
                <w:bCs/>
                <w:color w:val="auto"/>
                <w:sz w:val="24"/>
                <w:highlight w:val="none"/>
              </w:rPr>
              <w:t>）：</w:t>
            </w:r>
          </w:p>
          <w:p w14:paraId="19AEC7EE">
            <w:pPr>
              <w:adjustRightInd w:val="0"/>
              <w:snapToGrid w:val="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无偏离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如无偏离，仅选择无偏离即可；</w:t>
            </w:r>
            <w:r>
              <w:rPr>
                <w:rFonts w:hint="eastAsia" w:ascii="宋体" w:hAnsi="宋体" w:eastAsia="宋体" w:cs="宋体"/>
                <w:bCs/>
                <w:color w:val="auto"/>
                <w:sz w:val="24"/>
                <w:highlight w:val="none"/>
              </w:rPr>
              <w:t>无偏离即为</w:t>
            </w:r>
            <w:r>
              <w:rPr>
                <w:rFonts w:hint="eastAsia" w:ascii="宋体" w:hAnsi="宋体" w:eastAsia="宋体" w:cs="宋体"/>
                <w:color w:val="auto"/>
                <w:sz w:val="24"/>
                <w:highlight w:val="none"/>
              </w:rPr>
              <w:t>对合同条款中的所有要求，均视作供应商已对之理解和响应。）</w:t>
            </w:r>
          </w:p>
          <w:p w14:paraId="1690298A">
            <w:pPr>
              <w:adjustRightInd w:val="0"/>
              <w:snapToGrid w:val="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有偏离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如有偏离，</w:t>
            </w:r>
            <w:r>
              <w:rPr>
                <w:rFonts w:hint="eastAsia" w:ascii="宋体" w:hAnsi="宋体" w:eastAsia="宋体" w:cs="宋体"/>
                <w:color w:val="auto"/>
                <w:sz w:val="24"/>
                <w:highlight w:val="none"/>
              </w:rPr>
              <w:t>则应在本表中对负偏离项逐一列明，否则</w:t>
            </w:r>
            <w:r>
              <w:rPr>
                <w:rFonts w:hint="eastAsia" w:ascii="宋体" w:hAnsi="宋体" w:eastAsia="宋体" w:cs="宋体"/>
                <w:b/>
                <w:bCs/>
                <w:color w:val="auto"/>
                <w:sz w:val="24"/>
                <w:highlight w:val="none"/>
                <w:lang w:eastAsia="zh-CN"/>
              </w:rPr>
              <w:t>投标无效</w:t>
            </w:r>
            <w:r>
              <w:rPr>
                <w:rFonts w:hint="eastAsia" w:ascii="宋体" w:hAnsi="宋体" w:eastAsia="宋体" w:cs="宋体"/>
                <w:color w:val="auto"/>
                <w:sz w:val="24"/>
                <w:highlight w:val="none"/>
              </w:rPr>
              <w:t>；对合同条款中的所有要求，除本表列明的偏离外，均视作供应商已对之理解和响应。）</w:t>
            </w:r>
          </w:p>
        </w:tc>
      </w:tr>
      <w:tr w14:paraId="62C9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28" w:type="dxa"/>
            <w:vAlign w:val="center"/>
          </w:tcPr>
          <w:p w14:paraId="0DDB5CF5">
            <w:pPr>
              <w:adjustRightInd w:val="0"/>
              <w:snapToGrid w:val="0"/>
              <w:jc w:val="center"/>
              <w:rPr>
                <w:rFonts w:hint="eastAsia" w:ascii="宋体" w:hAnsi="宋体" w:eastAsia="宋体" w:cs="宋体"/>
                <w:color w:val="auto"/>
                <w:sz w:val="24"/>
                <w:highlight w:val="none"/>
              </w:rPr>
            </w:pPr>
          </w:p>
        </w:tc>
        <w:tc>
          <w:tcPr>
            <w:tcW w:w="1888" w:type="dxa"/>
            <w:vAlign w:val="center"/>
          </w:tcPr>
          <w:p w14:paraId="18318D82">
            <w:pPr>
              <w:adjustRightInd w:val="0"/>
              <w:snapToGrid w:val="0"/>
              <w:jc w:val="center"/>
              <w:rPr>
                <w:rFonts w:hint="eastAsia" w:ascii="宋体" w:hAnsi="宋体" w:eastAsia="宋体" w:cs="宋体"/>
                <w:color w:val="auto"/>
                <w:sz w:val="24"/>
                <w:highlight w:val="none"/>
              </w:rPr>
            </w:pPr>
          </w:p>
        </w:tc>
        <w:tc>
          <w:tcPr>
            <w:tcW w:w="1805" w:type="dxa"/>
            <w:vAlign w:val="center"/>
          </w:tcPr>
          <w:p w14:paraId="4FC7C1CD">
            <w:pPr>
              <w:adjustRightInd w:val="0"/>
              <w:snapToGrid w:val="0"/>
              <w:jc w:val="center"/>
              <w:rPr>
                <w:rFonts w:hint="eastAsia" w:ascii="宋体" w:hAnsi="宋体" w:eastAsia="宋体" w:cs="宋体"/>
                <w:color w:val="auto"/>
                <w:sz w:val="24"/>
                <w:highlight w:val="none"/>
              </w:rPr>
            </w:pPr>
          </w:p>
        </w:tc>
        <w:tc>
          <w:tcPr>
            <w:tcW w:w="1805" w:type="dxa"/>
            <w:vAlign w:val="center"/>
          </w:tcPr>
          <w:p w14:paraId="63FC97D7">
            <w:pPr>
              <w:adjustRightInd w:val="0"/>
              <w:snapToGrid w:val="0"/>
              <w:jc w:val="center"/>
              <w:rPr>
                <w:rFonts w:hint="eastAsia" w:ascii="宋体" w:hAnsi="宋体" w:eastAsia="宋体" w:cs="宋体"/>
                <w:color w:val="auto"/>
                <w:sz w:val="24"/>
                <w:highlight w:val="none"/>
              </w:rPr>
            </w:pPr>
          </w:p>
        </w:tc>
        <w:tc>
          <w:tcPr>
            <w:tcW w:w="2025" w:type="dxa"/>
            <w:vAlign w:val="center"/>
          </w:tcPr>
          <w:p w14:paraId="65766247">
            <w:pPr>
              <w:adjustRightInd w:val="0"/>
              <w:snapToGrid w:val="0"/>
              <w:jc w:val="center"/>
              <w:rPr>
                <w:rFonts w:hint="eastAsia" w:ascii="宋体" w:hAnsi="宋体" w:eastAsia="宋体" w:cs="宋体"/>
                <w:color w:val="auto"/>
                <w:sz w:val="24"/>
                <w:highlight w:val="none"/>
              </w:rPr>
            </w:pPr>
          </w:p>
        </w:tc>
        <w:tc>
          <w:tcPr>
            <w:tcW w:w="1206" w:type="dxa"/>
            <w:vAlign w:val="center"/>
          </w:tcPr>
          <w:p w14:paraId="4B22C502">
            <w:pPr>
              <w:adjustRightInd w:val="0"/>
              <w:snapToGrid w:val="0"/>
              <w:jc w:val="center"/>
              <w:rPr>
                <w:rFonts w:hint="eastAsia" w:ascii="宋体" w:hAnsi="宋体" w:eastAsia="宋体" w:cs="宋体"/>
                <w:color w:val="auto"/>
                <w:sz w:val="24"/>
                <w:highlight w:val="none"/>
              </w:rPr>
            </w:pPr>
          </w:p>
        </w:tc>
      </w:tr>
      <w:tr w14:paraId="7DE1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28" w:type="dxa"/>
            <w:vAlign w:val="center"/>
          </w:tcPr>
          <w:p w14:paraId="7AC57837">
            <w:pPr>
              <w:adjustRightInd w:val="0"/>
              <w:snapToGrid w:val="0"/>
              <w:jc w:val="center"/>
              <w:rPr>
                <w:rFonts w:hint="eastAsia" w:ascii="宋体" w:hAnsi="宋体" w:eastAsia="宋体" w:cs="宋体"/>
                <w:color w:val="auto"/>
                <w:sz w:val="24"/>
                <w:highlight w:val="none"/>
              </w:rPr>
            </w:pPr>
          </w:p>
        </w:tc>
        <w:tc>
          <w:tcPr>
            <w:tcW w:w="1888" w:type="dxa"/>
            <w:vAlign w:val="center"/>
          </w:tcPr>
          <w:p w14:paraId="79C5444F">
            <w:pPr>
              <w:adjustRightInd w:val="0"/>
              <w:snapToGrid w:val="0"/>
              <w:jc w:val="center"/>
              <w:rPr>
                <w:rFonts w:hint="eastAsia" w:ascii="宋体" w:hAnsi="宋体" w:eastAsia="宋体" w:cs="宋体"/>
                <w:color w:val="auto"/>
                <w:sz w:val="24"/>
                <w:highlight w:val="none"/>
              </w:rPr>
            </w:pPr>
          </w:p>
        </w:tc>
        <w:tc>
          <w:tcPr>
            <w:tcW w:w="1805" w:type="dxa"/>
            <w:vAlign w:val="center"/>
          </w:tcPr>
          <w:p w14:paraId="43564533">
            <w:pPr>
              <w:adjustRightInd w:val="0"/>
              <w:snapToGrid w:val="0"/>
              <w:jc w:val="center"/>
              <w:rPr>
                <w:rFonts w:hint="eastAsia" w:ascii="宋体" w:hAnsi="宋体" w:eastAsia="宋体" w:cs="宋体"/>
                <w:color w:val="auto"/>
                <w:sz w:val="24"/>
                <w:highlight w:val="none"/>
              </w:rPr>
            </w:pPr>
          </w:p>
        </w:tc>
        <w:tc>
          <w:tcPr>
            <w:tcW w:w="1805" w:type="dxa"/>
            <w:vAlign w:val="center"/>
          </w:tcPr>
          <w:p w14:paraId="2C5F85A3">
            <w:pPr>
              <w:adjustRightInd w:val="0"/>
              <w:snapToGrid w:val="0"/>
              <w:jc w:val="center"/>
              <w:rPr>
                <w:rFonts w:hint="eastAsia" w:ascii="宋体" w:hAnsi="宋体" w:eastAsia="宋体" w:cs="宋体"/>
                <w:color w:val="auto"/>
                <w:sz w:val="24"/>
                <w:highlight w:val="none"/>
              </w:rPr>
            </w:pPr>
          </w:p>
        </w:tc>
        <w:tc>
          <w:tcPr>
            <w:tcW w:w="2025" w:type="dxa"/>
            <w:vAlign w:val="center"/>
          </w:tcPr>
          <w:p w14:paraId="543B002F">
            <w:pPr>
              <w:adjustRightInd w:val="0"/>
              <w:snapToGrid w:val="0"/>
              <w:jc w:val="center"/>
              <w:rPr>
                <w:rFonts w:hint="eastAsia" w:ascii="宋体" w:hAnsi="宋体" w:eastAsia="宋体" w:cs="宋体"/>
                <w:color w:val="auto"/>
                <w:sz w:val="24"/>
                <w:highlight w:val="none"/>
              </w:rPr>
            </w:pPr>
          </w:p>
        </w:tc>
        <w:tc>
          <w:tcPr>
            <w:tcW w:w="1206" w:type="dxa"/>
            <w:vAlign w:val="center"/>
          </w:tcPr>
          <w:p w14:paraId="3813DCB7">
            <w:pPr>
              <w:adjustRightInd w:val="0"/>
              <w:snapToGrid w:val="0"/>
              <w:jc w:val="center"/>
              <w:rPr>
                <w:rFonts w:hint="eastAsia" w:ascii="宋体" w:hAnsi="宋体" w:eastAsia="宋体" w:cs="宋体"/>
                <w:color w:val="auto"/>
                <w:sz w:val="24"/>
                <w:highlight w:val="none"/>
              </w:rPr>
            </w:pPr>
          </w:p>
        </w:tc>
      </w:tr>
      <w:tr w14:paraId="4F0B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28" w:type="dxa"/>
            <w:vAlign w:val="center"/>
          </w:tcPr>
          <w:p w14:paraId="566CB58E">
            <w:pPr>
              <w:adjustRightInd w:val="0"/>
              <w:snapToGrid w:val="0"/>
              <w:jc w:val="center"/>
              <w:rPr>
                <w:rFonts w:hint="eastAsia" w:ascii="宋体" w:hAnsi="宋体" w:eastAsia="宋体" w:cs="宋体"/>
                <w:color w:val="auto"/>
                <w:sz w:val="24"/>
                <w:highlight w:val="none"/>
              </w:rPr>
            </w:pPr>
          </w:p>
        </w:tc>
        <w:tc>
          <w:tcPr>
            <w:tcW w:w="1888" w:type="dxa"/>
            <w:vAlign w:val="center"/>
          </w:tcPr>
          <w:p w14:paraId="72A927BA">
            <w:pPr>
              <w:adjustRightInd w:val="0"/>
              <w:snapToGrid w:val="0"/>
              <w:jc w:val="center"/>
              <w:rPr>
                <w:rFonts w:hint="eastAsia" w:ascii="宋体" w:hAnsi="宋体" w:eastAsia="宋体" w:cs="宋体"/>
                <w:color w:val="auto"/>
                <w:sz w:val="24"/>
                <w:highlight w:val="none"/>
              </w:rPr>
            </w:pPr>
          </w:p>
        </w:tc>
        <w:tc>
          <w:tcPr>
            <w:tcW w:w="1805" w:type="dxa"/>
            <w:vAlign w:val="center"/>
          </w:tcPr>
          <w:p w14:paraId="6C402E7E">
            <w:pPr>
              <w:adjustRightInd w:val="0"/>
              <w:snapToGrid w:val="0"/>
              <w:jc w:val="center"/>
              <w:rPr>
                <w:rFonts w:hint="eastAsia" w:ascii="宋体" w:hAnsi="宋体" w:eastAsia="宋体" w:cs="宋体"/>
                <w:color w:val="auto"/>
                <w:sz w:val="24"/>
                <w:highlight w:val="none"/>
              </w:rPr>
            </w:pPr>
          </w:p>
        </w:tc>
        <w:tc>
          <w:tcPr>
            <w:tcW w:w="1805" w:type="dxa"/>
            <w:vAlign w:val="center"/>
          </w:tcPr>
          <w:p w14:paraId="2CB4F0E7">
            <w:pPr>
              <w:adjustRightInd w:val="0"/>
              <w:snapToGrid w:val="0"/>
              <w:jc w:val="center"/>
              <w:rPr>
                <w:rFonts w:hint="eastAsia" w:ascii="宋体" w:hAnsi="宋体" w:eastAsia="宋体" w:cs="宋体"/>
                <w:color w:val="auto"/>
                <w:sz w:val="24"/>
                <w:highlight w:val="none"/>
              </w:rPr>
            </w:pPr>
          </w:p>
        </w:tc>
        <w:tc>
          <w:tcPr>
            <w:tcW w:w="2025" w:type="dxa"/>
            <w:vAlign w:val="center"/>
          </w:tcPr>
          <w:p w14:paraId="069FC3A0">
            <w:pPr>
              <w:adjustRightInd w:val="0"/>
              <w:snapToGrid w:val="0"/>
              <w:jc w:val="center"/>
              <w:rPr>
                <w:rFonts w:hint="eastAsia" w:ascii="宋体" w:hAnsi="宋体" w:eastAsia="宋体" w:cs="宋体"/>
                <w:color w:val="auto"/>
                <w:sz w:val="24"/>
                <w:highlight w:val="none"/>
              </w:rPr>
            </w:pPr>
          </w:p>
        </w:tc>
        <w:tc>
          <w:tcPr>
            <w:tcW w:w="1206" w:type="dxa"/>
            <w:vAlign w:val="center"/>
          </w:tcPr>
          <w:p w14:paraId="10AFCA05">
            <w:pPr>
              <w:adjustRightInd w:val="0"/>
              <w:snapToGrid w:val="0"/>
              <w:jc w:val="center"/>
              <w:rPr>
                <w:rFonts w:hint="eastAsia" w:ascii="宋体" w:hAnsi="宋体" w:eastAsia="宋体" w:cs="宋体"/>
                <w:color w:val="auto"/>
                <w:sz w:val="24"/>
                <w:highlight w:val="none"/>
              </w:rPr>
            </w:pPr>
          </w:p>
        </w:tc>
      </w:tr>
      <w:bookmarkEnd w:id="57"/>
    </w:tbl>
    <w:p w14:paraId="1343551D">
      <w:pPr>
        <w:tabs>
          <w:tab w:val="left" w:pos="1800"/>
          <w:tab w:val="left" w:pos="5580"/>
        </w:tabs>
        <w:jc w:val="left"/>
        <w:rPr>
          <w:rFonts w:hint="eastAsia" w:ascii="宋体" w:hAnsi="宋体" w:eastAsia="宋体" w:cs="宋体"/>
          <w:color w:val="auto"/>
          <w:sz w:val="24"/>
          <w:highlight w:val="none"/>
        </w:rPr>
      </w:pPr>
    </w:p>
    <w:p w14:paraId="7C11EC57">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注：“偏离情况”列应据实填写“正偏离”或“负偏离”。</w:t>
      </w:r>
    </w:p>
    <w:p w14:paraId="4CD6BD34">
      <w:pPr>
        <w:spacing w:line="360" w:lineRule="auto"/>
        <w:rPr>
          <w:rFonts w:hint="eastAsia" w:ascii="宋体" w:hAnsi="宋体" w:eastAsia="宋体" w:cs="宋体"/>
          <w:color w:val="auto"/>
          <w:sz w:val="24"/>
          <w:szCs w:val="20"/>
          <w:highlight w:val="none"/>
        </w:rPr>
      </w:pPr>
    </w:p>
    <w:p w14:paraId="5318AD68">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w:t>
      </w:r>
    </w:p>
    <w:p w14:paraId="49E24617">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14:paraId="4F512B2C">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日期：_____年______月______日   </w:t>
      </w:r>
    </w:p>
    <w:p w14:paraId="293C2CCF">
      <w:pPr>
        <w:pStyle w:val="4"/>
        <w:bidi w:val="0"/>
        <w:rPr>
          <w:rFonts w:hint="eastAsia" w:ascii="宋体" w:hAnsi="宋体" w:eastAsia="宋体" w:cs="宋体"/>
          <w:color w:val="auto"/>
          <w:highlight w:val="none"/>
        </w:rPr>
      </w:pPr>
      <w:r>
        <w:rPr>
          <w:rFonts w:hint="eastAsia" w:ascii="宋体" w:hAnsi="宋体" w:eastAsia="宋体" w:cs="宋体"/>
          <w:color w:val="auto"/>
          <w:szCs w:val="20"/>
          <w:highlight w:val="none"/>
        </w:rPr>
        <w:br w:type="page"/>
      </w:r>
      <w:r>
        <w:rPr>
          <w:rFonts w:hint="eastAsia" w:ascii="宋体" w:hAnsi="宋体" w:eastAsia="宋体" w:cs="宋体"/>
          <w:color w:val="auto"/>
          <w:highlight w:val="none"/>
        </w:rPr>
        <w:t>采购需求偏离表（实质性格式）</w:t>
      </w:r>
    </w:p>
    <w:p w14:paraId="19336148">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采购需求偏离表</w:t>
      </w:r>
    </w:p>
    <w:p w14:paraId="45CBA9C9">
      <w:pPr>
        <w:tabs>
          <w:tab w:val="left" w:pos="1800"/>
          <w:tab w:val="left" w:pos="5580"/>
        </w:tabs>
        <w:spacing w:line="360" w:lineRule="auto"/>
        <w:ind w:firstLine="360" w:firstLineChars="15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项目编号/包号：_____________________     项目名称：____________</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4AD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7567E94">
            <w:pPr>
              <w:adjustRightInd w:val="0"/>
              <w:snapToGrid w:val="0"/>
              <w:jc w:val="center"/>
              <w:rPr>
                <w:rFonts w:hint="eastAsia" w:ascii="宋体" w:hAnsi="宋体" w:eastAsia="宋体" w:cs="宋体"/>
                <w:color w:val="auto"/>
                <w:spacing w:val="0"/>
                <w:w w:val="100"/>
                <w:kern w:val="0"/>
                <w:position w:val="0"/>
                <w:sz w:val="24"/>
                <w:highlight w:val="none"/>
              </w:rPr>
            </w:pPr>
            <w:r>
              <w:rPr>
                <w:rFonts w:hint="eastAsia" w:ascii="宋体" w:hAnsi="宋体" w:eastAsia="宋体" w:cs="宋体"/>
                <w:color w:val="auto"/>
                <w:spacing w:val="0"/>
                <w:w w:val="100"/>
                <w:kern w:val="0"/>
                <w:position w:val="0"/>
                <w:sz w:val="24"/>
                <w:highlight w:val="none"/>
              </w:rPr>
              <w:t>序号</w:t>
            </w:r>
          </w:p>
        </w:tc>
        <w:tc>
          <w:tcPr>
            <w:tcW w:w="1482" w:type="dxa"/>
            <w:vAlign w:val="center"/>
          </w:tcPr>
          <w:p w14:paraId="30079519">
            <w:pPr>
              <w:adjustRightInd w:val="0"/>
              <w:snapToGrid w:val="0"/>
              <w:jc w:val="center"/>
              <w:rPr>
                <w:rFonts w:hint="eastAsia" w:ascii="宋体" w:hAnsi="宋体" w:eastAsia="宋体" w:cs="宋体"/>
                <w:color w:val="auto"/>
                <w:spacing w:val="0"/>
                <w:w w:val="100"/>
                <w:kern w:val="0"/>
                <w:position w:val="0"/>
                <w:sz w:val="24"/>
                <w:highlight w:val="none"/>
              </w:rPr>
            </w:pPr>
            <w:r>
              <w:rPr>
                <w:rFonts w:hint="eastAsia" w:ascii="宋体" w:hAnsi="宋体" w:eastAsia="宋体" w:cs="宋体"/>
                <w:color w:val="auto"/>
                <w:spacing w:val="0"/>
                <w:w w:val="100"/>
                <w:kern w:val="0"/>
                <w:position w:val="0"/>
                <w:sz w:val="24"/>
                <w:highlight w:val="none"/>
              </w:rPr>
              <w:t>招标文件条目号</w:t>
            </w:r>
            <w:r>
              <w:rPr>
                <w:rFonts w:hint="eastAsia" w:ascii="宋体" w:hAnsi="宋体" w:eastAsia="宋体" w:cs="宋体"/>
                <w:color w:val="auto"/>
                <w:spacing w:val="0"/>
                <w:w w:val="100"/>
                <w:kern w:val="0"/>
                <w:position w:val="0"/>
                <w:sz w:val="24"/>
                <w:highlight w:val="none"/>
                <w:lang w:eastAsia="zh-CN"/>
              </w:rPr>
              <w:t>（</w:t>
            </w:r>
            <w:r>
              <w:rPr>
                <w:rFonts w:hint="eastAsia" w:ascii="宋体" w:hAnsi="宋体" w:eastAsia="宋体" w:cs="宋体"/>
                <w:color w:val="auto"/>
                <w:spacing w:val="0"/>
                <w:w w:val="100"/>
                <w:kern w:val="0"/>
                <w:position w:val="0"/>
                <w:sz w:val="24"/>
                <w:highlight w:val="none"/>
              </w:rPr>
              <w:t>页码</w:t>
            </w:r>
            <w:r>
              <w:rPr>
                <w:rFonts w:hint="eastAsia" w:ascii="宋体" w:hAnsi="宋体" w:eastAsia="宋体" w:cs="宋体"/>
                <w:color w:val="auto"/>
                <w:spacing w:val="0"/>
                <w:w w:val="100"/>
                <w:kern w:val="0"/>
                <w:position w:val="0"/>
                <w:sz w:val="24"/>
                <w:highlight w:val="none"/>
                <w:lang w:eastAsia="zh-CN"/>
              </w:rPr>
              <w:t>）</w:t>
            </w:r>
          </w:p>
        </w:tc>
        <w:tc>
          <w:tcPr>
            <w:tcW w:w="2384" w:type="dxa"/>
            <w:vAlign w:val="center"/>
          </w:tcPr>
          <w:p w14:paraId="4E3CD213">
            <w:pPr>
              <w:adjustRightInd w:val="0"/>
              <w:snapToGrid w:val="0"/>
              <w:jc w:val="center"/>
              <w:rPr>
                <w:rFonts w:hint="eastAsia" w:ascii="宋体" w:hAnsi="宋体" w:eastAsia="宋体" w:cs="宋体"/>
                <w:color w:val="auto"/>
                <w:spacing w:val="0"/>
                <w:w w:val="100"/>
                <w:kern w:val="0"/>
                <w:position w:val="0"/>
                <w:sz w:val="24"/>
                <w:highlight w:val="none"/>
              </w:rPr>
            </w:pPr>
            <w:r>
              <w:rPr>
                <w:rFonts w:hint="eastAsia" w:ascii="宋体" w:hAnsi="宋体" w:eastAsia="宋体" w:cs="宋体"/>
                <w:color w:val="auto"/>
                <w:spacing w:val="0"/>
                <w:w w:val="100"/>
                <w:kern w:val="0"/>
                <w:position w:val="0"/>
                <w:sz w:val="24"/>
                <w:highlight w:val="none"/>
              </w:rPr>
              <w:t>招标文件要求</w:t>
            </w:r>
          </w:p>
        </w:tc>
        <w:tc>
          <w:tcPr>
            <w:tcW w:w="2126" w:type="dxa"/>
            <w:vAlign w:val="center"/>
          </w:tcPr>
          <w:p w14:paraId="1D5F7175">
            <w:pPr>
              <w:adjustRightInd w:val="0"/>
              <w:snapToGrid w:val="0"/>
              <w:jc w:val="center"/>
              <w:rPr>
                <w:rFonts w:hint="eastAsia" w:ascii="宋体" w:hAnsi="宋体" w:eastAsia="宋体" w:cs="宋体"/>
                <w:color w:val="auto"/>
                <w:spacing w:val="0"/>
                <w:w w:val="100"/>
                <w:kern w:val="0"/>
                <w:position w:val="0"/>
                <w:sz w:val="24"/>
                <w:highlight w:val="none"/>
              </w:rPr>
            </w:pPr>
            <w:r>
              <w:rPr>
                <w:rFonts w:hint="eastAsia" w:ascii="宋体" w:hAnsi="宋体" w:eastAsia="宋体" w:cs="宋体"/>
                <w:color w:val="auto"/>
                <w:spacing w:val="0"/>
                <w:w w:val="100"/>
                <w:kern w:val="0"/>
                <w:position w:val="0"/>
                <w:sz w:val="24"/>
                <w:highlight w:val="none"/>
              </w:rPr>
              <w:t>投标响应内容</w:t>
            </w:r>
          </w:p>
        </w:tc>
        <w:tc>
          <w:tcPr>
            <w:tcW w:w="1875" w:type="dxa"/>
            <w:vAlign w:val="center"/>
          </w:tcPr>
          <w:p w14:paraId="4D2E3F47">
            <w:pPr>
              <w:adjustRightInd w:val="0"/>
              <w:snapToGrid w:val="0"/>
              <w:jc w:val="center"/>
              <w:rPr>
                <w:rFonts w:hint="eastAsia" w:ascii="宋体" w:hAnsi="宋体" w:eastAsia="宋体" w:cs="宋体"/>
                <w:color w:val="auto"/>
                <w:spacing w:val="0"/>
                <w:w w:val="100"/>
                <w:kern w:val="0"/>
                <w:position w:val="0"/>
                <w:sz w:val="24"/>
                <w:highlight w:val="none"/>
              </w:rPr>
            </w:pPr>
            <w:r>
              <w:rPr>
                <w:rFonts w:hint="eastAsia" w:ascii="宋体" w:hAnsi="宋体" w:eastAsia="宋体" w:cs="宋体"/>
                <w:color w:val="auto"/>
                <w:spacing w:val="0"/>
                <w:w w:val="100"/>
                <w:kern w:val="0"/>
                <w:position w:val="0"/>
                <w:sz w:val="24"/>
                <w:highlight w:val="none"/>
              </w:rPr>
              <w:t>偏离情况</w:t>
            </w:r>
          </w:p>
        </w:tc>
        <w:tc>
          <w:tcPr>
            <w:tcW w:w="1009" w:type="dxa"/>
            <w:vAlign w:val="center"/>
          </w:tcPr>
          <w:p w14:paraId="446CBE95">
            <w:pPr>
              <w:adjustRightInd w:val="0"/>
              <w:snapToGrid w:val="0"/>
              <w:jc w:val="center"/>
              <w:rPr>
                <w:rFonts w:hint="eastAsia" w:ascii="宋体" w:hAnsi="宋体" w:eastAsia="宋体" w:cs="宋体"/>
                <w:color w:val="auto"/>
                <w:spacing w:val="0"/>
                <w:w w:val="100"/>
                <w:kern w:val="0"/>
                <w:position w:val="0"/>
                <w:sz w:val="24"/>
                <w:highlight w:val="none"/>
              </w:rPr>
            </w:pPr>
            <w:r>
              <w:rPr>
                <w:rFonts w:hint="eastAsia" w:ascii="宋体" w:hAnsi="宋体" w:eastAsia="宋体" w:cs="宋体"/>
                <w:color w:val="auto"/>
                <w:spacing w:val="0"/>
                <w:w w:val="100"/>
                <w:kern w:val="0"/>
                <w:position w:val="0"/>
                <w:sz w:val="24"/>
                <w:highlight w:val="none"/>
              </w:rPr>
              <w:t>说明</w:t>
            </w:r>
          </w:p>
        </w:tc>
      </w:tr>
      <w:tr w14:paraId="128F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651" w:type="dxa"/>
            <w:gridSpan w:val="6"/>
            <w:vAlign w:val="center"/>
          </w:tcPr>
          <w:p w14:paraId="1D0DA56D">
            <w:pPr>
              <w:adjustRightInd w:val="0"/>
              <w:snapToGrid w:val="0"/>
              <w:jc w:val="left"/>
              <w:rPr>
                <w:rFonts w:hint="eastAsia" w:ascii="宋体" w:hAnsi="宋体" w:eastAsia="宋体" w:cs="宋体"/>
                <w:b/>
                <w:color w:val="auto"/>
                <w:spacing w:val="0"/>
                <w:w w:val="100"/>
                <w:kern w:val="0"/>
                <w:position w:val="0"/>
                <w:sz w:val="24"/>
                <w:highlight w:val="none"/>
              </w:rPr>
            </w:pPr>
            <w:r>
              <w:rPr>
                <w:rFonts w:hint="eastAsia" w:ascii="宋体" w:hAnsi="宋体" w:eastAsia="宋体" w:cs="宋体"/>
                <w:b/>
                <w:color w:val="auto"/>
                <w:spacing w:val="0"/>
                <w:w w:val="100"/>
                <w:kern w:val="0"/>
                <w:position w:val="0"/>
                <w:sz w:val="24"/>
                <w:highlight w:val="none"/>
              </w:rPr>
              <w:t>对本项目采购需求的偏离情况（</w:t>
            </w:r>
            <w:r>
              <w:rPr>
                <w:rFonts w:hint="eastAsia" w:ascii="宋体" w:hAnsi="宋体" w:eastAsia="宋体" w:cs="宋体"/>
                <w:b w:val="0"/>
                <w:bCs/>
                <w:color w:val="auto"/>
                <w:spacing w:val="0"/>
                <w:w w:val="100"/>
                <w:kern w:val="0"/>
                <w:position w:val="0"/>
                <w:sz w:val="24"/>
                <w:highlight w:val="none"/>
              </w:rPr>
              <w:t>应进行选择，未选择</w:t>
            </w:r>
            <w:r>
              <w:rPr>
                <w:rFonts w:hint="eastAsia" w:ascii="宋体" w:hAnsi="宋体" w:eastAsia="宋体" w:cs="宋体"/>
                <w:b/>
                <w:bCs/>
                <w:color w:val="auto"/>
                <w:spacing w:val="0"/>
                <w:w w:val="100"/>
                <w:kern w:val="0"/>
                <w:position w:val="0"/>
                <w:sz w:val="24"/>
                <w:highlight w:val="none"/>
                <w:lang w:eastAsia="zh-CN"/>
              </w:rPr>
              <w:t>投标无效</w:t>
            </w:r>
            <w:r>
              <w:rPr>
                <w:rFonts w:hint="eastAsia" w:ascii="宋体" w:hAnsi="宋体" w:eastAsia="宋体" w:cs="宋体"/>
                <w:b/>
                <w:color w:val="auto"/>
                <w:spacing w:val="0"/>
                <w:w w:val="100"/>
                <w:kern w:val="0"/>
                <w:position w:val="0"/>
                <w:sz w:val="24"/>
                <w:highlight w:val="none"/>
              </w:rPr>
              <w:t>）：</w:t>
            </w:r>
          </w:p>
          <w:p w14:paraId="36FA4871">
            <w:pPr>
              <w:keepNext w:val="0"/>
              <w:keepLines w:val="0"/>
              <w:pageBreakBefore w:val="0"/>
              <w:widowControl w:val="0"/>
              <w:kinsoku/>
              <w:wordWrap/>
              <w:overflowPunct/>
              <w:topLinePunct w:val="0"/>
              <w:autoSpaceDE/>
              <w:autoSpaceDN/>
              <w:bidi w:val="0"/>
              <w:adjustRightInd w:val="0"/>
              <w:snapToGrid w:val="0"/>
              <w:ind w:left="0" w:firstLine="0" w:firstLineChars="0"/>
              <w:jc w:val="both"/>
              <w:textAlignment w:val="auto"/>
              <w:rPr>
                <w:rFonts w:hint="eastAsia" w:ascii="宋体" w:hAnsi="宋体" w:eastAsia="宋体" w:cs="宋体"/>
                <w:b/>
                <w:color w:val="auto"/>
                <w:spacing w:val="0"/>
                <w:w w:val="100"/>
                <w:kern w:val="0"/>
                <w:position w:val="0"/>
                <w:sz w:val="24"/>
                <w:highlight w:val="none"/>
              </w:rPr>
            </w:pPr>
            <w:r>
              <w:rPr>
                <w:rFonts w:hint="eastAsia" w:ascii="宋体" w:hAnsi="宋体" w:eastAsia="宋体" w:cs="宋体"/>
                <w:b/>
                <w:color w:val="auto"/>
                <w:spacing w:val="0"/>
                <w:w w:val="100"/>
                <w:kern w:val="0"/>
                <w:position w:val="0"/>
                <w:sz w:val="24"/>
                <w:highlight w:val="none"/>
                <w:lang w:eastAsia="zh-CN"/>
              </w:rPr>
              <w:t>□</w:t>
            </w:r>
            <w:r>
              <w:rPr>
                <w:rFonts w:hint="eastAsia" w:ascii="宋体" w:hAnsi="宋体" w:eastAsia="宋体" w:cs="宋体"/>
                <w:b/>
                <w:color w:val="auto"/>
                <w:spacing w:val="0"/>
                <w:w w:val="100"/>
                <w:kern w:val="0"/>
                <w:position w:val="0"/>
                <w:sz w:val="24"/>
                <w:highlight w:val="none"/>
              </w:rPr>
              <w:t>无偏离</w:t>
            </w:r>
            <w:r>
              <w:rPr>
                <w:rFonts w:hint="eastAsia" w:ascii="宋体" w:hAnsi="宋体" w:eastAsia="宋体" w:cs="宋体"/>
                <w:color w:val="auto"/>
                <w:spacing w:val="0"/>
                <w:w w:val="100"/>
                <w:kern w:val="0"/>
                <w:position w:val="0"/>
                <w:sz w:val="24"/>
                <w:highlight w:val="none"/>
              </w:rPr>
              <w:t>（</w:t>
            </w:r>
            <w:r>
              <w:rPr>
                <w:rFonts w:hint="eastAsia" w:ascii="宋体" w:hAnsi="宋体" w:eastAsia="宋体" w:cs="宋体"/>
                <w:color w:val="auto"/>
                <w:spacing w:val="0"/>
                <w:w w:val="100"/>
                <w:kern w:val="0"/>
                <w:position w:val="0"/>
                <w:sz w:val="24"/>
                <w:szCs w:val="21"/>
                <w:highlight w:val="none"/>
              </w:rPr>
              <w:t>如无偏离，仅</w:t>
            </w:r>
            <w:r>
              <w:rPr>
                <w:rFonts w:hint="eastAsia" w:ascii="宋体" w:hAnsi="宋体" w:eastAsia="宋体" w:cs="宋体"/>
                <w:color w:val="auto"/>
                <w:spacing w:val="0"/>
                <w:w w:val="100"/>
                <w:kern w:val="0"/>
                <w:position w:val="0"/>
                <w:sz w:val="24"/>
                <w:szCs w:val="21"/>
                <w:highlight w:val="none"/>
                <w:lang w:eastAsia="zh-CN"/>
              </w:rPr>
              <w:t>选择</w:t>
            </w:r>
            <w:r>
              <w:rPr>
                <w:rFonts w:hint="eastAsia" w:ascii="宋体" w:hAnsi="宋体" w:eastAsia="宋体" w:cs="宋体"/>
                <w:color w:val="auto"/>
                <w:spacing w:val="0"/>
                <w:w w:val="100"/>
                <w:kern w:val="0"/>
                <w:position w:val="0"/>
                <w:sz w:val="24"/>
                <w:szCs w:val="21"/>
                <w:highlight w:val="none"/>
              </w:rPr>
              <w:t>无偏离即可</w:t>
            </w:r>
            <w:r>
              <w:rPr>
                <w:rFonts w:hint="eastAsia" w:ascii="宋体" w:hAnsi="宋体" w:eastAsia="宋体" w:cs="宋体"/>
                <w:color w:val="auto"/>
                <w:spacing w:val="0"/>
                <w:w w:val="100"/>
                <w:kern w:val="0"/>
                <w:position w:val="0"/>
                <w:sz w:val="24"/>
                <w:szCs w:val="21"/>
                <w:highlight w:val="none"/>
                <w:lang w:eastAsia="zh-CN"/>
              </w:rPr>
              <w:t>；</w:t>
            </w:r>
            <w:r>
              <w:rPr>
                <w:rFonts w:hint="eastAsia" w:ascii="宋体" w:hAnsi="宋体" w:eastAsia="宋体" w:cs="宋体"/>
                <w:color w:val="auto"/>
                <w:spacing w:val="0"/>
                <w:w w:val="100"/>
                <w:kern w:val="0"/>
                <w:position w:val="0"/>
                <w:sz w:val="24"/>
                <w:szCs w:val="21"/>
                <w:highlight w:val="none"/>
              </w:rPr>
              <w:t>无偏离</w:t>
            </w:r>
            <w:r>
              <w:rPr>
                <w:rFonts w:hint="eastAsia" w:ascii="宋体" w:hAnsi="宋体" w:eastAsia="宋体" w:cs="宋体"/>
                <w:color w:val="auto"/>
                <w:spacing w:val="0"/>
                <w:w w:val="100"/>
                <w:kern w:val="0"/>
                <w:position w:val="0"/>
                <w:sz w:val="24"/>
                <w:szCs w:val="21"/>
                <w:highlight w:val="none"/>
                <w:lang w:val="en-US" w:eastAsia="zh-CN"/>
              </w:rPr>
              <w:t>即为</w:t>
            </w:r>
            <w:r>
              <w:rPr>
                <w:rFonts w:hint="eastAsia" w:ascii="宋体" w:hAnsi="宋体" w:eastAsia="宋体" w:cs="宋体"/>
                <w:color w:val="auto"/>
                <w:spacing w:val="0"/>
                <w:w w:val="100"/>
                <w:kern w:val="0"/>
                <w:position w:val="0"/>
                <w:sz w:val="24"/>
                <w:highlight w:val="none"/>
              </w:rPr>
              <w:t>对招标文件中的所有商务、技术要求，均视</w:t>
            </w:r>
            <w:r>
              <w:rPr>
                <w:rFonts w:hint="eastAsia" w:ascii="宋体" w:hAnsi="宋体" w:eastAsia="宋体" w:cs="宋体"/>
                <w:color w:val="auto"/>
                <w:spacing w:val="0"/>
                <w:w w:val="100"/>
                <w:kern w:val="0"/>
                <w:position w:val="0"/>
                <w:sz w:val="24"/>
                <w:highlight w:val="none"/>
                <w:lang w:val="en-US" w:eastAsia="zh-CN"/>
              </w:rPr>
              <w:t>作</w:t>
            </w:r>
            <w:r>
              <w:rPr>
                <w:rFonts w:hint="eastAsia" w:ascii="宋体" w:hAnsi="宋体" w:eastAsia="宋体" w:cs="宋体"/>
                <w:color w:val="auto"/>
                <w:spacing w:val="0"/>
                <w:w w:val="100"/>
                <w:kern w:val="0"/>
                <w:position w:val="0"/>
                <w:sz w:val="24"/>
                <w:highlight w:val="none"/>
              </w:rPr>
              <w:t>供应商已对之理解和响应）</w:t>
            </w:r>
          </w:p>
          <w:p w14:paraId="5B2FCE0E">
            <w:pPr>
              <w:keepNext w:val="0"/>
              <w:keepLines w:val="0"/>
              <w:pageBreakBefore w:val="0"/>
              <w:widowControl w:val="0"/>
              <w:kinsoku/>
              <w:wordWrap/>
              <w:overflowPunct/>
              <w:topLinePunct w:val="0"/>
              <w:autoSpaceDE/>
              <w:autoSpaceDN/>
              <w:bidi w:val="0"/>
              <w:adjustRightInd w:val="0"/>
              <w:snapToGrid w:val="0"/>
              <w:ind w:left="0" w:firstLine="0" w:firstLineChars="0"/>
              <w:jc w:val="both"/>
              <w:textAlignment w:val="auto"/>
              <w:rPr>
                <w:rFonts w:hint="eastAsia" w:ascii="宋体" w:hAnsi="宋体" w:eastAsia="宋体" w:cs="宋体"/>
                <w:color w:val="auto"/>
                <w:spacing w:val="0"/>
                <w:w w:val="100"/>
                <w:kern w:val="0"/>
                <w:position w:val="0"/>
                <w:sz w:val="24"/>
                <w:highlight w:val="none"/>
              </w:rPr>
            </w:pPr>
            <w:r>
              <w:rPr>
                <w:rFonts w:hint="eastAsia" w:ascii="宋体" w:hAnsi="宋体" w:eastAsia="宋体" w:cs="宋体"/>
                <w:b/>
                <w:color w:val="auto"/>
                <w:spacing w:val="0"/>
                <w:w w:val="100"/>
                <w:kern w:val="0"/>
                <w:position w:val="0"/>
                <w:sz w:val="24"/>
                <w:highlight w:val="none"/>
                <w:lang w:eastAsia="zh-CN"/>
              </w:rPr>
              <w:t>□</w:t>
            </w:r>
            <w:r>
              <w:rPr>
                <w:rFonts w:hint="eastAsia" w:ascii="宋体" w:hAnsi="宋体" w:eastAsia="宋体" w:cs="宋体"/>
                <w:b/>
                <w:color w:val="auto"/>
                <w:spacing w:val="0"/>
                <w:w w:val="100"/>
                <w:kern w:val="0"/>
                <w:position w:val="0"/>
                <w:sz w:val="24"/>
                <w:highlight w:val="none"/>
              </w:rPr>
              <w:t>有偏离</w:t>
            </w:r>
            <w:r>
              <w:rPr>
                <w:rFonts w:hint="eastAsia" w:ascii="宋体" w:hAnsi="宋体" w:eastAsia="宋体" w:cs="宋体"/>
                <w:color w:val="auto"/>
                <w:spacing w:val="0"/>
                <w:w w:val="100"/>
                <w:kern w:val="0"/>
                <w:position w:val="0"/>
                <w:sz w:val="24"/>
                <w:highlight w:val="none"/>
              </w:rPr>
              <w:t>（</w:t>
            </w:r>
            <w:r>
              <w:rPr>
                <w:rFonts w:hint="eastAsia" w:ascii="宋体" w:hAnsi="宋体" w:eastAsia="宋体" w:cs="宋体"/>
                <w:color w:val="auto"/>
                <w:spacing w:val="0"/>
                <w:w w:val="100"/>
                <w:kern w:val="0"/>
                <w:position w:val="0"/>
                <w:sz w:val="24"/>
                <w:szCs w:val="21"/>
                <w:highlight w:val="none"/>
              </w:rPr>
              <w:t>如有偏离，</w:t>
            </w:r>
            <w:r>
              <w:rPr>
                <w:rFonts w:hint="eastAsia" w:ascii="宋体" w:hAnsi="宋体" w:eastAsia="宋体" w:cs="宋体"/>
                <w:color w:val="auto"/>
                <w:spacing w:val="0"/>
                <w:w w:val="100"/>
                <w:kern w:val="0"/>
                <w:position w:val="0"/>
                <w:sz w:val="24"/>
                <w:highlight w:val="none"/>
              </w:rPr>
              <w:t>则应在本表中对负偏离项逐一列明</w:t>
            </w:r>
            <w:r>
              <w:rPr>
                <w:rFonts w:hint="eastAsia" w:ascii="宋体" w:hAnsi="宋体" w:eastAsia="宋体" w:cs="宋体"/>
                <w:color w:val="auto"/>
                <w:spacing w:val="0"/>
                <w:w w:val="100"/>
                <w:kern w:val="0"/>
                <w:position w:val="0"/>
                <w:sz w:val="24"/>
                <w:highlight w:val="none"/>
                <w:lang w:eastAsia="zh-CN"/>
              </w:rPr>
              <w:t>，</w:t>
            </w:r>
            <w:r>
              <w:rPr>
                <w:rFonts w:hint="eastAsia" w:ascii="宋体" w:hAnsi="宋体" w:eastAsia="宋体" w:cs="宋体"/>
                <w:b w:val="0"/>
                <w:bCs/>
                <w:color w:val="auto"/>
                <w:spacing w:val="0"/>
                <w:w w:val="100"/>
                <w:kern w:val="0"/>
                <w:position w:val="0"/>
                <w:sz w:val="24"/>
                <w:highlight w:val="none"/>
                <w:lang w:val="en-US" w:eastAsia="zh-CN"/>
              </w:rPr>
              <w:t>否则</w:t>
            </w:r>
            <w:r>
              <w:rPr>
                <w:rFonts w:hint="eastAsia" w:ascii="宋体" w:hAnsi="宋体" w:eastAsia="宋体" w:cs="宋体"/>
                <w:b/>
                <w:bCs/>
                <w:color w:val="auto"/>
                <w:spacing w:val="0"/>
                <w:w w:val="100"/>
                <w:kern w:val="0"/>
                <w:position w:val="0"/>
                <w:sz w:val="24"/>
                <w:highlight w:val="none"/>
                <w:lang w:eastAsia="zh-CN"/>
              </w:rPr>
              <w:t>投标无效</w:t>
            </w:r>
            <w:r>
              <w:rPr>
                <w:rFonts w:hint="eastAsia" w:ascii="宋体" w:hAnsi="宋体" w:eastAsia="宋体" w:cs="宋体"/>
                <w:b/>
                <w:color w:val="auto"/>
                <w:spacing w:val="0"/>
                <w:w w:val="100"/>
                <w:kern w:val="0"/>
                <w:position w:val="0"/>
                <w:sz w:val="24"/>
                <w:highlight w:val="none"/>
                <w:lang w:eastAsia="zh-CN"/>
              </w:rPr>
              <w:t>；</w:t>
            </w:r>
            <w:r>
              <w:rPr>
                <w:rFonts w:hint="eastAsia" w:ascii="宋体" w:hAnsi="宋体" w:eastAsia="宋体" w:cs="宋体"/>
                <w:color w:val="auto"/>
                <w:spacing w:val="0"/>
                <w:w w:val="100"/>
                <w:kern w:val="0"/>
                <w:position w:val="0"/>
                <w:sz w:val="24"/>
                <w:highlight w:val="none"/>
              </w:rPr>
              <w:t>对招标文件中的所有商务、技术要求，除本表所列明的所有偏离外，均视作供应商已对之理解和响应）</w:t>
            </w:r>
          </w:p>
        </w:tc>
      </w:tr>
      <w:tr w14:paraId="3656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EADAB02">
            <w:pPr>
              <w:adjustRightInd w:val="0"/>
              <w:snapToGrid w:val="0"/>
              <w:jc w:val="center"/>
              <w:rPr>
                <w:rFonts w:hint="eastAsia" w:ascii="宋体" w:hAnsi="宋体" w:eastAsia="宋体" w:cs="宋体"/>
                <w:color w:val="auto"/>
                <w:spacing w:val="0"/>
                <w:w w:val="100"/>
                <w:kern w:val="0"/>
                <w:position w:val="0"/>
                <w:sz w:val="24"/>
                <w:highlight w:val="none"/>
              </w:rPr>
            </w:pPr>
          </w:p>
        </w:tc>
        <w:tc>
          <w:tcPr>
            <w:tcW w:w="1482" w:type="dxa"/>
            <w:vAlign w:val="center"/>
          </w:tcPr>
          <w:p w14:paraId="5E79F8B2">
            <w:pPr>
              <w:adjustRightInd w:val="0"/>
              <w:snapToGrid w:val="0"/>
              <w:jc w:val="center"/>
              <w:rPr>
                <w:rFonts w:hint="eastAsia" w:ascii="宋体" w:hAnsi="宋体" w:eastAsia="宋体" w:cs="宋体"/>
                <w:color w:val="auto"/>
                <w:spacing w:val="0"/>
                <w:w w:val="100"/>
                <w:kern w:val="0"/>
                <w:position w:val="0"/>
                <w:sz w:val="24"/>
                <w:highlight w:val="none"/>
              </w:rPr>
            </w:pPr>
          </w:p>
        </w:tc>
        <w:tc>
          <w:tcPr>
            <w:tcW w:w="2384" w:type="dxa"/>
            <w:vAlign w:val="center"/>
          </w:tcPr>
          <w:p w14:paraId="55C41DA3">
            <w:pPr>
              <w:adjustRightInd w:val="0"/>
              <w:snapToGrid w:val="0"/>
              <w:jc w:val="center"/>
              <w:rPr>
                <w:rFonts w:hint="eastAsia" w:ascii="宋体" w:hAnsi="宋体" w:eastAsia="宋体" w:cs="宋体"/>
                <w:color w:val="auto"/>
                <w:spacing w:val="0"/>
                <w:w w:val="100"/>
                <w:kern w:val="0"/>
                <w:position w:val="0"/>
                <w:sz w:val="24"/>
                <w:highlight w:val="none"/>
              </w:rPr>
            </w:pPr>
          </w:p>
        </w:tc>
        <w:tc>
          <w:tcPr>
            <w:tcW w:w="2126" w:type="dxa"/>
            <w:vAlign w:val="center"/>
          </w:tcPr>
          <w:p w14:paraId="23DE9583">
            <w:pPr>
              <w:adjustRightInd w:val="0"/>
              <w:snapToGrid w:val="0"/>
              <w:jc w:val="center"/>
              <w:rPr>
                <w:rFonts w:hint="eastAsia" w:ascii="宋体" w:hAnsi="宋体" w:eastAsia="宋体" w:cs="宋体"/>
                <w:color w:val="auto"/>
                <w:spacing w:val="0"/>
                <w:w w:val="100"/>
                <w:kern w:val="0"/>
                <w:position w:val="0"/>
                <w:sz w:val="24"/>
                <w:highlight w:val="none"/>
              </w:rPr>
            </w:pPr>
          </w:p>
        </w:tc>
        <w:tc>
          <w:tcPr>
            <w:tcW w:w="1875" w:type="dxa"/>
            <w:vAlign w:val="center"/>
          </w:tcPr>
          <w:p w14:paraId="11454B7F">
            <w:pPr>
              <w:adjustRightInd w:val="0"/>
              <w:snapToGrid w:val="0"/>
              <w:jc w:val="center"/>
              <w:rPr>
                <w:rFonts w:hint="eastAsia" w:ascii="宋体" w:hAnsi="宋体" w:eastAsia="宋体" w:cs="宋体"/>
                <w:color w:val="auto"/>
                <w:spacing w:val="0"/>
                <w:w w:val="100"/>
                <w:kern w:val="0"/>
                <w:position w:val="0"/>
                <w:sz w:val="24"/>
                <w:highlight w:val="none"/>
              </w:rPr>
            </w:pPr>
          </w:p>
        </w:tc>
        <w:tc>
          <w:tcPr>
            <w:tcW w:w="1009" w:type="dxa"/>
            <w:vAlign w:val="center"/>
          </w:tcPr>
          <w:p w14:paraId="1ECF53B0">
            <w:pPr>
              <w:adjustRightInd w:val="0"/>
              <w:snapToGrid w:val="0"/>
              <w:jc w:val="center"/>
              <w:rPr>
                <w:rFonts w:hint="eastAsia" w:ascii="宋体" w:hAnsi="宋体" w:eastAsia="宋体" w:cs="宋体"/>
                <w:color w:val="auto"/>
                <w:spacing w:val="0"/>
                <w:w w:val="100"/>
                <w:kern w:val="0"/>
                <w:position w:val="0"/>
                <w:sz w:val="24"/>
                <w:highlight w:val="none"/>
              </w:rPr>
            </w:pPr>
          </w:p>
        </w:tc>
      </w:tr>
      <w:tr w14:paraId="357C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3DEA24B">
            <w:pPr>
              <w:adjustRightInd w:val="0"/>
              <w:snapToGrid w:val="0"/>
              <w:jc w:val="center"/>
              <w:rPr>
                <w:rFonts w:hint="eastAsia" w:ascii="宋体" w:hAnsi="宋体" w:eastAsia="宋体" w:cs="宋体"/>
                <w:color w:val="auto"/>
                <w:spacing w:val="0"/>
                <w:w w:val="100"/>
                <w:kern w:val="0"/>
                <w:position w:val="0"/>
                <w:sz w:val="24"/>
                <w:highlight w:val="none"/>
              </w:rPr>
            </w:pPr>
          </w:p>
        </w:tc>
        <w:tc>
          <w:tcPr>
            <w:tcW w:w="1482" w:type="dxa"/>
            <w:vAlign w:val="center"/>
          </w:tcPr>
          <w:p w14:paraId="50DACDB2">
            <w:pPr>
              <w:adjustRightInd w:val="0"/>
              <w:snapToGrid w:val="0"/>
              <w:jc w:val="center"/>
              <w:rPr>
                <w:rFonts w:hint="eastAsia" w:ascii="宋体" w:hAnsi="宋体" w:eastAsia="宋体" w:cs="宋体"/>
                <w:color w:val="auto"/>
                <w:spacing w:val="0"/>
                <w:w w:val="100"/>
                <w:kern w:val="0"/>
                <w:position w:val="0"/>
                <w:sz w:val="24"/>
                <w:highlight w:val="none"/>
              </w:rPr>
            </w:pPr>
          </w:p>
        </w:tc>
        <w:tc>
          <w:tcPr>
            <w:tcW w:w="2384" w:type="dxa"/>
            <w:vAlign w:val="center"/>
          </w:tcPr>
          <w:p w14:paraId="4E106E50">
            <w:pPr>
              <w:adjustRightInd w:val="0"/>
              <w:snapToGrid w:val="0"/>
              <w:jc w:val="center"/>
              <w:rPr>
                <w:rFonts w:hint="eastAsia" w:ascii="宋体" w:hAnsi="宋体" w:eastAsia="宋体" w:cs="宋体"/>
                <w:color w:val="auto"/>
                <w:spacing w:val="0"/>
                <w:w w:val="100"/>
                <w:kern w:val="0"/>
                <w:position w:val="0"/>
                <w:sz w:val="24"/>
                <w:highlight w:val="none"/>
              </w:rPr>
            </w:pPr>
          </w:p>
        </w:tc>
        <w:tc>
          <w:tcPr>
            <w:tcW w:w="2126" w:type="dxa"/>
            <w:vAlign w:val="center"/>
          </w:tcPr>
          <w:p w14:paraId="6A8D6648">
            <w:pPr>
              <w:adjustRightInd w:val="0"/>
              <w:snapToGrid w:val="0"/>
              <w:jc w:val="center"/>
              <w:rPr>
                <w:rFonts w:hint="eastAsia" w:ascii="宋体" w:hAnsi="宋体" w:eastAsia="宋体" w:cs="宋体"/>
                <w:color w:val="auto"/>
                <w:spacing w:val="0"/>
                <w:w w:val="100"/>
                <w:kern w:val="0"/>
                <w:position w:val="0"/>
                <w:sz w:val="24"/>
                <w:highlight w:val="none"/>
              </w:rPr>
            </w:pPr>
          </w:p>
        </w:tc>
        <w:tc>
          <w:tcPr>
            <w:tcW w:w="1875" w:type="dxa"/>
            <w:vAlign w:val="center"/>
          </w:tcPr>
          <w:p w14:paraId="035866B1">
            <w:pPr>
              <w:adjustRightInd w:val="0"/>
              <w:snapToGrid w:val="0"/>
              <w:jc w:val="center"/>
              <w:rPr>
                <w:rFonts w:hint="eastAsia" w:ascii="宋体" w:hAnsi="宋体" w:eastAsia="宋体" w:cs="宋体"/>
                <w:color w:val="auto"/>
                <w:spacing w:val="0"/>
                <w:w w:val="100"/>
                <w:kern w:val="0"/>
                <w:position w:val="0"/>
                <w:sz w:val="24"/>
                <w:highlight w:val="none"/>
              </w:rPr>
            </w:pPr>
          </w:p>
        </w:tc>
        <w:tc>
          <w:tcPr>
            <w:tcW w:w="1009" w:type="dxa"/>
            <w:vAlign w:val="center"/>
          </w:tcPr>
          <w:p w14:paraId="6E3AEE8A">
            <w:pPr>
              <w:adjustRightInd w:val="0"/>
              <w:snapToGrid w:val="0"/>
              <w:jc w:val="center"/>
              <w:rPr>
                <w:rFonts w:hint="eastAsia" w:ascii="宋体" w:hAnsi="宋体" w:eastAsia="宋体" w:cs="宋体"/>
                <w:color w:val="auto"/>
                <w:spacing w:val="0"/>
                <w:w w:val="100"/>
                <w:kern w:val="0"/>
                <w:position w:val="0"/>
                <w:sz w:val="24"/>
                <w:highlight w:val="none"/>
              </w:rPr>
            </w:pPr>
          </w:p>
        </w:tc>
      </w:tr>
      <w:tr w14:paraId="1569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84666B9">
            <w:pPr>
              <w:adjustRightInd w:val="0"/>
              <w:snapToGrid w:val="0"/>
              <w:jc w:val="center"/>
              <w:rPr>
                <w:rFonts w:hint="eastAsia" w:ascii="宋体" w:hAnsi="宋体" w:eastAsia="宋体" w:cs="宋体"/>
                <w:color w:val="auto"/>
                <w:spacing w:val="0"/>
                <w:w w:val="100"/>
                <w:kern w:val="0"/>
                <w:position w:val="0"/>
                <w:sz w:val="24"/>
                <w:highlight w:val="none"/>
              </w:rPr>
            </w:pPr>
          </w:p>
        </w:tc>
        <w:tc>
          <w:tcPr>
            <w:tcW w:w="1482" w:type="dxa"/>
            <w:vAlign w:val="center"/>
          </w:tcPr>
          <w:p w14:paraId="3862A58A">
            <w:pPr>
              <w:adjustRightInd w:val="0"/>
              <w:snapToGrid w:val="0"/>
              <w:jc w:val="center"/>
              <w:rPr>
                <w:rFonts w:hint="eastAsia" w:ascii="宋体" w:hAnsi="宋体" w:eastAsia="宋体" w:cs="宋体"/>
                <w:color w:val="auto"/>
                <w:spacing w:val="0"/>
                <w:w w:val="100"/>
                <w:kern w:val="0"/>
                <w:position w:val="0"/>
                <w:sz w:val="24"/>
                <w:highlight w:val="none"/>
              </w:rPr>
            </w:pPr>
          </w:p>
        </w:tc>
        <w:tc>
          <w:tcPr>
            <w:tcW w:w="2384" w:type="dxa"/>
            <w:vAlign w:val="center"/>
          </w:tcPr>
          <w:p w14:paraId="21EFBB04">
            <w:pPr>
              <w:adjustRightInd w:val="0"/>
              <w:snapToGrid w:val="0"/>
              <w:jc w:val="center"/>
              <w:rPr>
                <w:rFonts w:hint="eastAsia" w:ascii="宋体" w:hAnsi="宋体" w:eastAsia="宋体" w:cs="宋体"/>
                <w:color w:val="auto"/>
                <w:spacing w:val="0"/>
                <w:w w:val="100"/>
                <w:kern w:val="0"/>
                <w:position w:val="0"/>
                <w:sz w:val="24"/>
                <w:highlight w:val="none"/>
              </w:rPr>
            </w:pPr>
          </w:p>
        </w:tc>
        <w:tc>
          <w:tcPr>
            <w:tcW w:w="2126" w:type="dxa"/>
            <w:vAlign w:val="center"/>
          </w:tcPr>
          <w:p w14:paraId="4B624C6E">
            <w:pPr>
              <w:adjustRightInd w:val="0"/>
              <w:snapToGrid w:val="0"/>
              <w:jc w:val="center"/>
              <w:rPr>
                <w:rFonts w:hint="eastAsia" w:ascii="宋体" w:hAnsi="宋体" w:eastAsia="宋体" w:cs="宋体"/>
                <w:color w:val="auto"/>
                <w:spacing w:val="0"/>
                <w:w w:val="100"/>
                <w:kern w:val="0"/>
                <w:position w:val="0"/>
                <w:sz w:val="24"/>
                <w:highlight w:val="none"/>
              </w:rPr>
            </w:pPr>
          </w:p>
        </w:tc>
        <w:tc>
          <w:tcPr>
            <w:tcW w:w="1875" w:type="dxa"/>
            <w:vAlign w:val="center"/>
          </w:tcPr>
          <w:p w14:paraId="3919740F">
            <w:pPr>
              <w:adjustRightInd w:val="0"/>
              <w:snapToGrid w:val="0"/>
              <w:jc w:val="center"/>
              <w:rPr>
                <w:rFonts w:hint="eastAsia" w:ascii="宋体" w:hAnsi="宋体" w:eastAsia="宋体" w:cs="宋体"/>
                <w:color w:val="auto"/>
                <w:spacing w:val="0"/>
                <w:w w:val="100"/>
                <w:kern w:val="0"/>
                <w:position w:val="0"/>
                <w:sz w:val="24"/>
                <w:highlight w:val="none"/>
              </w:rPr>
            </w:pPr>
          </w:p>
        </w:tc>
        <w:tc>
          <w:tcPr>
            <w:tcW w:w="1009" w:type="dxa"/>
            <w:vAlign w:val="center"/>
          </w:tcPr>
          <w:p w14:paraId="49B033F3">
            <w:pPr>
              <w:adjustRightInd w:val="0"/>
              <w:snapToGrid w:val="0"/>
              <w:jc w:val="center"/>
              <w:rPr>
                <w:rFonts w:hint="eastAsia" w:ascii="宋体" w:hAnsi="宋体" w:eastAsia="宋体" w:cs="宋体"/>
                <w:color w:val="auto"/>
                <w:spacing w:val="0"/>
                <w:w w:val="100"/>
                <w:kern w:val="0"/>
                <w:position w:val="0"/>
                <w:sz w:val="24"/>
                <w:highlight w:val="none"/>
              </w:rPr>
            </w:pPr>
          </w:p>
        </w:tc>
      </w:tr>
    </w:tbl>
    <w:p w14:paraId="197DE82D">
      <w:pPr>
        <w:tabs>
          <w:tab w:val="left" w:pos="1800"/>
          <w:tab w:val="left" w:pos="5580"/>
        </w:tabs>
        <w:spacing w:line="360" w:lineRule="auto"/>
        <w:ind w:firstLine="360" w:firstLineChars="150"/>
        <w:jc w:val="left"/>
        <w:rPr>
          <w:rFonts w:hint="eastAsia" w:ascii="宋体" w:hAnsi="宋体" w:eastAsia="宋体" w:cs="宋体"/>
          <w:color w:val="auto"/>
          <w:sz w:val="24"/>
          <w:highlight w:val="none"/>
          <w:u w:val="single"/>
        </w:rPr>
      </w:pPr>
    </w:p>
    <w:p w14:paraId="0AE064D1">
      <w:pPr>
        <w:tabs>
          <w:tab w:val="left" w:pos="1800"/>
          <w:tab w:val="left" w:pos="5580"/>
        </w:tabs>
        <w:spacing w:line="360" w:lineRule="auto"/>
        <w:ind w:firstLine="360" w:firstLineChars="150"/>
        <w:jc w:val="left"/>
        <w:rPr>
          <w:rFonts w:hint="eastAsia" w:ascii="宋体" w:hAnsi="宋体" w:eastAsia="宋体" w:cs="宋体"/>
          <w:color w:val="auto"/>
          <w:sz w:val="24"/>
          <w:highlight w:val="none"/>
          <w:u w:val="single"/>
        </w:rPr>
      </w:pPr>
    </w:p>
    <w:p w14:paraId="523F9EC5">
      <w:pPr>
        <w:tabs>
          <w:tab w:val="left" w:pos="1800"/>
          <w:tab w:val="left" w:pos="5580"/>
        </w:tabs>
        <w:jc w:val="left"/>
        <w:rPr>
          <w:rFonts w:hint="eastAsia" w:ascii="宋体" w:hAnsi="宋体" w:eastAsia="宋体" w:cs="宋体"/>
          <w:color w:val="auto"/>
          <w:spacing w:val="0"/>
          <w:w w:val="100"/>
          <w:kern w:val="0"/>
          <w:position w:val="0"/>
          <w:sz w:val="24"/>
          <w:highlight w:val="none"/>
        </w:rPr>
      </w:pPr>
      <w:r>
        <w:rPr>
          <w:rFonts w:hint="eastAsia" w:ascii="宋体" w:hAnsi="宋体" w:eastAsia="宋体" w:cs="宋体"/>
          <w:color w:val="auto"/>
          <w:spacing w:val="0"/>
          <w:w w:val="100"/>
          <w:kern w:val="0"/>
          <w:position w:val="0"/>
          <w:sz w:val="24"/>
          <w:highlight w:val="none"/>
        </w:rPr>
        <w:t>注：“偏离情况”列应据实填写</w:t>
      </w:r>
      <w:r>
        <w:rPr>
          <w:rFonts w:hint="eastAsia" w:ascii="宋体" w:hAnsi="宋体" w:eastAsia="宋体" w:cs="宋体"/>
          <w:color w:val="auto"/>
          <w:spacing w:val="0"/>
          <w:w w:val="100"/>
          <w:kern w:val="0"/>
          <w:position w:val="0"/>
          <w:sz w:val="24"/>
          <w:highlight w:val="none"/>
          <w:lang w:eastAsia="zh-CN"/>
        </w:rPr>
        <w:t>“</w:t>
      </w:r>
      <w:r>
        <w:rPr>
          <w:rFonts w:hint="eastAsia" w:ascii="宋体" w:hAnsi="宋体" w:eastAsia="宋体" w:cs="宋体"/>
          <w:color w:val="auto"/>
          <w:spacing w:val="0"/>
          <w:w w:val="100"/>
          <w:kern w:val="0"/>
          <w:position w:val="0"/>
          <w:sz w:val="24"/>
          <w:highlight w:val="none"/>
        </w:rPr>
        <w:t>无偏离</w:t>
      </w:r>
      <w:r>
        <w:rPr>
          <w:rFonts w:hint="eastAsia" w:ascii="宋体" w:hAnsi="宋体" w:eastAsia="宋体" w:cs="宋体"/>
          <w:color w:val="auto"/>
          <w:spacing w:val="0"/>
          <w:w w:val="100"/>
          <w:kern w:val="0"/>
          <w:position w:val="0"/>
          <w:sz w:val="24"/>
          <w:highlight w:val="none"/>
          <w:lang w:eastAsia="zh-CN"/>
        </w:rPr>
        <w:t>”“</w:t>
      </w:r>
      <w:r>
        <w:rPr>
          <w:rFonts w:hint="eastAsia" w:ascii="宋体" w:hAnsi="宋体" w:eastAsia="宋体" w:cs="宋体"/>
          <w:color w:val="auto"/>
          <w:spacing w:val="0"/>
          <w:w w:val="100"/>
          <w:kern w:val="0"/>
          <w:position w:val="0"/>
          <w:sz w:val="24"/>
          <w:highlight w:val="none"/>
        </w:rPr>
        <w:t>正偏离”或“负偏离”。</w:t>
      </w:r>
    </w:p>
    <w:p w14:paraId="29AB2F0A">
      <w:pPr>
        <w:tabs>
          <w:tab w:val="left" w:pos="1800"/>
          <w:tab w:val="left" w:pos="5580"/>
        </w:tabs>
        <w:jc w:val="left"/>
        <w:rPr>
          <w:rFonts w:hint="eastAsia" w:ascii="宋体" w:hAnsi="宋体" w:eastAsia="宋体" w:cs="宋体"/>
          <w:color w:val="auto"/>
          <w:sz w:val="24"/>
          <w:highlight w:val="none"/>
        </w:rPr>
      </w:pPr>
    </w:p>
    <w:p w14:paraId="077249FE">
      <w:pPr>
        <w:tabs>
          <w:tab w:val="left" w:pos="1800"/>
          <w:tab w:val="left" w:pos="5580"/>
        </w:tabs>
        <w:jc w:val="left"/>
        <w:rPr>
          <w:rFonts w:hint="eastAsia" w:ascii="宋体" w:hAnsi="宋体" w:eastAsia="宋体" w:cs="宋体"/>
          <w:color w:val="auto"/>
          <w:sz w:val="24"/>
          <w:highlight w:val="none"/>
        </w:rPr>
      </w:pPr>
    </w:p>
    <w:p w14:paraId="5E9EF2CD">
      <w:pPr>
        <w:rPr>
          <w:rFonts w:hint="eastAsia" w:ascii="宋体" w:hAnsi="宋体" w:eastAsia="宋体" w:cs="宋体"/>
          <w:color w:val="auto"/>
          <w:sz w:val="24"/>
          <w:szCs w:val="20"/>
          <w:highlight w:val="none"/>
        </w:rPr>
      </w:pPr>
    </w:p>
    <w:p w14:paraId="78DAA350">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w:t>
      </w:r>
    </w:p>
    <w:p w14:paraId="65A04826">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14:paraId="62325B09">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日期：_____年______月______日   </w:t>
      </w:r>
    </w:p>
    <w:p w14:paraId="2301C7D6">
      <w:pPr>
        <w:pStyle w:val="4"/>
        <w:bidi w:val="0"/>
        <w:rPr>
          <w:rFonts w:hint="eastAsia" w:ascii="宋体" w:hAnsi="宋体" w:eastAsia="宋体" w:cs="宋体"/>
          <w:color w:val="auto"/>
          <w:highlight w:val="none"/>
        </w:rPr>
      </w:pPr>
      <w:r>
        <w:rPr>
          <w:rFonts w:hint="eastAsia" w:ascii="宋体" w:hAnsi="宋体" w:eastAsia="宋体" w:cs="宋体"/>
          <w:color w:val="auto"/>
          <w:szCs w:val="20"/>
          <w:highlight w:val="none"/>
        </w:rPr>
        <w:br w:type="page"/>
      </w:r>
      <w:r>
        <w:rPr>
          <w:rFonts w:hint="eastAsia" w:ascii="宋体" w:hAnsi="宋体" w:eastAsia="宋体" w:cs="宋体"/>
          <w:color w:val="auto"/>
          <w:highlight w:val="none"/>
        </w:rPr>
        <w:t>本国产品标准证明文件</w:t>
      </w:r>
    </w:p>
    <w:p w14:paraId="1E6A0632">
      <w:pPr>
        <w:bidi w:val="0"/>
        <w:jc w:val="center"/>
        <w:rPr>
          <w:rFonts w:hint="eastAsia" w:ascii="宋体" w:hAnsi="宋体" w:eastAsia="宋体" w:cs="宋体"/>
          <w:b/>
          <w:bCs/>
          <w:sz w:val="36"/>
          <w:szCs w:val="36"/>
        </w:rPr>
      </w:pPr>
      <w:r>
        <w:rPr>
          <w:rFonts w:hint="eastAsia" w:ascii="宋体" w:hAnsi="宋体" w:eastAsia="宋体" w:cs="宋体"/>
          <w:b/>
          <w:bCs/>
          <w:sz w:val="36"/>
          <w:szCs w:val="36"/>
        </w:rPr>
        <w:t>关于符合本国产品标准的声明函</w:t>
      </w:r>
    </w:p>
    <w:p w14:paraId="44CD78B4">
      <w:pPr>
        <w:bidi w:val="0"/>
        <w:rPr>
          <w:rFonts w:hint="eastAsia" w:ascii="宋体" w:hAnsi="宋体" w:eastAsia="宋体" w:cs="宋体"/>
        </w:rPr>
      </w:pPr>
    </w:p>
    <w:p w14:paraId="2C2CC8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本公司（单位）郑重声明，根据《国务院办公厅关于在政府采购中实施本国产品标准及相关政策的通知》（国办发〔2025〕34号）的规定，本公司（单位）提供的以下产品属于本国产品。具体情况如下：</w:t>
      </w:r>
    </w:p>
    <w:p w14:paraId="2C8C1F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w:t>
      </w:r>
      <w:r>
        <w:rPr>
          <w:rFonts w:hint="eastAsia" w:ascii="宋体" w:hAnsi="宋体" w:eastAsia="宋体" w:cs="宋体"/>
          <w:sz w:val="24"/>
          <w:szCs w:val="32"/>
          <w:u w:val="single"/>
        </w:rPr>
        <w:t>（产品名称1）</w:t>
      </w:r>
      <w:r>
        <w:rPr>
          <w:rStyle w:val="53"/>
          <w:rFonts w:hint="eastAsia" w:ascii="宋体" w:hAnsi="宋体" w:eastAsia="宋体" w:cs="宋体"/>
          <w:color w:val="333333"/>
          <w:shd w:val="clear" w:color="auto" w:fill="FFFFFF"/>
          <w:vertAlign w:val="superscript"/>
        </w:rPr>
        <w:t>1</w:t>
      </w:r>
      <w:r>
        <w:rPr>
          <w:rFonts w:hint="eastAsia" w:ascii="宋体" w:hAnsi="宋体" w:eastAsia="宋体" w:cs="宋体"/>
          <w:sz w:val="24"/>
          <w:szCs w:val="32"/>
        </w:rPr>
        <w:t>，生产厂为</w:t>
      </w:r>
      <w:r>
        <w:rPr>
          <w:rFonts w:hint="eastAsia" w:ascii="宋体" w:hAnsi="宋体" w:eastAsia="宋体" w:cs="宋体"/>
          <w:sz w:val="24"/>
          <w:szCs w:val="32"/>
          <w:u w:val="single"/>
        </w:rPr>
        <w:t>（厂名）</w:t>
      </w:r>
      <w:r>
        <w:rPr>
          <w:rStyle w:val="53"/>
          <w:rFonts w:hint="eastAsia" w:ascii="宋体" w:hAnsi="宋体" w:eastAsia="宋体" w:cs="宋体"/>
          <w:color w:val="333333"/>
          <w:shd w:val="clear" w:color="auto" w:fill="FFFFFF"/>
          <w:vertAlign w:val="superscript"/>
        </w:rPr>
        <w:t>2</w:t>
      </w:r>
      <w:r>
        <w:rPr>
          <w:rFonts w:hint="eastAsia" w:ascii="宋体" w:hAnsi="宋体" w:eastAsia="宋体" w:cs="宋体"/>
          <w:sz w:val="24"/>
          <w:szCs w:val="32"/>
        </w:rPr>
        <w:t>，厂址为</w:t>
      </w:r>
      <w:r>
        <w:rPr>
          <w:rFonts w:hint="eastAsia" w:ascii="宋体" w:hAnsi="宋体" w:eastAsia="宋体" w:cs="宋体"/>
          <w:sz w:val="24"/>
          <w:szCs w:val="32"/>
          <w:u w:val="single"/>
        </w:rPr>
        <w:t>（生产厂址）</w:t>
      </w:r>
      <w:r>
        <w:rPr>
          <w:rFonts w:hint="eastAsia" w:ascii="宋体" w:hAnsi="宋体" w:eastAsia="宋体" w:cs="宋体"/>
          <w:sz w:val="24"/>
          <w:szCs w:val="32"/>
        </w:rPr>
        <w:t>。</w:t>
      </w:r>
      <w:r>
        <w:rPr>
          <w:rFonts w:hint="eastAsia" w:ascii="宋体" w:hAnsi="宋体" w:eastAsia="宋体" w:cs="宋体"/>
          <w:sz w:val="24"/>
          <w:szCs w:val="32"/>
          <w:u w:val="single"/>
        </w:rPr>
        <w:t>（产品名称1）</w:t>
      </w:r>
      <w:r>
        <w:rPr>
          <w:rFonts w:hint="eastAsia" w:ascii="宋体" w:hAnsi="宋体" w:eastAsia="宋体" w:cs="宋体"/>
          <w:sz w:val="24"/>
          <w:szCs w:val="32"/>
        </w:rPr>
        <w:t>的中国境内生产的组件成本占比≥</w:t>
      </w:r>
      <w:r>
        <w:rPr>
          <w:rFonts w:hint="eastAsia" w:ascii="宋体" w:hAnsi="宋体" w:eastAsia="宋体" w:cs="宋体"/>
          <w:sz w:val="24"/>
          <w:szCs w:val="32"/>
          <w:u w:val="single"/>
        </w:rPr>
        <w:t>（规定比例）</w:t>
      </w:r>
      <w:r>
        <w:rPr>
          <w:rStyle w:val="53"/>
          <w:rFonts w:hint="eastAsia" w:ascii="宋体" w:hAnsi="宋体" w:eastAsia="宋体" w:cs="宋体"/>
          <w:color w:val="333333"/>
          <w:shd w:val="clear" w:color="auto" w:fill="FFFFFF"/>
          <w:vertAlign w:val="superscript"/>
        </w:rPr>
        <w:t>3</w:t>
      </w:r>
      <w:r>
        <w:rPr>
          <w:rFonts w:hint="eastAsia" w:ascii="宋体" w:hAnsi="宋体" w:eastAsia="宋体" w:cs="宋体"/>
          <w:sz w:val="24"/>
          <w:szCs w:val="32"/>
        </w:rPr>
        <w:t>。</w:t>
      </w:r>
      <w:r>
        <w:rPr>
          <w:rFonts w:hint="eastAsia" w:ascii="宋体" w:hAnsi="宋体" w:eastAsia="宋体" w:cs="宋体"/>
          <w:sz w:val="24"/>
          <w:szCs w:val="32"/>
          <w:u w:val="single"/>
        </w:rPr>
        <w:t>（产品名称1）</w:t>
      </w:r>
      <w:r>
        <w:rPr>
          <w:rFonts w:hint="eastAsia" w:ascii="宋体" w:hAnsi="宋体" w:eastAsia="宋体" w:cs="宋体"/>
          <w:sz w:val="24"/>
          <w:szCs w:val="32"/>
        </w:rPr>
        <w:t>的</w:t>
      </w:r>
      <w:r>
        <w:rPr>
          <w:rFonts w:hint="eastAsia" w:ascii="宋体" w:hAnsi="宋体" w:eastAsia="宋体" w:cs="宋体"/>
          <w:sz w:val="24"/>
          <w:szCs w:val="32"/>
          <w:u w:val="single"/>
        </w:rPr>
        <w:t>（关键组件）</w:t>
      </w:r>
      <w:r>
        <w:rPr>
          <w:rStyle w:val="53"/>
          <w:rFonts w:hint="eastAsia" w:ascii="宋体" w:hAnsi="宋体" w:eastAsia="宋体" w:cs="宋体"/>
          <w:color w:val="333333"/>
          <w:shd w:val="clear" w:color="auto" w:fill="FFFFFF"/>
          <w:vertAlign w:val="superscript"/>
        </w:rPr>
        <w:t>4</w:t>
      </w:r>
      <w:r>
        <w:rPr>
          <w:rFonts w:hint="eastAsia" w:ascii="宋体" w:hAnsi="宋体" w:eastAsia="宋体" w:cs="宋体"/>
          <w:sz w:val="24"/>
          <w:szCs w:val="32"/>
        </w:rPr>
        <w:t>在中国境内生产。</w:t>
      </w:r>
      <w:r>
        <w:rPr>
          <w:rFonts w:hint="eastAsia" w:ascii="宋体" w:hAnsi="宋体" w:eastAsia="宋体" w:cs="宋体"/>
          <w:sz w:val="24"/>
          <w:szCs w:val="32"/>
          <w:u w:val="single"/>
        </w:rPr>
        <w:t>（产品名称1）</w:t>
      </w:r>
      <w:r>
        <w:rPr>
          <w:rFonts w:hint="eastAsia" w:ascii="宋体" w:hAnsi="宋体" w:eastAsia="宋体" w:cs="宋体"/>
          <w:sz w:val="24"/>
          <w:szCs w:val="32"/>
        </w:rPr>
        <w:t>的</w:t>
      </w:r>
      <w:r>
        <w:rPr>
          <w:rFonts w:hint="eastAsia" w:ascii="宋体" w:hAnsi="宋体" w:eastAsia="宋体" w:cs="宋体"/>
          <w:sz w:val="24"/>
          <w:szCs w:val="32"/>
          <w:u w:val="single"/>
        </w:rPr>
        <w:t>（关键工序）</w:t>
      </w:r>
      <w:r>
        <w:rPr>
          <w:rStyle w:val="53"/>
          <w:rFonts w:hint="eastAsia" w:ascii="宋体" w:hAnsi="宋体" w:eastAsia="宋体" w:cs="宋体"/>
          <w:color w:val="333333"/>
          <w:shd w:val="clear" w:color="auto" w:fill="FFFFFF"/>
          <w:vertAlign w:val="superscript"/>
        </w:rPr>
        <w:t>5</w:t>
      </w:r>
      <w:r>
        <w:rPr>
          <w:rFonts w:hint="eastAsia" w:ascii="宋体" w:hAnsi="宋体" w:eastAsia="宋体" w:cs="宋体"/>
          <w:sz w:val="24"/>
          <w:szCs w:val="32"/>
        </w:rPr>
        <w:t>在中国境内完成。</w:t>
      </w:r>
    </w:p>
    <w:p w14:paraId="19D96A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w:t>
      </w:r>
      <w:r>
        <w:rPr>
          <w:rFonts w:hint="eastAsia" w:ascii="宋体" w:hAnsi="宋体" w:eastAsia="宋体" w:cs="宋体"/>
          <w:sz w:val="24"/>
          <w:szCs w:val="32"/>
          <w:u w:val="single"/>
        </w:rPr>
        <w:t>（产品名称2）</w:t>
      </w:r>
      <w:r>
        <w:rPr>
          <w:rFonts w:hint="eastAsia" w:ascii="宋体" w:hAnsi="宋体" w:eastAsia="宋体" w:cs="宋体"/>
          <w:sz w:val="24"/>
          <w:szCs w:val="32"/>
        </w:rPr>
        <w:t>，生产厂为</w:t>
      </w:r>
      <w:r>
        <w:rPr>
          <w:rFonts w:hint="eastAsia" w:ascii="宋体" w:hAnsi="宋体" w:eastAsia="宋体" w:cs="宋体"/>
          <w:sz w:val="24"/>
          <w:szCs w:val="32"/>
          <w:u w:val="single"/>
        </w:rPr>
        <w:t>（厂名）</w:t>
      </w:r>
      <w:r>
        <w:rPr>
          <w:rFonts w:hint="eastAsia" w:ascii="宋体" w:hAnsi="宋体" w:eastAsia="宋体" w:cs="宋体"/>
          <w:sz w:val="24"/>
          <w:szCs w:val="32"/>
        </w:rPr>
        <w:t>，厂址为</w:t>
      </w:r>
      <w:r>
        <w:rPr>
          <w:rFonts w:hint="eastAsia" w:ascii="宋体" w:hAnsi="宋体" w:eastAsia="宋体" w:cs="宋体"/>
          <w:sz w:val="24"/>
          <w:szCs w:val="32"/>
          <w:u w:val="single"/>
        </w:rPr>
        <w:t>（生产厂址）</w:t>
      </w:r>
      <w:r>
        <w:rPr>
          <w:rFonts w:hint="eastAsia" w:ascii="宋体" w:hAnsi="宋体" w:eastAsia="宋体" w:cs="宋体"/>
          <w:sz w:val="24"/>
          <w:szCs w:val="32"/>
        </w:rPr>
        <w:t>。</w:t>
      </w:r>
      <w:r>
        <w:rPr>
          <w:rFonts w:hint="eastAsia" w:ascii="宋体" w:hAnsi="宋体" w:eastAsia="宋体" w:cs="宋体"/>
          <w:sz w:val="24"/>
          <w:szCs w:val="32"/>
          <w:u w:val="single"/>
        </w:rPr>
        <w:t>（产品名称2）</w:t>
      </w:r>
      <w:r>
        <w:rPr>
          <w:rFonts w:hint="eastAsia" w:ascii="宋体" w:hAnsi="宋体" w:eastAsia="宋体" w:cs="宋体"/>
          <w:sz w:val="24"/>
          <w:szCs w:val="32"/>
        </w:rPr>
        <w:t>的中国境内生产的组件成本占比≥</w:t>
      </w:r>
      <w:r>
        <w:rPr>
          <w:rFonts w:hint="eastAsia" w:ascii="宋体" w:hAnsi="宋体" w:eastAsia="宋体" w:cs="宋体"/>
          <w:sz w:val="24"/>
          <w:szCs w:val="32"/>
          <w:u w:val="single"/>
        </w:rPr>
        <w:t>（规定比例）</w:t>
      </w:r>
      <w:r>
        <w:rPr>
          <w:rFonts w:hint="eastAsia" w:ascii="宋体" w:hAnsi="宋体" w:eastAsia="宋体" w:cs="宋体"/>
          <w:sz w:val="24"/>
          <w:szCs w:val="32"/>
        </w:rPr>
        <w:t>。（产品名称2）的（关键组件）在中国境内生产。</w:t>
      </w:r>
      <w:r>
        <w:rPr>
          <w:rFonts w:hint="eastAsia" w:ascii="宋体" w:hAnsi="宋体" w:eastAsia="宋体" w:cs="宋体"/>
          <w:sz w:val="24"/>
          <w:szCs w:val="32"/>
          <w:u w:val="single"/>
        </w:rPr>
        <w:t>（产品名称2）</w:t>
      </w:r>
      <w:r>
        <w:rPr>
          <w:rFonts w:hint="eastAsia" w:ascii="宋体" w:hAnsi="宋体" w:eastAsia="宋体" w:cs="宋体"/>
          <w:sz w:val="24"/>
          <w:szCs w:val="32"/>
        </w:rPr>
        <w:t>的</w:t>
      </w:r>
      <w:r>
        <w:rPr>
          <w:rFonts w:hint="eastAsia" w:ascii="宋体" w:hAnsi="宋体" w:eastAsia="宋体" w:cs="宋体"/>
          <w:sz w:val="24"/>
          <w:szCs w:val="32"/>
          <w:u w:val="single"/>
        </w:rPr>
        <w:t>（关键工序）</w:t>
      </w:r>
      <w:r>
        <w:rPr>
          <w:rFonts w:hint="eastAsia" w:ascii="宋体" w:hAnsi="宋体" w:eastAsia="宋体" w:cs="宋体"/>
          <w:sz w:val="24"/>
          <w:szCs w:val="32"/>
        </w:rPr>
        <w:t>在中国境内完成。</w:t>
      </w:r>
    </w:p>
    <w:p w14:paraId="2A6B7C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w:t>
      </w:r>
    </w:p>
    <w:p w14:paraId="408F14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本公司（单位）对上述声明内容的真实性负责。如有虚假，愿承担相应法律责任。</w:t>
      </w:r>
    </w:p>
    <w:p w14:paraId="7CE695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p>
    <w:p w14:paraId="376BCE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p>
    <w:p w14:paraId="7912CB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32"/>
        </w:rPr>
      </w:pPr>
      <w:r>
        <w:rPr>
          <w:rFonts w:hint="eastAsia" w:ascii="宋体" w:hAnsi="宋体" w:eastAsia="宋体" w:cs="宋体"/>
          <w:sz w:val="24"/>
          <w:szCs w:val="32"/>
        </w:rPr>
        <w:t>公司（单位）名称（盖章）：　        </w:t>
      </w:r>
    </w:p>
    <w:p w14:paraId="23B296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32"/>
        </w:rPr>
      </w:pPr>
      <w:r>
        <w:rPr>
          <w:rFonts w:hint="eastAsia" w:ascii="宋体" w:hAnsi="宋体" w:eastAsia="宋体" w:cs="宋体"/>
          <w:sz w:val="24"/>
          <w:szCs w:val="32"/>
        </w:rPr>
        <w:t>日期：　     年　  月　  日         </w:t>
      </w:r>
    </w:p>
    <w:p w14:paraId="02F949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p>
    <w:p w14:paraId="36CAE5F4">
      <w:pPr>
        <w:bidi w:val="0"/>
        <w:rPr>
          <w:rFonts w:hint="eastAsia" w:ascii="宋体" w:hAnsi="宋体" w:eastAsia="宋体" w:cs="宋体"/>
        </w:rPr>
      </w:pPr>
    </w:p>
    <w:p w14:paraId="42858DA8">
      <w:pPr>
        <w:spacing w:line="360" w:lineRule="auto"/>
        <w:ind w:left="424" w:leftChars="1" w:hanging="422" w:hangingChars="201"/>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注：1.产品如有型号，请在“产品名称”栏一并填写。</w:t>
      </w:r>
    </w:p>
    <w:p w14:paraId="72ADF91F">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2.生产厂名与厂址应与生产厂营业执照载明的相关信息保持一致。</w:t>
      </w:r>
    </w:p>
    <w:p w14:paraId="6D717B77">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3.该产品的中国境内生产的组件成本占比相关要求实施前，“规定比例”栏可不填。</w:t>
      </w:r>
    </w:p>
    <w:p w14:paraId="5AF097CC">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4.该产品的关键组件要求实施前，“关键组件”栏可不填。</w:t>
      </w:r>
    </w:p>
    <w:p w14:paraId="75B8ECCB">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5.该产品的关键工序要求实施前，“关键工序”栏可不填。</w:t>
      </w:r>
    </w:p>
    <w:p w14:paraId="14FDE7F1">
      <w:pPr>
        <w:spacing w:line="360" w:lineRule="auto"/>
        <w:ind w:left="420" w:leftChars="200"/>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6.请务必填写此表，以免影响报价得分。</w:t>
      </w:r>
    </w:p>
    <w:p w14:paraId="159F85D8">
      <w:pPr>
        <w:spacing w:line="360" w:lineRule="auto"/>
        <w:ind w:left="420" w:leftChars="200"/>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7.如全部产品均为同一厂家生产或同一品牌，产品名称处填写“全部产品”即可。</w:t>
      </w:r>
    </w:p>
    <w:p w14:paraId="00849E99">
      <w:pPr>
        <w:spacing w:line="360" w:lineRule="auto"/>
        <w:ind w:left="420" w:leftChars="200"/>
        <w:rPr>
          <w:rFonts w:hint="eastAsia" w:ascii="宋体" w:hAnsi="宋体" w:eastAsia="宋体" w:cs="宋体"/>
          <w:color w:val="auto"/>
          <w:szCs w:val="21"/>
          <w:highlight w:val="none"/>
          <w:shd w:val="clear" w:color="auto" w:fill="FFFFFF"/>
        </w:rPr>
      </w:pPr>
    </w:p>
    <w:p w14:paraId="1B508CE1">
      <w:pPr>
        <w:widowControl/>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br w:type="page"/>
      </w:r>
    </w:p>
    <w:p w14:paraId="4814CD74">
      <w:pPr>
        <w:bidi w:val="0"/>
        <w:jc w:val="center"/>
        <w:rPr>
          <w:rFonts w:hint="eastAsia" w:ascii="宋体" w:hAnsi="宋体" w:eastAsia="宋体" w:cs="宋体"/>
          <w:b/>
          <w:bCs/>
          <w:sz w:val="36"/>
          <w:szCs w:val="36"/>
        </w:rPr>
      </w:pPr>
      <w:r>
        <w:rPr>
          <w:rFonts w:hint="eastAsia" w:ascii="宋体" w:hAnsi="宋体" w:eastAsia="宋体" w:cs="宋体"/>
          <w:b/>
          <w:bCs/>
          <w:sz w:val="36"/>
          <w:szCs w:val="36"/>
        </w:rPr>
        <w:t>产品成本占比承诺函</w:t>
      </w:r>
    </w:p>
    <w:p w14:paraId="6E21F182">
      <w:pPr>
        <w:bidi w:val="0"/>
        <w:rPr>
          <w:rFonts w:hint="eastAsia" w:ascii="宋体" w:hAnsi="宋体" w:eastAsia="宋体" w:cs="宋体"/>
        </w:rPr>
      </w:pPr>
    </w:p>
    <w:p w14:paraId="1985407E">
      <w:pPr>
        <w:widowControl/>
        <w:spacing w:line="360" w:lineRule="auto"/>
        <w:ind w:firstLine="480" w:firstLineChars="200"/>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我公司（单位）郑重承诺，我公司已阅读并理解《国务院办公厅关于在政府采购中实施本国产品标准及相关政策的通知》（国办发〔2025〕34号）的规定。据此承诺如下：</w:t>
      </w:r>
    </w:p>
    <w:p w14:paraId="288FD5CE">
      <w:pPr>
        <w:widowControl/>
        <w:spacing w:line="360" w:lineRule="auto"/>
        <w:ind w:firstLine="480" w:firstLineChars="200"/>
        <w:jc w:val="left"/>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shd w:val="clear" w:color="auto" w:fill="FFFFFF"/>
        </w:rPr>
        <w:t>为本采购项目或者采购包提供的符合本国产品标准的产品成本之和占提供的全部产品成本之和的比例为</w:t>
      </w:r>
      <w:r>
        <w:rPr>
          <w:rFonts w:hint="eastAsia" w:ascii="宋体" w:hAnsi="宋体" w:eastAsia="宋体" w:cs="宋体"/>
          <w:color w:val="auto"/>
          <w:spacing w:val="6"/>
          <w:sz w:val="24"/>
          <w:highlight w:val="none"/>
        </w:rPr>
        <w:t>______%。</w:t>
      </w:r>
    </w:p>
    <w:p w14:paraId="45854F1D">
      <w:pPr>
        <w:widowControl/>
        <w:spacing w:line="360" w:lineRule="auto"/>
        <w:ind w:firstLine="480" w:firstLineChars="200"/>
        <w:jc w:val="left"/>
        <w:rPr>
          <w:rFonts w:hint="eastAsia" w:ascii="宋体" w:hAnsi="宋体" w:eastAsia="宋体" w:cs="宋体"/>
          <w:color w:val="auto"/>
          <w:sz w:val="24"/>
          <w:highlight w:val="none"/>
        </w:rPr>
      </w:pPr>
    </w:p>
    <w:p w14:paraId="506C978F">
      <w:pPr>
        <w:widowControl/>
        <w:spacing w:line="360" w:lineRule="auto"/>
        <w:ind w:firstLine="480" w:firstLineChars="200"/>
        <w:jc w:val="righ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公司（单位）名称（盖章）：　        </w:t>
      </w:r>
    </w:p>
    <w:p w14:paraId="10E218FD">
      <w:pPr>
        <w:widowControl/>
        <w:spacing w:line="36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日期：　     年　  月　  日     </w:t>
      </w:r>
    </w:p>
    <w:p w14:paraId="59FB2AC5">
      <w:pPr>
        <w:widowControl/>
        <w:spacing w:line="360" w:lineRule="auto"/>
        <w:jc w:val="left"/>
        <w:rPr>
          <w:rFonts w:hint="eastAsia" w:ascii="宋体" w:hAnsi="宋体" w:eastAsia="宋体" w:cs="宋体"/>
          <w:color w:val="auto"/>
          <w:sz w:val="24"/>
          <w:highlight w:val="none"/>
        </w:rPr>
      </w:pPr>
    </w:p>
    <w:p w14:paraId="7E0CF8A5">
      <w:pPr>
        <w:widowControl/>
        <w:spacing w:line="360" w:lineRule="auto"/>
        <w:jc w:val="left"/>
        <w:rPr>
          <w:rFonts w:hint="eastAsia" w:ascii="宋体" w:hAnsi="宋体" w:eastAsia="宋体" w:cs="宋体"/>
          <w:color w:val="auto"/>
          <w:sz w:val="24"/>
          <w:highlight w:val="none"/>
        </w:rPr>
      </w:pPr>
    </w:p>
    <w:p w14:paraId="7AD48445">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60F4C940">
      <w:pPr>
        <w:spacing w:line="360" w:lineRule="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 本承诺函应按包分别提供。</w:t>
      </w:r>
    </w:p>
    <w:p w14:paraId="575A7842">
      <w:pPr>
        <w:spacing w:line="360" w:lineRule="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 单一产品采购无须提供本承诺函；供应商提供产品全部为本国产品，且提供了《关于符合本国产品标准的声明函》时，无须提供本承诺函。</w:t>
      </w:r>
    </w:p>
    <w:p w14:paraId="529F2A1D">
      <w:pPr>
        <w:spacing w:line="360" w:lineRule="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eastAsia="宋体" w:cs="宋体"/>
          <w:color w:val="auto"/>
          <w:highlight w:val="none"/>
        </w:rPr>
        <w:t>价格评审优惠</w:t>
      </w:r>
      <w:r>
        <w:rPr>
          <w:rFonts w:hint="eastAsia" w:ascii="宋体" w:hAnsi="宋体" w:eastAsia="宋体" w:cs="宋体"/>
          <w:color w:val="auto"/>
          <w:szCs w:val="21"/>
          <w:highlight w:val="none"/>
          <w:shd w:val="clear" w:color="auto" w:fill="FFFFFF"/>
        </w:rPr>
        <w:t>。</w:t>
      </w:r>
    </w:p>
    <w:p w14:paraId="0A001167">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14:paraId="16D73951">
      <w:pPr>
        <w:pStyle w:val="4"/>
        <w:bidi w:val="0"/>
        <w:rPr>
          <w:rFonts w:hint="eastAsia" w:ascii="宋体" w:hAnsi="宋体" w:eastAsia="宋体" w:cs="宋体"/>
          <w:color w:val="auto"/>
          <w:highlight w:val="none"/>
        </w:rPr>
      </w:pPr>
      <w:r>
        <w:rPr>
          <w:rFonts w:hint="eastAsia" w:ascii="宋体" w:hAnsi="宋体" w:eastAsia="宋体" w:cs="宋体"/>
          <w:color w:val="auto"/>
          <w:highlight w:val="none"/>
        </w:rPr>
        <w:t>中小企业证明文件</w:t>
      </w:r>
    </w:p>
    <w:p w14:paraId="0B97B5D8">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272DE489">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BC5DEE1">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0425265">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3）对于多标的采购项目，投标人应充分、准确地了解所提供货物的制造企业、提供服务的承接企业信息。对相关情况了解不清楚的，不建议填报本声明函。</w:t>
      </w:r>
    </w:p>
    <w:p w14:paraId="0F7CBAA9">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6E4E3E85">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02991046">
      <w:pPr>
        <w:spacing w:before="240" w:beforeLines="100" w:after="240" w:afterLines="100" w:line="360" w:lineRule="auto"/>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rPr>
        <w:t>中小企业声明函（货物）格式</w:t>
      </w:r>
    </w:p>
    <w:p w14:paraId="05500D10">
      <w:pPr>
        <w:autoSpaceDE w:val="0"/>
        <w:autoSpaceDN w:val="0"/>
        <w:spacing w:line="360" w:lineRule="auto"/>
        <w:ind w:left="220" w:right="415" w:firstLine="64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本公司（联合体）郑重声明，根据《政府采购促进中小企业发展管理办法》（财库﹝2020﹞46号）的规定，本公司（联合体）参加</w:t>
      </w:r>
      <w:r>
        <w:rPr>
          <w:rFonts w:hint="eastAsia" w:ascii="宋体" w:hAnsi="宋体" w:eastAsia="宋体" w:cs="宋体"/>
          <w:i/>
          <w:color w:val="auto"/>
          <w:kern w:val="0"/>
          <w:sz w:val="24"/>
          <w:highlight w:val="none"/>
          <w:u w:val="single"/>
        </w:rPr>
        <w:t>（单位名称）</w:t>
      </w:r>
      <w:r>
        <w:rPr>
          <w:rFonts w:hint="eastAsia" w:ascii="宋体" w:hAnsi="宋体" w:eastAsia="宋体" w:cs="宋体"/>
          <w:color w:val="auto"/>
          <w:kern w:val="0"/>
          <w:sz w:val="24"/>
          <w:highlight w:val="none"/>
        </w:rPr>
        <w:t>的</w:t>
      </w:r>
      <w:r>
        <w:rPr>
          <w:rFonts w:hint="eastAsia" w:ascii="宋体" w:hAnsi="宋体" w:eastAsia="宋体" w:cs="宋体"/>
          <w:i/>
          <w:color w:val="auto"/>
          <w:kern w:val="0"/>
          <w:sz w:val="24"/>
          <w:highlight w:val="none"/>
          <w:u w:val="single"/>
        </w:rPr>
        <w:t>（项目名称）</w:t>
      </w:r>
      <w:r>
        <w:rPr>
          <w:rFonts w:hint="eastAsia" w:ascii="宋体" w:hAnsi="宋体" w:eastAsia="宋体" w:cs="宋体"/>
          <w:color w:val="auto"/>
          <w:kern w:val="0"/>
          <w:sz w:val="24"/>
          <w:highlight w:val="none"/>
        </w:rPr>
        <w:t>采购活动，提供的货物全部由符合政策要求的中小企业制造。相关企业（含联合体中的中小企业、签订分包意向协议的中小企业）的具体情况如下：</w:t>
      </w:r>
    </w:p>
    <w:p w14:paraId="604EEA04">
      <w:pPr>
        <w:numPr>
          <w:ilvl w:val="0"/>
          <w:numId w:val="71"/>
        </w:numPr>
        <w:tabs>
          <w:tab w:val="left" w:pos="1183"/>
          <w:tab w:val="left" w:pos="1484"/>
          <w:tab w:val="left" w:pos="4662"/>
          <w:tab w:val="left" w:pos="6903"/>
        </w:tabs>
        <w:autoSpaceDE w:val="0"/>
        <w:autoSpaceDN w:val="0"/>
        <w:spacing w:line="360" w:lineRule="auto"/>
        <w:ind w:right="169" w:firstLine="646"/>
        <w:jc w:val="left"/>
        <w:rPr>
          <w:rFonts w:hint="eastAsia" w:ascii="宋体" w:hAnsi="宋体" w:eastAsia="宋体" w:cs="宋体"/>
          <w:color w:val="auto"/>
          <w:kern w:val="0"/>
          <w:sz w:val="24"/>
          <w:highlight w:val="none"/>
          <w:u w:color="000000"/>
        </w:rPr>
      </w:pPr>
      <w:r>
        <w:rPr>
          <w:rFonts w:hint="eastAsia" w:ascii="宋体" w:hAnsi="宋体" w:eastAsia="宋体" w:cs="宋体"/>
          <w:i/>
          <w:color w:val="auto"/>
          <w:kern w:val="0"/>
          <w:sz w:val="24"/>
          <w:highlight w:val="none"/>
          <w:u w:val="single" w:color="000000"/>
        </w:rPr>
        <w:t>（标的名称）</w:t>
      </w:r>
      <w:r>
        <w:rPr>
          <w:rFonts w:hint="eastAsia" w:ascii="宋体" w:hAnsi="宋体" w:eastAsia="宋体" w:cs="宋体"/>
          <w:color w:val="auto"/>
          <w:kern w:val="0"/>
          <w:sz w:val="24"/>
          <w:highlight w:val="none"/>
          <w:u w:color="000000"/>
        </w:rPr>
        <w:t>，属于</w:t>
      </w:r>
      <w:r>
        <w:rPr>
          <w:rFonts w:hint="eastAsia" w:ascii="宋体" w:hAnsi="宋体" w:eastAsia="宋体" w:cs="宋体"/>
          <w:i/>
          <w:color w:val="auto"/>
          <w:kern w:val="0"/>
          <w:sz w:val="24"/>
          <w:highlight w:val="none"/>
          <w:u w:color="000000"/>
        </w:rPr>
        <w:t>（</w:t>
      </w:r>
      <w:r>
        <w:rPr>
          <w:rFonts w:hint="eastAsia" w:ascii="宋体" w:hAnsi="宋体" w:eastAsia="宋体" w:cs="宋体"/>
          <w:i/>
          <w:color w:val="auto"/>
          <w:kern w:val="0"/>
          <w:sz w:val="24"/>
          <w:highlight w:val="none"/>
          <w:u w:val="single" w:color="000000"/>
        </w:rPr>
        <w:t>采购文件中明确的所属行业）行业</w:t>
      </w:r>
      <w:r>
        <w:rPr>
          <w:rFonts w:hint="eastAsia" w:ascii="宋体" w:hAnsi="宋体" w:eastAsia="宋体" w:cs="宋体"/>
          <w:color w:val="auto"/>
          <w:kern w:val="0"/>
          <w:sz w:val="24"/>
          <w:highlight w:val="none"/>
          <w:u w:color="000000"/>
        </w:rPr>
        <w:t>；制造商为</w:t>
      </w:r>
      <w:r>
        <w:rPr>
          <w:rFonts w:hint="eastAsia" w:ascii="宋体" w:hAnsi="宋体" w:eastAsia="宋体" w:cs="宋体"/>
          <w:i/>
          <w:color w:val="auto"/>
          <w:kern w:val="0"/>
          <w:sz w:val="24"/>
          <w:highlight w:val="none"/>
          <w:u w:val="single" w:color="000000"/>
        </w:rPr>
        <w:t>（企业名称）</w:t>
      </w:r>
      <w:r>
        <w:rPr>
          <w:rFonts w:hint="eastAsia" w:ascii="宋体" w:hAnsi="宋体" w:eastAsia="宋体" w:cs="宋体"/>
          <w:color w:val="auto"/>
          <w:kern w:val="0"/>
          <w:sz w:val="24"/>
          <w:highlight w:val="none"/>
          <w:u w:color="000000"/>
        </w:rPr>
        <w:t>，从业人员</w:t>
      </w:r>
      <w:r>
        <w:rPr>
          <w:rFonts w:hint="eastAsia" w:ascii="宋体" w:hAnsi="宋体" w:eastAsia="宋体" w:cs="宋体"/>
          <w:color w:val="auto"/>
          <w:kern w:val="0"/>
          <w:sz w:val="24"/>
          <w:highlight w:val="none"/>
          <w:u w:val="single" w:color="000000"/>
        </w:rPr>
        <w:tab/>
      </w:r>
      <w:r>
        <w:rPr>
          <w:rFonts w:hint="eastAsia" w:ascii="宋体" w:hAnsi="宋体" w:eastAsia="宋体" w:cs="宋体"/>
          <w:color w:val="auto"/>
          <w:kern w:val="0"/>
          <w:sz w:val="24"/>
          <w:highlight w:val="none"/>
          <w:u w:color="000000"/>
        </w:rPr>
        <w:t>人，营业收入为</w:t>
      </w:r>
      <w:r>
        <w:rPr>
          <w:rFonts w:hint="eastAsia" w:ascii="宋体" w:hAnsi="宋体" w:eastAsia="宋体" w:cs="宋体"/>
          <w:color w:val="auto"/>
          <w:kern w:val="0"/>
          <w:sz w:val="24"/>
          <w:highlight w:val="none"/>
          <w:u w:val="single" w:color="000000"/>
        </w:rPr>
        <w:tab/>
      </w:r>
      <w:r>
        <w:rPr>
          <w:rFonts w:hint="eastAsia" w:ascii="宋体" w:hAnsi="宋体" w:eastAsia="宋体" w:cs="宋体"/>
          <w:color w:val="auto"/>
          <w:kern w:val="0"/>
          <w:sz w:val="24"/>
          <w:highlight w:val="none"/>
          <w:u w:color="000000"/>
        </w:rPr>
        <w:t>万元，资产总额为</w:t>
      </w:r>
      <w:r>
        <w:rPr>
          <w:rFonts w:hint="eastAsia" w:ascii="宋体" w:hAnsi="宋体" w:eastAsia="宋体" w:cs="宋体"/>
          <w:color w:val="auto"/>
          <w:kern w:val="0"/>
          <w:sz w:val="24"/>
          <w:highlight w:val="none"/>
          <w:u w:val="single" w:color="000000"/>
        </w:rPr>
        <w:tab/>
      </w:r>
      <w:r>
        <w:rPr>
          <w:rFonts w:hint="eastAsia" w:ascii="宋体" w:hAnsi="宋体" w:eastAsia="宋体" w:cs="宋体"/>
          <w:color w:val="auto"/>
          <w:kern w:val="0"/>
          <w:sz w:val="24"/>
          <w:highlight w:val="none"/>
          <w:u w:color="000000"/>
        </w:rPr>
        <w:t>万元</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"_bookmark0"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position w:val="16"/>
          <w:sz w:val="24"/>
          <w:highlight w:val="none"/>
          <w:u w:color="000000"/>
        </w:rPr>
        <w:t>1</w:t>
      </w:r>
      <w:r>
        <w:rPr>
          <w:rFonts w:hint="eastAsia" w:ascii="宋体" w:hAnsi="宋体" w:eastAsia="宋体" w:cs="宋体"/>
          <w:color w:val="auto"/>
          <w:kern w:val="0"/>
          <w:position w:val="16"/>
          <w:sz w:val="24"/>
          <w:highlight w:val="none"/>
          <w:u w:color="000000"/>
        </w:rPr>
        <w:fldChar w:fldCharType="end"/>
      </w:r>
      <w:r>
        <w:rPr>
          <w:rFonts w:hint="eastAsia" w:ascii="宋体" w:hAnsi="宋体" w:eastAsia="宋体" w:cs="宋体"/>
          <w:color w:val="auto"/>
          <w:kern w:val="0"/>
          <w:sz w:val="24"/>
          <w:highlight w:val="none"/>
          <w:u w:color="000000"/>
        </w:rPr>
        <w:t>，属于</w:t>
      </w:r>
      <w:r>
        <w:rPr>
          <w:rFonts w:hint="eastAsia" w:ascii="宋体" w:hAnsi="宋体" w:eastAsia="宋体" w:cs="宋体"/>
          <w:i/>
          <w:color w:val="auto"/>
          <w:kern w:val="0"/>
          <w:sz w:val="24"/>
          <w:highlight w:val="none"/>
          <w:u w:val="single" w:color="000000"/>
        </w:rPr>
        <w:t>（中型企业、小型企业、微型企业）</w:t>
      </w:r>
      <w:r>
        <w:rPr>
          <w:rFonts w:hint="eastAsia" w:ascii="宋体" w:hAnsi="宋体" w:eastAsia="宋体" w:cs="宋体"/>
          <w:color w:val="auto"/>
          <w:kern w:val="0"/>
          <w:sz w:val="24"/>
          <w:highlight w:val="none"/>
          <w:u w:color="000000"/>
        </w:rPr>
        <w:t>；</w:t>
      </w:r>
    </w:p>
    <w:p w14:paraId="3791DC90">
      <w:pPr>
        <w:numPr>
          <w:ilvl w:val="0"/>
          <w:numId w:val="71"/>
        </w:numPr>
        <w:tabs>
          <w:tab w:val="left" w:pos="1165"/>
          <w:tab w:val="left" w:pos="1183"/>
          <w:tab w:val="left" w:pos="4362"/>
          <w:tab w:val="left" w:pos="6577"/>
        </w:tabs>
        <w:autoSpaceDE w:val="0"/>
        <w:autoSpaceDN w:val="0"/>
        <w:spacing w:line="360" w:lineRule="auto"/>
        <w:ind w:right="169" w:firstLine="646"/>
        <w:jc w:val="left"/>
        <w:rPr>
          <w:rFonts w:hint="eastAsia" w:ascii="宋体" w:hAnsi="宋体" w:eastAsia="宋体" w:cs="宋体"/>
          <w:color w:val="auto"/>
          <w:kern w:val="0"/>
          <w:sz w:val="24"/>
          <w:highlight w:val="none"/>
          <w:u w:color="000000"/>
        </w:rPr>
      </w:pPr>
      <w:r>
        <w:rPr>
          <w:rFonts w:hint="eastAsia" w:ascii="宋体" w:hAnsi="宋体" w:eastAsia="宋体" w:cs="宋体"/>
          <w:i/>
          <w:color w:val="auto"/>
          <w:kern w:val="0"/>
          <w:sz w:val="24"/>
          <w:highlight w:val="none"/>
          <w:u w:val="single" w:color="000000"/>
        </w:rPr>
        <w:t>（标的名称）</w:t>
      </w:r>
      <w:r>
        <w:rPr>
          <w:rFonts w:hint="eastAsia" w:ascii="宋体" w:hAnsi="宋体" w:eastAsia="宋体" w:cs="宋体"/>
          <w:color w:val="auto"/>
          <w:kern w:val="0"/>
          <w:sz w:val="24"/>
          <w:highlight w:val="none"/>
          <w:u w:color="000000"/>
        </w:rPr>
        <w:t>，属于</w:t>
      </w:r>
      <w:r>
        <w:rPr>
          <w:rFonts w:hint="eastAsia" w:ascii="宋体" w:hAnsi="宋体" w:eastAsia="宋体" w:cs="宋体"/>
          <w:i/>
          <w:color w:val="auto"/>
          <w:kern w:val="0"/>
          <w:sz w:val="24"/>
          <w:highlight w:val="none"/>
          <w:u w:color="000000"/>
        </w:rPr>
        <w:t>（</w:t>
      </w:r>
      <w:r>
        <w:rPr>
          <w:rFonts w:hint="eastAsia" w:ascii="宋体" w:hAnsi="宋体" w:eastAsia="宋体" w:cs="宋体"/>
          <w:i/>
          <w:color w:val="auto"/>
          <w:kern w:val="0"/>
          <w:sz w:val="24"/>
          <w:highlight w:val="none"/>
          <w:u w:val="single" w:color="000000"/>
        </w:rPr>
        <w:t>采购文件中明确的所属行业）行业</w:t>
      </w:r>
      <w:r>
        <w:rPr>
          <w:rFonts w:hint="eastAsia" w:ascii="宋体" w:hAnsi="宋体" w:eastAsia="宋体" w:cs="宋体"/>
          <w:color w:val="auto"/>
          <w:kern w:val="0"/>
          <w:sz w:val="24"/>
          <w:highlight w:val="none"/>
          <w:u w:color="000000"/>
        </w:rPr>
        <w:t>；制造商为</w:t>
      </w:r>
      <w:r>
        <w:rPr>
          <w:rFonts w:hint="eastAsia" w:ascii="宋体" w:hAnsi="宋体" w:eastAsia="宋体" w:cs="宋体"/>
          <w:i/>
          <w:color w:val="auto"/>
          <w:kern w:val="0"/>
          <w:sz w:val="24"/>
          <w:highlight w:val="none"/>
          <w:u w:val="single" w:color="000000"/>
        </w:rPr>
        <w:t>（企业名称）</w:t>
      </w:r>
      <w:r>
        <w:rPr>
          <w:rFonts w:hint="eastAsia" w:ascii="宋体" w:hAnsi="宋体" w:eastAsia="宋体" w:cs="宋体"/>
          <w:color w:val="auto"/>
          <w:kern w:val="0"/>
          <w:sz w:val="24"/>
          <w:highlight w:val="none"/>
          <w:u w:color="000000"/>
        </w:rPr>
        <w:t>，从业人员</w:t>
      </w:r>
      <w:r>
        <w:rPr>
          <w:rFonts w:hint="eastAsia" w:ascii="宋体" w:hAnsi="宋体" w:eastAsia="宋体" w:cs="宋体"/>
          <w:color w:val="auto"/>
          <w:kern w:val="0"/>
          <w:sz w:val="24"/>
          <w:highlight w:val="none"/>
          <w:u w:val="single" w:color="000000"/>
        </w:rPr>
        <w:tab/>
      </w:r>
      <w:r>
        <w:rPr>
          <w:rFonts w:hint="eastAsia" w:ascii="宋体" w:hAnsi="宋体" w:eastAsia="宋体" w:cs="宋体"/>
          <w:color w:val="auto"/>
          <w:kern w:val="0"/>
          <w:sz w:val="24"/>
          <w:highlight w:val="none"/>
          <w:u w:color="000000"/>
        </w:rPr>
        <w:t>人，营业收入为</w:t>
      </w:r>
      <w:r>
        <w:rPr>
          <w:rFonts w:hint="eastAsia" w:ascii="宋体" w:hAnsi="宋体" w:eastAsia="宋体" w:cs="宋体"/>
          <w:color w:val="auto"/>
          <w:kern w:val="0"/>
          <w:sz w:val="24"/>
          <w:highlight w:val="none"/>
          <w:u w:val="single" w:color="000000"/>
        </w:rPr>
        <w:tab/>
      </w:r>
      <w:r>
        <w:rPr>
          <w:rFonts w:hint="eastAsia" w:ascii="宋体" w:hAnsi="宋体" w:eastAsia="宋体" w:cs="宋体"/>
          <w:color w:val="auto"/>
          <w:kern w:val="0"/>
          <w:sz w:val="24"/>
          <w:highlight w:val="none"/>
          <w:u w:color="000000"/>
        </w:rPr>
        <w:t>万元，资产总额为</w:t>
      </w:r>
      <w:r>
        <w:rPr>
          <w:rFonts w:hint="eastAsia" w:ascii="宋体" w:hAnsi="宋体" w:eastAsia="宋体" w:cs="宋体"/>
          <w:color w:val="auto"/>
          <w:kern w:val="0"/>
          <w:sz w:val="24"/>
          <w:highlight w:val="none"/>
          <w:u w:val="single" w:color="000000"/>
        </w:rPr>
        <w:tab/>
      </w:r>
      <w:r>
        <w:rPr>
          <w:rFonts w:hint="eastAsia" w:ascii="宋体" w:hAnsi="宋体" w:eastAsia="宋体" w:cs="宋体"/>
          <w:color w:val="auto"/>
          <w:kern w:val="0"/>
          <w:sz w:val="24"/>
          <w:highlight w:val="none"/>
          <w:u w:color="000000"/>
        </w:rPr>
        <w:t>万元，属于</w:t>
      </w:r>
      <w:r>
        <w:rPr>
          <w:rFonts w:hint="eastAsia" w:ascii="宋体" w:hAnsi="宋体" w:eastAsia="宋体" w:cs="宋体"/>
          <w:i/>
          <w:color w:val="auto"/>
          <w:kern w:val="0"/>
          <w:sz w:val="24"/>
          <w:highlight w:val="none"/>
          <w:u w:val="single" w:color="000000"/>
        </w:rPr>
        <w:t>（中型企业、小型企业、微型企业）</w:t>
      </w:r>
      <w:r>
        <w:rPr>
          <w:rFonts w:hint="eastAsia" w:ascii="宋体" w:hAnsi="宋体" w:eastAsia="宋体" w:cs="宋体"/>
          <w:color w:val="auto"/>
          <w:kern w:val="0"/>
          <w:sz w:val="24"/>
          <w:highlight w:val="none"/>
          <w:u w:color="000000"/>
        </w:rPr>
        <w:t>；</w:t>
      </w:r>
    </w:p>
    <w:p w14:paraId="15BAA8CA">
      <w:pPr>
        <w:autoSpaceDE w:val="0"/>
        <w:autoSpaceDN w:val="0"/>
        <w:spacing w:line="360" w:lineRule="auto"/>
        <w:ind w:left="86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1C86CE7F">
      <w:pPr>
        <w:autoSpaceDE w:val="0"/>
        <w:autoSpaceDN w:val="0"/>
        <w:spacing w:line="360" w:lineRule="auto"/>
        <w:ind w:left="220" w:right="417" w:firstLine="64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以上企业，不属于大企业的分支机构，不存在控股股东为大企业的情形，也不存在与大企业的负责人为同一人的情形。</w:t>
      </w:r>
    </w:p>
    <w:p w14:paraId="11056DEB">
      <w:pPr>
        <w:autoSpaceDE w:val="0"/>
        <w:autoSpaceDN w:val="0"/>
        <w:spacing w:line="360" w:lineRule="auto"/>
        <w:ind w:left="220" w:right="372" w:firstLine="64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本企业对上述声明内容的真实性负责。如有虚假，将依法承担相应责任。</w:t>
      </w:r>
    </w:p>
    <w:p w14:paraId="5962F5BB">
      <w:pPr>
        <w:spacing w:line="360" w:lineRule="auto"/>
        <w:ind w:firstLine="504"/>
        <w:rPr>
          <w:rFonts w:hint="eastAsia" w:ascii="宋体" w:hAnsi="宋体" w:eastAsia="宋体" w:cs="宋体"/>
          <w:color w:val="auto"/>
          <w:spacing w:val="6"/>
          <w:sz w:val="24"/>
          <w:highlight w:val="none"/>
        </w:rPr>
      </w:pPr>
    </w:p>
    <w:p w14:paraId="6F2F9BB3">
      <w:pPr>
        <w:spacing w:line="360" w:lineRule="auto"/>
        <w:ind w:firstLine="504"/>
        <w:rPr>
          <w:rFonts w:hint="eastAsia" w:ascii="宋体" w:hAnsi="宋体" w:eastAsia="宋体" w:cs="宋体"/>
          <w:color w:val="auto"/>
          <w:spacing w:val="6"/>
          <w:sz w:val="24"/>
          <w:highlight w:val="none"/>
        </w:rPr>
      </w:pPr>
    </w:p>
    <w:p w14:paraId="3F12D42D">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企业名称（盖章）：________</w:t>
      </w:r>
    </w:p>
    <w:p w14:paraId="61BB0E37">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期：________</w:t>
      </w:r>
    </w:p>
    <w:p w14:paraId="4AC874C1">
      <w:pPr>
        <w:spacing w:line="360" w:lineRule="auto"/>
        <w:ind w:right="360" w:firstLine="480"/>
        <w:jc w:val="right"/>
        <w:rPr>
          <w:rFonts w:hint="eastAsia" w:ascii="宋体" w:hAnsi="宋体" w:eastAsia="宋体" w:cs="宋体"/>
          <w:color w:val="auto"/>
          <w:sz w:val="24"/>
          <w:highlight w:val="none"/>
        </w:rPr>
      </w:pPr>
    </w:p>
    <w:p w14:paraId="550018BE">
      <w:pPr>
        <w:spacing w:line="360" w:lineRule="auto"/>
        <w:ind w:right="360" w:firstLine="480"/>
        <w:jc w:val="right"/>
        <w:rPr>
          <w:rFonts w:hint="eastAsia" w:ascii="宋体" w:hAnsi="宋体" w:eastAsia="宋体" w:cs="宋体"/>
          <w:color w:val="auto"/>
          <w:sz w:val="24"/>
          <w:highlight w:val="none"/>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038EA5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29188A9">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tc>
      </w:tr>
    </w:tbl>
    <w:p w14:paraId="294E13CC">
      <w:pPr>
        <w:autoSpaceDE w:val="0"/>
        <w:autoSpaceDN w:val="0"/>
        <w:adjustRightInd w:val="0"/>
        <w:ind w:firstLine="420"/>
        <w:jc w:val="left"/>
        <w:rPr>
          <w:rFonts w:hint="eastAsia" w:ascii="宋体" w:hAnsi="宋体" w:eastAsia="宋体" w:cs="宋体"/>
          <w:color w:val="auto"/>
          <w:sz w:val="24"/>
          <w:highlight w:val="none"/>
        </w:rPr>
      </w:pPr>
    </w:p>
    <w:p w14:paraId="495BF377">
      <w:pPr>
        <w:spacing w:line="360" w:lineRule="auto"/>
        <w:rPr>
          <w:rFonts w:hint="eastAsia" w:ascii="宋体" w:hAnsi="宋体" w:eastAsia="宋体" w:cs="宋体"/>
          <w:color w:val="auto"/>
          <w:sz w:val="24"/>
          <w:highlight w:val="none"/>
        </w:rPr>
      </w:pPr>
    </w:p>
    <w:p w14:paraId="442AC33B">
      <w:pPr>
        <w:spacing w:line="360" w:lineRule="auto"/>
        <w:jc w:val="center"/>
        <w:outlineLvl w:val="9"/>
        <w:rPr>
          <w:rFonts w:hint="eastAsia" w:ascii="宋体" w:hAnsi="宋体" w:eastAsia="宋体" w:cs="宋体"/>
          <w:color w:val="auto"/>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6"/>
          <w:szCs w:val="36"/>
          <w:highlight w:val="none"/>
        </w:rPr>
        <w:t>残疾人福利性单位声明函格式</w:t>
      </w:r>
    </w:p>
    <w:p w14:paraId="0033BA8D">
      <w:pPr>
        <w:spacing w:line="588" w:lineRule="exact"/>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〔2017〕141</w:t>
      </w:r>
      <w:r>
        <w:rPr>
          <w:rFonts w:hint="eastAsia" w:ascii="宋体" w:hAnsi="宋体" w:eastAsia="宋体" w:cs="宋体"/>
          <w:color w:val="auto"/>
          <w:spacing w:val="6"/>
          <w:sz w:val="24"/>
          <w:highlight w:val="none"/>
        </w:rPr>
        <w:t>号）的规定，本单位</w:t>
      </w:r>
      <w:r>
        <w:rPr>
          <w:rFonts w:hint="eastAsia" w:ascii="宋体" w:hAnsi="宋体" w:eastAsia="宋体" w:cs="宋体"/>
          <w:b/>
          <w:color w:val="auto"/>
          <w:sz w:val="24"/>
          <w:highlight w:val="none"/>
        </w:rPr>
        <w:t>（请进行选择）</w:t>
      </w:r>
      <w:r>
        <w:rPr>
          <w:rFonts w:hint="eastAsia" w:ascii="宋体" w:hAnsi="宋体" w:eastAsia="宋体" w:cs="宋体"/>
          <w:color w:val="auto"/>
          <w:spacing w:val="6"/>
          <w:sz w:val="24"/>
          <w:highlight w:val="none"/>
        </w:rPr>
        <w:t>：</w:t>
      </w:r>
    </w:p>
    <w:p w14:paraId="06BFB152">
      <w:pPr>
        <w:spacing w:line="588" w:lineRule="exact"/>
        <w:ind w:firstLine="482"/>
        <w:rPr>
          <w:rFonts w:hint="eastAsia" w:ascii="宋体" w:hAnsi="宋体" w:eastAsia="宋体" w:cs="宋体"/>
          <w:b/>
          <w:color w:val="auto"/>
          <w:spacing w:val="6"/>
          <w:sz w:val="24"/>
          <w:highlight w:val="none"/>
        </w:rPr>
      </w:pPr>
      <w:r>
        <w:rPr>
          <w:rFonts w:hint="eastAsia" w:ascii="宋体" w:hAnsi="宋体" w:eastAsia="宋体" w:cs="宋体"/>
          <w:b/>
          <w:color w:val="auto"/>
          <w:sz w:val="24"/>
          <w:highlight w:val="none"/>
          <w:lang w:eastAsia="zh-CN"/>
        </w:rPr>
        <w:t>□</w:t>
      </w:r>
      <w:r>
        <w:rPr>
          <w:rFonts w:hint="eastAsia" w:ascii="宋体" w:hAnsi="宋体" w:eastAsia="宋体" w:cs="宋体"/>
          <w:b/>
          <w:color w:val="auto"/>
          <w:spacing w:val="6"/>
          <w:sz w:val="24"/>
          <w:highlight w:val="none"/>
        </w:rPr>
        <w:t>不属于符合条件的残疾人福利性单位。</w:t>
      </w:r>
    </w:p>
    <w:p w14:paraId="1D39B9B8">
      <w:pPr>
        <w:spacing w:line="588" w:lineRule="exact"/>
        <w:ind w:firstLine="482"/>
        <w:rPr>
          <w:rFonts w:hint="eastAsia" w:ascii="宋体" w:hAnsi="宋体" w:eastAsia="宋体" w:cs="宋体"/>
          <w:color w:val="auto"/>
          <w:spacing w:val="6"/>
          <w:sz w:val="24"/>
          <w:highlight w:val="none"/>
        </w:rPr>
      </w:pPr>
      <w:r>
        <w:rPr>
          <w:rFonts w:hint="eastAsia" w:ascii="宋体" w:hAnsi="宋体" w:eastAsia="宋体" w:cs="宋体"/>
          <w:b/>
          <w:color w:val="auto"/>
          <w:sz w:val="24"/>
          <w:highlight w:val="none"/>
          <w:lang w:eastAsia="zh-CN"/>
        </w:rPr>
        <w:t>□</w:t>
      </w:r>
      <w:r>
        <w:rPr>
          <w:rFonts w:hint="eastAsia" w:ascii="宋体" w:hAnsi="宋体" w:eastAsia="宋体" w:cs="宋体"/>
          <w:b/>
          <w:color w:val="auto"/>
          <w:spacing w:val="6"/>
          <w:sz w:val="24"/>
          <w:highlight w:val="none"/>
        </w:rPr>
        <w:t>属于符合条件的残疾人福利性单位，</w:t>
      </w:r>
      <w:r>
        <w:rPr>
          <w:rFonts w:hint="eastAsia" w:ascii="宋体" w:hAnsi="宋体" w:eastAsia="宋体" w:cs="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79705B9A">
      <w:pPr>
        <w:spacing w:line="588" w:lineRule="exact"/>
        <w:ind w:firstLine="506" w:firstLineChars="200"/>
        <w:rPr>
          <w:rFonts w:hint="eastAsia" w:ascii="宋体" w:hAnsi="宋体" w:eastAsia="宋体" w:cs="宋体"/>
          <w:color w:val="auto"/>
          <w:spacing w:val="6"/>
          <w:sz w:val="24"/>
          <w:highlight w:val="none"/>
        </w:rPr>
      </w:pPr>
      <w:r>
        <w:rPr>
          <w:rFonts w:hint="eastAsia" w:ascii="宋体" w:hAnsi="宋体" w:eastAsia="宋体" w:cs="宋体"/>
          <w:b/>
          <w:color w:val="auto"/>
          <w:spacing w:val="6"/>
          <w:sz w:val="24"/>
          <w:highlight w:val="none"/>
        </w:rPr>
        <w:t>本单位对上述声明的真实性负责。如有虚假，将依法承担相应责任。</w:t>
      </w:r>
    </w:p>
    <w:p w14:paraId="626DC6E4">
      <w:pPr>
        <w:spacing w:line="588" w:lineRule="exact"/>
        <w:ind w:firstLine="504" w:firstLineChars="200"/>
        <w:rPr>
          <w:rFonts w:hint="eastAsia" w:ascii="宋体" w:hAnsi="宋体" w:eastAsia="宋体" w:cs="宋体"/>
          <w:color w:val="auto"/>
          <w:spacing w:val="6"/>
          <w:sz w:val="24"/>
          <w:highlight w:val="none"/>
        </w:rPr>
      </w:pPr>
    </w:p>
    <w:p w14:paraId="6775BD9F">
      <w:pPr>
        <w:spacing w:line="588" w:lineRule="exact"/>
        <w:ind w:firstLine="504" w:firstLineChars="200"/>
        <w:rPr>
          <w:rFonts w:hint="eastAsia" w:ascii="宋体" w:hAnsi="宋体" w:eastAsia="宋体" w:cs="宋体"/>
          <w:color w:val="auto"/>
          <w:spacing w:val="6"/>
          <w:sz w:val="24"/>
          <w:highlight w:val="none"/>
        </w:rPr>
      </w:pPr>
    </w:p>
    <w:p w14:paraId="7A179021">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单位名称（盖章）：</w:t>
      </w:r>
    </w:p>
    <w:p w14:paraId="3E959BBB">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  期：</w:t>
      </w:r>
    </w:p>
    <w:p w14:paraId="4B043FB3">
      <w:pPr>
        <w:pStyle w:val="4"/>
        <w:bidi w:val="0"/>
        <w:rPr>
          <w:rFonts w:hint="eastAsia" w:ascii="宋体" w:hAnsi="宋体" w:eastAsia="宋体" w:cs="宋体"/>
          <w:color w:val="auto"/>
          <w:highlight w:val="none"/>
        </w:rPr>
      </w:pPr>
      <w:r>
        <w:rPr>
          <w:rFonts w:hint="eastAsia" w:ascii="宋体" w:hAnsi="宋体" w:eastAsia="宋体" w:cs="宋体"/>
          <w:color w:val="auto"/>
          <w:szCs w:val="20"/>
          <w:highlight w:val="none"/>
        </w:rPr>
        <w:br w:type="page"/>
      </w:r>
      <w:r>
        <w:rPr>
          <w:rFonts w:hint="eastAsia" w:ascii="宋体" w:hAnsi="宋体" w:eastAsia="宋体" w:cs="宋体"/>
          <w:color w:val="auto"/>
          <w:highlight w:val="none"/>
        </w:rPr>
        <w:t>拟分包情况说明</w:t>
      </w:r>
    </w:p>
    <w:p w14:paraId="4F258074">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拟分包情况说明</w:t>
      </w:r>
    </w:p>
    <w:p w14:paraId="6E1C0438">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（采购人或采购代理机构）</w:t>
      </w:r>
    </w:p>
    <w:p w14:paraId="43994FED">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0292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4C6AA08">
            <w:pPr>
              <w:pStyle w:val="25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87" w:type="dxa"/>
            <w:vAlign w:val="center"/>
          </w:tcPr>
          <w:p w14:paraId="460FB20C">
            <w:pPr>
              <w:pStyle w:val="25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分包承担</w:t>
            </w:r>
          </w:p>
          <w:p w14:paraId="62C5E710">
            <w:pPr>
              <w:pStyle w:val="25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主体名称</w:t>
            </w:r>
          </w:p>
        </w:tc>
        <w:tc>
          <w:tcPr>
            <w:tcW w:w="1513" w:type="dxa"/>
            <w:vAlign w:val="center"/>
          </w:tcPr>
          <w:p w14:paraId="104A40C2">
            <w:pPr>
              <w:pStyle w:val="256"/>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分包承担</w:t>
            </w:r>
          </w:p>
          <w:p w14:paraId="750C5739">
            <w:pPr>
              <w:pStyle w:val="256"/>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主体类型</w:t>
            </w:r>
          </w:p>
          <w:p w14:paraId="058D86C8">
            <w:pPr>
              <w:pStyle w:val="256"/>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（选择）</w:t>
            </w:r>
          </w:p>
        </w:tc>
        <w:tc>
          <w:tcPr>
            <w:tcW w:w="1125" w:type="dxa"/>
            <w:vAlign w:val="center"/>
          </w:tcPr>
          <w:p w14:paraId="577BDB80">
            <w:pPr>
              <w:pStyle w:val="25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资质等级</w:t>
            </w:r>
          </w:p>
        </w:tc>
        <w:tc>
          <w:tcPr>
            <w:tcW w:w="1558" w:type="dxa"/>
            <w:vAlign w:val="center"/>
          </w:tcPr>
          <w:p w14:paraId="3ABD996B">
            <w:pPr>
              <w:pStyle w:val="25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拟分包</w:t>
            </w:r>
          </w:p>
          <w:p w14:paraId="28621E46">
            <w:pPr>
              <w:pStyle w:val="25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合同内容</w:t>
            </w:r>
          </w:p>
        </w:tc>
        <w:tc>
          <w:tcPr>
            <w:tcW w:w="1498" w:type="dxa"/>
            <w:vAlign w:val="center"/>
          </w:tcPr>
          <w:p w14:paraId="2A338785">
            <w:pPr>
              <w:pStyle w:val="256"/>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拟分包</w:t>
            </w:r>
          </w:p>
          <w:p w14:paraId="4AD3DEA2">
            <w:pPr>
              <w:pStyle w:val="256"/>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合同金额</w:t>
            </w:r>
          </w:p>
          <w:p w14:paraId="4E287AD1">
            <w:pPr>
              <w:pStyle w:val="256"/>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（人民币元）</w:t>
            </w:r>
          </w:p>
        </w:tc>
        <w:tc>
          <w:tcPr>
            <w:tcW w:w="1564" w:type="dxa"/>
            <w:vAlign w:val="center"/>
          </w:tcPr>
          <w:p w14:paraId="067F2149">
            <w:pPr>
              <w:pStyle w:val="256"/>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占合同金额</w:t>
            </w:r>
          </w:p>
          <w:p w14:paraId="37AC4F68">
            <w:pPr>
              <w:pStyle w:val="256"/>
              <w:jc w:val="center"/>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lang w:eastAsia="zh-CN"/>
              </w:rPr>
              <w:t>的比例（%）</w:t>
            </w:r>
          </w:p>
        </w:tc>
      </w:tr>
      <w:tr w14:paraId="36C38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FA89AEA">
            <w:pPr>
              <w:pStyle w:val="25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87" w:type="dxa"/>
            <w:vAlign w:val="center"/>
          </w:tcPr>
          <w:p w14:paraId="1876338C">
            <w:pPr>
              <w:pStyle w:val="256"/>
              <w:jc w:val="center"/>
              <w:rPr>
                <w:rFonts w:hint="eastAsia" w:ascii="宋体" w:hAnsi="宋体" w:eastAsia="宋体" w:cs="宋体"/>
                <w:color w:val="auto"/>
                <w:sz w:val="30"/>
                <w:highlight w:val="none"/>
              </w:rPr>
            </w:pPr>
          </w:p>
        </w:tc>
        <w:tc>
          <w:tcPr>
            <w:tcW w:w="1513" w:type="dxa"/>
            <w:vAlign w:val="center"/>
          </w:tcPr>
          <w:p w14:paraId="0701A3F1">
            <w:pPr>
              <w:pStyle w:val="256"/>
              <w:tabs>
                <w:tab w:val="left" w:pos="235"/>
              </w:tabs>
              <w:ind w:left="1" w:leftChars="-43" w:hanging="91" w:hangingChars="3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□中型企业</w:t>
            </w:r>
          </w:p>
          <w:p w14:paraId="73EFD7B5">
            <w:pPr>
              <w:pStyle w:val="256"/>
              <w:tabs>
                <w:tab w:val="left" w:pos="235"/>
              </w:tabs>
              <w:ind w:left="1" w:leftChars="-43" w:hanging="91" w:hangingChars="3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□小微企业</w:t>
            </w:r>
          </w:p>
          <w:p w14:paraId="7C2339B1">
            <w:pPr>
              <w:pStyle w:val="256"/>
              <w:tabs>
                <w:tab w:val="left" w:pos="235"/>
              </w:tabs>
              <w:ind w:left="1" w:leftChars="-43" w:hanging="91" w:hangingChars="3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□其他</w:t>
            </w:r>
          </w:p>
        </w:tc>
        <w:tc>
          <w:tcPr>
            <w:tcW w:w="1125" w:type="dxa"/>
            <w:vAlign w:val="center"/>
          </w:tcPr>
          <w:p w14:paraId="74F37BF7">
            <w:pPr>
              <w:pStyle w:val="256"/>
              <w:jc w:val="center"/>
              <w:rPr>
                <w:rFonts w:hint="eastAsia" w:ascii="宋体" w:hAnsi="宋体" w:eastAsia="宋体" w:cs="宋体"/>
                <w:color w:val="auto"/>
                <w:sz w:val="30"/>
                <w:highlight w:val="none"/>
                <w:lang w:eastAsia="zh-CN"/>
              </w:rPr>
            </w:pPr>
          </w:p>
        </w:tc>
        <w:tc>
          <w:tcPr>
            <w:tcW w:w="1558" w:type="dxa"/>
            <w:vAlign w:val="center"/>
          </w:tcPr>
          <w:p w14:paraId="78FA7165">
            <w:pPr>
              <w:pStyle w:val="256"/>
              <w:jc w:val="center"/>
              <w:rPr>
                <w:rFonts w:hint="eastAsia" w:ascii="宋体" w:hAnsi="宋体" w:eastAsia="宋体" w:cs="宋体"/>
                <w:color w:val="auto"/>
                <w:sz w:val="30"/>
                <w:highlight w:val="none"/>
                <w:lang w:eastAsia="zh-CN"/>
              </w:rPr>
            </w:pPr>
          </w:p>
        </w:tc>
        <w:tc>
          <w:tcPr>
            <w:tcW w:w="1498" w:type="dxa"/>
            <w:vAlign w:val="center"/>
          </w:tcPr>
          <w:p w14:paraId="738AC3A2">
            <w:pPr>
              <w:pStyle w:val="256"/>
              <w:jc w:val="center"/>
              <w:rPr>
                <w:rFonts w:hint="eastAsia" w:ascii="宋体" w:hAnsi="宋体" w:eastAsia="宋体" w:cs="宋体"/>
                <w:color w:val="auto"/>
                <w:sz w:val="30"/>
                <w:highlight w:val="none"/>
                <w:lang w:eastAsia="zh-CN"/>
              </w:rPr>
            </w:pPr>
          </w:p>
        </w:tc>
        <w:tc>
          <w:tcPr>
            <w:tcW w:w="1564" w:type="dxa"/>
            <w:vAlign w:val="center"/>
          </w:tcPr>
          <w:p w14:paraId="4CE3096F">
            <w:pPr>
              <w:pStyle w:val="256"/>
              <w:jc w:val="center"/>
              <w:rPr>
                <w:rFonts w:hint="eastAsia" w:ascii="宋体" w:hAnsi="宋体" w:eastAsia="宋体" w:cs="宋体"/>
                <w:color w:val="auto"/>
                <w:sz w:val="30"/>
                <w:highlight w:val="none"/>
                <w:lang w:eastAsia="zh-CN"/>
              </w:rPr>
            </w:pPr>
          </w:p>
        </w:tc>
      </w:tr>
      <w:tr w14:paraId="25FA8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2B964F3">
            <w:pPr>
              <w:pStyle w:val="256"/>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w:t>
            </w:r>
          </w:p>
        </w:tc>
        <w:tc>
          <w:tcPr>
            <w:tcW w:w="1287" w:type="dxa"/>
            <w:vAlign w:val="center"/>
          </w:tcPr>
          <w:p w14:paraId="3B557CC0">
            <w:pPr>
              <w:pStyle w:val="256"/>
              <w:jc w:val="center"/>
              <w:rPr>
                <w:rFonts w:hint="eastAsia" w:ascii="宋体" w:hAnsi="宋体" w:eastAsia="宋体" w:cs="宋体"/>
                <w:color w:val="auto"/>
                <w:sz w:val="30"/>
                <w:highlight w:val="none"/>
              </w:rPr>
            </w:pPr>
          </w:p>
        </w:tc>
        <w:tc>
          <w:tcPr>
            <w:tcW w:w="1513" w:type="dxa"/>
            <w:vAlign w:val="center"/>
          </w:tcPr>
          <w:p w14:paraId="5B17F980">
            <w:pPr>
              <w:pStyle w:val="256"/>
              <w:tabs>
                <w:tab w:val="left" w:pos="235"/>
              </w:tabs>
              <w:ind w:left="1" w:leftChars="-43" w:hanging="91" w:hangingChars="3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□中型企业</w:t>
            </w:r>
          </w:p>
          <w:p w14:paraId="44FF98D8">
            <w:pPr>
              <w:pStyle w:val="256"/>
              <w:tabs>
                <w:tab w:val="left" w:pos="235"/>
              </w:tabs>
              <w:ind w:left="1" w:leftChars="-43" w:hanging="91" w:hangingChars="3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□小微企业</w:t>
            </w:r>
          </w:p>
          <w:p w14:paraId="7E89FD13">
            <w:pPr>
              <w:pStyle w:val="256"/>
              <w:tabs>
                <w:tab w:val="left" w:pos="235"/>
              </w:tabs>
              <w:ind w:left="1" w:leftChars="-43" w:hanging="91" w:hangingChars="3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□其他</w:t>
            </w:r>
          </w:p>
        </w:tc>
        <w:tc>
          <w:tcPr>
            <w:tcW w:w="1125" w:type="dxa"/>
            <w:vAlign w:val="center"/>
          </w:tcPr>
          <w:p w14:paraId="0B57F93F">
            <w:pPr>
              <w:pStyle w:val="256"/>
              <w:jc w:val="center"/>
              <w:rPr>
                <w:rFonts w:hint="eastAsia" w:ascii="宋体" w:hAnsi="宋体" w:eastAsia="宋体" w:cs="宋体"/>
                <w:color w:val="auto"/>
                <w:sz w:val="30"/>
                <w:highlight w:val="none"/>
                <w:lang w:eastAsia="zh-CN"/>
              </w:rPr>
            </w:pPr>
          </w:p>
        </w:tc>
        <w:tc>
          <w:tcPr>
            <w:tcW w:w="1558" w:type="dxa"/>
            <w:vAlign w:val="center"/>
          </w:tcPr>
          <w:p w14:paraId="18706287">
            <w:pPr>
              <w:pStyle w:val="256"/>
              <w:jc w:val="center"/>
              <w:rPr>
                <w:rFonts w:hint="eastAsia" w:ascii="宋体" w:hAnsi="宋体" w:eastAsia="宋体" w:cs="宋体"/>
                <w:color w:val="auto"/>
                <w:sz w:val="30"/>
                <w:highlight w:val="none"/>
                <w:lang w:eastAsia="zh-CN"/>
              </w:rPr>
            </w:pPr>
          </w:p>
        </w:tc>
        <w:tc>
          <w:tcPr>
            <w:tcW w:w="1498" w:type="dxa"/>
            <w:vAlign w:val="center"/>
          </w:tcPr>
          <w:p w14:paraId="263553A9">
            <w:pPr>
              <w:pStyle w:val="256"/>
              <w:jc w:val="center"/>
              <w:rPr>
                <w:rFonts w:hint="eastAsia" w:ascii="宋体" w:hAnsi="宋体" w:eastAsia="宋体" w:cs="宋体"/>
                <w:color w:val="auto"/>
                <w:sz w:val="30"/>
                <w:highlight w:val="none"/>
                <w:lang w:eastAsia="zh-CN"/>
              </w:rPr>
            </w:pPr>
          </w:p>
        </w:tc>
        <w:tc>
          <w:tcPr>
            <w:tcW w:w="1564" w:type="dxa"/>
            <w:vAlign w:val="center"/>
          </w:tcPr>
          <w:p w14:paraId="5A469295">
            <w:pPr>
              <w:pStyle w:val="256"/>
              <w:jc w:val="center"/>
              <w:rPr>
                <w:rFonts w:hint="eastAsia" w:ascii="宋体" w:hAnsi="宋体" w:eastAsia="宋体" w:cs="宋体"/>
                <w:color w:val="auto"/>
                <w:sz w:val="30"/>
                <w:highlight w:val="none"/>
                <w:lang w:eastAsia="zh-CN"/>
              </w:rPr>
            </w:pPr>
          </w:p>
        </w:tc>
      </w:tr>
      <w:tr w14:paraId="49992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5FF8615">
            <w:pPr>
              <w:pStyle w:val="256"/>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p>
        </w:tc>
        <w:tc>
          <w:tcPr>
            <w:tcW w:w="1287" w:type="dxa"/>
            <w:vAlign w:val="center"/>
          </w:tcPr>
          <w:p w14:paraId="450D6015">
            <w:pPr>
              <w:pStyle w:val="256"/>
              <w:jc w:val="center"/>
              <w:rPr>
                <w:rFonts w:hint="eastAsia" w:ascii="宋体" w:hAnsi="宋体" w:eastAsia="宋体" w:cs="宋体"/>
                <w:color w:val="auto"/>
                <w:sz w:val="30"/>
                <w:highlight w:val="none"/>
              </w:rPr>
            </w:pPr>
          </w:p>
        </w:tc>
        <w:tc>
          <w:tcPr>
            <w:tcW w:w="1513" w:type="dxa"/>
            <w:vAlign w:val="center"/>
          </w:tcPr>
          <w:p w14:paraId="140FBF64">
            <w:pPr>
              <w:pStyle w:val="256"/>
              <w:tabs>
                <w:tab w:val="left" w:pos="235"/>
              </w:tabs>
              <w:jc w:val="center"/>
              <w:rPr>
                <w:rFonts w:hint="eastAsia" w:ascii="宋体" w:hAnsi="宋体" w:eastAsia="宋体" w:cs="宋体"/>
                <w:color w:val="auto"/>
                <w:sz w:val="24"/>
                <w:highlight w:val="none"/>
              </w:rPr>
            </w:pPr>
          </w:p>
        </w:tc>
        <w:tc>
          <w:tcPr>
            <w:tcW w:w="1125" w:type="dxa"/>
            <w:vAlign w:val="center"/>
          </w:tcPr>
          <w:p w14:paraId="73928467">
            <w:pPr>
              <w:pStyle w:val="256"/>
              <w:jc w:val="center"/>
              <w:rPr>
                <w:rFonts w:hint="eastAsia" w:ascii="宋体" w:hAnsi="宋体" w:eastAsia="宋体" w:cs="宋体"/>
                <w:color w:val="auto"/>
                <w:sz w:val="30"/>
                <w:highlight w:val="none"/>
              </w:rPr>
            </w:pPr>
          </w:p>
        </w:tc>
        <w:tc>
          <w:tcPr>
            <w:tcW w:w="1558" w:type="dxa"/>
            <w:vAlign w:val="center"/>
          </w:tcPr>
          <w:p w14:paraId="205AE7AF">
            <w:pPr>
              <w:pStyle w:val="256"/>
              <w:jc w:val="center"/>
              <w:rPr>
                <w:rFonts w:hint="eastAsia" w:ascii="宋体" w:hAnsi="宋体" w:eastAsia="宋体" w:cs="宋体"/>
                <w:color w:val="auto"/>
                <w:sz w:val="30"/>
                <w:highlight w:val="none"/>
              </w:rPr>
            </w:pPr>
          </w:p>
        </w:tc>
        <w:tc>
          <w:tcPr>
            <w:tcW w:w="1498" w:type="dxa"/>
            <w:vAlign w:val="center"/>
          </w:tcPr>
          <w:p w14:paraId="3889CA00">
            <w:pPr>
              <w:pStyle w:val="256"/>
              <w:jc w:val="center"/>
              <w:rPr>
                <w:rFonts w:hint="eastAsia" w:ascii="宋体" w:hAnsi="宋体" w:eastAsia="宋体" w:cs="宋体"/>
                <w:color w:val="auto"/>
                <w:sz w:val="30"/>
                <w:highlight w:val="none"/>
              </w:rPr>
            </w:pPr>
          </w:p>
        </w:tc>
        <w:tc>
          <w:tcPr>
            <w:tcW w:w="1564" w:type="dxa"/>
            <w:vAlign w:val="center"/>
          </w:tcPr>
          <w:p w14:paraId="1492647B">
            <w:pPr>
              <w:pStyle w:val="256"/>
              <w:jc w:val="center"/>
              <w:rPr>
                <w:rFonts w:hint="eastAsia" w:ascii="宋体" w:hAnsi="宋体" w:eastAsia="宋体" w:cs="宋体"/>
                <w:color w:val="auto"/>
                <w:sz w:val="30"/>
                <w:highlight w:val="none"/>
              </w:rPr>
            </w:pPr>
          </w:p>
        </w:tc>
      </w:tr>
      <w:tr w14:paraId="45B16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E81540C">
            <w:pPr>
              <w:pStyle w:val="256"/>
              <w:ind w:right="57" w:rightChars="27"/>
              <w:jc w:val="righ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合计：</w:t>
            </w:r>
          </w:p>
        </w:tc>
        <w:tc>
          <w:tcPr>
            <w:tcW w:w="1498" w:type="dxa"/>
            <w:vAlign w:val="center"/>
          </w:tcPr>
          <w:p w14:paraId="13E17765">
            <w:pPr>
              <w:pStyle w:val="256"/>
              <w:jc w:val="center"/>
              <w:rPr>
                <w:rFonts w:hint="eastAsia" w:ascii="宋体" w:hAnsi="宋体" w:eastAsia="宋体" w:cs="宋体"/>
                <w:color w:val="auto"/>
                <w:sz w:val="30"/>
                <w:highlight w:val="none"/>
              </w:rPr>
            </w:pPr>
          </w:p>
        </w:tc>
        <w:tc>
          <w:tcPr>
            <w:tcW w:w="1564" w:type="dxa"/>
            <w:vAlign w:val="center"/>
          </w:tcPr>
          <w:p w14:paraId="0E9CA5E9">
            <w:pPr>
              <w:pStyle w:val="256"/>
              <w:jc w:val="center"/>
              <w:rPr>
                <w:rFonts w:hint="eastAsia" w:ascii="宋体" w:hAnsi="宋体" w:eastAsia="宋体" w:cs="宋体"/>
                <w:color w:val="auto"/>
                <w:sz w:val="30"/>
                <w:highlight w:val="none"/>
              </w:rPr>
            </w:pPr>
          </w:p>
        </w:tc>
      </w:tr>
    </w:tbl>
    <w:p w14:paraId="0588BC90">
      <w:pPr>
        <w:adjustRightInd w:val="0"/>
        <w:snapToGrid w:val="0"/>
        <w:spacing w:line="360" w:lineRule="auto"/>
        <w:ind w:firstLine="480" w:firstLineChars="200"/>
        <w:jc w:val="left"/>
        <w:rPr>
          <w:rFonts w:hint="eastAsia" w:ascii="宋体" w:hAnsi="宋体" w:eastAsia="宋体" w:cs="宋体"/>
          <w:color w:val="auto"/>
          <w:sz w:val="24"/>
          <w:highlight w:val="none"/>
        </w:rPr>
      </w:pPr>
    </w:p>
    <w:p w14:paraId="0E905A27">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 </w:t>
      </w:r>
    </w:p>
    <w:p w14:paraId="6521EBEE">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如本项目（包）允许分包，且投标人拟进行分包时，必须提供；如未提供，或提供了但未填写分包承担主体名称、拟分包合同内容、拟分包合同金额，</w:t>
      </w:r>
      <w:r>
        <w:rPr>
          <w:rFonts w:hint="eastAsia" w:ascii="宋体" w:hAnsi="宋体" w:eastAsia="宋体" w:cs="宋体"/>
          <w:b/>
          <w:bCs/>
          <w:color w:val="auto"/>
          <w:sz w:val="24"/>
          <w:highlight w:val="none"/>
          <w:lang w:eastAsia="zh-CN"/>
        </w:rPr>
        <w:t>投标无效</w:t>
      </w:r>
      <w:r>
        <w:rPr>
          <w:rFonts w:hint="eastAsia" w:ascii="宋体" w:hAnsi="宋体" w:eastAsia="宋体" w:cs="宋体"/>
          <w:color w:val="auto"/>
          <w:sz w:val="24"/>
          <w:highlight w:val="none"/>
        </w:rPr>
        <w:t>。</w:t>
      </w:r>
    </w:p>
    <w:p w14:paraId="061A5C77">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2.如本招标文件《投标人须知资料表》载明本项目分包承担主体应具备的相应资质条件，则投标人须在本表中列明分包承担主体的资质等级，并后附资质证书电子件，否则</w:t>
      </w:r>
      <w:r>
        <w:rPr>
          <w:rFonts w:hint="eastAsia" w:ascii="宋体" w:hAnsi="宋体" w:eastAsia="宋体" w:cs="宋体"/>
          <w:b/>
          <w:bCs/>
          <w:color w:val="auto"/>
          <w:sz w:val="24"/>
          <w:highlight w:val="none"/>
          <w:lang w:eastAsia="zh-CN"/>
        </w:rPr>
        <w:t>投标无效</w:t>
      </w:r>
      <w:r>
        <w:rPr>
          <w:rFonts w:hint="eastAsia" w:ascii="宋体" w:hAnsi="宋体" w:eastAsia="宋体" w:cs="宋体"/>
          <w:color w:val="auto"/>
          <w:sz w:val="24"/>
          <w:highlight w:val="none"/>
        </w:rPr>
        <w:t>。</w:t>
      </w:r>
    </w:p>
    <w:p w14:paraId="0379B870">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D26643B">
      <w:pPr>
        <w:adjustRightInd w:val="0"/>
        <w:snapToGrid w:val="0"/>
        <w:spacing w:line="360" w:lineRule="auto"/>
        <w:jc w:val="left"/>
        <w:rPr>
          <w:rFonts w:hint="eastAsia" w:ascii="宋体" w:hAnsi="宋体" w:eastAsia="宋体" w:cs="宋体"/>
          <w:color w:val="auto"/>
          <w:sz w:val="24"/>
          <w:highlight w:val="none"/>
        </w:rPr>
      </w:pPr>
    </w:p>
    <w:p w14:paraId="23D37EBB">
      <w:pPr>
        <w:adjustRightInd w:val="0"/>
        <w:snapToGrid w:val="0"/>
        <w:spacing w:line="36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投标人名称（盖章）：______</w:t>
      </w:r>
    </w:p>
    <w:p w14:paraId="64F955C8">
      <w:pPr>
        <w:adjustRightInd w:val="0"/>
        <w:snapToGrid w:val="0"/>
        <w:spacing w:line="36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日期：_____年______月______日</w:t>
      </w:r>
    </w:p>
    <w:p w14:paraId="5112160D">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08A66FD">
      <w:pPr>
        <w:autoSpaceDE w:val="0"/>
        <w:autoSpaceDN w:val="0"/>
        <w:adjustRightInd w:val="0"/>
        <w:spacing w:line="360" w:lineRule="auto"/>
        <w:jc w:val="center"/>
        <w:rPr>
          <w:rFonts w:hint="eastAsia" w:ascii="宋体" w:hAnsi="宋体" w:eastAsia="宋体" w:cs="宋体"/>
          <w:b/>
          <w:color w:val="auto"/>
          <w:sz w:val="36"/>
          <w:szCs w:val="36"/>
          <w:highlight w:val="none"/>
        </w:rPr>
      </w:pPr>
      <w:bookmarkStart w:id="58" w:name="_Hlk176956326"/>
      <w:r>
        <w:rPr>
          <w:rFonts w:hint="eastAsia" w:ascii="宋体" w:hAnsi="宋体" w:eastAsia="宋体" w:cs="宋体"/>
          <w:b/>
          <w:color w:val="auto"/>
          <w:sz w:val="36"/>
          <w:szCs w:val="36"/>
          <w:highlight w:val="none"/>
        </w:rPr>
        <w:t>分包意向协议</w:t>
      </w:r>
    </w:p>
    <w:p w14:paraId="40A041A3">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甲方（投标人）：________</w:t>
      </w:r>
    </w:p>
    <w:p w14:paraId="40610CE7">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乙方（拟分包单位）：________</w:t>
      </w:r>
    </w:p>
    <w:p w14:paraId="212A97FF">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甲方承诺，一旦在_________（采购项目名称）（项目编号/包号为：_______）招标采购项目中获得采购合同，将按照下述约定将合同项下部分内容分包给乙方：</w:t>
      </w:r>
    </w:p>
    <w:p w14:paraId="359E4B26">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1.分包内容：_____。</w:t>
      </w:r>
    </w:p>
    <w:p w14:paraId="45E4AF6A">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2.分包金额：_____，该金额占该采购包合同金额的比例为___%。</w:t>
      </w:r>
    </w:p>
    <w:p w14:paraId="4C8930AD">
      <w:pPr>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乙方承诺将在上述情况下与甲方签订分包合同。</w:t>
      </w:r>
    </w:p>
    <w:p w14:paraId="7DACD3F7">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本协议自各方盖章之日起生效，如甲方未在该项目（采购包）中标，本协议自动终止。</w:t>
      </w:r>
    </w:p>
    <w:p w14:paraId="1F5A6B4E">
      <w:pPr>
        <w:spacing w:line="360" w:lineRule="auto"/>
        <w:ind w:firstLine="471"/>
        <w:rPr>
          <w:rFonts w:hint="eastAsia" w:ascii="宋体" w:hAnsi="宋体" w:eastAsia="宋体" w:cs="宋体"/>
          <w:b/>
          <w:color w:val="auto"/>
          <w:sz w:val="24"/>
          <w:highlight w:val="none"/>
        </w:rPr>
      </w:pPr>
    </w:p>
    <w:p w14:paraId="2E87DB4D">
      <w:pPr>
        <w:spacing w:line="360" w:lineRule="auto"/>
        <w:ind w:firstLine="471"/>
        <w:rPr>
          <w:rFonts w:hint="eastAsia" w:ascii="宋体" w:hAnsi="宋体" w:eastAsia="宋体" w:cs="宋体"/>
          <w:b/>
          <w:color w:val="auto"/>
          <w:sz w:val="24"/>
          <w:highlight w:val="none"/>
        </w:rPr>
      </w:pPr>
      <w:r>
        <w:rPr>
          <w:rFonts w:hint="eastAsia" w:ascii="宋体" w:hAnsi="宋体" w:eastAsia="宋体" w:cs="宋体"/>
          <w:color w:val="auto"/>
          <w:sz w:val="24"/>
          <w:highlight w:val="none"/>
        </w:rPr>
        <w:t>甲方（盖章）：_________                 乙方（盖章）：_________</w:t>
      </w:r>
    </w:p>
    <w:p w14:paraId="028FDFD2">
      <w:pPr>
        <w:spacing w:line="360" w:lineRule="auto"/>
        <w:ind w:left="480"/>
        <w:jc w:val="right"/>
        <w:rPr>
          <w:rFonts w:hint="eastAsia" w:ascii="宋体" w:hAnsi="宋体" w:eastAsia="宋体" w:cs="宋体"/>
          <w:color w:val="auto"/>
          <w:sz w:val="24"/>
          <w:highlight w:val="none"/>
        </w:rPr>
      </w:pPr>
    </w:p>
    <w:p w14:paraId="29C35865">
      <w:pPr>
        <w:wordWrap w:val="0"/>
        <w:spacing w:line="360" w:lineRule="auto"/>
        <w:ind w:left="480"/>
        <w:jc w:val="right"/>
        <w:rPr>
          <w:rFonts w:hint="eastAsia" w:ascii="宋体" w:hAnsi="宋体" w:eastAsia="宋体" w:cs="宋体"/>
          <w:b/>
          <w:color w:val="auto"/>
          <w:sz w:val="24"/>
          <w:highlight w:val="none"/>
        </w:rPr>
      </w:pPr>
      <w:r>
        <w:rPr>
          <w:rFonts w:hint="eastAsia" w:ascii="宋体" w:hAnsi="宋体" w:eastAsia="宋体" w:cs="宋体"/>
          <w:color w:val="auto"/>
          <w:sz w:val="24"/>
          <w:szCs w:val="20"/>
          <w:highlight w:val="none"/>
        </w:rPr>
        <w:t xml:space="preserve">日期：_____年______月______日   </w:t>
      </w:r>
    </w:p>
    <w:p w14:paraId="7960AF02">
      <w:pPr>
        <w:tabs>
          <w:tab w:val="left" w:pos="8280"/>
        </w:tabs>
        <w:spacing w:line="360" w:lineRule="auto"/>
        <w:ind w:firstLine="480"/>
        <w:rPr>
          <w:rFonts w:hint="eastAsia" w:ascii="宋体" w:hAnsi="宋体" w:eastAsia="宋体" w:cs="宋体"/>
          <w:color w:val="auto"/>
          <w:sz w:val="24"/>
          <w:highlight w:val="none"/>
        </w:rPr>
      </w:pPr>
    </w:p>
    <w:p w14:paraId="60DD5D0E">
      <w:pPr>
        <w:tabs>
          <w:tab w:val="left" w:pos="8280"/>
        </w:tabs>
        <w:spacing w:line="360" w:lineRule="auto"/>
        <w:rPr>
          <w:rFonts w:hint="eastAsia" w:ascii="宋体" w:hAnsi="宋体" w:eastAsia="宋体" w:cs="宋体"/>
          <w:color w:val="auto"/>
          <w:sz w:val="24"/>
          <w:highlight w:val="none"/>
        </w:rPr>
      </w:pPr>
      <w:bookmarkStart w:id="59" w:name="_Hlk176956306"/>
      <w:r>
        <w:rPr>
          <w:rFonts w:hint="eastAsia" w:ascii="宋体" w:hAnsi="宋体" w:eastAsia="宋体" w:cs="宋体"/>
          <w:color w:val="auto"/>
          <w:sz w:val="24"/>
          <w:highlight w:val="none"/>
        </w:rPr>
        <w:t>注：</w:t>
      </w:r>
    </w:p>
    <w:p w14:paraId="6483205D">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投标人“为落实政府采购政策”而向中小企业分包时必须提供，否则</w:t>
      </w:r>
      <w:r>
        <w:rPr>
          <w:rFonts w:hint="eastAsia" w:ascii="宋体" w:hAnsi="宋体" w:eastAsia="宋体" w:cs="宋体"/>
          <w:b/>
          <w:bCs/>
          <w:color w:val="auto"/>
          <w:sz w:val="24"/>
          <w:highlight w:val="none"/>
          <w:lang w:eastAsia="zh-CN"/>
        </w:rPr>
        <w:t>投标无效</w:t>
      </w:r>
      <w:r>
        <w:rPr>
          <w:rFonts w:hint="eastAsia" w:ascii="宋体" w:hAnsi="宋体" w:eastAsia="宋体" w:cs="宋体"/>
          <w:color w:val="auto"/>
          <w:sz w:val="24"/>
          <w:highlight w:val="none"/>
        </w:rPr>
        <w:t>；且建议按照采购文件要求在资格证明文件部分提供；</w:t>
      </w:r>
    </w:p>
    <w:p w14:paraId="6C542A41">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投标人满足《政府采购促进中小企业发展管理办法》（财库〔2020〕46号）第九条有关规定，拟享受中小企业政策优惠措施的，仍需提供本协议，否则不予认可；</w:t>
      </w:r>
    </w:p>
    <w:p w14:paraId="702060C3">
      <w:pPr>
        <w:adjustRightInd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3. 投标人须与所有拟分包单位分别签订《分包意向协议》，每单位签订一份，并在投标文件中提交全部协议原件的电子件，否则</w:t>
      </w:r>
      <w:r>
        <w:rPr>
          <w:rFonts w:hint="eastAsia" w:ascii="宋体" w:hAnsi="宋体" w:eastAsia="宋体" w:cs="宋体"/>
          <w:bCs/>
          <w:color w:val="auto"/>
          <w:sz w:val="24"/>
          <w:highlight w:val="none"/>
        </w:rPr>
        <w:t>不予认可</w:t>
      </w:r>
      <w:r>
        <w:rPr>
          <w:rFonts w:hint="eastAsia" w:ascii="宋体" w:hAnsi="宋体" w:eastAsia="宋体" w:cs="宋体"/>
          <w:color w:val="auto"/>
          <w:sz w:val="24"/>
          <w:highlight w:val="none"/>
        </w:rPr>
        <w:t>。</w:t>
      </w:r>
      <w:bookmarkEnd w:id="59"/>
    </w:p>
    <w:bookmarkEnd w:id="58"/>
    <w:p w14:paraId="5A3C9416">
      <w:pPr>
        <w:pStyle w:val="4"/>
        <w:bidi w:val="0"/>
        <w:rPr>
          <w:rFonts w:hint="eastAsia" w:ascii="宋体" w:hAnsi="宋体" w:eastAsia="宋体" w:cs="宋体"/>
          <w:color w:val="auto"/>
          <w:highlight w:val="none"/>
        </w:rPr>
      </w:pPr>
      <w:r>
        <w:rPr>
          <w:rFonts w:hint="eastAsia" w:ascii="宋体" w:hAnsi="宋体" w:eastAsia="宋体" w:cs="宋体"/>
          <w:color w:val="auto"/>
          <w:szCs w:val="20"/>
          <w:highlight w:val="none"/>
        </w:rPr>
        <w:br w:type="page"/>
      </w:r>
      <w:r>
        <w:rPr>
          <w:rFonts w:hint="eastAsia" w:ascii="宋体" w:hAnsi="宋体" w:eastAsia="宋体" w:cs="宋体"/>
          <w:color w:val="auto"/>
          <w:highlight w:val="none"/>
        </w:rPr>
        <w:t>招标文件要求提供或投标人认为应附的其他材料</w:t>
      </w:r>
    </w:p>
    <w:p w14:paraId="23DBA873">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t>供应商信息采集表</w:t>
      </w:r>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19"/>
        <w:gridCol w:w="3320"/>
        <w:gridCol w:w="3318"/>
      </w:tblGrid>
      <w:tr w14:paraId="54D2C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A43BF88">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p>
        </w:tc>
        <w:tc>
          <w:tcPr>
            <w:tcW w:w="1667" w:type="pct"/>
          </w:tcPr>
          <w:p w14:paraId="07A86325">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供应商所属性别</w:t>
            </w:r>
          </w:p>
        </w:tc>
        <w:tc>
          <w:tcPr>
            <w:tcW w:w="1667" w:type="pct"/>
          </w:tcPr>
          <w:p w14:paraId="413F8D48">
            <w:pPr>
              <w:rPr>
                <w:rFonts w:hint="eastAsia" w:ascii="宋体" w:hAnsi="宋体" w:eastAsia="宋体" w:cs="宋体"/>
                <w:color w:val="auto"/>
                <w:sz w:val="24"/>
                <w:highlight w:val="none"/>
              </w:rPr>
            </w:pPr>
            <w:r>
              <w:rPr>
                <w:rFonts w:hint="eastAsia" w:ascii="宋体" w:hAnsi="宋体" w:eastAsia="宋体" w:cs="宋体"/>
                <w:color w:val="auto"/>
                <w:sz w:val="24"/>
                <w:highlight w:val="none"/>
              </w:rPr>
              <w:t>外商投资类型</w:t>
            </w:r>
          </w:p>
        </w:tc>
      </w:tr>
      <w:tr w14:paraId="615DD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7AF8CA2">
            <w:pPr>
              <w:rPr>
                <w:rFonts w:hint="eastAsia" w:ascii="宋体" w:hAnsi="宋体" w:eastAsia="宋体" w:cs="宋体"/>
                <w:color w:val="auto"/>
                <w:sz w:val="24"/>
                <w:highlight w:val="none"/>
              </w:rPr>
            </w:pPr>
          </w:p>
        </w:tc>
        <w:tc>
          <w:tcPr>
            <w:tcW w:w="1667" w:type="pct"/>
          </w:tcPr>
          <w:p w14:paraId="2CC270C9">
            <w:pPr>
              <w:rPr>
                <w:rFonts w:hint="eastAsia" w:ascii="宋体" w:hAnsi="宋体" w:eastAsia="宋体" w:cs="宋体"/>
                <w:color w:val="auto"/>
                <w:sz w:val="24"/>
                <w:highlight w:val="none"/>
              </w:rPr>
            </w:pPr>
          </w:p>
        </w:tc>
        <w:tc>
          <w:tcPr>
            <w:tcW w:w="1667" w:type="pct"/>
          </w:tcPr>
          <w:p w14:paraId="273E8B7C">
            <w:pPr>
              <w:rPr>
                <w:rFonts w:hint="eastAsia" w:ascii="宋体" w:hAnsi="宋体" w:eastAsia="宋体" w:cs="宋体"/>
                <w:color w:val="auto"/>
                <w:sz w:val="24"/>
                <w:highlight w:val="none"/>
              </w:rPr>
            </w:pPr>
          </w:p>
        </w:tc>
      </w:tr>
      <w:tr w14:paraId="3CCA2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6C28B800">
            <w:pPr>
              <w:rPr>
                <w:rFonts w:hint="eastAsia" w:ascii="宋体" w:hAnsi="宋体" w:eastAsia="宋体" w:cs="宋体"/>
                <w:color w:val="auto"/>
                <w:sz w:val="24"/>
                <w:highlight w:val="none"/>
              </w:rPr>
            </w:pPr>
          </w:p>
        </w:tc>
        <w:tc>
          <w:tcPr>
            <w:tcW w:w="1667" w:type="pct"/>
          </w:tcPr>
          <w:p w14:paraId="3461CA94">
            <w:pPr>
              <w:rPr>
                <w:rFonts w:hint="eastAsia" w:ascii="宋体" w:hAnsi="宋体" w:eastAsia="宋体" w:cs="宋体"/>
                <w:color w:val="auto"/>
                <w:sz w:val="24"/>
                <w:highlight w:val="none"/>
              </w:rPr>
            </w:pPr>
          </w:p>
        </w:tc>
        <w:tc>
          <w:tcPr>
            <w:tcW w:w="1667" w:type="pct"/>
          </w:tcPr>
          <w:p w14:paraId="16176312">
            <w:pPr>
              <w:rPr>
                <w:rFonts w:hint="eastAsia" w:ascii="宋体" w:hAnsi="宋体" w:eastAsia="宋体" w:cs="宋体"/>
                <w:color w:val="auto"/>
                <w:sz w:val="24"/>
                <w:highlight w:val="none"/>
              </w:rPr>
            </w:pPr>
          </w:p>
        </w:tc>
      </w:tr>
      <w:tr w14:paraId="5CB3E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6B08BBF0">
            <w:pPr>
              <w:rPr>
                <w:rFonts w:hint="eastAsia" w:ascii="宋体" w:hAnsi="宋体" w:eastAsia="宋体" w:cs="宋体"/>
                <w:color w:val="auto"/>
                <w:sz w:val="24"/>
                <w:highlight w:val="none"/>
              </w:rPr>
            </w:pPr>
          </w:p>
        </w:tc>
        <w:tc>
          <w:tcPr>
            <w:tcW w:w="1667" w:type="pct"/>
          </w:tcPr>
          <w:p w14:paraId="0753A3B1">
            <w:pPr>
              <w:rPr>
                <w:rFonts w:hint="eastAsia" w:ascii="宋体" w:hAnsi="宋体" w:eastAsia="宋体" w:cs="宋体"/>
                <w:color w:val="auto"/>
                <w:sz w:val="24"/>
                <w:highlight w:val="none"/>
              </w:rPr>
            </w:pPr>
          </w:p>
        </w:tc>
        <w:tc>
          <w:tcPr>
            <w:tcW w:w="1667" w:type="pct"/>
          </w:tcPr>
          <w:p w14:paraId="64155DB6">
            <w:pPr>
              <w:rPr>
                <w:rFonts w:hint="eastAsia" w:ascii="宋体" w:hAnsi="宋体" w:eastAsia="宋体" w:cs="宋体"/>
                <w:color w:val="auto"/>
                <w:sz w:val="24"/>
                <w:highlight w:val="none"/>
              </w:rPr>
            </w:pPr>
          </w:p>
        </w:tc>
      </w:tr>
      <w:tr w14:paraId="694AA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2D0A6935">
            <w:pPr>
              <w:rPr>
                <w:rFonts w:hint="eastAsia" w:ascii="宋体" w:hAnsi="宋体" w:eastAsia="宋体" w:cs="宋体"/>
                <w:color w:val="auto"/>
                <w:sz w:val="24"/>
                <w:highlight w:val="none"/>
              </w:rPr>
            </w:pPr>
          </w:p>
        </w:tc>
        <w:tc>
          <w:tcPr>
            <w:tcW w:w="1667" w:type="pct"/>
          </w:tcPr>
          <w:p w14:paraId="6F208659">
            <w:pPr>
              <w:rPr>
                <w:rFonts w:hint="eastAsia" w:ascii="宋体" w:hAnsi="宋体" w:eastAsia="宋体" w:cs="宋体"/>
                <w:color w:val="auto"/>
                <w:sz w:val="24"/>
                <w:highlight w:val="none"/>
              </w:rPr>
            </w:pPr>
          </w:p>
        </w:tc>
        <w:tc>
          <w:tcPr>
            <w:tcW w:w="1667" w:type="pct"/>
          </w:tcPr>
          <w:p w14:paraId="49861C71">
            <w:pPr>
              <w:rPr>
                <w:rFonts w:hint="eastAsia" w:ascii="宋体" w:hAnsi="宋体" w:eastAsia="宋体" w:cs="宋体"/>
                <w:color w:val="auto"/>
                <w:sz w:val="24"/>
                <w:highlight w:val="none"/>
              </w:rPr>
            </w:pPr>
          </w:p>
        </w:tc>
      </w:tr>
    </w:tbl>
    <w:p w14:paraId="149ABC81">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注：1.供应商如为联合体，则应填写联合体各成员信息。</w:t>
      </w:r>
    </w:p>
    <w:p w14:paraId="3736EC2A">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2.供应商所属性别请填写“男”或“女”，指拥有供应商51%以上绝对所有权的性别；绝对所有权拥有者可以是一个人，也可以是多人合计计算。</w:t>
      </w:r>
    </w:p>
    <w:p w14:paraId="2CF8A002">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3.外商投资类型请填写“外商单独投资”、“外商部分投资”或“内资”。</w:t>
      </w:r>
    </w:p>
    <w:p w14:paraId="176D74E8">
      <w:pPr>
        <w:widowControl/>
        <w:jc w:val="left"/>
        <w:rPr>
          <w:rFonts w:hint="eastAsia" w:ascii="宋体" w:hAnsi="宋体" w:eastAsia="宋体" w:cs="宋体"/>
          <w:b/>
          <w:color w:val="auto"/>
          <w:sz w:val="36"/>
          <w:szCs w:val="36"/>
          <w:highlight w:val="none"/>
        </w:rPr>
      </w:pPr>
    </w:p>
    <w:bookmarkEnd w:id="2"/>
    <w:p w14:paraId="63EB1C68">
      <w:pPr>
        <w:spacing w:line="360" w:lineRule="auto"/>
        <w:ind w:right="-57" w:firstLine="480"/>
        <w:jc w:val="right"/>
        <w:rPr>
          <w:rFonts w:hint="eastAsia" w:ascii="宋体" w:hAnsi="宋体" w:eastAsia="宋体" w:cs="宋体"/>
          <w:color w:val="auto"/>
          <w:spacing w:val="0"/>
          <w:sz w:val="24"/>
          <w:highlight w:val="none"/>
        </w:rPr>
      </w:pPr>
    </w:p>
    <w:p w14:paraId="1BC0FABF">
      <w:pPr>
        <w:widowControl/>
        <w:jc w:val="left"/>
        <w:rPr>
          <w:rFonts w:hint="eastAsia" w:ascii="宋体" w:hAnsi="宋体" w:eastAsia="宋体" w:cs="宋体"/>
          <w:color w:val="auto"/>
          <w:spacing w:val="0"/>
          <w:w w:val="100"/>
          <w:kern w:val="0"/>
          <w:position w:val="0"/>
          <w:sz w:val="24"/>
          <w:szCs w:val="20"/>
          <w:highlight w:val="none"/>
        </w:rPr>
      </w:pPr>
      <w:r>
        <w:rPr>
          <w:rFonts w:hint="eastAsia" w:ascii="宋体" w:hAnsi="宋体" w:eastAsia="宋体" w:cs="宋体"/>
          <w:color w:val="auto"/>
          <w:spacing w:val="0"/>
          <w:sz w:val="30"/>
          <w:szCs w:val="30"/>
          <w:highlight w:val="none"/>
        </w:rPr>
        <w:br w:type="page"/>
      </w:r>
    </w:p>
    <w:p w14:paraId="23BB201C">
      <w:pPr>
        <w:pStyle w:val="4"/>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招标文件要求提供或投标人认为应附的其他材料（格式自拟）</w:t>
      </w:r>
    </w:p>
    <w:p w14:paraId="44559D90">
      <w:pPr>
        <w:pStyle w:val="5"/>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业绩清单</w:t>
      </w:r>
    </w:p>
    <w:p w14:paraId="0557CB98">
      <w:pPr>
        <w:pStyle w:val="5"/>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方案：</w:t>
      </w:r>
      <w:r>
        <w:rPr>
          <w:rFonts w:hint="eastAsia" w:ascii="宋体" w:hAnsi="宋体" w:eastAsia="宋体" w:cs="宋体"/>
          <w:color w:val="auto"/>
          <w:highlight w:val="none"/>
        </w:rPr>
        <w:t>格式自拟</w:t>
      </w:r>
    </w:p>
    <w:p w14:paraId="2E643CC3">
      <w:pPr>
        <w:rPr>
          <w:rFonts w:hint="eastAsia" w:ascii="宋体" w:hAnsi="宋体" w:eastAsia="宋体" w:cs="宋体"/>
          <w:color w:val="auto"/>
          <w:highlight w:val="none"/>
        </w:rPr>
      </w:pPr>
    </w:p>
    <w:p w14:paraId="169584A0">
      <w:pPr>
        <w:rPr>
          <w:rFonts w:hint="eastAsia" w:ascii="宋体" w:hAnsi="宋体" w:eastAsia="宋体" w:cs="宋体"/>
          <w:color w:val="auto"/>
          <w:highlight w:val="none"/>
        </w:rPr>
      </w:pPr>
    </w:p>
    <w:p w14:paraId="581E5BC5">
      <w:pPr>
        <w:rPr>
          <w:rFonts w:hint="eastAsia" w:ascii="宋体" w:hAnsi="宋体" w:eastAsia="宋体" w:cs="宋体"/>
          <w:color w:val="auto"/>
          <w:highlight w:val="none"/>
        </w:rPr>
      </w:pPr>
      <w:r>
        <w:rPr>
          <w:rFonts w:hint="eastAsia" w:ascii="宋体" w:hAnsi="宋体" w:eastAsia="宋体" w:cs="宋体"/>
          <w:sz w:val="21"/>
        </w:rPr>
        <mc:AlternateContent>
          <mc:Choice Requires="wps">
            <w:drawing>
              <wp:anchor distT="0" distB="0" distL="114300" distR="114300" simplePos="0" relativeHeight="251666432" behindDoc="0" locked="0" layoutInCell="1" allowOverlap="1">
                <wp:simplePos x="0" y="0"/>
                <wp:positionH relativeFrom="column">
                  <wp:posOffset>2023110</wp:posOffset>
                </wp:positionH>
                <wp:positionV relativeFrom="paragraph">
                  <wp:posOffset>2634615</wp:posOffset>
                </wp:positionV>
                <wp:extent cx="4542155" cy="1446530"/>
                <wp:effectExtent l="0" t="0" r="0" b="0"/>
                <wp:wrapNone/>
                <wp:docPr id="29" name="文本框 2"/>
                <wp:cNvGraphicFramePr/>
                <a:graphic xmlns:a="http://schemas.openxmlformats.org/drawingml/2006/main">
                  <a:graphicData uri="http://schemas.microsoft.com/office/word/2010/wordprocessingShape">
                    <wps:wsp>
                      <wps:cNvSpPr txBox="1"/>
                      <wps:spPr>
                        <a:xfrm>
                          <a:off x="2710815" y="3549015"/>
                          <a:ext cx="4542155" cy="14465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C448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Arial Black" w:hAnsi="Arial Black" w:cs="Arial Black"/>
                                <w:color w:val="52005B"/>
                                <w:sz w:val="48"/>
                                <w:szCs w:val="48"/>
                                <w:lang w:val="en-US" w:eastAsia="zh-CN"/>
                              </w:rPr>
                            </w:pPr>
                          </w:p>
                          <w:p w14:paraId="3892B4D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Arial Black" w:hAnsi="Arial Black" w:cs="Arial Black"/>
                                <w:color w:val="52005B"/>
                                <w:sz w:val="48"/>
                                <w:szCs w:val="48"/>
                                <w:lang w:val="en-US" w:eastAsia="zh-CN"/>
                              </w:rPr>
                            </w:pPr>
                            <w:r>
                              <w:rPr>
                                <w:rFonts w:hint="eastAsia" w:ascii="Arial Black" w:hAnsi="Arial Black" w:cs="Arial Black"/>
                                <w:color w:val="52005B"/>
                                <w:sz w:val="48"/>
                                <w:szCs w:val="48"/>
                                <w:lang w:val="en-US" w:eastAsia="zh-CN"/>
                              </w:rPr>
                              <w:t xml:space="preserve"> </w:t>
                            </w:r>
                          </w:p>
                          <w:p w14:paraId="22D81964">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159.3pt;margin-top:207.45pt;height:113.9pt;width:357.65pt;z-index:251666432;mso-width-relative:page;mso-height-relative:page;" filled="f" stroked="f" coordsize="21600,21600" o:gfxdata="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ucOVW3AAAAAwBAAAPAAAA&#10;AAAAAAEAIAAAACIAAABkcnMvZG93bnJldi54bWxQSwECFAAUAAAACACHTuJA3G6zskoCAAB0BAAA&#10;DgAAAAAAAAABACAAAAArAQAAZHJzL2Uyb0RvYy54bWxQSwUGAAAAAAYABgBZAQAA5wUAAAAA&#10;">
                <v:fill on="f" focussize="0,0"/>
                <v:stroke on="f" weight="0.5pt"/>
                <v:imagedata o:title=""/>
                <o:lock v:ext="edit" aspectratio="f"/>
                <v:textbox>
                  <w:txbxContent>
                    <w:p w14:paraId="249C448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Arial Black" w:hAnsi="Arial Black" w:cs="Arial Black"/>
                          <w:color w:val="52005B"/>
                          <w:sz w:val="48"/>
                          <w:szCs w:val="48"/>
                          <w:lang w:val="en-US" w:eastAsia="zh-CN"/>
                        </w:rPr>
                      </w:pPr>
                    </w:p>
                    <w:p w14:paraId="3892B4D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Arial Black" w:hAnsi="Arial Black" w:cs="Arial Black"/>
                          <w:color w:val="52005B"/>
                          <w:sz w:val="48"/>
                          <w:szCs w:val="48"/>
                          <w:lang w:val="en-US" w:eastAsia="zh-CN"/>
                        </w:rPr>
                      </w:pPr>
                      <w:r>
                        <w:rPr>
                          <w:rFonts w:hint="eastAsia" w:ascii="Arial Black" w:hAnsi="Arial Black" w:cs="Arial Black"/>
                          <w:color w:val="52005B"/>
                          <w:sz w:val="48"/>
                          <w:szCs w:val="48"/>
                          <w:lang w:val="en-US" w:eastAsia="zh-CN"/>
                        </w:rPr>
                        <w:t xml:space="preserve"> </w:t>
                      </w:r>
                    </w:p>
                    <w:p w14:paraId="22D81964">
                      <w:pPr>
                        <w:jc w:val="center"/>
                      </w:pPr>
                    </w:p>
                  </w:txbxContent>
                </v:textbox>
              </v:shape>
            </w:pict>
          </mc:Fallback>
        </mc:AlternateContent>
      </w:r>
    </w:p>
    <w:sectPr>
      <w:headerReference r:id="rId7" w:type="default"/>
      <w:footerReference r:id="rId8" w:type="default"/>
      <w:pgSz w:w="11907" w:h="16840"/>
      <w:pgMar w:top="1440" w:right="1083" w:bottom="1440" w:left="1083" w:header="851" w:footer="851" w:gutter="0"/>
      <w:pgBorders>
        <w:top w:val="none" w:sz="0" w:space="0"/>
        <w:left w:val="none" w:sz="0" w:space="0"/>
        <w:bottom w:val="none" w:sz="0" w:space="0"/>
        <w:right w:val="none" w:sz="0" w:space="0"/>
      </w:pgBorders>
      <w:pgNumType w:fmt="numberInDash" w:start="1"/>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1" w:fontKey="{40CA8EAB-E011-4FA6-AA2A-01B0F0802CC5}"/>
  </w:font>
  <w:font w:name="仿宋_GB2312">
    <w:panose1 w:val="02010609030101010101"/>
    <w:charset w:val="86"/>
    <w:family w:val="modern"/>
    <w:pitch w:val="default"/>
    <w:sig w:usb0="00000001" w:usb1="080E0000" w:usb2="00000000" w:usb3="00000000" w:csb0="00040000" w:csb1="00000000"/>
    <w:embedRegular r:id="rId2" w:fontKey="{5AA941DB-E124-4825-9093-197DAA2F6CAA}"/>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Arial-BoldMT">
    <w:altName w:val="Times New Roman"/>
    <w:panose1 w:val="00000000000000000000"/>
    <w:charset w:val="00"/>
    <w:family w:val="roman"/>
    <w:pitch w:val="default"/>
    <w:sig w:usb0="00000000" w:usb1="00000000" w:usb2="00000000" w:usb3="00000000" w:csb0="00000000" w:csb1="00000000"/>
    <w:embedRegular r:id="rId3" w:fontKey="{994E5B50-EC29-4C99-B191-50FCC5FB16B9}"/>
  </w:font>
  <w:font w:name="TimesNewRomanPS-BoldMT">
    <w:altName w:val="Times New Roman"/>
    <w:panose1 w:val="00000000000000000000"/>
    <w:charset w:val="00"/>
    <w:family w:val="roman"/>
    <w:pitch w:val="default"/>
    <w:sig w:usb0="00000000" w:usb1="00000000" w:usb2="00000000" w:usb3="00000000" w:csb0="00000000" w:csb1="00000000"/>
    <w:embedRegular r:id="rId4" w:fontKey="{48475D3B-A22E-4540-8699-A7D5CB85EAF7}"/>
  </w:font>
  <w:font w:name="微软雅黑">
    <w:panose1 w:val="020B0503020204020204"/>
    <w:charset w:val="86"/>
    <w:family w:val="auto"/>
    <w:pitch w:val="default"/>
    <w:sig w:usb0="80000287" w:usb1="2ACF3C50" w:usb2="00000016" w:usb3="00000000" w:csb0="0004001F" w:csb1="00000000"/>
    <w:embedRegular r:id="rId5" w:fontKey="{C041447F-3390-4162-BC3F-EF65DBD5AA52}"/>
  </w:font>
  <w:font w:name="Arial Black">
    <w:panose1 w:val="020B0A04020102020204"/>
    <w:charset w:val="00"/>
    <w:family w:val="auto"/>
    <w:pitch w:val="default"/>
    <w:sig w:usb0="A00002AF" w:usb1="400078FB" w:usb2="00000000" w:usb3="00000000" w:csb0="6000009F" w:csb1="DFD70000"/>
    <w:embedRegular r:id="rId6" w:fontKey="{822D8887-A6E6-49A7-814D-25E70CFF17B4}"/>
  </w:font>
  <w:font w:name="Arial Rounded MT Bold">
    <w:panose1 w:val="020F0704030504030204"/>
    <w:charset w:val="00"/>
    <w:family w:val="auto"/>
    <w:pitch w:val="default"/>
    <w:sig w:usb0="00000003" w:usb1="00000000" w:usb2="00000000" w:usb3="00000000" w:csb0="20000001" w:csb1="00000000"/>
    <w:embedRegular r:id="rId7" w:fontKey="{BD9BA748-A9B2-4F35-AE73-6A77499087B8}"/>
  </w:font>
  <w:font w:name="DengXian-Bold">
    <w:altName w:val="Times New Roman"/>
    <w:panose1 w:val="00000000000000000000"/>
    <w:charset w:val="00"/>
    <w:family w:val="roman"/>
    <w:pitch w:val="default"/>
    <w:sig w:usb0="00000000" w:usb1="00000000" w:usb2="00000000" w:usb3="00000000" w:csb0="00000000" w:csb1="00000000"/>
    <w:embedRegular r:id="rId8" w:fontKey="{CDA58D95-4908-4CD8-8095-5AE2E62D81AF}"/>
  </w:font>
  <w:font w:name="DengXian-Regular">
    <w:altName w:val="Times New Roman"/>
    <w:panose1 w:val="00000000000000000000"/>
    <w:charset w:val="00"/>
    <w:family w:val="roman"/>
    <w:pitch w:val="default"/>
    <w:sig w:usb0="00000000" w:usb1="00000000" w:usb2="00000000" w:usb3="00000000" w:csb0="00000000" w:csb1="00000000"/>
    <w:embedRegular r:id="rId9" w:fontKey="{FBDE3B90-9C6C-433E-928F-D039F88EF306}"/>
  </w:font>
  <w:font w:name="仿宋">
    <w:panose1 w:val="02010609060101010101"/>
    <w:charset w:val="86"/>
    <w:family w:val="modern"/>
    <w:pitch w:val="default"/>
    <w:sig w:usb0="8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9D444">
    <w:pPr>
      <w:pStyle w:val="29"/>
      <w:tabs>
        <w:tab w:val="clear" w:pos="4153"/>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02CE5">
    <w:pPr>
      <w:pStyle w:val="29"/>
      <w:tabs>
        <w:tab w:val="clear" w:pos="4153"/>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7CE8B">
    <w:pPr>
      <w:pStyle w:val="29"/>
      <w:tabs>
        <w:tab w:val="clear" w:pos="4153"/>
      </w:tabs>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posOffset>2774950</wp:posOffset>
              </wp:positionH>
              <wp:positionV relativeFrom="paragraph">
                <wp:posOffset>-68580</wp:posOffset>
              </wp:positionV>
              <wp:extent cx="520700" cy="22288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520700" cy="2228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FEE20">
                          <w:pPr>
                            <w:pStyle w:val="29"/>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8.5pt;margin-top:-5.4pt;height:17.55pt;width:41pt;mso-position-horizontal-relative:margin;z-index:251660288;mso-width-relative:page;mso-height-relative:page;" filled="f" stroked="f" coordsize="21600,21600" o:gfxdata="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e9JD7YAAAACgEAAA8AAAAAAAAAAQAgAAAAIgAAAGRycy9kb3du&#10;cmV2LnhtbFBLAQIUABQAAAAIAIdO4kBB68JxOAIAAGMEAAAOAAAAAAAAAAEAIAAAACcBAABkcnMv&#10;ZTJvRG9jLnhtbFBLBQYAAAAABgAGAFkBAADRBQAAAAA=&#10;">
              <v:fill on="f" focussize="0,0"/>
              <v:stroke on="f" weight="0.5pt"/>
              <v:imagedata o:title=""/>
              <o:lock v:ext="edit" aspectratio="f"/>
              <v:textbox inset="0mm,0mm,0mm,0mm">
                <w:txbxContent>
                  <w:p w14:paraId="6A0FEE20">
                    <w:pPr>
                      <w:pStyle w:val="29"/>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892B5">
    <w:pPr>
      <w:pStyle w:val="30"/>
      <w:pBdr>
        <w:bottom w:val="none" w:color="auto" w:sz="0" w:space="0"/>
      </w:pBdr>
    </w:pPr>
    <w:r>
      <w:rPr>
        <w:sz w:val="21"/>
      </w:rPr>
      <mc:AlternateContent>
        <mc:Choice Requires="wps">
          <w:drawing>
            <wp:anchor distT="0" distB="0" distL="114300" distR="114300" simplePos="0" relativeHeight="251667456" behindDoc="1" locked="0" layoutInCell="1" allowOverlap="1">
              <wp:simplePos x="0" y="0"/>
              <wp:positionH relativeFrom="column">
                <wp:posOffset>1223645</wp:posOffset>
              </wp:positionH>
              <wp:positionV relativeFrom="paragraph">
                <wp:posOffset>9399270</wp:posOffset>
              </wp:positionV>
              <wp:extent cx="2882265" cy="5410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82265" cy="541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22380">
                          <w:pPr>
                            <w:jc w:val="left"/>
                            <w:rPr>
                              <w:rFonts w:hint="default" w:ascii="Arial Rounded MT Bold" w:hAnsi="Arial Rounded MT Bold" w:cs="Arial Rounded MT Bold"/>
                              <w:color w:val="8869A2"/>
                              <w:sz w:val="36"/>
                              <w:szCs w:val="36"/>
                              <w:lang w:val="en-US" w:eastAsia="zh-CN"/>
                            </w:rPr>
                          </w:pPr>
                          <w:r>
                            <w:rPr>
                              <w:rFonts w:hint="eastAsia" w:ascii="Arial Rounded MT Bold" w:hAnsi="Arial Rounded MT Bold" w:cs="Arial Rounded MT Bold"/>
                              <w:color w:val="8869A2"/>
                              <w:sz w:val="36"/>
                              <w:szCs w:val="36"/>
                              <w:lang w:val="en-US" w:eastAsia="zh-CN"/>
                            </w:rPr>
                            <w:t xml:space="preserve">Bidding </w:t>
                          </w:r>
                          <w:r>
                            <w:rPr>
                              <w:rFonts w:hint="default" w:ascii="Arial Rounded MT Bold" w:hAnsi="Arial Rounded MT Bold" w:cs="Arial Rounded MT Bold"/>
                              <w:color w:val="8869A2"/>
                              <w:sz w:val="36"/>
                              <w:szCs w:val="36"/>
                              <w:lang w:val="en-US" w:eastAsia="zh-CN"/>
                            </w:rPr>
                            <w:t>Documents</w:t>
                          </w:r>
                        </w:p>
                        <w:p w14:paraId="222B6DD3">
                          <w:pPr>
                            <w:rPr>
                              <w:rFonts w:hint="default" w:ascii="Arial Rounded MT Bold" w:hAnsi="Arial Rounded MT Bold" w:cs="Arial Rounded MT Bold"/>
                              <w:color w:val="8869A2"/>
                              <w:sz w:val="22"/>
                              <w:szCs w:val="2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6.35pt;margin-top:740.1pt;height:42.6pt;width:226.95pt;z-index:-251649024;mso-width-relative:page;mso-height-relative:page;" filled="f" stroked="f" coordsize="21600,21600" o:gfxdata="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FtB96N0AAAANAQAADwAAAAAAAAABACAAAAAiAAAA&#10;ZHJzL2Rvd25yZXYueG1sUEsBAhQAFAAAAAgAh07iQMag6E87AgAAZgQAAA4AAAAAAAAAAQAgAAAA&#10;LAEAAGRycy9lMm9Eb2MueG1sUEsFBgAAAAAGAAYAWQEAANkFAAAAAA==&#10;">
              <v:fill on="f" focussize="0,0"/>
              <v:stroke on="f" weight="0.5pt"/>
              <v:imagedata o:title=""/>
              <o:lock v:ext="edit" aspectratio="f"/>
              <v:textbox>
                <w:txbxContent>
                  <w:p w14:paraId="7BE22380">
                    <w:pPr>
                      <w:jc w:val="left"/>
                      <w:rPr>
                        <w:rFonts w:hint="default" w:ascii="Arial Rounded MT Bold" w:hAnsi="Arial Rounded MT Bold" w:cs="Arial Rounded MT Bold"/>
                        <w:color w:val="8869A2"/>
                        <w:sz w:val="36"/>
                        <w:szCs w:val="36"/>
                        <w:lang w:val="en-US" w:eastAsia="zh-CN"/>
                      </w:rPr>
                    </w:pPr>
                    <w:r>
                      <w:rPr>
                        <w:rFonts w:hint="eastAsia" w:ascii="Arial Rounded MT Bold" w:hAnsi="Arial Rounded MT Bold" w:cs="Arial Rounded MT Bold"/>
                        <w:color w:val="8869A2"/>
                        <w:sz w:val="36"/>
                        <w:szCs w:val="36"/>
                        <w:lang w:val="en-US" w:eastAsia="zh-CN"/>
                      </w:rPr>
                      <w:t xml:space="preserve">Bidding </w:t>
                    </w:r>
                    <w:r>
                      <w:rPr>
                        <w:rFonts w:hint="default" w:ascii="Arial Rounded MT Bold" w:hAnsi="Arial Rounded MT Bold" w:cs="Arial Rounded MT Bold"/>
                        <w:color w:val="8869A2"/>
                        <w:sz w:val="36"/>
                        <w:szCs w:val="36"/>
                        <w:lang w:val="en-US" w:eastAsia="zh-CN"/>
                      </w:rPr>
                      <w:t>Documents</w:t>
                    </w:r>
                  </w:p>
                  <w:p w14:paraId="222B6DD3">
                    <w:pPr>
                      <w:rPr>
                        <w:rFonts w:hint="default" w:ascii="Arial Rounded MT Bold" w:hAnsi="Arial Rounded MT Bold" w:cs="Arial Rounded MT Bold"/>
                        <w:color w:val="8869A2"/>
                        <w:sz w:val="22"/>
                        <w:szCs w:val="22"/>
                        <w:lang w:val="en-US" w:eastAsia="zh-CN"/>
                      </w:rPr>
                    </w:pPr>
                  </w:p>
                </w:txbxContent>
              </v:textbox>
            </v:shape>
          </w:pict>
        </mc:Fallback>
      </mc:AlternateContent>
    </w:r>
    <w:r>
      <w:rPr>
        <w:rFonts w:hint="default" w:ascii="Arial Black" w:hAnsi="Arial Black" w:cs="Arial Black"/>
        <w:color w:val="53005C"/>
        <w:sz w:val="72"/>
        <w:szCs w:val="72"/>
        <w:lang w:val="en-US" w:eastAsia="zh-CN"/>
      </w:rPr>
      <w:drawing>
        <wp:anchor distT="0" distB="0" distL="114300" distR="114300" simplePos="0" relativeHeight="251666432" behindDoc="1" locked="0" layoutInCell="1" allowOverlap="1">
          <wp:simplePos x="0" y="0"/>
          <wp:positionH relativeFrom="column">
            <wp:posOffset>76200</wp:posOffset>
          </wp:positionH>
          <wp:positionV relativeFrom="paragraph">
            <wp:posOffset>9455150</wp:posOffset>
          </wp:positionV>
          <wp:extent cx="1177290" cy="227330"/>
          <wp:effectExtent l="0" t="0" r="3810" b="1270"/>
          <wp:wrapNone/>
          <wp:docPr id="7" name="图片 7" descr="紫色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紫色logo"/>
                  <pic:cNvPicPr>
                    <a:picLocks noChangeAspect="1"/>
                  </pic:cNvPicPr>
                </pic:nvPicPr>
                <pic:blipFill>
                  <a:blip r:embed="rId1"/>
                  <a:stretch>
                    <a:fillRect/>
                  </a:stretch>
                </pic:blipFill>
                <pic:spPr>
                  <a:xfrm>
                    <a:off x="0" y="0"/>
                    <a:ext cx="1177290" cy="227330"/>
                  </a:xfrm>
                  <a:prstGeom prst="rect">
                    <a:avLst/>
                  </a:prstGeom>
                </pic:spPr>
              </pic:pic>
            </a:graphicData>
          </a:graphic>
        </wp:anchor>
      </w:drawing>
    </w:r>
    <w:r>
      <w:rPr>
        <w:sz w:val="18"/>
      </w:rPr>
      <mc:AlternateContent>
        <mc:Choice Requires="wpg">
          <w:drawing>
            <wp:anchor distT="0" distB="0" distL="114300" distR="114300" simplePos="0" relativeHeight="251668480" behindDoc="0" locked="0" layoutInCell="1" allowOverlap="1">
              <wp:simplePos x="0" y="0"/>
              <wp:positionH relativeFrom="column">
                <wp:posOffset>-92075</wp:posOffset>
              </wp:positionH>
              <wp:positionV relativeFrom="paragraph">
                <wp:posOffset>-19050</wp:posOffset>
              </wp:positionV>
              <wp:extent cx="6610350" cy="808355"/>
              <wp:effectExtent l="0" t="13335" r="19050" b="16510"/>
              <wp:wrapNone/>
              <wp:docPr id="30" name="组合 30"/>
              <wp:cNvGraphicFramePr/>
              <a:graphic xmlns:a="http://schemas.openxmlformats.org/drawingml/2006/main">
                <a:graphicData uri="http://schemas.microsoft.com/office/word/2010/wordprocessingGroup">
                  <wpg:wgp>
                    <wpg:cNvGrpSpPr/>
                    <wpg:grpSpPr>
                      <a:xfrm>
                        <a:off x="0" y="0"/>
                        <a:ext cx="6610350" cy="808355"/>
                        <a:chOff x="4312" y="1131"/>
                        <a:chExt cx="10410" cy="1273"/>
                      </a:xfrm>
                    </wpg:grpSpPr>
                    <wpg:grpSp>
                      <wpg:cNvPr id="31" name="组合 13"/>
                      <wpg:cNvGrpSpPr/>
                      <wpg:grpSpPr>
                        <a:xfrm>
                          <a:off x="4312" y="1132"/>
                          <a:ext cx="10411" cy="1273"/>
                          <a:chOff x="3543" y="1132"/>
                          <a:chExt cx="10411" cy="1273"/>
                        </a:xfrm>
                      </wpg:grpSpPr>
                      <wps:wsp>
                        <wps:cNvPr id="21" name="同侧圆角矩形 21"/>
                        <wps:cNvSpPr/>
                        <wps:spPr>
                          <a:xfrm>
                            <a:off x="9858" y="1462"/>
                            <a:ext cx="4096" cy="788"/>
                          </a:xfrm>
                          <a:prstGeom prst="round2SameRect">
                            <a:avLst/>
                          </a:prstGeom>
                          <a:solidFill>
                            <a:srgbClr val="02FBFC"/>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矩形 25"/>
                        <wps:cNvSpPr/>
                        <wps:spPr>
                          <a:xfrm>
                            <a:off x="10096" y="1452"/>
                            <a:ext cx="941" cy="813"/>
                          </a:xfrm>
                          <a:prstGeom prst="rect">
                            <a:avLst/>
                          </a:prstGeom>
                          <a:solidFill>
                            <a:srgbClr val="7DDFD7"/>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5B990A1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同侧圆角矩形 20"/>
                        <wps:cNvSpPr/>
                        <wps:spPr>
                          <a:xfrm>
                            <a:off x="3543" y="1493"/>
                            <a:ext cx="6228" cy="788"/>
                          </a:xfrm>
                          <a:prstGeom prst="round2SameRect">
                            <a:avLst/>
                          </a:prstGeom>
                          <a:gradFill>
                            <a:gsLst>
                              <a:gs pos="0">
                                <a:srgbClr val="742BB6"/>
                              </a:gs>
                              <a:gs pos="52000">
                                <a:srgbClr val="540C7A"/>
                              </a:gs>
                              <a:gs pos="83000">
                                <a:srgbClr val="490460"/>
                              </a:gs>
                              <a:gs pos="100000">
                                <a:srgbClr val="3E0251"/>
                              </a:gs>
                            </a:gsLst>
                            <a:lin ang="0" scaled="0"/>
                          </a:gra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32" name="组合 11"/>
                        <wpg:cNvGrpSpPr/>
                        <wpg:grpSpPr>
                          <a:xfrm>
                            <a:off x="7915" y="1490"/>
                            <a:ext cx="749" cy="791"/>
                            <a:chOff x="6533" y="1394"/>
                            <a:chExt cx="749" cy="829"/>
                          </a:xfrm>
                          <a:solidFill>
                            <a:srgbClr val="8F26F4"/>
                          </a:solidFill>
                        </wpg:grpSpPr>
                        <wps:wsp>
                          <wps:cNvPr id="33" name="直角三角形 5"/>
                          <wps:cNvSpPr/>
                          <wps:spPr>
                            <a:xfrm flipH="1" flipV="1">
                              <a:off x="6556" y="1394"/>
                              <a:ext cx="726" cy="575"/>
                            </a:xfrm>
                            <a:prstGeom prst="rtTriangle">
                              <a:avLst/>
                            </a:prstGeom>
                            <a:grp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直角三角形 11"/>
                          <wps:cNvSpPr/>
                          <wps:spPr>
                            <a:xfrm flipH="1" flipV="1">
                              <a:off x="6533" y="1686"/>
                              <a:ext cx="726" cy="537"/>
                            </a:xfrm>
                            <a:prstGeom prst="rtTriangle">
                              <a:avLst/>
                            </a:prstGeom>
                            <a:grp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4" name="组合 8"/>
                        <wpg:cNvGrpSpPr/>
                        <wpg:grpSpPr>
                          <a:xfrm rot="10800000">
                            <a:off x="11031" y="1454"/>
                            <a:ext cx="727" cy="806"/>
                            <a:chOff x="6556" y="1487"/>
                            <a:chExt cx="727" cy="853"/>
                          </a:xfrm>
                          <a:solidFill>
                            <a:srgbClr val="7DDFD7"/>
                          </a:solidFill>
                        </wpg:grpSpPr>
                        <wps:wsp>
                          <wps:cNvPr id="35" name="直角三角形 5"/>
                          <wps:cNvSpPr/>
                          <wps:spPr>
                            <a:xfrm flipH="1" flipV="1">
                              <a:off x="6556" y="1487"/>
                              <a:ext cx="726" cy="575"/>
                            </a:xfrm>
                            <a:prstGeom prst="rtTriangle">
                              <a:avLst/>
                            </a:prstGeom>
                            <a:grp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直角三角形 11"/>
                          <wps:cNvSpPr/>
                          <wps:spPr>
                            <a:xfrm flipH="1" flipV="1">
                              <a:off x="6557" y="1777"/>
                              <a:ext cx="726" cy="563"/>
                            </a:xfrm>
                            <a:prstGeom prst="rtTriangle">
                              <a:avLst/>
                            </a:prstGeom>
                            <a:grp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22" name="矩形 22"/>
                        <wps:cNvSpPr/>
                        <wps:spPr>
                          <a:xfrm>
                            <a:off x="8626" y="1490"/>
                            <a:ext cx="941" cy="786"/>
                          </a:xfrm>
                          <a:prstGeom prst="rect">
                            <a:avLst/>
                          </a:prstGeom>
                          <a:solidFill>
                            <a:srgbClr val="8F26F4"/>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椭圆 9"/>
                        <wps:cNvSpPr/>
                        <wps:spPr>
                          <a:xfrm>
                            <a:off x="9253" y="1132"/>
                            <a:ext cx="1253" cy="1273"/>
                          </a:xfrm>
                          <a:prstGeom prst="ellipse">
                            <a:avLst/>
                          </a:prstGeom>
                          <a:noFill/>
                          <a:ln w="28575">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pic:pic xmlns:pic="http://schemas.openxmlformats.org/drawingml/2006/picture">
                      <pic:nvPicPr>
                        <pic:cNvPr id="24" name="图片 6" descr="圆logo定"/>
                        <pic:cNvPicPr>
                          <a:picLocks noChangeAspect="1"/>
                        </pic:cNvPicPr>
                      </pic:nvPicPr>
                      <pic:blipFill>
                        <a:blip r:embed="rId2"/>
                        <a:srcRect l="7731" t="12469" r="11994" b="9186"/>
                        <a:stretch>
                          <a:fillRect/>
                        </a:stretch>
                      </pic:blipFill>
                      <pic:spPr>
                        <a:xfrm>
                          <a:off x="10016" y="1131"/>
                          <a:ext cx="1259" cy="1271"/>
                        </a:xfrm>
                        <a:prstGeom prst="ellipse">
                          <a:avLst/>
                        </a:prstGeom>
                      </pic:spPr>
                    </pic:pic>
                  </wpg:wgp>
                </a:graphicData>
              </a:graphic>
            </wp:anchor>
          </w:drawing>
        </mc:Choice>
        <mc:Fallback>
          <w:pict>
            <v:group id="_x0000_s1026" o:spid="_x0000_s1026" o:spt="203" style="position:absolute;left:0pt;margin-left:-7.25pt;margin-top:-1.5pt;height:63.65pt;width:520.5pt;z-index:251668480;mso-width-relative:page;mso-height-relative:page;" coordorigin="4312,1131" coordsize="10410,1273" o:gfxdata="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">
              <o:lock v:ext="edit" aspectratio="f"/>
              <v:group id="组合 13" o:spid="_x0000_s1026" o:spt="203" style="position:absolute;left:4312;top:1132;height:1273;width:10411;" coordorigin="3543,1132" coordsize="10411,1273"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_x0000_s1026" o:spid="_x0000_s1026" style="position:absolute;left:9858;top:1462;height:788;width:4096;v-text-anchor:middle;" fillcolor="#02FBFC" filled="t" stroked="f" coordsize="4096,788" o:gfxdata="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F7EWe/&#10;AAAA2wAAAA8AAAAAAAAAAQAgAAAAIgAAAGRycy9kb3ducmV2LnhtbFBLAQIUABQAAAAIAIdO4kAz&#10;LwWeOwAAADkAAAAQAAAAAAAAAAEAIAAAAA4BAABkcnMvc2hhcGV4bWwueG1sUEsFBgAAAAAGAAYA&#10;WwEAALgDAAAAAA==&#10;" path="m131,0l3964,0c4036,0,4095,59,4095,131l4096,788,4096,788,0,788,0,788,0,131c0,59,59,0,131,0xe">
                  <v:path o:connectlocs="4096,394;2048,788;0,394;2048,0" o:connectangles="0,82,164,247"/>
                  <v:fill on="t" focussize="0,0"/>
                  <v:stroke on="f" weight="2pt"/>
                  <v:imagedata o:title=""/>
                  <o:lock v:ext="edit" aspectratio="f"/>
                </v:shape>
                <v:rect id="_x0000_s1026" o:spid="_x0000_s1026" o:spt="1" style="position:absolute;left:10096;top:1452;height:813;width:941;v-text-anchor:middle;" fillcolor="#7DDFD7" filled="t" stroked="f" coordsize="21600,21600" o:gfxdata="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EADK8AAAA&#10;2wAAAA8AAAAAAAAAAQAgAAAAIgAAAGRycy9kb3ducmV2LnhtbFBLAQIUABQAAAAIAIdO4kAzLwWe&#10;OwAAADkAAAAQAAAAAAAAAAEAIAAAAAsBAABkcnMvc2hhcGV4bWwueG1sUEsFBgAAAAAGAAYAWwEA&#10;ALUDAAAAAA==&#10;">
                  <v:fill on="t" focussize="0,0"/>
                  <v:stroke on="f" weight="2pt"/>
                  <v:imagedata o:title=""/>
                  <o:lock v:ext="edit" aspectratio="f"/>
                  <v:textbox>
                    <w:txbxContent>
                      <w:p w14:paraId="5B990A17">
                        <w:pPr>
                          <w:jc w:val="center"/>
                        </w:pPr>
                      </w:p>
                    </w:txbxContent>
                  </v:textbox>
                </v:rect>
                <v:shape id="_x0000_s1026" o:spid="_x0000_s1026" style="position:absolute;left:3543;top:1493;height:788;width:6228;v-text-anchor:middle;" fillcolor="#742BB6" filled="t" stroked="f" coordsize="6228,788" o:gfxdata="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XX+fLgAAADbAAAA&#10;DwAAAAAAAAABACAAAAAiAAAAZHJzL2Rvd25yZXYueG1sUEsBAhQAFAAAAAgAh07iQDMvBZ47AAAA&#10;OQAAABAAAAAAAAAAAQAgAAAABwEAAGRycy9zaGFwZXhtbC54bWxQSwUGAAAAAAYABgBbAQAAsQMA&#10;AAAA&#10;" path="m131,0l6096,0c6168,0,6227,59,6227,131l6228,788,6228,788,0,788,0,788,0,131c0,59,59,0,131,0xe">
                  <v:path o:connectlocs="6228,394;3114,788;0,394;3114,0" o:connectangles="0,82,164,247"/>
                  <v:fill type="gradient" on="t" color2="#3E0251" colors="0f #742BB6;34079f #540C7A;54395f #490460;65536f #3E0251" angle="90" focus="100%" focussize="0,0" rotate="t">
                    <o:fill type="gradientUnscaled" v:ext="backwardCompatible"/>
                  </v:fill>
                  <v:stroke on="f" weight="2pt"/>
                  <v:imagedata o:title=""/>
                  <o:lock v:ext="edit" aspectratio="f"/>
                </v:shape>
                <v:group id="组合 11" o:spid="_x0000_s1026" o:spt="203" style="position:absolute;left:7915;top:1490;height:791;width:749;" coordorigin="6533,1394" coordsize="749,829"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直角三角形 5" o:spid="_x0000_s1026" o:spt="6" type="#_x0000_t6" style="position:absolute;left:6556;top:1394;flip:x y;height:575;width:726;v-text-anchor:middle;" filled="t" stroked="f" coordsize="21600,21600" o:gfxdata="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HiSVL4A&#10;AADbAAAADwAAAAAAAAABACAAAAAiAAAAZHJzL2Rvd25yZXYueG1sUEsBAhQAFAAAAAgAh07iQDMv&#10;BZ47AAAAOQAAABAAAAAAAAAAAQAgAAAADQEAAGRycy9zaGFwZXhtbC54bWxQSwUGAAAAAAYABgBb&#10;AQAAtwMAAAAA&#10;">
                    <v:fill on="t" focussize="0,0"/>
                    <v:stroke on="f" weight="2pt"/>
                    <v:imagedata o:title=""/>
                    <o:lock v:ext="edit" aspectratio="f"/>
                  </v:shape>
                  <v:shape id="直角三角形 11" o:spid="_x0000_s1026" o:spt="6" type="#_x0000_t6" style="position:absolute;left:6533;top:1686;flip:x y;height:537;width:726;v-text-anchor:middle;" filled="t" stroked="f" coordsize="21600,21600" o:gfxdata="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2yDe8AAAA&#10;2wAAAA8AAAAAAAAAAQAgAAAAIgAAAGRycy9kb3ducmV2LnhtbFBLAQIUABQAAAAIAIdO4kAzLwWe&#10;OwAAADkAAAAQAAAAAAAAAAEAIAAAAAsBAABkcnMvc2hhcGV4bWwueG1sUEsFBgAAAAAGAAYAWwEA&#10;ALUDAAAAAA==&#10;">
                    <v:fill on="t" focussize="0,0"/>
                    <v:stroke on="f" weight="2pt"/>
                    <v:imagedata o:title=""/>
                    <o:lock v:ext="edit" aspectratio="f"/>
                  </v:shape>
                </v:group>
                <v:group id="组合 8" o:spid="_x0000_s1026" o:spt="203" style="position:absolute;left:11031;top:1454;height:806;width:727;rotation:11796480f;" coordorigin="6556,1487" coordsize="727,853" o:gfxdata="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">
                  <o:lock v:ext="edit" aspectratio="f"/>
                  <v:shape id="直角三角形 5" o:spid="_x0000_s1026" o:spt="6" type="#_x0000_t6" style="position:absolute;left:6556;top:1487;flip:x y;height:575;width:726;v-text-anchor:middle;" filled="t" stroked="f" coordsize="21600,21600" o:gfxdata="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N2vu74A&#10;AADbAAAADwAAAAAAAAABACAAAAAiAAAAZHJzL2Rvd25yZXYueG1sUEsBAhQAFAAAAAgAh07iQDMv&#10;BZ47AAAAOQAAABAAAAAAAAAAAQAgAAAADQEAAGRycy9zaGFwZXhtbC54bWxQSwUGAAAAAAYABgBb&#10;AQAAtwMAAAAA&#10;">
                    <v:fill on="t" focussize="0,0"/>
                    <v:stroke on="f" weight="2pt"/>
                    <v:imagedata o:title=""/>
                    <o:lock v:ext="edit" aspectratio="f"/>
                  </v:shape>
                  <v:shape id="直角三角形 11" o:spid="_x0000_s1026" o:spt="6" type="#_x0000_t6" style="position:absolute;left:6557;top:1777;flip:x y;height:563;width:726;v-text-anchor:middle;" filled="t" stroked="f" coordsize="21600,21600" o:gfxdata="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WlcRb4A&#10;AADbAAAADwAAAAAAAAABACAAAAAiAAAAZHJzL2Rvd25yZXYueG1sUEsBAhQAFAAAAAgAh07iQDMv&#10;BZ47AAAAOQAAABAAAAAAAAAAAQAgAAAADQEAAGRycy9zaGFwZXhtbC54bWxQSwUGAAAAAAYABgBb&#10;AQAAtwMAAAAA&#10;">
                    <v:fill on="t" focussize="0,0"/>
                    <v:stroke on="f" weight="2pt"/>
                    <v:imagedata o:title=""/>
                    <o:lock v:ext="edit" aspectratio="f"/>
                  </v:shape>
                </v:group>
                <v:rect id="_x0000_s1026" o:spid="_x0000_s1026" o:spt="1" style="position:absolute;left:8626;top:1490;height:786;width:941;v-text-anchor:middle;" fillcolor="#8F26F4" filled="t" stroked="f" coordsize="21600,21600" o:gfxdata="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TP6XugAAANsA&#10;AAAPAAAAAAAAAAEAIAAAACIAAABkcnMvZG93bnJldi54bWxQSwECFAAUAAAACACHTuJAMy8FnjsA&#10;AAA5AAAAEAAAAAAAAAABACAAAAAJAQAAZHJzL3NoYXBleG1sLnhtbFBLBQYAAAAABgAGAFsBAACz&#10;AwAAAAA=&#10;">
                  <v:fill on="t" focussize="0,0"/>
                  <v:stroke on="f" weight="2pt"/>
                  <v:imagedata o:title=""/>
                  <o:lock v:ext="edit" aspectratio="f"/>
                </v:rect>
                <v:shape id="椭圆 9" o:spid="_x0000_s1026" o:spt="3" type="#_x0000_t3" style="position:absolute;left:9253;top:1132;height:1273;width:1253;v-text-anchor:middle;" filled="f" stroked="t" coordsize="21600,21600" o:gfxdata="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51e0ugAAANsA&#10;AAAPAAAAAAAAAAEAIAAAACIAAABkcnMvZG93bnJldi54bWxQSwECFAAUAAAACACHTuJAMy8FnjsA&#10;AAA5AAAAEAAAAAAAAAABACAAAAAJAQAAZHJzL3NoYXBleG1sLnhtbFBLBQYAAAAABgAGAFsBAACz&#10;AwAAAAA=&#10;">
                  <v:fill on="f" focussize="0,0"/>
                  <v:stroke weight="2.25pt" color="#FFFFFF [3212]" joinstyle="round"/>
                  <v:imagedata o:title=""/>
                  <o:lock v:ext="edit" aspectratio="f"/>
                </v:shape>
              </v:group>
              <v:shape id="图片 6" o:spid="_x0000_s1026" o:spt="75" alt="圆logo定" type="#_x0000_t75" style="position:absolute;left:10016;top:1131;height:1271;width:1259;" filled="f" o:preferrelative="t" stroked="f" coordsize="21600,21600" o:gfxdata="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KMcKe8AAAA&#10;2wAAAA8AAAAAAAAAAQAgAAAAIgAAAGRycy9kb3ducmV2LnhtbFBLAQIUABQAAAAIAIdO4kAzLwWe&#10;OwAAADkAAAAQAAAAAAAAAAEAIAAAAAsBAABkcnMvc2hhcGV4bWwueG1sUEsFBgAAAAAGAAYAWwEA&#10;ALUDAAAAAA==&#10;">
                <v:fill on="f" focussize="0,0"/>
                <v:stroke on="f"/>
                <v:imagedata r:id="rId2" cropleft="5067f" croptop="8172f" cropright="7860f" cropbottom="6020f" o:title=""/>
                <o:lock v:ext="edit" aspectratio="t"/>
              </v:shape>
            </v:group>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4277995</wp:posOffset>
              </wp:positionH>
              <wp:positionV relativeFrom="paragraph">
                <wp:posOffset>158115</wp:posOffset>
              </wp:positionV>
              <wp:extent cx="2002155" cy="5765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002155" cy="576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55470">
                          <w:pPr>
                            <w:jc w:val="right"/>
                            <w:rPr>
                              <w:rFonts w:hint="default" w:ascii="Arial Black" w:hAnsi="Arial Black" w:eastAsia="微软雅黑" w:cs="Arial Black"/>
                              <w:b/>
                              <w:bCs/>
                              <w:color w:val="FFFFFF" w:themeColor="background1"/>
                              <w:spacing w:val="40"/>
                              <w:sz w:val="40"/>
                              <w:szCs w:val="48"/>
                              <w:lang w:val="en-US" w:eastAsia="zh-CN"/>
                              <w14:textFill>
                                <w14:solidFill>
                                  <w14:schemeClr w14:val="bg1"/>
                                </w14:solidFill>
                              </w14:textFill>
                            </w:rPr>
                          </w:pPr>
                          <w:r>
                            <w:rPr>
                              <w:rFonts w:hint="default" w:ascii="Arial Black" w:hAnsi="Arial Black" w:eastAsia="华文中宋" w:cs="Arial Black"/>
                              <w:color w:val="FFFFFF" w:themeColor="background1"/>
                              <w:sz w:val="52"/>
                              <w:szCs w:val="60"/>
                              <w:highlight w:val="none"/>
                              <w:lang w:val="en-US" w:eastAsia="zh-CN"/>
                              <w14:textFill>
                                <w14:solidFill>
                                  <w14:schemeClr w14:val="bg1"/>
                                </w14:solidFill>
                              </w14:textFill>
                            </w:rPr>
                            <w:t>JKC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6.85pt;margin-top:12.45pt;height:45.4pt;width:157.65pt;z-index:251670528;mso-width-relative:page;mso-height-relative:page;" filled="f" stroked="f" coordsize="21600,21600" o:gfxdata="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bMDso2wAAAAoBAAAPAAAAAAAAAAEAIAAAACIAAABk&#10;cnMvZG93bnJldi54bWxQSwECFAAUAAAACACHTuJAPpAb5zwCAABmBAAADgAAAAAAAAABACAAAAAq&#10;AQAAZHJzL2Uyb0RvYy54bWxQSwUGAAAAAAYABgBZAQAA2AUAAAAA&#10;">
              <v:fill on="f" focussize="0,0"/>
              <v:stroke on="f" weight="0.5pt"/>
              <v:imagedata o:title=""/>
              <o:lock v:ext="edit" aspectratio="f"/>
              <v:textbox>
                <w:txbxContent>
                  <w:p w14:paraId="7ED55470">
                    <w:pPr>
                      <w:jc w:val="right"/>
                      <w:rPr>
                        <w:rFonts w:hint="default" w:ascii="Arial Black" w:hAnsi="Arial Black" w:eastAsia="微软雅黑" w:cs="Arial Black"/>
                        <w:b/>
                        <w:bCs/>
                        <w:color w:val="FFFFFF" w:themeColor="background1"/>
                        <w:spacing w:val="40"/>
                        <w:sz w:val="40"/>
                        <w:szCs w:val="48"/>
                        <w:lang w:val="en-US" w:eastAsia="zh-CN"/>
                        <w14:textFill>
                          <w14:solidFill>
                            <w14:schemeClr w14:val="bg1"/>
                          </w14:solidFill>
                        </w14:textFill>
                      </w:rPr>
                    </w:pPr>
                    <w:r>
                      <w:rPr>
                        <w:rFonts w:hint="default" w:ascii="Arial Black" w:hAnsi="Arial Black" w:eastAsia="华文中宋" w:cs="Arial Black"/>
                        <w:color w:val="FFFFFF" w:themeColor="background1"/>
                        <w:sz w:val="52"/>
                        <w:szCs w:val="60"/>
                        <w:highlight w:val="none"/>
                        <w:lang w:val="en-US" w:eastAsia="zh-CN"/>
                        <w14:textFill>
                          <w14:solidFill>
                            <w14:schemeClr w14:val="bg1"/>
                          </w14:solidFill>
                        </w14:textFill>
                      </w:rPr>
                      <w:t>JKC</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63500</wp:posOffset>
              </wp:positionH>
              <wp:positionV relativeFrom="paragraph">
                <wp:posOffset>186690</wp:posOffset>
              </wp:positionV>
              <wp:extent cx="2002155" cy="57658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2002155" cy="576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21FB7">
                          <w:pPr>
                            <w:jc w:val="both"/>
                            <w:rPr>
                              <w:rFonts w:hint="default" w:ascii="Arial Black" w:hAnsi="Arial Black" w:eastAsia="微软雅黑" w:cs="Arial Black"/>
                              <w:b/>
                              <w:bCs/>
                              <w:color w:val="FFFFFF" w:themeColor="background1"/>
                              <w:spacing w:val="40"/>
                              <w:sz w:val="40"/>
                              <w:szCs w:val="48"/>
                              <w:lang w:val="en-US" w:eastAsia="zh-CN"/>
                              <w14:textFill>
                                <w14:solidFill>
                                  <w14:schemeClr w14:val="bg1"/>
                                </w14:solidFill>
                              </w14:textFill>
                            </w:rPr>
                          </w:pPr>
                          <w:r>
                            <w:rPr>
                              <w:rFonts w:hint="eastAsia" w:ascii="微软雅黑" w:hAnsi="微软雅黑" w:eastAsia="微软雅黑" w:cs="微软雅黑"/>
                              <w:b/>
                              <w:bCs/>
                              <w:color w:val="FFFFFF" w:themeColor="background1"/>
                              <w:spacing w:val="40"/>
                              <w:sz w:val="40"/>
                              <w:szCs w:val="48"/>
                              <w:lang w:val="en-US" w:eastAsia="zh-CN"/>
                              <w14:textFill>
                                <w14:solidFill>
                                  <w14:schemeClr w14:val="bg1"/>
                                </w14:solidFill>
                              </w14:textFill>
                            </w:rPr>
                            <w:t>招标文件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pt;margin-top:14.7pt;height:45.4pt;width:157.65pt;z-index:251669504;mso-width-relative:page;mso-height-relative:page;" filled="f" stroked="f" coordsize="21600,21600" o:gfxdata="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kr+Bf2QAAAAkBAAAPAAAAAAAAAAEAIAAAACIAAABk&#10;cnMvZG93bnJldi54bWxQSwECFAAUAAAACACHTuJAKylFuj4CAABoBAAADgAAAAAAAAABACAAAAAo&#10;AQAAZHJzL2Uyb0RvYy54bWxQSwUGAAAAAAYABgBZAQAA2AUAAAAA&#10;">
              <v:fill on="f" focussize="0,0"/>
              <v:stroke on="f" weight="0.5pt"/>
              <v:imagedata o:title=""/>
              <o:lock v:ext="edit" aspectratio="f"/>
              <v:textbox>
                <w:txbxContent>
                  <w:p w14:paraId="4C621FB7">
                    <w:pPr>
                      <w:jc w:val="both"/>
                      <w:rPr>
                        <w:rFonts w:hint="default" w:ascii="Arial Black" w:hAnsi="Arial Black" w:eastAsia="微软雅黑" w:cs="Arial Black"/>
                        <w:b/>
                        <w:bCs/>
                        <w:color w:val="FFFFFF" w:themeColor="background1"/>
                        <w:spacing w:val="40"/>
                        <w:sz w:val="40"/>
                        <w:szCs w:val="48"/>
                        <w:lang w:val="en-US" w:eastAsia="zh-CN"/>
                        <w14:textFill>
                          <w14:solidFill>
                            <w14:schemeClr w14:val="bg1"/>
                          </w14:solidFill>
                        </w14:textFill>
                      </w:rPr>
                    </w:pPr>
                    <w:r>
                      <w:rPr>
                        <w:rFonts w:hint="eastAsia" w:ascii="微软雅黑" w:hAnsi="微软雅黑" w:eastAsia="微软雅黑" w:cs="微软雅黑"/>
                        <w:b/>
                        <w:bCs/>
                        <w:color w:val="FFFFFF" w:themeColor="background1"/>
                        <w:spacing w:val="40"/>
                        <w:sz w:val="40"/>
                        <w:szCs w:val="48"/>
                        <w:lang w:val="en-US" w:eastAsia="zh-CN"/>
                        <w14:textFill>
                          <w14:solidFill>
                            <w14:schemeClr w14:val="bg1"/>
                          </w14:solidFill>
                        </w14:textFill>
                      </w:rPr>
                      <w:t>招标文件</w:t>
                    </w:r>
                  </w:p>
                </w:txbxContent>
              </v:textbox>
            </v:shape>
          </w:pict>
        </mc:Fallback>
      </mc:AlternateContent>
    </w:r>
    <w:r>
      <w:rPr>
        <w:rFonts w:hint="eastAsia" w:eastAsiaTheme="minorEastAsia"/>
        <w:lang w:eastAsia="zh-CN"/>
      </w:rPr>
      <w:drawing>
        <wp:anchor distT="0" distB="0" distL="114300" distR="114300" simplePos="0" relativeHeight="251661312" behindDoc="1" locked="0" layoutInCell="1" allowOverlap="1">
          <wp:simplePos x="0" y="0"/>
          <wp:positionH relativeFrom="column">
            <wp:posOffset>-1549400</wp:posOffset>
          </wp:positionH>
          <wp:positionV relativeFrom="paragraph">
            <wp:posOffset>-2401570</wp:posOffset>
          </wp:positionV>
          <wp:extent cx="8422005" cy="12553950"/>
          <wp:effectExtent l="0" t="0" r="17145" b="0"/>
          <wp:wrapNone/>
          <wp:docPr id="2" name="图片 2" descr="底纹-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底纹-1-1"/>
                  <pic:cNvPicPr>
                    <a:picLocks noChangeAspect="1"/>
                  </pic:cNvPicPr>
                </pic:nvPicPr>
                <pic:blipFill>
                  <a:blip r:embed="rId3">
                    <a:alphaModFix amt="20000"/>
                  </a:blip>
                  <a:stretch>
                    <a:fillRect/>
                  </a:stretch>
                </pic:blipFill>
                <pic:spPr>
                  <a:xfrm>
                    <a:off x="0" y="0"/>
                    <a:ext cx="8422005" cy="1255395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FA4F3">
    <w:pPr>
      <w:pStyle w:val="30"/>
      <w:pBdr>
        <w:bottom w:val="none" w:color="auto" w:sz="0" w:space="0"/>
      </w:pBdr>
    </w:pPr>
    <w:r>
      <w:rPr>
        <w:rFonts w:hint="eastAsia" w:eastAsiaTheme="minorEastAsia"/>
        <w:lang w:eastAsia="zh-CN"/>
      </w:rPr>
      <w:drawing>
        <wp:anchor distT="0" distB="0" distL="114300" distR="114300" simplePos="0" relativeHeight="251662336" behindDoc="1" locked="0" layoutInCell="1" allowOverlap="1">
          <wp:simplePos x="0" y="0"/>
          <wp:positionH relativeFrom="column">
            <wp:posOffset>-1550035</wp:posOffset>
          </wp:positionH>
          <wp:positionV relativeFrom="paragraph">
            <wp:posOffset>-2402840</wp:posOffset>
          </wp:positionV>
          <wp:extent cx="8422005" cy="12553950"/>
          <wp:effectExtent l="0" t="0" r="17145" b="0"/>
          <wp:wrapNone/>
          <wp:docPr id="5" name="图片 5" descr="底纹-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底纹-1-1"/>
                  <pic:cNvPicPr>
                    <a:picLocks noChangeAspect="1"/>
                  </pic:cNvPicPr>
                </pic:nvPicPr>
                <pic:blipFill>
                  <a:blip r:embed="rId1">
                    <a:alphaModFix amt="20000"/>
                  </a:blip>
                  <a:stretch>
                    <a:fillRect/>
                  </a:stretch>
                </pic:blipFill>
                <pic:spPr>
                  <a:xfrm>
                    <a:off x="0" y="0"/>
                    <a:ext cx="8422005" cy="1255395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A771">
    <w:pPr>
      <w:pStyle w:val="30"/>
      <w:pBdr>
        <w:bottom w:val="none" w:color="auto" w:sz="0" w:space="1"/>
      </w:pBdr>
      <w:tabs>
        <w:tab w:val="clear" w:pos="4153"/>
      </w:tabs>
      <w:rPr>
        <w:rFonts w:ascii="仿宋_GB2312" w:eastAsia="仿宋_GB2312"/>
        <w:sz w:val="21"/>
        <w:szCs w:val="21"/>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-1427480</wp:posOffset>
          </wp:positionH>
          <wp:positionV relativeFrom="paragraph">
            <wp:posOffset>-2447290</wp:posOffset>
          </wp:positionV>
          <wp:extent cx="8422005" cy="12553950"/>
          <wp:effectExtent l="0" t="0" r="17145" b="0"/>
          <wp:wrapNone/>
          <wp:docPr id="6" name="图片 6" descr="底纹-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底纹-1-1"/>
                  <pic:cNvPicPr>
                    <a:picLocks noChangeAspect="1"/>
                  </pic:cNvPicPr>
                </pic:nvPicPr>
                <pic:blipFill>
                  <a:blip r:embed="rId1">
                    <a:alphaModFix amt="20000"/>
                  </a:blip>
                  <a:stretch>
                    <a:fillRect/>
                  </a:stretch>
                </pic:blipFill>
                <pic:spPr>
                  <a:xfrm>
                    <a:off x="0" y="0"/>
                    <a:ext cx="8422005" cy="12553950"/>
                  </a:xfrm>
                  <a:prstGeom prst="rect">
                    <a:avLst/>
                  </a:prstGeom>
                </pic:spPr>
              </pic:pic>
            </a:graphicData>
          </a:graphic>
        </wp:anchor>
      </w:drawing>
    </w:r>
    <w:r>
      <w:rPr>
        <w:sz w:val="18"/>
      </w:rPr>
      <mc:AlternateContent>
        <mc:Choice Requires="wpg">
          <w:drawing>
            <wp:anchor distT="0" distB="0" distL="114300" distR="114300" simplePos="0" relativeHeight="251664384" behindDoc="0" locked="0" layoutInCell="1" allowOverlap="1">
              <wp:simplePos x="0" y="0"/>
              <wp:positionH relativeFrom="column">
                <wp:posOffset>-78105</wp:posOffset>
              </wp:positionH>
              <wp:positionV relativeFrom="paragraph">
                <wp:posOffset>-248285</wp:posOffset>
              </wp:positionV>
              <wp:extent cx="6331585" cy="668655"/>
              <wp:effectExtent l="0" t="0" r="0" b="0"/>
              <wp:wrapNone/>
              <wp:docPr id="9" name="组合 9"/>
              <wp:cNvGraphicFramePr/>
              <a:graphic xmlns:a="http://schemas.openxmlformats.org/drawingml/2006/main">
                <a:graphicData uri="http://schemas.microsoft.com/office/word/2010/wordprocessingGroup">
                  <wpg:wgp>
                    <wpg:cNvGrpSpPr/>
                    <wpg:grpSpPr>
                      <a:xfrm>
                        <a:off x="0" y="0"/>
                        <a:ext cx="6331585" cy="668655"/>
                        <a:chOff x="5970" y="35110"/>
                        <a:chExt cx="9971" cy="1053"/>
                      </a:xfrm>
                    </wpg:grpSpPr>
                    <pic:pic xmlns:pic="http://schemas.openxmlformats.org/drawingml/2006/picture">
                      <pic:nvPicPr>
                        <pic:cNvPr id="10" name="图片 80" descr="2a256df2e259f3abea602d07e48348a"/>
                        <pic:cNvPicPr>
                          <a:picLocks noChangeAspect="1"/>
                        </pic:cNvPicPr>
                      </pic:nvPicPr>
                      <pic:blipFill>
                        <a:blip r:embed="rId2">
                          <a:biLevel thresh="50000"/>
                        </a:blip>
                        <a:srcRect r="71169" b="-1127"/>
                        <a:stretch>
                          <a:fillRect/>
                        </a:stretch>
                      </pic:blipFill>
                      <pic:spPr>
                        <a:xfrm>
                          <a:off x="15301" y="35387"/>
                          <a:ext cx="641" cy="441"/>
                        </a:xfrm>
                        <a:prstGeom prst="rect">
                          <a:avLst/>
                        </a:prstGeom>
                      </pic:spPr>
                    </pic:pic>
                    <wps:wsp>
                      <wps:cNvPr id="11" name="文本框 26"/>
                      <wps:cNvSpPr txBox="1"/>
                      <wps:spPr>
                        <a:xfrm>
                          <a:off x="5970" y="35110"/>
                          <a:ext cx="6226" cy="9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A6290">
                            <w:pPr>
                              <w:keepNext w:val="0"/>
                              <w:keepLines w:val="0"/>
                              <w:pageBreakBefore w:val="0"/>
                              <w:widowControl w:val="0"/>
                              <w:kinsoku/>
                              <w:wordWrap/>
                              <w:overflowPunct/>
                              <w:topLinePunct w:val="0"/>
                              <w:bidi w:val="0"/>
                              <w:adjustRightInd/>
                              <w:snapToGrid/>
                              <w:spacing w:line="480" w:lineRule="auto"/>
                              <w:jc w:val="both"/>
                              <w:textAlignment w:val="auto"/>
                              <w:rPr>
                                <w:rFonts w:hint="default" w:ascii="微软雅黑" w:hAnsi="微软雅黑" w:eastAsia="微软雅黑" w:cs="微软雅黑"/>
                                <w:b/>
                                <w:bCs/>
                                <w:color w:val="000000" w:themeColor="text1"/>
                                <w:sz w:val="32"/>
                                <w:szCs w:val="32"/>
                                <w:lang w:val="en-US" w:eastAsia="zh-CN"/>
                                <w14:textFill>
                                  <w14:solidFill>
                                    <w14:schemeClr w14:val="tx1"/>
                                  </w14:solidFill>
                                </w14:textFill>
                              </w:rPr>
                            </w:pPr>
                            <w: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t>招标文件</w:t>
                            </w:r>
                          </w:p>
                          <w:p w14:paraId="36F091BD">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直接连接符 34"/>
                      <wps:cNvCnPr/>
                      <wps:spPr>
                        <a:xfrm>
                          <a:off x="6036" y="35909"/>
                          <a:ext cx="9816" cy="0"/>
                        </a:xfrm>
                        <a:prstGeom prst="line">
                          <a:avLst/>
                        </a:prstGeom>
                        <a:ln w="9525">
                          <a:solidFill>
                            <a:srgbClr val="53005C"/>
                          </a:solidFill>
                        </a:ln>
                      </wps:spPr>
                      <wps:style>
                        <a:lnRef idx="2">
                          <a:schemeClr val="accent1"/>
                        </a:lnRef>
                        <a:fillRef idx="0">
                          <a:srgbClr val="FFFFFF"/>
                        </a:fillRef>
                        <a:effectRef idx="0">
                          <a:srgbClr val="FFFFFF"/>
                        </a:effectRef>
                        <a:fontRef idx="minor">
                          <a:schemeClr val="tx1"/>
                        </a:fontRef>
                      </wps:style>
                      <wps:bodyPr/>
                    </wps:wsp>
                    <wps:wsp>
                      <wps:cNvPr id="13" name="文本框 30"/>
                      <wps:cNvSpPr txBox="1"/>
                      <wps:spPr>
                        <a:xfrm>
                          <a:off x="5989" y="35583"/>
                          <a:ext cx="4536" cy="58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CBB66">
                            <w:pPr>
                              <w:pStyle w:val="29"/>
                              <w:rPr>
                                <w:rFonts w:hint="eastAsia" w:ascii="微软雅黑" w:hAnsi="微软雅黑" w:eastAsia="微软雅黑" w:cs="微软雅黑"/>
                                <w:sz w:val="15"/>
                                <w:szCs w:val="18"/>
                                <w:lang w:val="en-US" w:eastAsia="zh-CN"/>
                              </w:rPr>
                            </w:pPr>
                            <w:r>
                              <w:rPr>
                                <w:rFonts w:hint="eastAsia" w:ascii="微软雅黑" w:hAnsi="微软雅黑" w:eastAsia="微软雅黑" w:cs="微软雅黑"/>
                                <w:sz w:val="15"/>
                                <w:szCs w:val="18"/>
                                <w:lang w:val="en-US" w:eastAsia="zh-CN"/>
                              </w:rPr>
                              <w:t>Bidding Documents</w:t>
                            </w:r>
                          </w:p>
                          <w:p w14:paraId="2C21D24D">
                            <w:pPr>
                              <w:pStyle w:val="29"/>
                              <w:rPr>
                                <w:rFonts w:hint="eastAsia" w:ascii="微软雅黑" w:hAnsi="微软雅黑" w:eastAsia="微软雅黑" w:cs="微软雅黑"/>
                                <w:sz w:val="15"/>
                                <w:szCs w:val="18"/>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6.15pt;margin-top:-19.55pt;height:52.65pt;width:498.55pt;z-index:251664384;mso-width-relative:page;mso-height-relative:page;" coordorigin="5970,35110" coordsize="9971,1053" o:gfxdata="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">
              <o:lock v:ext="edit" aspectratio="f"/>
              <v:shape id="图片 80" o:spid="_x0000_s1026" o:spt="75" alt="2a256df2e259f3abea602d07e48348a" type="#_x0000_t75" style="position:absolute;left:15301;top:35387;height:441;width:641;" filled="f" o:preferrelative="t" stroked="f" coordsize="21600,21600" o:gfxdata="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QP0C7sAAADb&#10;AAAADwAAAAAAAAABACAAAAAiAAAAZHJzL2Rvd25yZXYueG1sUEsBAhQAFAAAAAgAh07iQDMvBZ47&#10;AAAAOQAAABAAAAAAAAAAAQAgAAAACgEAAGRycy9zaGFwZXhtbC54bWxQSwUGAAAAAAYABgBbAQAA&#10;tAMAAAAA&#10;">
                <v:fill on="f" focussize="0,0"/>
                <v:stroke on="f"/>
                <v:imagedata r:id="rId2" cropright="46641f" cropbottom="-739f" grayscale="t" bilevel="t" o:title=""/>
                <o:lock v:ext="edit" aspectratio="t"/>
              </v:shape>
              <v:shape id="文本框 26" o:spid="_x0000_s1026" o:spt="202" type="#_x0000_t202" style="position:absolute;left:5970;top:35110;height:975;width:6226;" filled="f" stroked="f" coordsize="21600,21600" o:gfxdata="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aOwb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1EAA6290">
                      <w:pPr>
                        <w:keepNext w:val="0"/>
                        <w:keepLines w:val="0"/>
                        <w:pageBreakBefore w:val="0"/>
                        <w:widowControl w:val="0"/>
                        <w:kinsoku/>
                        <w:wordWrap/>
                        <w:overflowPunct/>
                        <w:topLinePunct w:val="0"/>
                        <w:bidi w:val="0"/>
                        <w:adjustRightInd/>
                        <w:snapToGrid/>
                        <w:spacing w:line="480" w:lineRule="auto"/>
                        <w:jc w:val="both"/>
                        <w:textAlignment w:val="auto"/>
                        <w:rPr>
                          <w:rFonts w:hint="default" w:ascii="微软雅黑" w:hAnsi="微软雅黑" w:eastAsia="微软雅黑" w:cs="微软雅黑"/>
                          <w:b/>
                          <w:bCs/>
                          <w:color w:val="000000" w:themeColor="text1"/>
                          <w:sz w:val="32"/>
                          <w:szCs w:val="32"/>
                          <w:lang w:val="en-US" w:eastAsia="zh-CN"/>
                          <w14:textFill>
                            <w14:solidFill>
                              <w14:schemeClr w14:val="tx1"/>
                            </w14:solidFill>
                          </w14:textFill>
                        </w:rPr>
                      </w:pPr>
                      <w: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t>招标文件</w:t>
                      </w:r>
                    </w:p>
                    <w:p w14:paraId="36F091BD">
                      <w:pPr>
                        <w:rPr>
                          <w:rFonts w:hint="default"/>
                          <w:lang w:val="en-US" w:eastAsia="zh-CN"/>
                        </w:rPr>
                      </w:pPr>
                    </w:p>
                  </w:txbxContent>
                </v:textbox>
              </v:shape>
              <v:line id="直接连接符 34" o:spid="_x0000_s1026" o:spt="20" style="position:absolute;left:6036;top:35909;height:0;width:9816;" filled="f" stroked="t" coordsize="21600,21600" o:gfxdata="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gf8qbgAAADbAAAA&#10;DwAAAAAAAAABACAAAAAiAAAAZHJzL2Rvd25yZXYueG1sUEsBAhQAFAAAAAgAh07iQDMvBZ47AAAA&#10;OQAAABAAAAAAAAAAAQAgAAAABwEAAGRycy9zaGFwZXhtbC54bWxQSwUGAAAAAAYABgBbAQAAsQMA&#10;AAAA&#10;">
                <v:fill on="f" focussize="0,0"/>
                <v:stroke color="#53005C [3204]" joinstyle="round"/>
                <v:imagedata o:title=""/>
                <o:lock v:ext="edit" aspectratio="f"/>
              </v:line>
              <v:shape id="文本框 30" o:spid="_x0000_s1026" o:spt="202" type="#_x0000_t202" style="position:absolute;left:5989;top:35583;height:581;width:4536;" filled="f" stroked="f" coordsize="21600,21600" o:gfxdata="UEsDBAoAAAAAAIdO4kAAAAAAAAAAAAAAAAAEAAAAZHJzL1BLAwQUAAAACACHTuJAO/bX97wAAADb&#10;AAAADwAAAGRycy9kb3ducmV2LnhtbEVPTWvCQBC9C/6HZYTedBNL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21/e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621CBB66">
                      <w:pPr>
                        <w:pStyle w:val="29"/>
                        <w:rPr>
                          <w:rFonts w:hint="eastAsia" w:ascii="微软雅黑" w:hAnsi="微软雅黑" w:eastAsia="微软雅黑" w:cs="微软雅黑"/>
                          <w:sz w:val="15"/>
                          <w:szCs w:val="18"/>
                          <w:lang w:val="en-US" w:eastAsia="zh-CN"/>
                        </w:rPr>
                      </w:pPr>
                      <w:r>
                        <w:rPr>
                          <w:rFonts w:hint="eastAsia" w:ascii="微软雅黑" w:hAnsi="微软雅黑" w:eastAsia="微软雅黑" w:cs="微软雅黑"/>
                          <w:sz w:val="15"/>
                          <w:szCs w:val="18"/>
                          <w:lang w:val="en-US" w:eastAsia="zh-CN"/>
                        </w:rPr>
                        <w:t>Bidding Documents</w:t>
                      </w:r>
                    </w:p>
                    <w:p w14:paraId="2C21D24D">
                      <w:pPr>
                        <w:pStyle w:val="29"/>
                        <w:rPr>
                          <w:rFonts w:hint="eastAsia" w:ascii="微软雅黑" w:hAnsi="微软雅黑" w:eastAsia="微软雅黑" w:cs="微软雅黑"/>
                          <w:sz w:val="15"/>
                          <w:szCs w:val="18"/>
                          <w:lang w:val="en-US" w:eastAsia="zh-CN"/>
                        </w:rP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EB291"/>
    <w:multiLevelType w:val="singleLevel"/>
    <w:tmpl w:val="817EB291"/>
    <w:lvl w:ilvl="0" w:tentative="0">
      <w:start w:val="5"/>
      <w:numFmt w:val="decimal"/>
      <w:lvlText w:val="%1)"/>
      <w:lvlJc w:val="left"/>
      <w:pPr>
        <w:tabs>
          <w:tab w:val="left" w:pos="312"/>
        </w:tabs>
      </w:pPr>
    </w:lvl>
  </w:abstractNum>
  <w:abstractNum w:abstractNumId="1">
    <w:nsid w:val="87958385"/>
    <w:multiLevelType w:val="singleLevel"/>
    <w:tmpl w:val="87958385"/>
    <w:lvl w:ilvl="0" w:tentative="0">
      <w:start w:val="1"/>
      <w:numFmt w:val="decimal"/>
      <w:lvlText w:val="%1."/>
      <w:lvlJc w:val="left"/>
      <w:pPr>
        <w:tabs>
          <w:tab w:val="left" w:pos="312"/>
        </w:tabs>
      </w:pPr>
    </w:lvl>
  </w:abstractNum>
  <w:abstractNum w:abstractNumId="2">
    <w:nsid w:val="8847E1C1"/>
    <w:multiLevelType w:val="singleLevel"/>
    <w:tmpl w:val="8847E1C1"/>
    <w:lvl w:ilvl="0" w:tentative="0">
      <w:start w:val="1"/>
      <w:numFmt w:val="decimal"/>
      <w:suff w:val="space"/>
      <w:lvlText w:val="%1)"/>
      <w:lvlJc w:val="left"/>
    </w:lvl>
  </w:abstractNum>
  <w:abstractNum w:abstractNumId="3">
    <w:nsid w:val="8AC681C5"/>
    <w:multiLevelType w:val="singleLevel"/>
    <w:tmpl w:val="8AC681C5"/>
    <w:lvl w:ilvl="0" w:tentative="0">
      <w:start w:val="1"/>
      <w:numFmt w:val="decimal"/>
      <w:suff w:val="nothing"/>
      <w:lvlText w:val="%1）"/>
      <w:lvlJc w:val="left"/>
    </w:lvl>
  </w:abstractNum>
  <w:abstractNum w:abstractNumId="4">
    <w:nsid w:val="90159F88"/>
    <w:multiLevelType w:val="singleLevel"/>
    <w:tmpl w:val="90159F88"/>
    <w:lvl w:ilvl="0" w:tentative="0">
      <w:start w:val="1"/>
      <w:numFmt w:val="decimal"/>
      <w:suff w:val="nothing"/>
      <w:lvlText w:val="%1）"/>
      <w:lvlJc w:val="left"/>
    </w:lvl>
  </w:abstractNum>
  <w:abstractNum w:abstractNumId="5">
    <w:nsid w:val="9354B0CF"/>
    <w:multiLevelType w:val="singleLevel"/>
    <w:tmpl w:val="9354B0CF"/>
    <w:lvl w:ilvl="0" w:tentative="0">
      <w:start w:val="1"/>
      <w:numFmt w:val="decimal"/>
      <w:suff w:val="nothing"/>
      <w:lvlText w:val="%1）"/>
      <w:lvlJc w:val="left"/>
    </w:lvl>
  </w:abstractNum>
  <w:abstractNum w:abstractNumId="6">
    <w:nsid w:val="9554F724"/>
    <w:multiLevelType w:val="singleLevel"/>
    <w:tmpl w:val="9554F724"/>
    <w:lvl w:ilvl="0" w:tentative="0">
      <w:start w:val="1"/>
      <w:numFmt w:val="decimal"/>
      <w:suff w:val="nothing"/>
      <w:lvlText w:val="%1）"/>
      <w:lvlJc w:val="left"/>
    </w:lvl>
  </w:abstractNum>
  <w:abstractNum w:abstractNumId="7">
    <w:nsid w:val="9A95ED96"/>
    <w:multiLevelType w:val="singleLevel"/>
    <w:tmpl w:val="9A95ED96"/>
    <w:lvl w:ilvl="0" w:tentative="0">
      <w:start w:val="1"/>
      <w:numFmt w:val="decimal"/>
      <w:suff w:val="nothing"/>
      <w:lvlText w:val="%1）"/>
      <w:lvlJc w:val="left"/>
    </w:lvl>
  </w:abstractNum>
  <w:abstractNum w:abstractNumId="8">
    <w:nsid w:val="9E4092D8"/>
    <w:multiLevelType w:val="singleLevel"/>
    <w:tmpl w:val="9E4092D8"/>
    <w:lvl w:ilvl="0" w:tentative="0">
      <w:start w:val="1"/>
      <w:numFmt w:val="decimal"/>
      <w:suff w:val="nothing"/>
      <w:lvlText w:val="%1）"/>
      <w:lvlJc w:val="left"/>
    </w:lvl>
  </w:abstractNum>
  <w:abstractNum w:abstractNumId="9">
    <w:nsid w:val="A04CEB72"/>
    <w:multiLevelType w:val="singleLevel"/>
    <w:tmpl w:val="A04CEB72"/>
    <w:lvl w:ilvl="0" w:tentative="0">
      <w:start w:val="1"/>
      <w:numFmt w:val="decimal"/>
      <w:suff w:val="nothing"/>
      <w:lvlText w:val="%1）"/>
      <w:lvlJc w:val="left"/>
    </w:lvl>
  </w:abstractNum>
  <w:abstractNum w:abstractNumId="10">
    <w:nsid w:val="A62F7A02"/>
    <w:multiLevelType w:val="singleLevel"/>
    <w:tmpl w:val="A62F7A02"/>
    <w:lvl w:ilvl="0" w:tentative="0">
      <w:start w:val="1"/>
      <w:numFmt w:val="decimal"/>
      <w:lvlText w:val="%1)"/>
      <w:lvlJc w:val="left"/>
      <w:pPr>
        <w:tabs>
          <w:tab w:val="left" w:pos="312"/>
        </w:tabs>
      </w:pPr>
    </w:lvl>
  </w:abstractNum>
  <w:abstractNum w:abstractNumId="11">
    <w:nsid w:val="B228AC8B"/>
    <w:multiLevelType w:val="singleLevel"/>
    <w:tmpl w:val="B228AC8B"/>
    <w:lvl w:ilvl="0" w:tentative="0">
      <w:start w:val="1"/>
      <w:numFmt w:val="decimal"/>
      <w:suff w:val="nothing"/>
      <w:lvlText w:val="%1）"/>
      <w:lvlJc w:val="left"/>
    </w:lvl>
  </w:abstractNum>
  <w:abstractNum w:abstractNumId="12">
    <w:nsid w:val="B463DBBF"/>
    <w:multiLevelType w:val="singleLevel"/>
    <w:tmpl w:val="B463DBBF"/>
    <w:lvl w:ilvl="0" w:tentative="0">
      <w:start w:val="1"/>
      <w:numFmt w:val="decimal"/>
      <w:lvlText w:val="%1)"/>
      <w:lvlJc w:val="left"/>
      <w:pPr>
        <w:ind w:left="425" w:hanging="425"/>
      </w:pPr>
      <w:rPr>
        <w:rFonts w:hint="default"/>
      </w:rPr>
    </w:lvl>
  </w:abstractNum>
  <w:abstractNum w:abstractNumId="13">
    <w:nsid w:val="B5558B39"/>
    <w:multiLevelType w:val="singleLevel"/>
    <w:tmpl w:val="B5558B39"/>
    <w:lvl w:ilvl="0" w:tentative="0">
      <w:start w:val="1"/>
      <w:numFmt w:val="decimal"/>
      <w:suff w:val="nothing"/>
      <w:lvlText w:val="%1）"/>
      <w:lvlJc w:val="left"/>
    </w:lvl>
  </w:abstractNum>
  <w:abstractNum w:abstractNumId="14">
    <w:nsid w:val="B5D666B6"/>
    <w:multiLevelType w:val="singleLevel"/>
    <w:tmpl w:val="B5D666B6"/>
    <w:lvl w:ilvl="0" w:tentative="0">
      <w:start w:val="1"/>
      <w:numFmt w:val="decimal"/>
      <w:suff w:val="nothing"/>
      <w:lvlText w:val="%1）"/>
      <w:lvlJc w:val="left"/>
    </w:lvl>
  </w:abstractNum>
  <w:abstractNum w:abstractNumId="15">
    <w:nsid w:val="B6471DFA"/>
    <w:multiLevelType w:val="singleLevel"/>
    <w:tmpl w:val="B6471DFA"/>
    <w:lvl w:ilvl="0" w:tentative="0">
      <w:start w:val="1"/>
      <w:numFmt w:val="decimal"/>
      <w:suff w:val="nothing"/>
      <w:lvlText w:val="%1）"/>
      <w:lvlJc w:val="left"/>
    </w:lvl>
  </w:abstractNum>
  <w:abstractNum w:abstractNumId="16">
    <w:nsid w:val="B83479DC"/>
    <w:multiLevelType w:val="singleLevel"/>
    <w:tmpl w:val="B83479DC"/>
    <w:lvl w:ilvl="0" w:tentative="0">
      <w:start w:val="1"/>
      <w:numFmt w:val="decimal"/>
      <w:suff w:val="nothing"/>
      <w:lvlText w:val="%1）"/>
      <w:lvlJc w:val="left"/>
    </w:lvl>
  </w:abstractNum>
  <w:abstractNum w:abstractNumId="17">
    <w:nsid w:val="B95AA4D8"/>
    <w:multiLevelType w:val="singleLevel"/>
    <w:tmpl w:val="B95AA4D8"/>
    <w:lvl w:ilvl="0" w:tentative="0">
      <w:start w:val="1"/>
      <w:numFmt w:val="decimal"/>
      <w:lvlText w:val="%1."/>
      <w:lvlJc w:val="left"/>
      <w:pPr>
        <w:tabs>
          <w:tab w:val="left" w:pos="312"/>
        </w:tabs>
      </w:pPr>
    </w:lvl>
  </w:abstractNum>
  <w:abstractNum w:abstractNumId="18">
    <w:nsid w:val="BF7E48A1"/>
    <w:multiLevelType w:val="singleLevel"/>
    <w:tmpl w:val="BF7E48A1"/>
    <w:lvl w:ilvl="0" w:tentative="0">
      <w:start w:val="1"/>
      <w:numFmt w:val="decimal"/>
      <w:suff w:val="nothing"/>
      <w:lvlText w:val="%1）"/>
      <w:lvlJc w:val="left"/>
    </w:lvl>
  </w:abstractNum>
  <w:abstractNum w:abstractNumId="19">
    <w:nsid w:val="C59FAA09"/>
    <w:multiLevelType w:val="singleLevel"/>
    <w:tmpl w:val="C59FAA09"/>
    <w:lvl w:ilvl="0" w:tentative="0">
      <w:start w:val="1"/>
      <w:numFmt w:val="decimal"/>
      <w:suff w:val="nothing"/>
      <w:lvlText w:val="%1）"/>
      <w:lvlJc w:val="left"/>
    </w:lvl>
  </w:abstractNum>
  <w:abstractNum w:abstractNumId="20">
    <w:nsid w:val="C99BA04F"/>
    <w:multiLevelType w:val="singleLevel"/>
    <w:tmpl w:val="C99BA04F"/>
    <w:lvl w:ilvl="0" w:tentative="0">
      <w:start w:val="1"/>
      <w:numFmt w:val="decimal"/>
      <w:suff w:val="space"/>
      <w:lvlText w:val="%1)"/>
      <w:lvlJc w:val="left"/>
    </w:lvl>
  </w:abstractNum>
  <w:abstractNum w:abstractNumId="21">
    <w:nsid w:val="D24C155D"/>
    <w:multiLevelType w:val="multilevel"/>
    <w:tmpl w:val="D24C155D"/>
    <w:lvl w:ilvl="0" w:tentative="0">
      <w:start w:val="1"/>
      <w:numFmt w:val="chineseCounting"/>
      <w:suff w:val="space"/>
      <w:lvlText w:val="第%1章"/>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tabs>
          <w:tab w:val="left" w:pos="420"/>
        </w:tabs>
        <w:ind w:left="567" w:hanging="567"/>
      </w:pPr>
      <w:rPr>
        <w:rFonts w:hint="eastAsia" w:ascii="宋体" w:hAnsi="宋体" w:eastAsia="宋体" w:cs="宋体"/>
        <w:sz w:val="28"/>
        <w:szCs w:val="28"/>
      </w:rPr>
    </w:lvl>
    <w:lvl w:ilvl="2" w:tentative="0">
      <w:start w:val="1"/>
      <w:numFmt w:val="decimal"/>
      <w:suff w:val="nothing"/>
      <w:lvlText w:val="%3、"/>
      <w:lvlJc w:val="left"/>
      <w:pPr>
        <w:tabs>
          <w:tab w:val="left" w:pos="0"/>
        </w:tabs>
        <w:ind w:left="567" w:firstLine="0"/>
      </w:pPr>
      <w:rPr>
        <w:rFonts w:hint="eastAsia" w:ascii="宋体" w:hAnsi="宋体" w:eastAsia="宋体" w:cs="宋体"/>
      </w:rPr>
    </w:lvl>
    <w:lvl w:ilvl="3" w:tentative="0">
      <w:start w:val="1"/>
      <w:numFmt w:val="decimal"/>
      <w:suff w:val="space"/>
      <w:lvlText w:val="%3.%4"/>
      <w:lvlJc w:val="left"/>
      <w:pPr>
        <w:tabs>
          <w:tab w:val="left" w:pos="420"/>
        </w:tabs>
        <w:ind w:left="850" w:firstLine="0"/>
      </w:pPr>
      <w:rPr>
        <w:rFonts w:hint="eastAsia" w:ascii="宋体" w:hAnsi="宋体" w:eastAsia="宋体" w:cs="宋体"/>
      </w:rPr>
    </w:lvl>
    <w:lvl w:ilvl="4" w:tentative="0">
      <w:start w:val="1"/>
      <w:numFmt w:val="decimal"/>
      <w:suff w:val="space"/>
      <w:lvlText w:val="%3.%4.%5"/>
      <w:lvlJc w:val="left"/>
      <w:pPr>
        <w:tabs>
          <w:tab w:val="left" w:pos="0"/>
        </w:tabs>
        <w:ind w:left="1134" w:firstLine="0"/>
      </w:pPr>
      <w:rPr>
        <w:rFonts w:hint="eastAsia" w:ascii="宋体" w:hAnsi="宋体" w:eastAsia="宋体" w:cs="宋体"/>
      </w:rPr>
    </w:lvl>
    <w:lvl w:ilvl="5" w:tentative="0">
      <w:start w:val="1"/>
      <w:numFmt w:val="decimal"/>
      <w:suff w:val="space"/>
      <w:lvlText w:val="%3.%4.%5.%6"/>
      <w:lvlJc w:val="left"/>
      <w:pPr>
        <w:tabs>
          <w:tab w:val="left" w:pos="0"/>
        </w:tabs>
        <w:ind w:left="1417" w:firstLine="0"/>
      </w:pPr>
      <w:rPr>
        <w:rFonts w:hint="eastAsia" w:ascii="宋体" w:hAnsi="宋体" w:eastAsia="宋体" w:cs="宋体"/>
      </w:rPr>
    </w:lvl>
    <w:lvl w:ilvl="6" w:tentative="0">
      <w:start w:val="1"/>
      <w:numFmt w:val="decimal"/>
      <w:suff w:val="space"/>
      <w:lvlText w:val="%3.%4.%5.%6.%7"/>
      <w:lvlJc w:val="left"/>
      <w:pPr>
        <w:tabs>
          <w:tab w:val="left" w:pos="0"/>
        </w:tabs>
        <w:ind w:left="1701" w:firstLine="0"/>
      </w:pPr>
      <w:rPr>
        <w:rFonts w:hint="eastAsia" w:ascii="宋体" w:hAnsi="宋体" w:eastAsia="宋体" w:cs="宋体"/>
      </w:rPr>
    </w:lvl>
    <w:lvl w:ilvl="7" w:tentative="0">
      <w:start w:val="1"/>
      <w:numFmt w:val="decimal"/>
      <w:suff w:val="space"/>
      <w:lvlText w:val="%3.%4.%5.%6.%7.%8"/>
      <w:lvlJc w:val="left"/>
      <w:pPr>
        <w:tabs>
          <w:tab w:val="left" w:pos="420"/>
        </w:tabs>
        <w:ind w:left="1984" w:firstLine="0"/>
      </w:pPr>
      <w:rPr>
        <w:rFonts w:hint="eastAsia" w:ascii="宋体" w:hAnsi="宋体" w:eastAsia="宋体" w:cs="宋体"/>
      </w:rPr>
    </w:lvl>
    <w:lvl w:ilvl="8" w:tentative="0">
      <w:start w:val="1"/>
      <w:numFmt w:val="decimal"/>
      <w:suff w:val="space"/>
      <w:lvlText w:val="%3.%4.%5.%6.%7.%8.%9"/>
      <w:lvlJc w:val="left"/>
      <w:pPr>
        <w:tabs>
          <w:tab w:val="left" w:pos="420"/>
        </w:tabs>
        <w:ind w:left="2268" w:firstLine="0"/>
      </w:pPr>
      <w:rPr>
        <w:rFonts w:hint="eastAsia" w:ascii="宋体" w:hAnsi="宋体" w:eastAsia="宋体" w:cs="宋体"/>
      </w:rPr>
    </w:lvl>
  </w:abstractNum>
  <w:abstractNum w:abstractNumId="22">
    <w:nsid w:val="DA3E0937"/>
    <w:multiLevelType w:val="singleLevel"/>
    <w:tmpl w:val="DA3E0937"/>
    <w:lvl w:ilvl="0" w:tentative="0">
      <w:start w:val="1"/>
      <w:numFmt w:val="decimal"/>
      <w:suff w:val="nothing"/>
      <w:lvlText w:val="%1）"/>
      <w:lvlJc w:val="left"/>
    </w:lvl>
  </w:abstractNum>
  <w:abstractNum w:abstractNumId="23">
    <w:nsid w:val="DCF7D435"/>
    <w:multiLevelType w:val="singleLevel"/>
    <w:tmpl w:val="DCF7D435"/>
    <w:lvl w:ilvl="0" w:tentative="0">
      <w:start w:val="1"/>
      <w:numFmt w:val="decimal"/>
      <w:suff w:val="nothing"/>
      <w:lvlText w:val="%1）"/>
      <w:lvlJc w:val="left"/>
    </w:lvl>
  </w:abstractNum>
  <w:abstractNum w:abstractNumId="24">
    <w:nsid w:val="E5814AC4"/>
    <w:multiLevelType w:val="multilevel"/>
    <w:tmpl w:val="E5814AC4"/>
    <w:lvl w:ilvl="0" w:tentative="0">
      <w:start w:val="1"/>
      <w:numFmt w:val="decimal"/>
      <w:suff w:val="nothing"/>
      <w:lvlText w:val="%1）"/>
      <w:lvlJc w:val="left"/>
      <w:pPr>
        <w:ind w:left="0" w:firstLine="0"/>
      </w:pPr>
      <w:rPr>
        <w:rFonts w:hint="default"/>
      </w:rPr>
    </w:lvl>
    <w:lvl w:ilvl="1" w:tentative="0">
      <w:start w:val="1"/>
      <w:numFmt w:val="decimal"/>
      <w:suff w:val="nothing"/>
      <w:lvlText w:val="%1.%2）"/>
      <w:lvlJc w:val="left"/>
      <w:pPr>
        <w:ind w:left="0" w:firstLine="0"/>
      </w:pPr>
      <w:rPr>
        <w:rFonts w:hint="default"/>
      </w:rPr>
    </w:lvl>
    <w:lvl w:ilvl="2" w:tentative="0">
      <w:start w:val="1"/>
      <w:numFmt w:val="decimal"/>
      <w:suff w:val="nothing"/>
      <w:lvlText w:val="%1.%2.%3）"/>
      <w:lvlJc w:val="left"/>
      <w:pPr>
        <w:ind w:left="0" w:firstLine="0"/>
      </w:pPr>
      <w:rPr>
        <w:rFonts w:hint="default"/>
      </w:rPr>
    </w:lvl>
    <w:lvl w:ilvl="3" w:tentative="0">
      <w:start w:val="1"/>
      <w:numFmt w:val="decimal"/>
      <w:suff w:val="nothing"/>
      <w:lvlText w:val="%1.%2.%3.%4）"/>
      <w:lvlJc w:val="left"/>
      <w:pPr>
        <w:ind w:left="0" w:firstLine="0"/>
      </w:pPr>
      <w:rPr>
        <w:rFonts w:hint="default"/>
      </w:rPr>
    </w:lvl>
    <w:lvl w:ilvl="4" w:tentative="0">
      <w:start w:val="1"/>
      <w:numFmt w:val="decimal"/>
      <w:suff w:val="nothing"/>
      <w:lvlText w:val="%1.%2.%3.%4.%5）"/>
      <w:lvlJc w:val="left"/>
      <w:pPr>
        <w:ind w:left="0" w:firstLine="0"/>
      </w:pPr>
      <w:rPr>
        <w:rFonts w:hint="default"/>
      </w:rPr>
    </w:lvl>
    <w:lvl w:ilvl="5" w:tentative="0">
      <w:start w:val="1"/>
      <w:numFmt w:val="decimal"/>
      <w:suff w:val="nothing"/>
      <w:lvlText w:val="%1.%2.%3.%4.%5.%6）"/>
      <w:lvlJc w:val="left"/>
      <w:pPr>
        <w:ind w:left="0" w:firstLine="0"/>
      </w:pPr>
      <w:rPr>
        <w:rFonts w:hint="default"/>
      </w:rPr>
    </w:lvl>
    <w:lvl w:ilvl="6" w:tentative="0">
      <w:start w:val="1"/>
      <w:numFmt w:val="decimal"/>
      <w:suff w:val="nothing"/>
      <w:lvlText w:val="%1.%2.%3.%4.%5.%6.%7）"/>
      <w:lvlJc w:val="left"/>
      <w:pPr>
        <w:ind w:left="0" w:firstLine="0"/>
      </w:pPr>
      <w:rPr>
        <w:rFonts w:hint="default"/>
      </w:rPr>
    </w:lvl>
    <w:lvl w:ilvl="7" w:tentative="0">
      <w:start w:val="1"/>
      <w:numFmt w:val="decimal"/>
      <w:suff w:val="nothing"/>
      <w:lvlText w:val="%1.%2.%3.%4.%5.%6.%7.%8）"/>
      <w:lvlJc w:val="left"/>
      <w:pPr>
        <w:ind w:left="0" w:firstLine="0"/>
      </w:pPr>
      <w:rPr>
        <w:rFonts w:hint="default"/>
      </w:rPr>
    </w:lvl>
    <w:lvl w:ilvl="8" w:tentative="0">
      <w:start w:val="1"/>
      <w:numFmt w:val="decimal"/>
      <w:suff w:val="nothing"/>
      <w:lvlText w:val="%1.%2.%3.%4.%5.%6.%7.%8.%9）"/>
      <w:lvlJc w:val="left"/>
      <w:pPr>
        <w:ind w:left="0" w:firstLine="0"/>
      </w:pPr>
      <w:rPr>
        <w:rFonts w:hint="default"/>
      </w:rPr>
    </w:lvl>
  </w:abstractNum>
  <w:abstractNum w:abstractNumId="25">
    <w:nsid w:val="F1BAD8B8"/>
    <w:multiLevelType w:val="singleLevel"/>
    <w:tmpl w:val="F1BAD8B8"/>
    <w:lvl w:ilvl="0" w:tentative="0">
      <w:start w:val="1"/>
      <w:numFmt w:val="decimal"/>
      <w:suff w:val="nothing"/>
      <w:lvlText w:val="%1、"/>
      <w:lvlJc w:val="left"/>
    </w:lvl>
  </w:abstractNum>
  <w:abstractNum w:abstractNumId="26">
    <w:nsid w:val="F71DDF11"/>
    <w:multiLevelType w:val="singleLevel"/>
    <w:tmpl w:val="F71DDF11"/>
    <w:lvl w:ilvl="0" w:tentative="0">
      <w:start w:val="1"/>
      <w:numFmt w:val="decimal"/>
      <w:lvlText w:val="%1."/>
      <w:lvlJc w:val="left"/>
      <w:pPr>
        <w:tabs>
          <w:tab w:val="left" w:pos="312"/>
        </w:tabs>
      </w:pPr>
    </w:lvl>
  </w:abstractNum>
  <w:abstractNum w:abstractNumId="27">
    <w:nsid w:val="F8E20AB7"/>
    <w:multiLevelType w:val="singleLevel"/>
    <w:tmpl w:val="F8E20AB7"/>
    <w:lvl w:ilvl="0" w:tentative="0">
      <w:start w:val="1"/>
      <w:numFmt w:val="chineseCounting"/>
      <w:suff w:val="nothing"/>
      <w:lvlText w:val="%1、"/>
      <w:lvlJc w:val="left"/>
      <w:pPr>
        <w:ind w:left="0" w:firstLine="420"/>
      </w:pPr>
      <w:rPr>
        <w:rFonts w:hint="eastAsia"/>
      </w:rPr>
    </w:lvl>
  </w:abstractNum>
  <w:abstractNum w:abstractNumId="28">
    <w:nsid w:val="FB2F61E1"/>
    <w:multiLevelType w:val="singleLevel"/>
    <w:tmpl w:val="FB2F61E1"/>
    <w:lvl w:ilvl="0" w:tentative="0">
      <w:start w:val="1"/>
      <w:numFmt w:val="decimal"/>
      <w:suff w:val="nothing"/>
      <w:lvlText w:val="%1）"/>
      <w:lvlJc w:val="left"/>
    </w:lvl>
  </w:abstractNum>
  <w:abstractNum w:abstractNumId="29">
    <w:nsid w:val="FCC2664C"/>
    <w:multiLevelType w:val="singleLevel"/>
    <w:tmpl w:val="FCC2664C"/>
    <w:lvl w:ilvl="0" w:tentative="0">
      <w:start w:val="1"/>
      <w:numFmt w:val="decimal"/>
      <w:lvlText w:val="%1."/>
      <w:lvlJc w:val="left"/>
      <w:pPr>
        <w:tabs>
          <w:tab w:val="left" w:pos="312"/>
        </w:tabs>
      </w:pPr>
    </w:lvl>
  </w:abstractNum>
  <w:abstractNum w:abstractNumId="3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1">
    <w:nsid w:val="0000000A"/>
    <w:multiLevelType w:val="multilevel"/>
    <w:tmpl w:val="0000000A"/>
    <w:lvl w:ilvl="0" w:tentative="0">
      <w:start w:val="1"/>
      <w:numFmt w:val="decimal"/>
      <w:pStyle w:val="11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0000000D"/>
    <w:multiLevelType w:val="multilevel"/>
    <w:tmpl w:val="0000000D"/>
    <w:lvl w:ilvl="0" w:tentative="0">
      <w:start w:val="1"/>
      <w:numFmt w:val="lowerLetter"/>
      <w:pStyle w:val="19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3">
    <w:nsid w:val="00000013"/>
    <w:multiLevelType w:val="singleLevel"/>
    <w:tmpl w:val="00000013"/>
    <w:lvl w:ilvl="0" w:tentative="0">
      <w:start w:val="1"/>
      <w:numFmt w:val="decimal"/>
      <w:pStyle w:val="163"/>
      <w:lvlText w:val="%1."/>
      <w:lvlJc w:val="left"/>
      <w:pPr>
        <w:tabs>
          <w:tab w:val="left" w:pos="360"/>
        </w:tabs>
        <w:ind w:left="360" w:hanging="360"/>
      </w:pPr>
      <w:rPr>
        <w:rFonts w:hint="default"/>
      </w:rPr>
    </w:lvl>
  </w:abstractNum>
  <w:abstractNum w:abstractNumId="34">
    <w:nsid w:val="00000026"/>
    <w:multiLevelType w:val="multilevel"/>
    <w:tmpl w:val="00000026"/>
    <w:lvl w:ilvl="0" w:tentative="0">
      <w:start w:val="1"/>
      <w:numFmt w:val="decimal"/>
      <w:pStyle w:val="11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3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36">
    <w:nsid w:val="0000002F"/>
    <w:multiLevelType w:val="multilevel"/>
    <w:tmpl w:val="0000002F"/>
    <w:lvl w:ilvl="0" w:tentative="0">
      <w:start w:val="1"/>
      <w:numFmt w:val="decimal"/>
      <w:pStyle w:val="11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abstractNum w:abstractNumId="38">
    <w:nsid w:val="064695FE"/>
    <w:multiLevelType w:val="singleLevel"/>
    <w:tmpl w:val="064695FE"/>
    <w:lvl w:ilvl="0" w:tentative="0">
      <w:start w:val="1"/>
      <w:numFmt w:val="decimal"/>
      <w:lvlText w:val="%1."/>
      <w:lvlJc w:val="left"/>
      <w:pPr>
        <w:tabs>
          <w:tab w:val="left" w:pos="312"/>
        </w:tabs>
      </w:pPr>
    </w:lvl>
  </w:abstractNum>
  <w:abstractNum w:abstractNumId="39">
    <w:nsid w:val="0C407CFB"/>
    <w:multiLevelType w:val="singleLevel"/>
    <w:tmpl w:val="0C407CFB"/>
    <w:lvl w:ilvl="0" w:tentative="0">
      <w:start w:val="1"/>
      <w:numFmt w:val="decimal"/>
      <w:suff w:val="space"/>
      <w:lvlText w:val="%1)"/>
      <w:lvlJc w:val="left"/>
    </w:lvl>
  </w:abstractNum>
  <w:abstractNum w:abstractNumId="40">
    <w:nsid w:val="0E230849"/>
    <w:multiLevelType w:val="multilevel"/>
    <w:tmpl w:val="0E230849"/>
    <w:lvl w:ilvl="0" w:tentative="0">
      <w:start w:val="1"/>
      <w:numFmt w:val="decimal"/>
      <w:pStyle w:val="218"/>
      <w:lvlText w:val="%1"/>
      <w:lvlJc w:val="left"/>
      <w:pPr>
        <w:ind w:left="680" w:hanging="680"/>
      </w:pPr>
      <w:rPr>
        <w:rFonts w:hint="eastAsia" w:ascii="宋体" w:hAnsi="宋体" w:eastAsia="宋体"/>
      </w:rPr>
    </w:lvl>
    <w:lvl w:ilvl="1" w:tentative="0">
      <w:start w:val="1"/>
      <w:numFmt w:val="decimal"/>
      <w:pStyle w:val="219"/>
      <w:lvlText w:val="%1.%2"/>
      <w:lvlJc w:val="left"/>
      <w:pPr>
        <w:ind w:left="851" w:hanging="851"/>
      </w:pPr>
      <w:rPr>
        <w:rFonts w:hint="eastAsia" w:ascii="宋体" w:hAnsi="宋体" w:eastAsia="宋体"/>
        <w:color w:val="auto"/>
      </w:rPr>
    </w:lvl>
    <w:lvl w:ilvl="2" w:tentative="0">
      <w:start w:val="1"/>
      <w:numFmt w:val="decimal"/>
      <w:pStyle w:val="22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41">
    <w:nsid w:val="0FDE1C04"/>
    <w:multiLevelType w:val="singleLevel"/>
    <w:tmpl w:val="0FDE1C04"/>
    <w:lvl w:ilvl="0" w:tentative="0">
      <w:start w:val="1"/>
      <w:numFmt w:val="decimal"/>
      <w:lvlText w:val="%1)"/>
      <w:lvlJc w:val="left"/>
      <w:pPr>
        <w:ind w:left="425" w:hanging="425"/>
      </w:pPr>
      <w:rPr>
        <w:rFonts w:hint="default"/>
      </w:rPr>
    </w:lvl>
  </w:abstractNum>
  <w:abstractNum w:abstractNumId="42">
    <w:nsid w:val="0FEED857"/>
    <w:multiLevelType w:val="singleLevel"/>
    <w:tmpl w:val="0FEED857"/>
    <w:lvl w:ilvl="0" w:tentative="0">
      <w:start w:val="1"/>
      <w:numFmt w:val="decimal"/>
      <w:suff w:val="nothing"/>
      <w:lvlText w:val="%1）"/>
      <w:lvlJc w:val="left"/>
    </w:lvl>
  </w:abstractNum>
  <w:abstractNum w:abstractNumId="43">
    <w:nsid w:val="1EB58431"/>
    <w:multiLevelType w:val="singleLevel"/>
    <w:tmpl w:val="1EB58431"/>
    <w:lvl w:ilvl="0" w:tentative="0">
      <w:start w:val="1"/>
      <w:numFmt w:val="decimal"/>
      <w:suff w:val="space"/>
      <w:lvlText w:val="%1)"/>
      <w:lvlJc w:val="left"/>
    </w:lvl>
  </w:abstractNum>
  <w:abstractNum w:abstractNumId="44">
    <w:nsid w:val="212B3585"/>
    <w:multiLevelType w:val="multilevel"/>
    <w:tmpl w:val="212B3585"/>
    <w:lvl w:ilvl="0" w:tentative="0">
      <w:start w:val="1"/>
      <w:numFmt w:val="chineseCounting"/>
      <w:pStyle w:val="2"/>
      <w:suff w:val="space"/>
      <w:lvlText w:val="第%1章"/>
      <w:lvlJc w:val="left"/>
      <w:pPr>
        <w:tabs>
          <w:tab w:val="left" w:pos="0"/>
        </w:tabs>
        <w:ind w:left="0" w:firstLine="0"/>
      </w:pPr>
      <w:rPr>
        <w:rFonts w:hint="eastAsia" w:ascii="宋体" w:hAnsi="宋体" w:eastAsia="宋体" w:cs="宋体"/>
      </w:rPr>
    </w:lvl>
    <w:lvl w:ilvl="1" w:tentative="0">
      <w:start w:val="1"/>
      <w:numFmt w:val="chineseCounting"/>
      <w:pStyle w:val="3"/>
      <w:suff w:val="nothing"/>
      <w:lvlText w:val="%2、"/>
      <w:lvlJc w:val="left"/>
      <w:pPr>
        <w:tabs>
          <w:tab w:val="left" w:pos="420"/>
        </w:tabs>
        <w:ind w:left="567" w:hanging="567"/>
      </w:pPr>
      <w:rPr>
        <w:rFonts w:hint="eastAsia" w:ascii="宋体" w:hAnsi="宋体" w:eastAsia="宋体" w:cs="宋体"/>
        <w:sz w:val="28"/>
        <w:szCs w:val="28"/>
      </w:rPr>
    </w:lvl>
    <w:lvl w:ilvl="2" w:tentative="0">
      <w:start w:val="1"/>
      <w:numFmt w:val="decimal"/>
      <w:pStyle w:val="4"/>
      <w:suff w:val="space"/>
      <w:lvlText w:val="%3、"/>
      <w:lvlJc w:val="left"/>
      <w:pPr>
        <w:ind w:left="964" w:leftChars="0" w:hanging="397" w:firstLineChars="0"/>
      </w:pPr>
      <w:rPr>
        <w:rFonts w:hint="eastAsia" w:ascii="宋体" w:hAnsi="宋体" w:eastAsia="宋体" w:cs="宋体"/>
      </w:rPr>
    </w:lvl>
    <w:lvl w:ilvl="3" w:tentative="0">
      <w:start w:val="1"/>
      <w:numFmt w:val="decimal"/>
      <w:pStyle w:val="5"/>
      <w:suff w:val="space"/>
      <w:lvlText w:val="%3.%4"/>
      <w:lvlJc w:val="left"/>
      <w:pPr>
        <w:ind w:left="1304" w:leftChars="0" w:hanging="454" w:firstLineChars="0"/>
      </w:pPr>
      <w:rPr>
        <w:rFonts w:hint="eastAsia" w:ascii="宋体" w:hAnsi="宋体" w:eastAsia="宋体" w:cs="宋体"/>
      </w:rPr>
    </w:lvl>
    <w:lvl w:ilvl="4" w:tentative="0">
      <w:start w:val="1"/>
      <w:numFmt w:val="decimal"/>
      <w:pStyle w:val="6"/>
      <w:suff w:val="space"/>
      <w:lvlText w:val="%3.%4.%5"/>
      <w:lvlJc w:val="left"/>
      <w:pPr>
        <w:ind w:left="1871" w:leftChars="0" w:hanging="737" w:firstLineChars="0"/>
      </w:pPr>
      <w:rPr>
        <w:rFonts w:hint="eastAsia" w:ascii="宋体" w:hAnsi="宋体" w:eastAsia="宋体" w:cs="宋体"/>
      </w:rPr>
    </w:lvl>
    <w:lvl w:ilvl="5" w:tentative="0">
      <w:start w:val="1"/>
      <w:numFmt w:val="decimal"/>
      <w:pStyle w:val="7"/>
      <w:suff w:val="space"/>
      <w:lvlText w:val="%3.%4.%5.%6"/>
      <w:lvlJc w:val="left"/>
      <w:pPr>
        <w:ind w:left="2324" w:leftChars="0" w:hanging="907" w:firstLineChars="0"/>
      </w:pPr>
      <w:rPr>
        <w:rFonts w:hint="eastAsia" w:ascii="宋体" w:hAnsi="宋体" w:eastAsia="宋体" w:cs="宋体"/>
      </w:rPr>
    </w:lvl>
    <w:lvl w:ilvl="6" w:tentative="0">
      <w:start w:val="1"/>
      <w:numFmt w:val="decimal"/>
      <w:pStyle w:val="8"/>
      <w:suff w:val="space"/>
      <w:lvlText w:val="%3.%4.%5.%6.%7"/>
      <w:lvlJc w:val="left"/>
      <w:pPr>
        <w:ind w:left="2835" w:leftChars="0" w:hanging="1134" w:firstLineChars="0"/>
      </w:pPr>
      <w:rPr>
        <w:rFonts w:hint="eastAsia" w:ascii="宋体" w:hAnsi="宋体" w:eastAsia="宋体" w:cs="宋体"/>
      </w:rPr>
    </w:lvl>
    <w:lvl w:ilvl="7" w:tentative="0">
      <w:start w:val="1"/>
      <w:numFmt w:val="decimal"/>
      <w:pStyle w:val="9"/>
      <w:suff w:val="space"/>
      <w:lvlText w:val="%3.%4.%5.%6.%7.%8"/>
      <w:lvlJc w:val="left"/>
      <w:pPr>
        <w:tabs>
          <w:tab w:val="left" w:pos="420"/>
        </w:tabs>
        <w:ind w:left="0" w:firstLine="0"/>
      </w:pPr>
      <w:rPr>
        <w:rFonts w:hint="eastAsia" w:ascii="宋体" w:hAnsi="宋体" w:eastAsia="宋体" w:cs="宋体"/>
      </w:rPr>
    </w:lvl>
    <w:lvl w:ilvl="8" w:tentative="0">
      <w:start w:val="1"/>
      <w:numFmt w:val="decimal"/>
      <w:pStyle w:val="10"/>
      <w:suff w:val="space"/>
      <w:lvlText w:val="%3.%4.%5.%6.%7.%8.%9"/>
      <w:lvlJc w:val="left"/>
      <w:pPr>
        <w:tabs>
          <w:tab w:val="left" w:pos="420"/>
        </w:tabs>
        <w:ind w:left="0" w:firstLine="0"/>
      </w:pPr>
      <w:rPr>
        <w:rFonts w:hint="eastAsia" w:ascii="宋体" w:hAnsi="宋体" w:eastAsia="宋体" w:cs="宋体"/>
      </w:rPr>
    </w:lvl>
  </w:abstractNum>
  <w:abstractNum w:abstractNumId="45">
    <w:nsid w:val="264F2A5C"/>
    <w:multiLevelType w:val="singleLevel"/>
    <w:tmpl w:val="264F2A5C"/>
    <w:lvl w:ilvl="0" w:tentative="0">
      <w:start w:val="1"/>
      <w:numFmt w:val="decimal"/>
      <w:suff w:val="nothing"/>
      <w:lvlText w:val="%1）"/>
      <w:lvlJc w:val="left"/>
    </w:lvl>
  </w:abstractNum>
  <w:abstractNum w:abstractNumId="46">
    <w:nsid w:val="296400A1"/>
    <w:multiLevelType w:val="singleLevel"/>
    <w:tmpl w:val="296400A1"/>
    <w:lvl w:ilvl="0" w:tentative="0">
      <w:start w:val="1"/>
      <w:numFmt w:val="decimal"/>
      <w:suff w:val="nothing"/>
      <w:lvlText w:val="%1）"/>
      <w:lvlJc w:val="left"/>
    </w:lvl>
  </w:abstractNum>
  <w:abstractNum w:abstractNumId="47">
    <w:nsid w:val="2BCF8865"/>
    <w:multiLevelType w:val="singleLevel"/>
    <w:tmpl w:val="2BCF8865"/>
    <w:lvl w:ilvl="0" w:tentative="0">
      <w:start w:val="1"/>
      <w:numFmt w:val="decimal"/>
      <w:suff w:val="nothing"/>
      <w:lvlText w:val="%1）"/>
      <w:lvlJc w:val="left"/>
    </w:lvl>
  </w:abstractNum>
  <w:abstractNum w:abstractNumId="48">
    <w:nsid w:val="2CBDE50A"/>
    <w:multiLevelType w:val="singleLevel"/>
    <w:tmpl w:val="2CBDE50A"/>
    <w:lvl w:ilvl="0" w:tentative="0">
      <w:start w:val="1"/>
      <w:numFmt w:val="decimal"/>
      <w:lvlText w:val="%1)"/>
      <w:lvlJc w:val="left"/>
      <w:pPr>
        <w:ind w:left="425" w:hanging="425"/>
      </w:pPr>
      <w:rPr>
        <w:rFonts w:hint="default"/>
      </w:rPr>
    </w:lvl>
  </w:abstractNum>
  <w:abstractNum w:abstractNumId="49">
    <w:nsid w:val="2E9301C2"/>
    <w:multiLevelType w:val="singleLevel"/>
    <w:tmpl w:val="2E9301C2"/>
    <w:lvl w:ilvl="0" w:tentative="0">
      <w:start w:val="1"/>
      <w:numFmt w:val="decimal"/>
      <w:suff w:val="nothing"/>
      <w:lvlText w:val="%1）"/>
      <w:lvlJc w:val="left"/>
    </w:lvl>
  </w:abstractNum>
  <w:abstractNum w:abstractNumId="5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1">
    <w:nsid w:val="3051BB98"/>
    <w:multiLevelType w:val="singleLevel"/>
    <w:tmpl w:val="3051BB98"/>
    <w:lvl w:ilvl="0" w:tentative="0">
      <w:start w:val="1"/>
      <w:numFmt w:val="decimal"/>
      <w:suff w:val="nothing"/>
      <w:lvlText w:val="%1）"/>
      <w:lvlJc w:val="left"/>
    </w:lvl>
  </w:abstractNum>
  <w:abstractNum w:abstractNumId="52">
    <w:nsid w:val="37BD30D3"/>
    <w:multiLevelType w:val="singleLevel"/>
    <w:tmpl w:val="37BD30D3"/>
    <w:lvl w:ilvl="0" w:tentative="0">
      <w:start w:val="1"/>
      <w:numFmt w:val="decimal"/>
      <w:suff w:val="nothing"/>
      <w:lvlText w:val="%1）"/>
      <w:lvlJc w:val="left"/>
    </w:lvl>
  </w:abstractNum>
  <w:abstractNum w:abstractNumId="53">
    <w:nsid w:val="3D9BB566"/>
    <w:multiLevelType w:val="singleLevel"/>
    <w:tmpl w:val="3D9BB566"/>
    <w:lvl w:ilvl="0" w:tentative="0">
      <w:start w:val="5"/>
      <w:numFmt w:val="decimal"/>
      <w:suff w:val="nothing"/>
      <w:lvlText w:val="%1）"/>
      <w:lvlJc w:val="left"/>
    </w:lvl>
  </w:abstractNum>
  <w:abstractNum w:abstractNumId="5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55">
    <w:nsid w:val="4CB70167"/>
    <w:multiLevelType w:val="singleLevel"/>
    <w:tmpl w:val="4CB70167"/>
    <w:lvl w:ilvl="0" w:tentative="0">
      <w:start w:val="1"/>
      <w:numFmt w:val="decimal"/>
      <w:lvlText w:val="%1)"/>
      <w:lvlJc w:val="left"/>
      <w:pPr>
        <w:ind w:left="425" w:hanging="425"/>
      </w:pPr>
      <w:rPr>
        <w:rFonts w:hint="default"/>
      </w:rPr>
    </w:lvl>
  </w:abstractNum>
  <w:abstractNum w:abstractNumId="56">
    <w:nsid w:val="4ED3AA17"/>
    <w:multiLevelType w:val="singleLevel"/>
    <w:tmpl w:val="4ED3AA17"/>
    <w:lvl w:ilvl="0" w:tentative="0">
      <w:start w:val="1"/>
      <w:numFmt w:val="decimal"/>
      <w:suff w:val="nothing"/>
      <w:lvlText w:val="%1）"/>
      <w:lvlJc w:val="left"/>
    </w:lvl>
  </w:abstractNum>
  <w:abstractNum w:abstractNumId="57">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53883839"/>
    <w:multiLevelType w:val="singleLevel"/>
    <w:tmpl w:val="53883839"/>
    <w:lvl w:ilvl="0" w:tentative="0">
      <w:start w:val="1"/>
      <w:numFmt w:val="decimal"/>
      <w:lvlText w:val="%1."/>
      <w:lvlJc w:val="left"/>
      <w:pPr>
        <w:tabs>
          <w:tab w:val="left" w:pos="312"/>
        </w:tabs>
      </w:pPr>
    </w:lvl>
  </w:abstractNum>
  <w:abstractNum w:abstractNumId="59">
    <w:nsid w:val="614665B7"/>
    <w:multiLevelType w:val="singleLevel"/>
    <w:tmpl w:val="614665B7"/>
    <w:lvl w:ilvl="0" w:tentative="0">
      <w:start w:val="1"/>
      <w:numFmt w:val="decimal"/>
      <w:suff w:val="nothing"/>
      <w:lvlText w:val="%1）"/>
      <w:lvlJc w:val="left"/>
    </w:lvl>
  </w:abstractNum>
  <w:abstractNum w:abstractNumId="60">
    <w:nsid w:val="649223EE"/>
    <w:multiLevelType w:val="singleLevel"/>
    <w:tmpl w:val="649223EE"/>
    <w:lvl w:ilvl="0" w:tentative="0">
      <w:start w:val="1"/>
      <w:numFmt w:val="decimal"/>
      <w:suff w:val="space"/>
      <w:lvlText w:val="%1)"/>
      <w:lvlJc w:val="left"/>
    </w:lvl>
  </w:abstractNum>
  <w:abstractNum w:abstractNumId="61">
    <w:nsid w:val="677CF047"/>
    <w:multiLevelType w:val="singleLevel"/>
    <w:tmpl w:val="677CF047"/>
    <w:lvl w:ilvl="0" w:tentative="0">
      <w:start w:val="1"/>
      <w:numFmt w:val="decimal"/>
      <w:suff w:val="nothing"/>
      <w:lvlText w:val="%1）"/>
      <w:lvlJc w:val="left"/>
    </w:lvl>
  </w:abstractNum>
  <w:abstractNum w:abstractNumId="62">
    <w:nsid w:val="6E9B8B6C"/>
    <w:multiLevelType w:val="singleLevel"/>
    <w:tmpl w:val="6E9B8B6C"/>
    <w:lvl w:ilvl="0" w:tentative="0">
      <w:start w:val="1"/>
      <w:numFmt w:val="decimal"/>
      <w:suff w:val="nothing"/>
      <w:lvlText w:val="%1）"/>
      <w:lvlJc w:val="left"/>
    </w:lvl>
  </w:abstractNum>
  <w:abstractNum w:abstractNumId="63">
    <w:nsid w:val="70375AD4"/>
    <w:multiLevelType w:val="singleLevel"/>
    <w:tmpl w:val="70375AD4"/>
    <w:lvl w:ilvl="0" w:tentative="0">
      <w:start w:val="1"/>
      <w:numFmt w:val="decimal"/>
      <w:suff w:val="nothing"/>
      <w:lvlText w:val="%1）"/>
      <w:lvlJc w:val="left"/>
    </w:lvl>
  </w:abstractNum>
  <w:abstractNum w:abstractNumId="64">
    <w:nsid w:val="7049BE48"/>
    <w:multiLevelType w:val="singleLevel"/>
    <w:tmpl w:val="7049BE48"/>
    <w:lvl w:ilvl="0" w:tentative="0">
      <w:start w:val="1"/>
      <w:numFmt w:val="decimal"/>
      <w:suff w:val="nothing"/>
      <w:lvlText w:val="%1）"/>
      <w:lvlJc w:val="left"/>
    </w:lvl>
  </w:abstractNum>
  <w:abstractNum w:abstractNumId="65">
    <w:nsid w:val="726B1BA4"/>
    <w:multiLevelType w:val="singleLevel"/>
    <w:tmpl w:val="726B1BA4"/>
    <w:lvl w:ilvl="0" w:tentative="0">
      <w:start w:val="1"/>
      <w:numFmt w:val="decimal"/>
      <w:lvlText w:val="%1)"/>
      <w:lvlJc w:val="left"/>
      <w:pPr>
        <w:ind w:left="425" w:hanging="425"/>
      </w:pPr>
      <w:rPr>
        <w:rFonts w:hint="default"/>
      </w:rPr>
    </w:lvl>
  </w:abstractNum>
  <w:abstractNum w:abstractNumId="66">
    <w:nsid w:val="77289761"/>
    <w:multiLevelType w:val="singleLevel"/>
    <w:tmpl w:val="77289761"/>
    <w:lvl w:ilvl="0" w:tentative="0">
      <w:start w:val="1"/>
      <w:numFmt w:val="decimal"/>
      <w:suff w:val="nothing"/>
      <w:lvlText w:val="%1）"/>
      <w:lvlJc w:val="left"/>
    </w:lvl>
  </w:abstractNum>
  <w:abstractNum w:abstractNumId="67">
    <w:nsid w:val="7D1887FB"/>
    <w:multiLevelType w:val="singleLevel"/>
    <w:tmpl w:val="7D1887FB"/>
    <w:lvl w:ilvl="0" w:tentative="0">
      <w:start w:val="1"/>
      <w:numFmt w:val="decimal"/>
      <w:suff w:val="nothing"/>
      <w:lvlText w:val="%1）"/>
      <w:lvlJc w:val="left"/>
    </w:lvl>
  </w:abstractNum>
  <w:abstractNum w:abstractNumId="68">
    <w:nsid w:val="7DC297F4"/>
    <w:multiLevelType w:val="singleLevel"/>
    <w:tmpl w:val="7DC297F4"/>
    <w:lvl w:ilvl="0" w:tentative="0">
      <w:start w:val="6"/>
      <w:numFmt w:val="chineseCounting"/>
      <w:suff w:val="nothing"/>
      <w:lvlText w:val="%1、"/>
      <w:lvlJc w:val="left"/>
      <w:rPr>
        <w:rFonts w:hint="eastAsia"/>
      </w:rPr>
    </w:lvl>
  </w:abstractNum>
  <w:abstractNum w:abstractNumId="69">
    <w:nsid w:val="7E718952"/>
    <w:multiLevelType w:val="singleLevel"/>
    <w:tmpl w:val="7E718952"/>
    <w:lvl w:ilvl="0" w:tentative="0">
      <w:start w:val="1"/>
      <w:numFmt w:val="decimal"/>
      <w:suff w:val="nothing"/>
      <w:lvlText w:val="%1）"/>
      <w:lvlJc w:val="left"/>
    </w:lvl>
  </w:abstractNum>
  <w:num w:numId="1">
    <w:abstractNumId w:val="44"/>
  </w:num>
  <w:num w:numId="2">
    <w:abstractNumId w:val="34"/>
  </w:num>
  <w:num w:numId="3">
    <w:abstractNumId w:val="36"/>
  </w:num>
  <w:num w:numId="4">
    <w:abstractNumId w:val="31"/>
  </w:num>
  <w:num w:numId="5">
    <w:abstractNumId w:val="35"/>
  </w:num>
  <w:num w:numId="6">
    <w:abstractNumId w:val="33"/>
  </w:num>
  <w:num w:numId="7">
    <w:abstractNumId w:val="32"/>
  </w:num>
  <w:num w:numId="8">
    <w:abstractNumId w:val="40"/>
  </w:num>
  <w:num w:numId="9">
    <w:abstractNumId w:val="27"/>
  </w:num>
  <w:num w:numId="10">
    <w:abstractNumId w:val="30"/>
  </w:num>
  <w:num w:numId="11">
    <w:abstractNumId w:val="18"/>
  </w:num>
  <w:num w:numId="12">
    <w:abstractNumId w:val="22"/>
  </w:num>
  <w:num w:numId="13">
    <w:abstractNumId w:val="43"/>
  </w:num>
  <w:num w:numId="14">
    <w:abstractNumId w:val="59"/>
  </w:num>
  <w:num w:numId="15">
    <w:abstractNumId w:val="24"/>
  </w:num>
  <w:num w:numId="16">
    <w:abstractNumId w:val="67"/>
  </w:num>
  <w:num w:numId="17">
    <w:abstractNumId w:val="28"/>
  </w:num>
  <w:num w:numId="18">
    <w:abstractNumId w:val="39"/>
  </w:num>
  <w:num w:numId="19">
    <w:abstractNumId w:val="5"/>
  </w:num>
  <w:num w:numId="20">
    <w:abstractNumId w:val="6"/>
  </w:num>
  <w:num w:numId="21">
    <w:abstractNumId w:val="14"/>
  </w:num>
  <w:num w:numId="22">
    <w:abstractNumId w:val="45"/>
  </w:num>
  <w:num w:numId="23">
    <w:abstractNumId w:val="60"/>
  </w:num>
  <w:num w:numId="24">
    <w:abstractNumId w:val="15"/>
  </w:num>
  <w:num w:numId="25">
    <w:abstractNumId w:val="20"/>
  </w:num>
  <w:num w:numId="26">
    <w:abstractNumId w:val="49"/>
  </w:num>
  <w:num w:numId="27">
    <w:abstractNumId w:val="53"/>
  </w:num>
  <w:num w:numId="28">
    <w:abstractNumId w:val="3"/>
  </w:num>
  <w:num w:numId="29">
    <w:abstractNumId w:val="2"/>
  </w:num>
  <w:num w:numId="30">
    <w:abstractNumId w:val="19"/>
  </w:num>
  <w:num w:numId="31">
    <w:abstractNumId w:val="7"/>
  </w:num>
  <w:num w:numId="32">
    <w:abstractNumId w:val="23"/>
  </w:num>
  <w:num w:numId="33">
    <w:abstractNumId w:val="51"/>
  </w:num>
  <w:num w:numId="34">
    <w:abstractNumId w:val="4"/>
  </w:num>
  <w:num w:numId="35">
    <w:abstractNumId w:val="56"/>
  </w:num>
  <w:num w:numId="36">
    <w:abstractNumId w:val="63"/>
  </w:num>
  <w:num w:numId="37">
    <w:abstractNumId w:val="69"/>
  </w:num>
  <w:num w:numId="38">
    <w:abstractNumId w:val="61"/>
  </w:num>
  <w:num w:numId="39">
    <w:abstractNumId w:val="8"/>
  </w:num>
  <w:num w:numId="40">
    <w:abstractNumId w:val="9"/>
  </w:num>
  <w:num w:numId="41">
    <w:abstractNumId w:val="66"/>
  </w:num>
  <w:num w:numId="42">
    <w:abstractNumId w:val="11"/>
  </w:num>
  <w:num w:numId="43">
    <w:abstractNumId w:val="64"/>
  </w:num>
  <w:num w:numId="44">
    <w:abstractNumId w:val="47"/>
  </w:num>
  <w:num w:numId="45">
    <w:abstractNumId w:val="42"/>
  </w:num>
  <w:num w:numId="46">
    <w:abstractNumId w:val="13"/>
  </w:num>
  <w:num w:numId="47">
    <w:abstractNumId w:val="52"/>
  </w:num>
  <w:num w:numId="48">
    <w:abstractNumId w:val="16"/>
  </w:num>
  <w:num w:numId="49">
    <w:abstractNumId w:val="62"/>
  </w:num>
  <w:num w:numId="50">
    <w:abstractNumId w:val="46"/>
  </w:num>
  <w:num w:numId="51">
    <w:abstractNumId w:val="17"/>
  </w:num>
  <w:num w:numId="52">
    <w:abstractNumId w:val="58"/>
  </w:num>
  <w:num w:numId="53">
    <w:abstractNumId w:val="1"/>
  </w:num>
  <w:num w:numId="54">
    <w:abstractNumId w:val="38"/>
  </w:num>
  <w:num w:numId="55">
    <w:abstractNumId w:val="29"/>
  </w:num>
  <w:num w:numId="56">
    <w:abstractNumId w:val="26"/>
  </w:num>
  <w:num w:numId="57">
    <w:abstractNumId w:val="10"/>
  </w:num>
  <w:num w:numId="58">
    <w:abstractNumId w:val="0"/>
  </w:num>
  <w:num w:numId="59">
    <w:abstractNumId w:val="41"/>
  </w:num>
  <w:num w:numId="60">
    <w:abstractNumId w:val="12"/>
  </w:num>
  <w:num w:numId="61">
    <w:abstractNumId w:val="55"/>
  </w:num>
  <w:num w:numId="62">
    <w:abstractNumId w:val="65"/>
  </w:num>
  <w:num w:numId="63">
    <w:abstractNumId w:val="48"/>
  </w:num>
  <w:num w:numId="64">
    <w:abstractNumId w:val="25"/>
  </w:num>
  <w:num w:numId="65">
    <w:abstractNumId w:val="37"/>
    <w:lvlOverride w:ilvl="0">
      <w:startOverride w:val="1"/>
    </w:lvlOverride>
  </w:num>
  <w:num w:numId="66">
    <w:abstractNumId w:val="68"/>
  </w:num>
  <w:num w:numId="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num>
  <w:num w:numId="70">
    <w:abstractNumId w:val="54"/>
  </w:num>
  <w:num w:numId="71">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TM4N2EyMDIyYTUyZmMwNzFjOWFhNThiN2EwYzYxODY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1FF9"/>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7EC"/>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D15"/>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859"/>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4FF"/>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E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88F"/>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951"/>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17C"/>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3B85"/>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0E03"/>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59126E"/>
    <w:rsid w:val="016F74F0"/>
    <w:rsid w:val="018A09DF"/>
    <w:rsid w:val="01B2208F"/>
    <w:rsid w:val="01C20013"/>
    <w:rsid w:val="01C27C15"/>
    <w:rsid w:val="02007950"/>
    <w:rsid w:val="023A00D0"/>
    <w:rsid w:val="02C10E79"/>
    <w:rsid w:val="02FA6603"/>
    <w:rsid w:val="03085511"/>
    <w:rsid w:val="03177D82"/>
    <w:rsid w:val="031A6F53"/>
    <w:rsid w:val="03402D63"/>
    <w:rsid w:val="03515DC8"/>
    <w:rsid w:val="03E20BAC"/>
    <w:rsid w:val="04550B68"/>
    <w:rsid w:val="048602C3"/>
    <w:rsid w:val="0650515A"/>
    <w:rsid w:val="068723D9"/>
    <w:rsid w:val="06EC589E"/>
    <w:rsid w:val="07195727"/>
    <w:rsid w:val="074402CA"/>
    <w:rsid w:val="078249E1"/>
    <w:rsid w:val="07885515"/>
    <w:rsid w:val="07966251"/>
    <w:rsid w:val="07BE007D"/>
    <w:rsid w:val="07C43783"/>
    <w:rsid w:val="08176543"/>
    <w:rsid w:val="083C6637"/>
    <w:rsid w:val="08616C7C"/>
    <w:rsid w:val="0873685C"/>
    <w:rsid w:val="08784EB5"/>
    <w:rsid w:val="089073A3"/>
    <w:rsid w:val="08D008CA"/>
    <w:rsid w:val="08E843E3"/>
    <w:rsid w:val="091837BC"/>
    <w:rsid w:val="091E2B22"/>
    <w:rsid w:val="093339D9"/>
    <w:rsid w:val="09413606"/>
    <w:rsid w:val="094C466D"/>
    <w:rsid w:val="09835F85"/>
    <w:rsid w:val="099E0969"/>
    <w:rsid w:val="09E13169"/>
    <w:rsid w:val="09E77A16"/>
    <w:rsid w:val="09FB0AC8"/>
    <w:rsid w:val="0A0A76EB"/>
    <w:rsid w:val="0A3C34DB"/>
    <w:rsid w:val="0A503874"/>
    <w:rsid w:val="0AAA44EB"/>
    <w:rsid w:val="0B112BB9"/>
    <w:rsid w:val="0B4B6929"/>
    <w:rsid w:val="0B660C1A"/>
    <w:rsid w:val="0B92757A"/>
    <w:rsid w:val="0BFB1935"/>
    <w:rsid w:val="0C2E7D9E"/>
    <w:rsid w:val="0C5D65D1"/>
    <w:rsid w:val="0CAB0BB7"/>
    <w:rsid w:val="0CB860FC"/>
    <w:rsid w:val="0CC14D53"/>
    <w:rsid w:val="0CE75B16"/>
    <w:rsid w:val="0CF43A34"/>
    <w:rsid w:val="0D7F321E"/>
    <w:rsid w:val="0DB53CD0"/>
    <w:rsid w:val="0DE83CB1"/>
    <w:rsid w:val="0E474292"/>
    <w:rsid w:val="0E5B5064"/>
    <w:rsid w:val="0EF5694E"/>
    <w:rsid w:val="0F345A88"/>
    <w:rsid w:val="1001144E"/>
    <w:rsid w:val="10CA008B"/>
    <w:rsid w:val="10CA7A92"/>
    <w:rsid w:val="11691EEB"/>
    <w:rsid w:val="119F729D"/>
    <w:rsid w:val="121F05DE"/>
    <w:rsid w:val="12A762DD"/>
    <w:rsid w:val="12AD6226"/>
    <w:rsid w:val="12EC1F42"/>
    <w:rsid w:val="12F65F25"/>
    <w:rsid w:val="13290A31"/>
    <w:rsid w:val="13826BB4"/>
    <w:rsid w:val="13871C6A"/>
    <w:rsid w:val="143E0542"/>
    <w:rsid w:val="145E7BC8"/>
    <w:rsid w:val="14FF0DBB"/>
    <w:rsid w:val="153B7067"/>
    <w:rsid w:val="156A25A6"/>
    <w:rsid w:val="157B6ADB"/>
    <w:rsid w:val="164107F7"/>
    <w:rsid w:val="16573587"/>
    <w:rsid w:val="16C12273"/>
    <w:rsid w:val="16C8541F"/>
    <w:rsid w:val="16CB2E15"/>
    <w:rsid w:val="170C256E"/>
    <w:rsid w:val="17B250E7"/>
    <w:rsid w:val="17C339DC"/>
    <w:rsid w:val="17E07B9B"/>
    <w:rsid w:val="17E94CCA"/>
    <w:rsid w:val="17F93E0B"/>
    <w:rsid w:val="18153CE9"/>
    <w:rsid w:val="18B515B1"/>
    <w:rsid w:val="18C279B1"/>
    <w:rsid w:val="18D51205"/>
    <w:rsid w:val="1946203D"/>
    <w:rsid w:val="19595E57"/>
    <w:rsid w:val="19853F2F"/>
    <w:rsid w:val="1AA310E8"/>
    <w:rsid w:val="1AC02C88"/>
    <w:rsid w:val="1AE75CC0"/>
    <w:rsid w:val="1AF765B2"/>
    <w:rsid w:val="1B320352"/>
    <w:rsid w:val="1BC05096"/>
    <w:rsid w:val="1BD23C9F"/>
    <w:rsid w:val="1C3F7A12"/>
    <w:rsid w:val="1C442ED7"/>
    <w:rsid w:val="1C455CA5"/>
    <w:rsid w:val="1C723F61"/>
    <w:rsid w:val="1CAB29B3"/>
    <w:rsid w:val="1CFE2A48"/>
    <w:rsid w:val="1D163591"/>
    <w:rsid w:val="1D2C69D2"/>
    <w:rsid w:val="1DC064A5"/>
    <w:rsid w:val="1DC939CC"/>
    <w:rsid w:val="1DE10B48"/>
    <w:rsid w:val="1DE33F41"/>
    <w:rsid w:val="1E8C7C5E"/>
    <w:rsid w:val="1E9D3BAA"/>
    <w:rsid w:val="1EC34030"/>
    <w:rsid w:val="1EC62D7C"/>
    <w:rsid w:val="1F435B57"/>
    <w:rsid w:val="1F5F5C82"/>
    <w:rsid w:val="1F7E6617"/>
    <w:rsid w:val="1F8A7B67"/>
    <w:rsid w:val="1FCA275E"/>
    <w:rsid w:val="1FEB1FA4"/>
    <w:rsid w:val="1FEC00C2"/>
    <w:rsid w:val="203210AD"/>
    <w:rsid w:val="20B120D5"/>
    <w:rsid w:val="2154370F"/>
    <w:rsid w:val="217B667F"/>
    <w:rsid w:val="217E1BC2"/>
    <w:rsid w:val="21903CE3"/>
    <w:rsid w:val="21AD1853"/>
    <w:rsid w:val="21EC7A7C"/>
    <w:rsid w:val="220152DE"/>
    <w:rsid w:val="22431F4E"/>
    <w:rsid w:val="224A0A33"/>
    <w:rsid w:val="225F0D27"/>
    <w:rsid w:val="231D5FFF"/>
    <w:rsid w:val="23500894"/>
    <w:rsid w:val="2351780D"/>
    <w:rsid w:val="239E00B4"/>
    <w:rsid w:val="23EE5593"/>
    <w:rsid w:val="243C3DF2"/>
    <w:rsid w:val="247D4DCD"/>
    <w:rsid w:val="24D61CD0"/>
    <w:rsid w:val="24D73AC8"/>
    <w:rsid w:val="24DD0800"/>
    <w:rsid w:val="24EC17EC"/>
    <w:rsid w:val="24FA6740"/>
    <w:rsid w:val="251C3B99"/>
    <w:rsid w:val="251E74A4"/>
    <w:rsid w:val="25686BA7"/>
    <w:rsid w:val="259D2343"/>
    <w:rsid w:val="25A77194"/>
    <w:rsid w:val="25B16B19"/>
    <w:rsid w:val="25B85CA8"/>
    <w:rsid w:val="26105AEF"/>
    <w:rsid w:val="268B6A43"/>
    <w:rsid w:val="26AE76B4"/>
    <w:rsid w:val="26C32351"/>
    <w:rsid w:val="26E45EDD"/>
    <w:rsid w:val="27313F6F"/>
    <w:rsid w:val="27804319"/>
    <w:rsid w:val="27843CE5"/>
    <w:rsid w:val="279F4FD3"/>
    <w:rsid w:val="287A7CBD"/>
    <w:rsid w:val="289D412D"/>
    <w:rsid w:val="28B54703"/>
    <w:rsid w:val="28DF7DF7"/>
    <w:rsid w:val="28EF40E2"/>
    <w:rsid w:val="290B3EF8"/>
    <w:rsid w:val="299F0CAF"/>
    <w:rsid w:val="29D558A4"/>
    <w:rsid w:val="29EC0622"/>
    <w:rsid w:val="2A1435F5"/>
    <w:rsid w:val="2B245D70"/>
    <w:rsid w:val="2BC95556"/>
    <w:rsid w:val="2C4B01DA"/>
    <w:rsid w:val="2C7F603D"/>
    <w:rsid w:val="2C950DA7"/>
    <w:rsid w:val="2CF64968"/>
    <w:rsid w:val="2CF972DD"/>
    <w:rsid w:val="2D140A9F"/>
    <w:rsid w:val="2D151C3D"/>
    <w:rsid w:val="2D285400"/>
    <w:rsid w:val="2D684388"/>
    <w:rsid w:val="2DB86719"/>
    <w:rsid w:val="2DE2273F"/>
    <w:rsid w:val="2E0F0B3B"/>
    <w:rsid w:val="2E5653B1"/>
    <w:rsid w:val="2E9226AF"/>
    <w:rsid w:val="2EBB426D"/>
    <w:rsid w:val="2F2F6AF6"/>
    <w:rsid w:val="2F405291"/>
    <w:rsid w:val="300A68BA"/>
    <w:rsid w:val="30166830"/>
    <w:rsid w:val="30636035"/>
    <w:rsid w:val="30B44B89"/>
    <w:rsid w:val="30E41E11"/>
    <w:rsid w:val="314E7A73"/>
    <w:rsid w:val="31867D13"/>
    <w:rsid w:val="31F80C88"/>
    <w:rsid w:val="32067147"/>
    <w:rsid w:val="3292356E"/>
    <w:rsid w:val="32961C59"/>
    <w:rsid w:val="32A03508"/>
    <w:rsid w:val="32AD4867"/>
    <w:rsid w:val="32CF4211"/>
    <w:rsid w:val="32E65C48"/>
    <w:rsid w:val="32E771EB"/>
    <w:rsid w:val="32EB653A"/>
    <w:rsid w:val="33743B62"/>
    <w:rsid w:val="33A92271"/>
    <w:rsid w:val="33FB7DDF"/>
    <w:rsid w:val="340F79E7"/>
    <w:rsid w:val="342E0D13"/>
    <w:rsid w:val="34781430"/>
    <w:rsid w:val="34806536"/>
    <w:rsid w:val="34B0152D"/>
    <w:rsid w:val="34B9484F"/>
    <w:rsid w:val="34D835AE"/>
    <w:rsid w:val="353E60E6"/>
    <w:rsid w:val="35E548A3"/>
    <w:rsid w:val="360A44D8"/>
    <w:rsid w:val="36511F38"/>
    <w:rsid w:val="368E7BE6"/>
    <w:rsid w:val="37245ECA"/>
    <w:rsid w:val="372501AD"/>
    <w:rsid w:val="37314597"/>
    <w:rsid w:val="37572D8B"/>
    <w:rsid w:val="377E69C9"/>
    <w:rsid w:val="379C3F98"/>
    <w:rsid w:val="37AA2DE4"/>
    <w:rsid w:val="37EC5DE0"/>
    <w:rsid w:val="37EF6123"/>
    <w:rsid w:val="38351745"/>
    <w:rsid w:val="38407E99"/>
    <w:rsid w:val="389C0748"/>
    <w:rsid w:val="38A762B5"/>
    <w:rsid w:val="38CE27CA"/>
    <w:rsid w:val="39736B31"/>
    <w:rsid w:val="397765B7"/>
    <w:rsid w:val="3A1D7D60"/>
    <w:rsid w:val="3A437770"/>
    <w:rsid w:val="3A491676"/>
    <w:rsid w:val="3B0E1E76"/>
    <w:rsid w:val="3B250EC7"/>
    <w:rsid w:val="3B841FE7"/>
    <w:rsid w:val="3BCB6780"/>
    <w:rsid w:val="3BE640C1"/>
    <w:rsid w:val="3BEF0FDC"/>
    <w:rsid w:val="3C1C08F2"/>
    <w:rsid w:val="3C3A5D0F"/>
    <w:rsid w:val="3C5938F5"/>
    <w:rsid w:val="3C812E4B"/>
    <w:rsid w:val="3C94090B"/>
    <w:rsid w:val="3CCB57B6"/>
    <w:rsid w:val="3CCD42E3"/>
    <w:rsid w:val="3CED6733"/>
    <w:rsid w:val="3D212583"/>
    <w:rsid w:val="3D4B75A5"/>
    <w:rsid w:val="3D8250CD"/>
    <w:rsid w:val="3DD1395F"/>
    <w:rsid w:val="3E362431"/>
    <w:rsid w:val="3ED1751C"/>
    <w:rsid w:val="3EFD266B"/>
    <w:rsid w:val="3F1411EA"/>
    <w:rsid w:val="3F246577"/>
    <w:rsid w:val="3F695371"/>
    <w:rsid w:val="3FBF6B88"/>
    <w:rsid w:val="3FE0655F"/>
    <w:rsid w:val="3FF6777E"/>
    <w:rsid w:val="40237122"/>
    <w:rsid w:val="402E5098"/>
    <w:rsid w:val="405014B2"/>
    <w:rsid w:val="40720CCF"/>
    <w:rsid w:val="408D0011"/>
    <w:rsid w:val="40A435AC"/>
    <w:rsid w:val="40FC6F44"/>
    <w:rsid w:val="41013DD0"/>
    <w:rsid w:val="41401527"/>
    <w:rsid w:val="4157052E"/>
    <w:rsid w:val="41673933"/>
    <w:rsid w:val="41E62872"/>
    <w:rsid w:val="420D1298"/>
    <w:rsid w:val="42890CAC"/>
    <w:rsid w:val="428C5620"/>
    <w:rsid w:val="42CD0A98"/>
    <w:rsid w:val="42DE702F"/>
    <w:rsid w:val="42E72173"/>
    <w:rsid w:val="431A0C09"/>
    <w:rsid w:val="43502921"/>
    <w:rsid w:val="43542429"/>
    <w:rsid w:val="43B40023"/>
    <w:rsid w:val="440E4406"/>
    <w:rsid w:val="444A00FD"/>
    <w:rsid w:val="444E439A"/>
    <w:rsid w:val="447B18E0"/>
    <w:rsid w:val="44B26298"/>
    <w:rsid w:val="44C36373"/>
    <w:rsid w:val="452A5729"/>
    <w:rsid w:val="45725A27"/>
    <w:rsid w:val="457828DB"/>
    <w:rsid w:val="45AD4CB1"/>
    <w:rsid w:val="45B2254D"/>
    <w:rsid w:val="45B44292"/>
    <w:rsid w:val="45DF05F9"/>
    <w:rsid w:val="45F92626"/>
    <w:rsid w:val="46210361"/>
    <w:rsid w:val="466A748D"/>
    <w:rsid w:val="468377A8"/>
    <w:rsid w:val="468772B0"/>
    <w:rsid w:val="468803DA"/>
    <w:rsid w:val="46A277D0"/>
    <w:rsid w:val="46D52711"/>
    <w:rsid w:val="470C4EC7"/>
    <w:rsid w:val="4795261E"/>
    <w:rsid w:val="47A03021"/>
    <w:rsid w:val="47E349BA"/>
    <w:rsid w:val="47E70A5C"/>
    <w:rsid w:val="480E2158"/>
    <w:rsid w:val="487A7955"/>
    <w:rsid w:val="48C32A8B"/>
    <w:rsid w:val="495639FD"/>
    <w:rsid w:val="49593D2F"/>
    <w:rsid w:val="496F1B44"/>
    <w:rsid w:val="49817C28"/>
    <w:rsid w:val="49C15F7C"/>
    <w:rsid w:val="49EC224C"/>
    <w:rsid w:val="49ED1B20"/>
    <w:rsid w:val="4A1C535B"/>
    <w:rsid w:val="4A250DEB"/>
    <w:rsid w:val="4A253068"/>
    <w:rsid w:val="4A294EDD"/>
    <w:rsid w:val="4A436A56"/>
    <w:rsid w:val="4A4B1D7F"/>
    <w:rsid w:val="4A722025"/>
    <w:rsid w:val="4A7D490B"/>
    <w:rsid w:val="4AB44551"/>
    <w:rsid w:val="4B214E1B"/>
    <w:rsid w:val="4B65373A"/>
    <w:rsid w:val="4BB82544"/>
    <w:rsid w:val="4C0575F5"/>
    <w:rsid w:val="4C0A4E9D"/>
    <w:rsid w:val="4C33116D"/>
    <w:rsid w:val="4C374D22"/>
    <w:rsid w:val="4C416153"/>
    <w:rsid w:val="4C485734"/>
    <w:rsid w:val="4C850886"/>
    <w:rsid w:val="4CE044A8"/>
    <w:rsid w:val="4D00163A"/>
    <w:rsid w:val="4D3A32CE"/>
    <w:rsid w:val="4D492A47"/>
    <w:rsid w:val="4D616FA4"/>
    <w:rsid w:val="4D6C7200"/>
    <w:rsid w:val="4DF90292"/>
    <w:rsid w:val="4E12515E"/>
    <w:rsid w:val="4E50267E"/>
    <w:rsid w:val="4EA4548D"/>
    <w:rsid w:val="4F0F5BE3"/>
    <w:rsid w:val="4F751524"/>
    <w:rsid w:val="4FD43D01"/>
    <w:rsid w:val="4FD91E2D"/>
    <w:rsid w:val="50373AF5"/>
    <w:rsid w:val="505925B9"/>
    <w:rsid w:val="505B4BCF"/>
    <w:rsid w:val="51006467"/>
    <w:rsid w:val="511D4759"/>
    <w:rsid w:val="512419C7"/>
    <w:rsid w:val="51354982"/>
    <w:rsid w:val="51424F17"/>
    <w:rsid w:val="514C4A03"/>
    <w:rsid w:val="51894888"/>
    <w:rsid w:val="51BB480C"/>
    <w:rsid w:val="51C21FC2"/>
    <w:rsid w:val="52422029"/>
    <w:rsid w:val="529F3B4A"/>
    <w:rsid w:val="52E8071D"/>
    <w:rsid w:val="53CA60DF"/>
    <w:rsid w:val="545855A0"/>
    <w:rsid w:val="54817A35"/>
    <w:rsid w:val="54BF682D"/>
    <w:rsid w:val="54D45DB6"/>
    <w:rsid w:val="54EB07A7"/>
    <w:rsid w:val="54F04986"/>
    <w:rsid w:val="55040901"/>
    <w:rsid w:val="552F6BB0"/>
    <w:rsid w:val="55314FB7"/>
    <w:rsid w:val="55573D82"/>
    <w:rsid w:val="55580A9F"/>
    <w:rsid w:val="55A73933"/>
    <w:rsid w:val="55B96828"/>
    <w:rsid w:val="55DC6BE5"/>
    <w:rsid w:val="564636CB"/>
    <w:rsid w:val="56570A4D"/>
    <w:rsid w:val="568D77E9"/>
    <w:rsid w:val="56922ABF"/>
    <w:rsid w:val="56977717"/>
    <w:rsid w:val="56DF05DE"/>
    <w:rsid w:val="56F70118"/>
    <w:rsid w:val="570D35E1"/>
    <w:rsid w:val="57114E89"/>
    <w:rsid w:val="572F5526"/>
    <w:rsid w:val="574C3FA6"/>
    <w:rsid w:val="57A76981"/>
    <w:rsid w:val="57DA5B62"/>
    <w:rsid w:val="57F9454F"/>
    <w:rsid w:val="57FC6189"/>
    <w:rsid w:val="587F43BC"/>
    <w:rsid w:val="588418A2"/>
    <w:rsid w:val="58B77F1B"/>
    <w:rsid w:val="58F9403E"/>
    <w:rsid w:val="594352B9"/>
    <w:rsid w:val="59554FEC"/>
    <w:rsid w:val="59E97F82"/>
    <w:rsid w:val="59F1740B"/>
    <w:rsid w:val="5A054C64"/>
    <w:rsid w:val="5A47527D"/>
    <w:rsid w:val="5A4A4E95"/>
    <w:rsid w:val="5A79415D"/>
    <w:rsid w:val="5AAB3498"/>
    <w:rsid w:val="5AAC5A4C"/>
    <w:rsid w:val="5AB46C0D"/>
    <w:rsid w:val="5B7C1B5B"/>
    <w:rsid w:val="5BEB5A9F"/>
    <w:rsid w:val="5BEC1453"/>
    <w:rsid w:val="5C09140A"/>
    <w:rsid w:val="5C225659"/>
    <w:rsid w:val="5C340C99"/>
    <w:rsid w:val="5C4C26D6"/>
    <w:rsid w:val="5C5C1ADE"/>
    <w:rsid w:val="5CA251F0"/>
    <w:rsid w:val="5D074159"/>
    <w:rsid w:val="5D4D2BAA"/>
    <w:rsid w:val="5D9E6F62"/>
    <w:rsid w:val="5DC93541"/>
    <w:rsid w:val="5DEF6A35"/>
    <w:rsid w:val="5EAA3EC8"/>
    <w:rsid w:val="5EAD17FC"/>
    <w:rsid w:val="5EEB0245"/>
    <w:rsid w:val="5F073306"/>
    <w:rsid w:val="5F0E752A"/>
    <w:rsid w:val="5F1047A4"/>
    <w:rsid w:val="5F441A85"/>
    <w:rsid w:val="5F5F73B9"/>
    <w:rsid w:val="5F9F5213"/>
    <w:rsid w:val="600E137A"/>
    <w:rsid w:val="601079F3"/>
    <w:rsid w:val="601C6940"/>
    <w:rsid w:val="603F0577"/>
    <w:rsid w:val="60B51591"/>
    <w:rsid w:val="619D68CC"/>
    <w:rsid w:val="62394687"/>
    <w:rsid w:val="62397900"/>
    <w:rsid w:val="62420BB5"/>
    <w:rsid w:val="625D4BD7"/>
    <w:rsid w:val="62682234"/>
    <w:rsid w:val="62CA1F5B"/>
    <w:rsid w:val="62E428DB"/>
    <w:rsid w:val="634A0645"/>
    <w:rsid w:val="63940DEB"/>
    <w:rsid w:val="648A2C66"/>
    <w:rsid w:val="64A03D79"/>
    <w:rsid w:val="65136487"/>
    <w:rsid w:val="651E3A35"/>
    <w:rsid w:val="65456147"/>
    <w:rsid w:val="655F791E"/>
    <w:rsid w:val="657F7D34"/>
    <w:rsid w:val="658B5B37"/>
    <w:rsid w:val="65923CEB"/>
    <w:rsid w:val="65E56CEC"/>
    <w:rsid w:val="66846F11"/>
    <w:rsid w:val="66C8504F"/>
    <w:rsid w:val="66CC325D"/>
    <w:rsid w:val="67143198"/>
    <w:rsid w:val="672243E9"/>
    <w:rsid w:val="674C3C72"/>
    <w:rsid w:val="677F11F8"/>
    <w:rsid w:val="67844530"/>
    <w:rsid w:val="67AA0BAE"/>
    <w:rsid w:val="67B04BA7"/>
    <w:rsid w:val="67C744FF"/>
    <w:rsid w:val="67D57061"/>
    <w:rsid w:val="67D84533"/>
    <w:rsid w:val="67DA7D95"/>
    <w:rsid w:val="67F944BC"/>
    <w:rsid w:val="68086AB5"/>
    <w:rsid w:val="680C2B4F"/>
    <w:rsid w:val="681A3FD0"/>
    <w:rsid w:val="6838144E"/>
    <w:rsid w:val="684C554B"/>
    <w:rsid w:val="684D2198"/>
    <w:rsid w:val="68AA7398"/>
    <w:rsid w:val="68C27640"/>
    <w:rsid w:val="68D85166"/>
    <w:rsid w:val="691F6EF5"/>
    <w:rsid w:val="69211FED"/>
    <w:rsid w:val="697E5715"/>
    <w:rsid w:val="698133C8"/>
    <w:rsid w:val="6982428D"/>
    <w:rsid w:val="69872241"/>
    <w:rsid w:val="69EC374B"/>
    <w:rsid w:val="69F0323B"/>
    <w:rsid w:val="6A6C412A"/>
    <w:rsid w:val="6A7E6841"/>
    <w:rsid w:val="6A9D5B77"/>
    <w:rsid w:val="6AC1165B"/>
    <w:rsid w:val="6AE86BC7"/>
    <w:rsid w:val="6B453112"/>
    <w:rsid w:val="6BAB2AEF"/>
    <w:rsid w:val="6BC009EB"/>
    <w:rsid w:val="6BF42730"/>
    <w:rsid w:val="6C6E379F"/>
    <w:rsid w:val="6C700663"/>
    <w:rsid w:val="6C712895"/>
    <w:rsid w:val="6CC10EBE"/>
    <w:rsid w:val="6CC354FC"/>
    <w:rsid w:val="6D5533B5"/>
    <w:rsid w:val="6DA34B00"/>
    <w:rsid w:val="6DF2126C"/>
    <w:rsid w:val="6E217C47"/>
    <w:rsid w:val="6E3B568A"/>
    <w:rsid w:val="6E3D70BF"/>
    <w:rsid w:val="6E64534B"/>
    <w:rsid w:val="6F3040D9"/>
    <w:rsid w:val="6F5916C5"/>
    <w:rsid w:val="6F7146A7"/>
    <w:rsid w:val="6F97D24A"/>
    <w:rsid w:val="70354DEE"/>
    <w:rsid w:val="7045295A"/>
    <w:rsid w:val="70F0025F"/>
    <w:rsid w:val="7122041E"/>
    <w:rsid w:val="71236B37"/>
    <w:rsid w:val="71746927"/>
    <w:rsid w:val="71AA1F21"/>
    <w:rsid w:val="71E8374C"/>
    <w:rsid w:val="71E909FE"/>
    <w:rsid w:val="71F72C8D"/>
    <w:rsid w:val="71FA6205"/>
    <w:rsid w:val="721A1FE4"/>
    <w:rsid w:val="722C6DDA"/>
    <w:rsid w:val="72C40DC1"/>
    <w:rsid w:val="72CE714F"/>
    <w:rsid w:val="72DB513B"/>
    <w:rsid w:val="72F62F44"/>
    <w:rsid w:val="73037B3F"/>
    <w:rsid w:val="7345282E"/>
    <w:rsid w:val="73454B8B"/>
    <w:rsid w:val="736175D9"/>
    <w:rsid w:val="737412C0"/>
    <w:rsid w:val="738F17D8"/>
    <w:rsid w:val="73FE1490"/>
    <w:rsid w:val="74141483"/>
    <w:rsid w:val="742C597A"/>
    <w:rsid w:val="745343BD"/>
    <w:rsid w:val="74E024A3"/>
    <w:rsid w:val="74F44283"/>
    <w:rsid w:val="757F1917"/>
    <w:rsid w:val="75AD1FE0"/>
    <w:rsid w:val="75E40EB5"/>
    <w:rsid w:val="767237FC"/>
    <w:rsid w:val="76C53A1F"/>
    <w:rsid w:val="76D23CCB"/>
    <w:rsid w:val="76FA74A7"/>
    <w:rsid w:val="76FF0993"/>
    <w:rsid w:val="77161E07"/>
    <w:rsid w:val="773A762C"/>
    <w:rsid w:val="77783A43"/>
    <w:rsid w:val="77ED2EE0"/>
    <w:rsid w:val="7844403A"/>
    <w:rsid w:val="78C20087"/>
    <w:rsid w:val="78D21D5D"/>
    <w:rsid w:val="78D74491"/>
    <w:rsid w:val="791D591D"/>
    <w:rsid w:val="79342923"/>
    <w:rsid w:val="796D454F"/>
    <w:rsid w:val="7A1B72A8"/>
    <w:rsid w:val="7A3031E0"/>
    <w:rsid w:val="7A6D4434"/>
    <w:rsid w:val="7AFE508C"/>
    <w:rsid w:val="7B114DBF"/>
    <w:rsid w:val="7B1A4E69"/>
    <w:rsid w:val="7B3665D4"/>
    <w:rsid w:val="7B7D56AD"/>
    <w:rsid w:val="7B7F7F7B"/>
    <w:rsid w:val="7B8C6D70"/>
    <w:rsid w:val="7B9F23CB"/>
    <w:rsid w:val="7BC506FF"/>
    <w:rsid w:val="7BD23C9A"/>
    <w:rsid w:val="7C793B3B"/>
    <w:rsid w:val="7CAC7F38"/>
    <w:rsid w:val="7CB73744"/>
    <w:rsid w:val="7CC12815"/>
    <w:rsid w:val="7CF624BE"/>
    <w:rsid w:val="7E312FA8"/>
    <w:rsid w:val="7E3E7B96"/>
    <w:rsid w:val="7E5064D2"/>
    <w:rsid w:val="7E873A09"/>
    <w:rsid w:val="7E96406C"/>
    <w:rsid w:val="7F6851CA"/>
    <w:rsid w:val="7F8C148B"/>
    <w:rsid w:val="7F97D7F2"/>
    <w:rsid w:val="A6FEB8E8"/>
    <w:rsid w:val="B85FDB83"/>
    <w:rsid w:val="C1BF7C39"/>
    <w:rsid w:val="C4BD4666"/>
    <w:rsid w:val="D925F7D1"/>
    <w:rsid w:val="DAF67373"/>
    <w:rsid w:val="DC7C6527"/>
    <w:rsid w:val="DEE73C2B"/>
    <w:rsid w:val="DFCDEEFC"/>
    <w:rsid w:val="EBA7250A"/>
    <w:rsid w:val="EDFF1E69"/>
    <w:rsid w:val="EF7CB3D9"/>
    <w:rsid w:val="F9F3A651"/>
    <w:rsid w:val="FFEFBD05"/>
    <w:rsid w:val="FFF73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autoRedefine/>
    <w:qFormat/>
    <w:uiPriority w:val="0"/>
    <w:pPr>
      <w:keepNext/>
      <w:keepLines/>
      <w:numPr>
        <w:ilvl w:val="0"/>
        <w:numId w:val="1"/>
      </w:numPr>
      <w:autoSpaceDE w:val="0"/>
      <w:autoSpaceDN w:val="0"/>
      <w:adjustRightInd w:val="0"/>
      <w:spacing w:before="240" w:after="120" w:line="300" w:lineRule="auto"/>
      <w:jc w:val="center"/>
      <w:outlineLvl w:val="0"/>
    </w:pPr>
    <w:rPr>
      <w:rFonts w:ascii="宋体" w:hAnsi="宋体" w:cs="宋体"/>
      <w:b/>
      <w:kern w:val="44"/>
      <w:sz w:val="32"/>
      <w:szCs w:val="32"/>
    </w:rPr>
  </w:style>
  <w:style w:type="paragraph" w:styleId="3">
    <w:name w:val="heading 2"/>
    <w:basedOn w:val="1"/>
    <w:next w:val="1"/>
    <w:link w:val="58"/>
    <w:autoRedefine/>
    <w:qFormat/>
    <w:uiPriority w:val="0"/>
    <w:pPr>
      <w:keepLines/>
      <w:numPr>
        <w:ilvl w:val="1"/>
        <w:numId w:val="1"/>
      </w:numPr>
      <w:tabs>
        <w:tab w:val="left" w:pos="0"/>
        <w:tab w:val="clear" w:pos="420"/>
      </w:tabs>
      <w:autoSpaceDE w:val="0"/>
      <w:autoSpaceDN w:val="0"/>
      <w:adjustRightInd w:val="0"/>
      <w:spacing w:before="120" w:after="120" w:line="300" w:lineRule="auto"/>
      <w:jc w:val="left"/>
      <w:outlineLvl w:val="1"/>
    </w:pPr>
    <w:rPr>
      <w:rFonts w:ascii="宋体" w:hAnsi="宋体" w:cs="宋体"/>
      <w:b/>
      <w:bCs/>
      <w:kern w:val="0"/>
      <w:sz w:val="28"/>
      <w:szCs w:val="28"/>
    </w:rPr>
  </w:style>
  <w:style w:type="paragraph" w:styleId="4">
    <w:name w:val="heading 3"/>
    <w:basedOn w:val="1"/>
    <w:next w:val="1"/>
    <w:link w:val="59"/>
    <w:autoRedefine/>
    <w:qFormat/>
    <w:uiPriority w:val="0"/>
    <w:pPr>
      <w:numPr>
        <w:ilvl w:val="2"/>
        <w:numId w:val="1"/>
      </w:numPr>
      <w:tabs>
        <w:tab w:val="left" w:pos="0"/>
        <w:tab w:val="left" w:pos="420"/>
        <w:tab w:val="left" w:pos="567"/>
        <w:tab w:val="left" w:pos="1020"/>
      </w:tabs>
      <w:autoSpaceDE w:val="0"/>
      <w:autoSpaceDN w:val="0"/>
      <w:adjustRightInd w:val="0"/>
      <w:spacing w:line="360" w:lineRule="auto"/>
      <w:ind w:left="964" w:hanging="397"/>
      <w:jc w:val="left"/>
      <w:outlineLvl w:val="2"/>
    </w:pPr>
    <w:rPr>
      <w:rFonts w:ascii="宋体" w:hAnsi="宋体" w:cs="宋体"/>
      <w:kern w:val="0"/>
      <w:sz w:val="24"/>
    </w:rPr>
  </w:style>
  <w:style w:type="paragraph" w:styleId="5">
    <w:name w:val="heading 4"/>
    <w:basedOn w:val="1"/>
    <w:next w:val="1"/>
    <w:link w:val="61"/>
    <w:autoRedefine/>
    <w:qFormat/>
    <w:uiPriority w:val="0"/>
    <w:pPr>
      <w:keepLines w:val="0"/>
      <w:numPr>
        <w:ilvl w:val="3"/>
        <w:numId w:val="1"/>
      </w:numPr>
      <w:tabs>
        <w:tab w:val="left" w:pos="0"/>
        <w:tab w:val="left" w:pos="567"/>
      </w:tabs>
      <w:adjustRightInd w:val="0"/>
      <w:spacing w:line="360" w:lineRule="auto"/>
      <w:ind w:left="1304" w:hanging="454"/>
      <w:jc w:val="left"/>
      <w:textAlignment w:val="baseline"/>
      <w:outlineLvl w:val="3"/>
    </w:pPr>
    <w:rPr>
      <w:rFonts w:ascii="宋体" w:hAnsi="宋体" w:eastAsia="宋体" w:cs="宋体"/>
      <w:kern w:val="0"/>
      <w:sz w:val="24"/>
    </w:rPr>
  </w:style>
  <w:style w:type="paragraph" w:styleId="6">
    <w:name w:val="heading 5"/>
    <w:basedOn w:val="1"/>
    <w:next w:val="1"/>
    <w:link w:val="60"/>
    <w:autoRedefine/>
    <w:qFormat/>
    <w:uiPriority w:val="0"/>
    <w:pPr>
      <w:keepLines w:val="0"/>
      <w:numPr>
        <w:ilvl w:val="4"/>
        <w:numId w:val="1"/>
      </w:numPr>
      <w:tabs>
        <w:tab w:val="left" w:pos="0"/>
        <w:tab w:val="left" w:pos="567"/>
      </w:tabs>
      <w:adjustRightInd w:val="0"/>
      <w:spacing w:line="360" w:lineRule="auto"/>
      <w:ind w:left="1871" w:hanging="737"/>
      <w:jc w:val="left"/>
      <w:textAlignment w:val="baseline"/>
      <w:outlineLvl w:val="4"/>
    </w:pPr>
    <w:rPr>
      <w:rFonts w:ascii="宋体" w:hAnsi="宋体" w:eastAsia="宋体" w:cs="宋体"/>
      <w:kern w:val="0"/>
      <w:sz w:val="24"/>
    </w:rPr>
  </w:style>
  <w:style w:type="paragraph" w:styleId="7">
    <w:name w:val="heading 6"/>
    <w:basedOn w:val="1"/>
    <w:next w:val="1"/>
    <w:link w:val="62"/>
    <w:autoRedefine/>
    <w:qFormat/>
    <w:uiPriority w:val="0"/>
    <w:pPr>
      <w:keepNext w:val="0"/>
      <w:keepLines w:val="0"/>
      <w:numPr>
        <w:ilvl w:val="5"/>
        <w:numId w:val="1"/>
      </w:numPr>
      <w:tabs>
        <w:tab w:val="left" w:pos="567"/>
      </w:tabs>
      <w:adjustRightInd w:val="0"/>
      <w:spacing w:before="0" w:after="0" w:line="360" w:lineRule="auto"/>
      <w:ind w:left="2324" w:hanging="907"/>
      <w:jc w:val="left"/>
      <w:textAlignment w:val="baseline"/>
      <w:outlineLvl w:val="5"/>
    </w:pPr>
    <w:rPr>
      <w:rFonts w:ascii="宋体" w:hAnsi="宋体" w:eastAsia="宋体" w:cs="宋体"/>
      <w:kern w:val="0"/>
      <w:sz w:val="24"/>
    </w:rPr>
  </w:style>
  <w:style w:type="paragraph" w:styleId="8">
    <w:name w:val="heading 7"/>
    <w:basedOn w:val="1"/>
    <w:next w:val="1"/>
    <w:link w:val="63"/>
    <w:autoRedefine/>
    <w:qFormat/>
    <w:uiPriority w:val="0"/>
    <w:pPr>
      <w:keepNext/>
      <w:keepLines/>
      <w:numPr>
        <w:ilvl w:val="6"/>
        <w:numId w:val="1"/>
      </w:numPr>
      <w:tabs>
        <w:tab w:val="left" w:pos="420"/>
        <w:tab w:val="left" w:pos="567"/>
      </w:tabs>
      <w:adjustRightInd w:val="0"/>
      <w:spacing w:before="0" w:after="0" w:line="360" w:lineRule="auto"/>
      <w:ind w:left="2835" w:hanging="1134"/>
      <w:jc w:val="left"/>
      <w:textAlignment w:val="baseline"/>
      <w:outlineLvl w:val="6"/>
    </w:pPr>
    <w:rPr>
      <w:rFonts w:ascii="宋体" w:hAnsi="宋体" w:eastAsia="宋体" w:cs="宋体"/>
      <w:kern w:val="0"/>
      <w:sz w:val="24"/>
    </w:rPr>
  </w:style>
  <w:style w:type="paragraph" w:styleId="9">
    <w:name w:val="heading 8"/>
    <w:basedOn w:val="1"/>
    <w:next w:val="1"/>
    <w:link w:val="64"/>
    <w:autoRedefine/>
    <w:qFormat/>
    <w:uiPriority w:val="0"/>
    <w:pPr>
      <w:keepNext/>
      <w:keepLines/>
      <w:numPr>
        <w:ilvl w:val="7"/>
        <w:numId w:val="1"/>
      </w:numPr>
      <w:tabs>
        <w:tab w:val="left" w:pos="567"/>
        <w:tab w:val="clear" w:pos="420"/>
      </w:tabs>
      <w:adjustRightInd w:val="0"/>
      <w:spacing w:before="240" w:after="64" w:line="320" w:lineRule="atLeast"/>
      <w:ind w:left="0"/>
      <w:textAlignment w:val="baseline"/>
      <w:outlineLvl w:val="7"/>
    </w:pPr>
    <w:rPr>
      <w:rFonts w:ascii="Arial" w:hAnsi="Arial" w:eastAsia="黑体"/>
      <w:kern w:val="0"/>
      <w:sz w:val="24"/>
      <w:szCs w:val="20"/>
    </w:rPr>
  </w:style>
  <w:style w:type="paragraph" w:styleId="10">
    <w:name w:val="heading 9"/>
    <w:basedOn w:val="1"/>
    <w:next w:val="1"/>
    <w:link w:val="65"/>
    <w:autoRedefine/>
    <w:qFormat/>
    <w:uiPriority w:val="0"/>
    <w:pPr>
      <w:keepNext/>
      <w:keepLines/>
      <w:numPr>
        <w:ilvl w:val="8"/>
        <w:numId w:val="1"/>
      </w:numPr>
      <w:tabs>
        <w:tab w:val="left" w:pos="567"/>
        <w:tab w:val="clear" w:pos="420"/>
      </w:tabs>
      <w:adjustRightInd w:val="0"/>
      <w:spacing w:before="240" w:after="64" w:line="320" w:lineRule="atLeast"/>
      <w:ind w:left="0"/>
      <w:textAlignment w:val="baseline"/>
      <w:outlineLvl w:val="8"/>
    </w:pPr>
    <w:rPr>
      <w:rFonts w:ascii="Arial" w:hAnsi="Arial" w:eastAsia="黑体"/>
      <w:kern w:val="0"/>
      <w:szCs w:val="20"/>
    </w:rPr>
  </w:style>
  <w:style w:type="character" w:default="1" w:styleId="49">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table of authorities"/>
    <w:basedOn w:val="1"/>
    <w:next w:val="1"/>
    <w:autoRedefine/>
    <w:qFormat/>
    <w:uiPriority w:val="0"/>
    <w:pPr>
      <w:widowControl/>
      <w:spacing w:afterLines="100" w:line="360" w:lineRule="auto"/>
      <w:ind w:left="420" w:leftChars="200" w:firstLine="200" w:firstLineChars="200"/>
    </w:pPr>
    <w:rPr>
      <w:lang w:val="zh-CN"/>
    </w:rPr>
  </w:style>
  <w:style w:type="paragraph" w:styleId="13">
    <w:name w:val="Normal Indent"/>
    <w:basedOn w:val="1"/>
    <w:link w:val="71"/>
    <w:autoRedefine/>
    <w:qFormat/>
    <w:uiPriority w:val="0"/>
    <w:pPr>
      <w:autoSpaceDE w:val="0"/>
      <w:autoSpaceDN w:val="0"/>
      <w:adjustRightInd w:val="0"/>
      <w:ind w:firstLine="420"/>
      <w:jc w:val="left"/>
    </w:pPr>
    <w:rPr>
      <w:rFonts w:ascii="宋体"/>
      <w:sz w:val="24"/>
    </w:rPr>
  </w:style>
  <w:style w:type="paragraph" w:styleId="14">
    <w:name w:val="caption"/>
    <w:basedOn w:val="1"/>
    <w:next w:val="1"/>
    <w:autoRedefine/>
    <w:qFormat/>
    <w:uiPriority w:val="0"/>
    <w:pPr>
      <w:spacing w:line="480" w:lineRule="auto"/>
    </w:pPr>
    <w:rPr>
      <w:rFonts w:ascii="华文中宋" w:hAnsi="华文中宋" w:eastAsia="华文中宋"/>
      <w:sz w:val="36"/>
      <w:szCs w:val="20"/>
    </w:rPr>
  </w:style>
  <w:style w:type="paragraph" w:styleId="15">
    <w:name w:val="Document Map"/>
    <w:basedOn w:val="1"/>
    <w:link w:val="72"/>
    <w:autoRedefine/>
    <w:qFormat/>
    <w:uiPriority w:val="0"/>
    <w:pPr>
      <w:shd w:val="clear" w:color="auto" w:fill="000080"/>
    </w:pPr>
  </w:style>
  <w:style w:type="paragraph" w:styleId="16">
    <w:name w:val="annotation text"/>
    <w:basedOn w:val="1"/>
    <w:link w:val="73"/>
    <w:autoRedefine/>
    <w:qFormat/>
    <w:uiPriority w:val="99"/>
    <w:pPr>
      <w:jc w:val="left"/>
    </w:pPr>
  </w:style>
  <w:style w:type="paragraph" w:styleId="17">
    <w:name w:val="Body Text 3"/>
    <w:basedOn w:val="1"/>
    <w:link w:val="74"/>
    <w:autoRedefine/>
    <w:qFormat/>
    <w:uiPriority w:val="0"/>
    <w:pPr>
      <w:spacing w:after="120"/>
    </w:pPr>
    <w:rPr>
      <w:sz w:val="16"/>
      <w:szCs w:val="16"/>
    </w:rPr>
  </w:style>
  <w:style w:type="paragraph" w:styleId="18">
    <w:name w:val="Body Text"/>
    <w:basedOn w:val="1"/>
    <w:link w:val="75"/>
    <w:autoRedefine/>
    <w:qFormat/>
    <w:uiPriority w:val="0"/>
    <w:pPr>
      <w:tabs>
        <w:tab w:val="left" w:pos="567"/>
      </w:tabs>
      <w:spacing w:before="120" w:line="22" w:lineRule="atLeast"/>
    </w:pPr>
    <w:rPr>
      <w:rFonts w:ascii="宋体" w:hAnsi="宋体"/>
      <w:sz w:val="24"/>
    </w:rPr>
  </w:style>
  <w:style w:type="paragraph" w:styleId="19">
    <w:name w:val="Body Text Indent"/>
    <w:basedOn w:val="1"/>
    <w:link w:val="76"/>
    <w:autoRedefine/>
    <w:qFormat/>
    <w:uiPriority w:val="0"/>
    <w:pPr>
      <w:spacing w:line="360" w:lineRule="auto"/>
      <w:ind w:firstLine="570"/>
    </w:pPr>
    <w:rPr>
      <w:sz w:val="24"/>
    </w:rPr>
  </w:style>
  <w:style w:type="paragraph" w:styleId="20">
    <w:name w:val="List 2"/>
    <w:basedOn w:val="1"/>
    <w:autoRedefine/>
    <w:qFormat/>
    <w:uiPriority w:val="0"/>
    <w:pPr>
      <w:ind w:left="100" w:leftChars="200" w:hanging="200" w:hangingChars="200"/>
    </w:pPr>
  </w:style>
  <w:style w:type="paragraph" w:styleId="21">
    <w:name w:val="Block Text"/>
    <w:basedOn w:val="1"/>
    <w:autoRedefine/>
    <w:qFormat/>
    <w:uiPriority w:val="0"/>
    <w:pPr>
      <w:widowControl/>
      <w:ind w:left="480" w:right="-341" w:firstLine="513"/>
    </w:pPr>
    <w:rPr>
      <w:kern w:val="0"/>
      <w:sz w:val="24"/>
      <w:szCs w:val="20"/>
    </w:rPr>
  </w:style>
  <w:style w:type="paragraph" w:styleId="22">
    <w:name w:val="toc 5"/>
    <w:basedOn w:val="1"/>
    <w:next w:val="1"/>
    <w:autoRedefine/>
    <w:qFormat/>
    <w:uiPriority w:val="0"/>
    <w:pPr>
      <w:ind w:left="1680" w:leftChars="800"/>
    </w:pPr>
  </w:style>
  <w:style w:type="paragraph" w:styleId="23">
    <w:name w:val="toc 3"/>
    <w:basedOn w:val="1"/>
    <w:next w:val="1"/>
    <w:autoRedefine/>
    <w:qFormat/>
    <w:uiPriority w:val="39"/>
    <w:pPr>
      <w:ind w:left="840" w:leftChars="400"/>
    </w:pPr>
  </w:style>
  <w:style w:type="paragraph" w:styleId="24">
    <w:name w:val="Plain Text"/>
    <w:basedOn w:val="1"/>
    <w:link w:val="77"/>
    <w:autoRedefine/>
    <w:qFormat/>
    <w:uiPriority w:val="0"/>
    <w:rPr>
      <w:rFonts w:hint="eastAsia" w:ascii="宋体" w:hAnsi="Courier New"/>
      <w:szCs w:val="20"/>
    </w:rPr>
  </w:style>
  <w:style w:type="paragraph" w:styleId="25">
    <w:name w:val="toc 8"/>
    <w:basedOn w:val="1"/>
    <w:next w:val="1"/>
    <w:autoRedefine/>
    <w:qFormat/>
    <w:uiPriority w:val="0"/>
    <w:pPr>
      <w:ind w:left="2940" w:leftChars="1400"/>
    </w:pPr>
  </w:style>
  <w:style w:type="paragraph" w:styleId="26">
    <w:name w:val="Date"/>
    <w:basedOn w:val="1"/>
    <w:next w:val="1"/>
    <w:link w:val="78"/>
    <w:autoRedefine/>
    <w:qFormat/>
    <w:uiPriority w:val="0"/>
    <w:pPr>
      <w:ind w:left="100" w:leftChars="2500"/>
    </w:pPr>
    <w:rPr>
      <w:rFonts w:ascii="仿宋_GB2312" w:hAnsi="宋体" w:eastAsia="仿宋_GB2312"/>
      <w:color w:val="000000"/>
      <w:sz w:val="24"/>
    </w:rPr>
  </w:style>
  <w:style w:type="paragraph" w:styleId="27">
    <w:name w:val="Body Text Indent 2"/>
    <w:basedOn w:val="1"/>
    <w:link w:val="79"/>
    <w:autoRedefine/>
    <w:qFormat/>
    <w:uiPriority w:val="0"/>
    <w:pPr>
      <w:ind w:firstLine="480" w:firstLineChars="200"/>
    </w:pPr>
    <w:rPr>
      <w:rFonts w:ascii="仿宋_GB2312" w:eastAsia="仿宋_GB2312"/>
      <w:sz w:val="24"/>
    </w:rPr>
  </w:style>
  <w:style w:type="paragraph" w:styleId="28">
    <w:name w:val="Balloon Text"/>
    <w:basedOn w:val="1"/>
    <w:link w:val="80"/>
    <w:autoRedefine/>
    <w:qFormat/>
    <w:uiPriority w:val="0"/>
    <w:rPr>
      <w:sz w:val="18"/>
      <w:szCs w:val="18"/>
    </w:rPr>
  </w:style>
  <w:style w:type="paragraph" w:styleId="29">
    <w:name w:val="footer"/>
    <w:basedOn w:val="1"/>
    <w:link w:val="8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82"/>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Subtitle"/>
    <w:basedOn w:val="1"/>
    <w:next w:val="1"/>
    <w:autoRedefine/>
    <w:qFormat/>
    <w:uiPriority w:val="0"/>
    <w:pPr>
      <w:spacing w:before="240" w:after="60" w:line="312" w:lineRule="auto"/>
      <w:jc w:val="center"/>
      <w:outlineLvl w:val="1"/>
    </w:pPr>
    <w:rPr>
      <w:rFonts w:ascii="等线 Light" w:hAnsi="等线 Light"/>
      <w:b/>
      <w:bCs/>
      <w:kern w:val="28"/>
      <w:sz w:val="32"/>
      <w:szCs w:val="32"/>
    </w:rPr>
  </w:style>
  <w:style w:type="paragraph" w:styleId="34">
    <w:name w:val="toc 6"/>
    <w:basedOn w:val="1"/>
    <w:next w:val="1"/>
    <w:autoRedefine/>
    <w:qFormat/>
    <w:uiPriority w:val="0"/>
    <w:pPr>
      <w:ind w:left="2100" w:leftChars="1000"/>
    </w:pPr>
  </w:style>
  <w:style w:type="paragraph" w:styleId="35">
    <w:name w:val="Body Text Indent 3"/>
    <w:basedOn w:val="1"/>
    <w:link w:val="83"/>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autoRedefine/>
    <w:qFormat/>
    <w:uiPriority w:val="39"/>
    <w:pPr>
      <w:tabs>
        <w:tab w:val="right" w:leader="dot" w:pos="8937"/>
      </w:tabs>
      <w:spacing w:line="312" w:lineRule="auto"/>
      <w:ind w:left="420" w:leftChars="200"/>
    </w:pPr>
  </w:style>
  <w:style w:type="paragraph" w:styleId="37">
    <w:name w:val="toc 9"/>
    <w:basedOn w:val="1"/>
    <w:next w:val="1"/>
    <w:autoRedefine/>
    <w:qFormat/>
    <w:uiPriority w:val="0"/>
    <w:pPr>
      <w:ind w:left="3360" w:leftChars="1600"/>
    </w:pPr>
  </w:style>
  <w:style w:type="paragraph" w:styleId="38">
    <w:name w:val="Body Text 2"/>
    <w:basedOn w:val="1"/>
    <w:autoRedefine/>
    <w:qFormat/>
    <w:uiPriority w:val="0"/>
    <w:pPr>
      <w:spacing w:after="120" w:line="480" w:lineRule="auto"/>
    </w:pPr>
  </w:style>
  <w:style w:type="paragraph" w:styleId="39">
    <w:name w:val="HTML Preformatted"/>
    <w:basedOn w:val="1"/>
    <w:link w:val="8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autoRedefine/>
    <w:qFormat/>
    <w:uiPriority w:val="0"/>
    <w:rPr>
      <w:szCs w:val="20"/>
    </w:rPr>
  </w:style>
  <w:style w:type="paragraph" w:styleId="42">
    <w:name w:val="Title"/>
    <w:basedOn w:val="1"/>
    <w:link w:val="85"/>
    <w:autoRedefine/>
    <w:qFormat/>
    <w:uiPriority w:val="0"/>
    <w:pPr>
      <w:jc w:val="center"/>
      <w:outlineLvl w:val="0"/>
    </w:pPr>
    <w:rPr>
      <w:b/>
      <w:sz w:val="32"/>
      <w:szCs w:val="20"/>
    </w:rPr>
  </w:style>
  <w:style w:type="paragraph" w:styleId="43">
    <w:name w:val="annotation subject"/>
    <w:basedOn w:val="16"/>
    <w:next w:val="16"/>
    <w:link w:val="86"/>
    <w:autoRedefine/>
    <w:qFormat/>
    <w:uiPriority w:val="0"/>
    <w:rPr>
      <w:b/>
      <w:bCs/>
    </w:rPr>
  </w:style>
  <w:style w:type="paragraph" w:styleId="44">
    <w:name w:val="Body Text First Indent"/>
    <w:basedOn w:val="18"/>
    <w:autoRedefine/>
    <w:qFormat/>
    <w:uiPriority w:val="0"/>
    <w:pPr>
      <w:spacing w:after="120"/>
      <w:ind w:firstLine="420" w:firstLineChars="100"/>
    </w:pPr>
    <w:rPr>
      <w:sz w:val="21"/>
    </w:rPr>
  </w:style>
  <w:style w:type="paragraph" w:styleId="45">
    <w:name w:val="Body Text First Indent 2"/>
    <w:basedOn w:val="19"/>
    <w:link w:val="87"/>
    <w:autoRedefine/>
    <w:qFormat/>
    <w:uiPriority w:val="0"/>
    <w:pPr>
      <w:spacing w:after="120" w:line="480" w:lineRule="exact"/>
      <w:ind w:left="420" w:leftChars="200" w:firstLine="420" w:firstLineChars="200"/>
    </w:pPr>
    <w:rPr>
      <w:szCs w:val="20"/>
    </w:rPr>
  </w:style>
  <w:style w:type="table" w:styleId="47">
    <w:name w:val="Table Grid"/>
    <w:basedOn w:val="46"/>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basedOn w:val="49"/>
    <w:autoRedefine/>
    <w:qFormat/>
    <w:uiPriority w:val="0"/>
    <w:rPr>
      <w:b/>
      <w:bCs/>
    </w:rPr>
  </w:style>
  <w:style w:type="character" w:styleId="51">
    <w:name w:val="page number"/>
    <w:autoRedefine/>
    <w:qFormat/>
    <w:uiPriority w:val="0"/>
  </w:style>
  <w:style w:type="character" w:styleId="52">
    <w:name w:val="FollowedHyperlink"/>
    <w:autoRedefine/>
    <w:qFormat/>
    <w:uiPriority w:val="0"/>
    <w:rPr>
      <w:color w:val="800080"/>
      <w:u w:val="single"/>
    </w:rPr>
  </w:style>
  <w:style w:type="character" w:styleId="53">
    <w:name w:val="Emphasis"/>
    <w:autoRedefine/>
    <w:qFormat/>
    <w:uiPriority w:val="0"/>
    <w:rPr>
      <w:color w:val="CC0033"/>
    </w:rPr>
  </w:style>
  <w:style w:type="character" w:styleId="54">
    <w:name w:val="Hyperlink"/>
    <w:autoRedefine/>
    <w:qFormat/>
    <w:uiPriority w:val="99"/>
    <w:rPr>
      <w:color w:val="0000FF"/>
      <w:u w:val="single"/>
    </w:rPr>
  </w:style>
  <w:style w:type="character" w:styleId="55">
    <w:name w:val="annotation reference"/>
    <w:basedOn w:val="49"/>
    <w:autoRedefine/>
    <w:qFormat/>
    <w:uiPriority w:val="99"/>
    <w:rPr>
      <w:sz w:val="21"/>
      <w:szCs w:val="21"/>
    </w:rPr>
  </w:style>
  <w:style w:type="character" w:styleId="56">
    <w:name w:val="HTML Cite"/>
    <w:autoRedefine/>
    <w:qFormat/>
    <w:uiPriority w:val="0"/>
    <w:rPr>
      <w:i/>
      <w:iCs/>
    </w:rPr>
  </w:style>
  <w:style w:type="paragraph" w:customStyle="1" w:styleId="5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58">
    <w:name w:val="标题 2 字符"/>
    <w:link w:val="3"/>
    <w:autoRedefine/>
    <w:qFormat/>
    <w:uiPriority w:val="0"/>
    <w:rPr>
      <w:rFonts w:ascii="宋体" w:hAnsi="宋体" w:eastAsia="宋体" w:cs="宋体"/>
      <w:b/>
      <w:bCs/>
      <w:sz w:val="28"/>
      <w:szCs w:val="28"/>
      <w:lang w:val="en-US" w:eastAsia="zh-CN" w:bidi="ar-SA"/>
    </w:rPr>
  </w:style>
  <w:style w:type="character" w:customStyle="1" w:styleId="59">
    <w:name w:val="标题 3 字符"/>
    <w:link w:val="4"/>
    <w:autoRedefine/>
    <w:qFormat/>
    <w:uiPriority w:val="0"/>
    <w:rPr>
      <w:rFonts w:ascii="宋体" w:hAnsi="宋体" w:eastAsia="宋体" w:cs="宋体"/>
      <w:sz w:val="24"/>
      <w:szCs w:val="24"/>
      <w:u w:val="none"/>
      <w:lang w:val="en-US" w:eastAsia="zh-CN" w:bidi="ar-SA"/>
    </w:rPr>
  </w:style>
  <w:style w:type="character" w:customStyle="1" w:styleId="60">
    <w:name w:val="标题 5 字符"/>
    <w:link w:val="6"/>
    <w:autoRedefine/>
    <w:qFormat/>
    <w:uiPriority w:val="0"/>
    <w:rPr>
      <w:rFonts w:ascii="宋体" w:hAnsi="宋体" w:eastAsia="宋体" w:cs="宋体"/>
      <w:sz w:val="24"/>
      <w:szCs w:val="24"/>
    </w:rPr>
  </w:style>
  <w:style w:type="character" w:customStyle="1" w:styleId="61">
    <w:name w:val="标题 4 字符"/>
    <w:link w:val="5"/>
    <w:autoRedefine/>
    <w:qFormat/>
    <w:uiPriority w:val="0"/>
    <w:rPr>
      <w:rFonts w:ascii="宋体" w:hAnsi="宋体" w:eastAsia="宋体" w:cs="宋体"/>
      <w:sz w:val="24"/>
      <w:szCs w:val="24"/>
    </w:rPr>
  </w:style>
  <w:style w:type="character" w:customStyle="1" w:styleId="62">
    <w:name w:val="标题 6 字符"/>
    <w:link w:val="7"/>
    <w:autoRedefine/>
    <w:qFormat/>
    <w:uiPriority w:val="0"/>
    <w:rPr>
      <w:rFonts w:ascii="宋体" w:hAnsi="宋体" w:eastAsia="宋体" w:cs="宋体"/>
      <w:sz w:val="24"/>
      <w:szCs w:val="24"/>
    </w:rPr>
  </w:style>
  <w:style w:type="character" w:customStyle="1" w:styleId="63">
    <w:name w:val="标题 7 字符"/>
    <w:link w:val="8"/>
    <w:autoRedefine/>
    <w:qFormat/>
    <w:uiPriority w:val="0"/>
    <w:rPr>
      <w:rFonts w:ascii="宋体" w:hAnsi="宋体" w:eastAsia="宋体" w:cs="宋体"/>
      <w:sz w:val="24"/>
      <w:szCs w:val="24"/>
    </w:rPr>
  </w:style>
  <w:style w:type="character" w:customStyle="1" w:styleId="64">
    <w:name w:val="标题 8 字符"/>
    <w:link w:val="9"/>
    <w:autoRedefine/>
    <w:qFormat/>
    <w:uiPriority w:val="0"/>
    <w:rPr>
      <w:rFonts w:ascii="Arial" w:hAnsi="Arial" w:eastAsia="黑体"/>
      <w:sz w:val="24"/>
    </w:rPr>
  </w:style>
  <w:style w:type="character" w:customStyle="1" w:styleId="65">
    <w:name w:val="标题 9 字符"/>
    <w:link w:val="10"/>
    <w:autoRedefine/>
    <w:qFormat/>
    <w:uiPriority w:val="0"/>
    <w:rPr>
      <w:rFonts w:ascii="Arial" w:hAnsi="Arial" w:eastAsia="黑体"/>
      <w:sz w:val="21"/>
    </w:rPr>
  </w:style>
  <w:style w:type="paragraph" w:customStyle="1" w:styleId="66">
    <w:name w:val="正文缩进1"/>
    <w:basedOn w:val="1"/>
    <w:link w:val="100"/>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7">
    <w:name w:val="toc 11"/>
    <w:next w:val="1"/>
    <w:autoRedefine/>
    <w:qFormat/>
    <w:uiPriority w:val="0"/>
    <w:pPr>
      <w:wordWrap w:val="0"/>
      <w:jc w:val="both"/>
    </w:pPr>
    <w:rPr>
      <w:rFonts w:ascii="Times New Roman" w:hAnsi="Times New Roman" w:eastAsia="宋体" w:cs="Times New Roman"/>
      <w:sz w:val="21"/>
      <w:szCs w:val="22"/>
      <w:lang w:val="en-US" w:eastAsia="zh-CN" w:bidi="ar-SA"/>
    </w:rPr>
  </w:style>
  <w:style w:type="paragraph" w:customStyle="1" w:styleId="68">
    <w:name w:val="目录 11"/>
    <w:next w:val="1"/>
    <w:autoRedefine/>
    <w:qFormat/>
    <w:uiPriority w:val="0"/>
    <w:pPr>
      <w:wordWrap w:val="0"/>
      <w:jc w:val="both"/>
    </w:pPr>
    <w:rPr>
      <w:rFonts w:ascii="Calibri" w:hAnsi="Calibri" w:eastAsia="宋体" w:cs="Times New Roman"/>
      <w:sz w:val="21"/>
      <w:szCs w:val="22"/>
      <w:lang w:val="en-US" w:eastAsia="zh-CN" w:bidi="ar-SA"/>
    </w:rPr>
  </w:style>
  <w:style w:type="character" w:customStyle="1" w:styleId="69">
    <w:name w:val="标题 1 字符"/>
    <w:link w:val="2"/>
    <w:autoRedefine/>
    <w:qFormat/>
    <w:uiPriority w:val="0"/>
    <w:rPr>
      <w:rFonts w:ascii="宋体" w:hAnsi="宋体" w:eastAsia="宋体" w:cs="宋体"/>
      <w:b/>
      <w:kern w:val="44"/>
      <w:sz w:val="32"/>
      <w:szCs w:val="32"/>
    </w:rPr>
  </w:style>
  <w:style w:type="paragraph" w:customStyle="1" w:styleId="70">
    <w:name w:val="正文首行缩进1"/>
    <w:basedOn w:val="18"/>
    <w:next w:val="18"/>
    <w:autoRedefine/>
    <w:qFormat/>
    <w:uiPriority w:val="99"/>
    <w:pPr>
      <w:tabs>
        <w:tab w:val="left" w:pos="420"/>
      </w:tabs>
      <w:ind w:firstLine="420" w:firstLineChars="100"/>
    </w:pPr>
  </w:style>
  <w:style w:type="character" w:customStyle="1" w:styleId="71">
    <w:name w:val="正文缩进 字符"/>
    <w:link w:val="13"/>
    <w:autoRedefine/>
    <w:qFormat/>
    <w:uiPriority w:val="0"/>
    <w:rPr>
      <w:rFonts w:ascii="宋体" w:eastAsia="宋体"/>
      <w:kern w:val="2"/>
      <w:sz w:val="24"/>
      <w:szCs w:val="24"/>
      <w:lang w:val="en-US" w:eastAsia="zh-CN" w:bidi="ar-SA"/>
    </w:rPr>
  </w:style>
  <w:style w:type="character" w:customStyle="1" w:styleId="72">
    <w:name w:val="文档结构图 字符"/>
    <w:link w:val="15"/>
    <w:autoRedefine/>
    <w:qFormat/>
    <w:uiPriority w:val="0"/>
    <w:rPr>
      <w:kern w:val="2"/>
      <w:sz w:val="21"/>
      <w:szCs w:val="24"/>
      <w:shd w:val="clear" w:color="auto" w:fill="000080"/>
    </w:rPr>
  </w:style>
  <w:style w:type="character" w:customStyle="1" w:styleId="73">
    <w:name w:val="批注文字 字符1"/>
    <w:link w:val="16"/>
    <w:autoRedefine/>
    <w:qFormat/>
    <w:uiPriority w:val="99"/>
    <w:rPr>
      <w:kern w:val="2"/>
      <w:sz w:val="21"/>
      <w:szCs w:val="24"/>
    </w:rPr>
  </w:style>
  <w:style w:type="character" w:customStyle="1" w:styleId="74">
    <w:name w:val="正文文本 3 字符"/>
    <w:link w:val="17"/>
    <w:autoRedefine/>
    <w:qFormat/>
    <w:uiPriority w:val="0"/>
    <w:rPr>
      <w:kern w:val="2"/>
      <w:sz w:val="16"/>
      <w:szCs w:val="16"/>
    </w:rPr>
  </w:style>
  <w:style w:type="character" w:customStyle="1" w:styleId="75">
    <w:name w:val="正文文本 字符"/>
    <w:link w:val="18"/>
    <w:autoRedefine/>
    <w:qFormat/>
    <w:uiPriority w:val="0"/>
    <w:rPr>
      <w:rFonts w:ascii="宋体" w:hAnsi="宋体"/>
      <w:kern w:val="2"/>
      <w:sz w:val="24"/>
      <w:szCs w:val="24"/>
    </w:rPr>
  </w:style>
  <w:style w:type="character" w:customStyle="1" w:styleId="76">
    <w:name w:val="正文文本缩进 字符"/>
    <w:link w:val="19"/>
    <w:autoRedefine/>
    <w:qFormat/>
    <w:uiPriority w:val="0"/>
    <w:rPr>
      <w:rFonts w:eastAsia="宋体"/>
      <w:kern w:val="2"/>
      <w:sz w:val="24"/>
      <w:szCs w:val="24"/>
      <w:lang w:val="en-US" w:eastAsia="zh-CN" w:bidi="ar-SA"/>
    </w:rPr>
  </w:style>
  <w:style w:type="character" w:customStyle="1" w:styleId="77">
    <w:name w:val="纯文本 字符2"/>
    <w:link w:val="24"/>
    <w:autoRedefine/>
    <w:qFormat/>
    <w:uiPriority w:val="0"/>
    <w:rPr>
      <w:rFonts w:hint="eastAsia" w:ascii="宋体" w:hAnsi="Courier New" w:eastAsia="宋体" w:cs="宋体"/>
      <w:kern w:val="2"/>
      <w:sz w:val="21"/>
    </w:rPr>
  </w:style>
  <w:style w:type="character" w:customStyle="1" w:styleId="78">
    <w:name w:val="日期 字符"/>
    <w:link w:val="26"/>
    <w:autoRedefine/>
    <w:qFormat/>
    <w:uiPriority w:val="0"/>
    <w:rPr>
      <w:rFonts w:ascii="仿宋_GB2312" w:hAnsi="宋体" w:eastAsia="仿宋_GB2312"/>
      <w:color w:val="000000"/>
      <w:kern w:val="2"/>
      <w:sz w:val="24"/>
      <w:szCs w:val="24"/>
    </w:rPr>
  </w:style>
  <w:style w:type="character" w:customStyle="1" w:styleId="79">
    <w:name w:val="正文文本缩进 2 字符"/>
    <w:link w:val="27"/>
    <w:autoRedefine/>
    <w:qFormat/>
    <w:uiPriority w:val="0"/>
    <w:rPr>
      <w:rFonts w:ascii="仿宋_GB2312" w:eastAsia="仿宋_GB2312"/>
      <w:kern w:val="2"/>
      <w:sz w:val="24"/>
      <w:szCs w:val="24"/>
    </w:rPr>
  </w:style>
  <w:style w:type="character" w:customStyle="1" w:styleId="80">
    <w:name w:val="批注框文本 字符"/>
    <w:link w:val="28"/>
    <w:autoRedefine/>
    <w:qFormat/>
    <w:uiPriority w:val="0"/>
    <w:rPr>
      <w:kern w:val="2"/>
      <w:sz w:val="18"/>
      <w:szCs w:val="18"/>
    </w:rPr>
  </w:style>
  <w:style w:type="character" w:customStyle="1" w:styleId="81">
    <w:name w:val="页脚 字符"/>
    <w:link w:val="29"/>
    <w:autoRedefine/>
    <w:qFormat/>
    <w:uiPriority w:val="99"/>
    <w:rPr>
      <w:rFonts w:ascii="宋体" w:eastAsia="宋体"/>
      <w:sz w:val="18"/>
      <w:lang w:val="en-US" w:eastAsia="zh-CN" w:bidi="ar-SA"/>
    </w:rPr>
  </w:style>
  <w:style w:type="character" w:customStyle="1" w:styleId="82">
    <w:name w:val="页眉 字符"/>
    <w:link w:val="30"/>
    <w:autoRedefine/>
    <w:qFormat/>
    <w:uiPriority w:val="0"/>
    <w:rPr>
      <w:rFonts w:eastAsia="宋体"/>
      <w:kern w:val="2"/>
      <w:sz w:val="18"/>
      <w:szCs w:val="18"/>
      <w:lang w:val="en-US" w:eastAsia="zh-CN" w:bidi="ar-SA"/>
    </w:rPr>
  </w:style>
  <w:style w:type="character" w:customStyle="1" w:styleId="83">
    <w:name w:val="正文文本缩进 3 字符"/>
    <w:link w:val="35"/>
    <w:autoRedefine/>
    <w:qFormat/>
    <w:uiPriority w:val="0"/>
    <w:rPr>
      <w:rFonts w:ascii="宋体"/>
      <w:sz w:val="24"/>
    </w:rPr>
  </w:style>
  <w:style w:type="character" w:customStyle="1" w:styleId="84">
    <w:name w:val="HTML 预设格式 字符"/>
    <w:link w:val="39"/>
    <w:autoRedefine/>
    <w:qFormat/>
    <w:uiPriority w:val="0"/>
    <w:rPr>
      <w:rFonts w:ascii="宋体" w:hAnsi="宋体" w:cs="宋体"/>
      <w:sz w:val="24"/>
      <w:szCs w:val="24"/>
    </w:rPr>
  </w:style>
  <w:style w:type="character" w:customStyle="1" w:styleId="85">
    <w:name w:val="标题 字符"/>
    <w:link w:val="42"/>
    <w:autoRedefine/>
    <w:qFormat/>
    <w:uiPriority w:val="0"/>
    <w:rPr>
      <w:b/>
      <w:kern w:val="2"/>
      <w:sz w:val="32"/>
    </w:rPr>
  </w:style>
  <w:style w:type="character" w:customStyle="1" w:styleId="86">
    <w:name w:val="批注主题 字符"/>
    <w:link w:val="43"/>
    <w:autoRedefine/>
    <w:qFormat/>
    <w:uiPriority w:val="0"/>
    <w:rPr>
      <w:rFonts w:ascii="Times New Roman" w:hAnsi="Times New Roman" w:eastAsia="宋体" w:cs="Times New Roman"/>
      <w:b/>
      <w:bCs/>
      <w:kern w:val="2"/>
      <w:sz w:val="21"/>
      <w:szCs w:val="24"/>
      <w:lang w:val="en-US" w:eastAsia="zh-CN" w:bidi="ar-SA"/>
    </w:rPr>
  </w:style>
  <w:style w:type="character" w:customStyle="1" w:styleId="87">
    <w:name w:val="正文文本首行缩进 2 字符"/>
    <w:link w:val="45"/>
    <w:autoRedefine/>
    <w:qFormat/>
    <w:uiPriority w:val="0"/>
    <w:rPr>
      <w:rFonts w:eastAsia="宋体"/>
      <w:kern w:val="2"/>
      <w:sz w:val="24"/>
      <w:szCs w:val="24"/>
      <w:lang w:val="en-US" w:eastAsia="zh-CN" w:bidi="ar-SA"/>
    </w:rPr>
  </w:style>
  <w:style w:type="character" w:customStyle="1" w:styleId="88">
    <w:name w:val="批注文字 字符"/>
    <w:autoRedefine/>
    <w:qFormat/>
    <w:uiPriority w:val="99"/>
    <w:rPr>
      <w:rFonts w:ascii="Times New Roman" w:hAnsi="Times New Roman" w:eastAsia="宋体" w:cs="Times New Roman"/>
      <w:sz w:val="24"/>
      <w:lang w:val="en-US" w:eastAsia="zh-CN" w:bidi="ar-SA"/>
    </w:rPr>
  </w:style>
  <w:style w:type="paragraph" w:customStyle="1" w:styleId="89">
    <w:name w:val="正文文本1"/>
    <w:basedOn w:val="1"/>
    <w:autoRedefine/>
    <w:qFormat/>
    <w:uiPriority w:val="0"/>
    <w:pPr>
      <w:widowControl/>
      <w:spacing w:line="360" w:lineRule="auto"/>
    </w:pPr>
    <w:rPr>
      <w:color w:val="FF0000"/>
    </w:rPr>
  </w:style>
  <w:style w:type="character" w:customStyle="1" w:styleId="90">
    <w:name w:val="c21"/>
    <w:autoRedefine/>
    <w:qFormat/>
    <w:uiPriority w:val="0"/>
    <w:rPr>
      <w:rFonts w:hint="default" w:ascii="ˎ̥" w:hAnsi="ˎ̥"/>
      <w:color w:val="000000"/>
      <w:sz w:val="20"/>
      <w:szCs w:val="20"/>
      <w:u w:val="none"/>
    </w:rPr>
  </w:style>
  <w:style w:type="character" w:customStyle="1" w:styleId="91">
    <w:name w:val="title4"/>
    <w:autoRedefine/>
    <w:qFormat/>
    <w:uiPriority w:val="0"/>
    <w:rPr>
      <w:b/>
      <w:bCs/>
      <w:color w:val="1D87B3"/>
      <w:sz w:val="15"/>
      <w:szCs w:val="15"/>
    </w:rPr>
  </w:style>
  <w:style w:type="character" w:customStyle="1" w:styleId="92">
    <w:name w:val="标题 2 Char Char"/>
    <w:autoRedefine/>
    <w:qFormat/>
    <w:uiPriority w:val="0"/>
    <w:rPr>
      <w:rFonts w:ascii="Arial" w:hAnsi="Arial" w:eastAsia="黑体"/>
      <w:b/>
      <w:bCs/>
      <w:kern w:val="2"/>
      <w:sz w:val="32"/>
      <w:szCs w:val="32"/>
      <w:lang w:val="en-US" w:eastAsia="zh-CN" w:bidi="ar-SA"/>
    </w:rPr>
  </w:style>
  <w:style w:type="character" w:customStyle="1" w:styleId="93">
    <w:name w:val="black1"/>
    <w:autoRedefine/>
    <w:qFormat/>
    <w:uiPriority w:val="0"/>
    <w:rPr>
      <w:color w:val="000000"/>
    </w:rPr>
  </w:style>
  <w:style w:type="character" w:customStyle="1" w:styleId="94">
    <w:name w:val="street-address"/>
    <w:autoRedefine/>
    <w:qFormat/>
    <w:uiPriority w:val="0"/>
  </w:style>
  <w:style w:type="character" w:customStyle="1" w:styleId="95">
    <w:name w:val="locality"/>
    <w:autoRedefine/>
    <w:qFormat/>
    <w:uiPriority w:val="0"/>
  </w:style>
  <w:style w:type="character" w:customStyle="1" w:styleId="96">
    <w:name w:val="正文文本缩进 Char1"/>
    <w:link w:val="97"/>
    <w:autoRedefine/>
    <w:qFormat/>
    <w:uiPriority w:val="0"/>
    <w:rPr>
      <w:rFonts w:ascii="宋体" w:hAnsi="宋体" w:eastAsia="宋体"/>
      <w:sz w:val="24"/>
      <w:szCs w:val="24"/>
      <w:lang w:bidi="ar-SA"/>
    </w:rPr>
  </w:style>
  <w:style w:type="paragraph" w:customStyle="1" w:styleId="97">
    <w:name w:val="正文文本缩进1"/>
    <w:basedOn w:val="1"/>
    <w:link w:val="96"/>
    <w:autoRedefine/>
    <w:qFormat/>
    <w:uiPriority w:val="0"/>
    <w:pPr>
      <w:spacing w:line="480" w:lineRule="exact"/>
      <w:ind w:firstLine="480" w:firstLineChars="200"/>
    </w:pPr>
    <w:rPr>
      <w:rFonts w:ascii="宋体" w:hAnsi="宋体"/>
      <w:kern w:val="0"/>
      <w:sz w:val="24"/>
    </w:rPr>
  </w:style>
  <w:style w:type="character" w:customStyle="1" w:styleId="98">
    <w:name w:val="Char Char11"/>
    <w:autoRedefine/>
    <w:qFormat/>
    <w:uiPriority w:val="0"/>
    <w:rPr>
      <w:rFonts w:ascii="宋体" w:eastAsia="宋体"/>
      <w:b/>
      <w:sz w:val="24"/>
      <w:u w:val="single"/>
      <w:lang w:val="en-US" w:eastAsia="zh-CN" w:bidi="ar-SA"/>
    </w:rPr>
  </w:style>
  <w:style w:type="character" w:customStyle="1" w:styleId="99">
    <w:name w:val="txt"/>
    <w:autoRedefine/>
    <w:qFormat/>
    <w:uiPriority w:val="0"/>
  </w:style>
  <w:style w:type="character" w:customStyle="1" w:styleId="100">
    <w:name w:val="正文缩进 Char Char"/>
    <w:link w:val="66"/>
    <w:autoRedefine/>
    <w:qFormat/>
    <w:uiPriority w:val="0"/>
    <w:rPr>
      <w:rFonts w:ascii="宋体" w:eastAsia="宋体"/>
      <w:snapToGrid w:val="0"/>
      <w:color w:val="000000"/>
      <w:kern w:val="28"/>
      <w:sz w:val="28"/>
      <w:lang w:bidi="ar-SA"/>
    </w:rPr>
  </w:style>
  <w:style w:type="character" w:customStyle="1" w:styleId="101">
    <w:name w:val="普通文字1 Char1"/>
    <w:autoRedefine/>
    <w:qFormat/>
    <w:uiPriority w:val="0"/>
    <w:rPr>
      <w:rFonts w:ascii="宋体" w:hAnsi="Courier New" w:eastAsia="宋体"/>
      <w:kern w:val="2"/>
      <w:sz w:val="21"/>
      <w:lang w:val="en-US" w:eastAsia="zh-CN" w:bidi="ar-SA"/>
    </w:rPr>
  </w:style>
  <w:style w:type="character" w:customStyle="1" w:styleId="102">
    <w:name w:val="chanpin1"/>
    <w:autoRedefine/>
    <w:qFormat/>
    <w:uiPriority w:val="0"/>
    <w:rPr>
      <w:rFonts w:hint="default" w:ascii="ˎ̥" w:hAnsi="ˎ̥"/>
      <w:color w:val="000000"/>
      <w:sz w:val="20"/>
      <w:szCs w:val="20"/>
      <w:u w:val="none"/>
    </w:rPr>
  </w:style>
  <w:style w:type="character" w:customStyle="1" w:styleId="103">
    <w:name w:val="列表段落 字符"/>
    <w:link w:val="104"/>
    <w:autoRedefine/>
    <w:qFormat/>
    <w:uiPriority w:val="34"/>
    <w:rPr>
      <w:rFonts w:ascii="Calibri" w:hAnsi="Calibri" w:eastAsia="宋体"/>
      <w:kern w:val="2"/>
      <w:sz w:val="21"/>
      <w:szCs w:val="22"/>
      <w:lang w:val="en-US" w:eastAsia="zh-CN" w:bidi="ar-SA"/>
    </w:rPr>
  </w:style>
  <w:style w:type="paragraph" w:styleId="104">
    <w:name w:val="List Paragraph"/>
    <w:basedOn w:val="1"/>
    <w:link w:val="103"/>
    <w:autoRedefine/>
    <w:qFormat/>
    <w:uiPriority w:val="34"/>
    <w:pPr>
      <w:ind w:firstLine="420" w:firstLineChars="200"/>
    </w:pPr>
    <w:rPr>
      <w:rFonts w:ascii="Calibri" w:hAnsi="Calibri"/>
      <w:szCs w:val="22"/>
    </w:rPr>
  </w:style>
  <w:style w:type="character" w:customStyle="1" w:styleId="105">
    <w:name w:val="标题 3 Char Char"/>
    <w:autoRedefine/>
    <w:qFormat/>
    <w:uiPriority w:val="0"/>
    <w:rPr>
      <w:rFonts w:eastAsia="宋体"/>
      <w:b/>
      <w:bCs/>
      <w:kern w:val="2"/>
      <w:sz w:val="32"/>
      <w:szCs w:val="32"/>
      <w:lang w:val="en-US" w:eastAsia="zh-CN" w:bidi="ar-SA"/>
    </w:rPr>
  </w:style>
  <w:style w:type="character" w:customStyle="1" w:styleId="106">
    <w:name w:val="段1 Char"/>
    <w:autoRedefine/>
    <w:qFormat/>
    <w:uiPriority w:val="0"/>
    <w:rPr>
      <w:rFonts w:ascii="宋体" w:eastAsia="宋体"/>
      <w:sz w:val="24"/>
      <w:lang w:val="en-US" w:eastAsia="zh-CN" w:bidi="ar-SA"/>
    </w:rPr>
  </w:style>
  <w:style w:type="character" w:customStyle="1" w:styleId="107">
    <w:name w:val="chanpin拷贝"/>
    <w:autoRedefine/>
    <w:qFormat/>
    <w:uiPriority w:val="0"/>
  </w:style>
  <w:style w:type="character" w:customStyle="1" w:styleId="108">
    <w:name w:val="纯文本 Char1"/>
    <w:autoRedefine/>
    <w:qFormat/>
    <w:uiPriority w:val="0"/>
    <w:rPr>
      <w:rFonts w:ascii="宋体" w:hAnsi="Courier New" w:eastAsia="宋体"/>
      <w:kern w:val="2"/>
      <w:sz w:val="21"/>
      <w:lang w:val="en-US" w:eastAsia="zh-CN" w:bidi="ar-SA"/>
    </w:rPr>
  </w:style>
  <w:style w:type="character" w:customStyle="1" w:styleId="109">
    <w:name w:val="apple-style-span"/>
    <w:autoRedefine/>
    <w:qFormat/>
    <w:uiPriority w:val="0"/>
    <w:rPr>
      <w:rFonts w:cs="Times New Roman"/>
    </w:rPr>
  </w:style>
  <w:style w:type="paragraph" w:customStyle="1" w:styleId="110">
    <w:name w:val="二级条标题"/>
    <w:basedOn w:val="111"/>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11">
    <w:name w:val="一级条标题"/>
    <w:basedOn w:val="112"/>
    <w:next w:val="1"/>
    <w:autoRedefine/>
    <w:qFormat/>
    <w:uiPriority w:val="0"/>
    <w:pPr>
      <w:numPr>
        <w:ilvl w:val="1"/>
      </w:numPr>
      <w:tabs>
        <w:tab w:val="left" w:pos="360"/>
        <w:tab w:val="left" w:pos="840"/>
      </w:tabs>
      <w:ind w:left="0" w:hanging="840"/>
      <w:outlineLvl w:val="1"/>
    </w:pPr>
  </w:style>
  <w:style w:type="paragraph" w:customStyle="1" w:styleId="112">
    <w:name w:val="章标题"/>
    <w:next w:val="1"/>
    <w:autoRedefine/>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3">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4">
    <w:name w:val="字元 字元"/>
    <w:basedOn w:val="1"/>
    <w:autoRedefine/>
    <w:qFormat/>
    <w:uiPriority w:val="0"/>
    <w:rPr>
      <w:rFonts w:ascii="Tahoma" w:hAnsi="Tahoma"/>
      <w:sz w:val="24"/>
      <w:szCs w:val="20"/>
    </w:rPr>
  </w:style>
  <w:style w:type="paragraph" w:customStyle="1" w:styleId="115">
    <w:name w:val="Char3 Char Char Char"/>
    <w:basedOn w:val="1"/>
    <w:autoRedefine/>
    <w:qFormat/>
    <w:uiPriority w:val="0"/>
    <w:rPr>
      <w:rFonts w:ascii="Tahoma" w:hAnsi="Tahoma"/>
      <w:sz w:val="24"/>
      <w:szCs w:val="20"/>
    </w:rPr>
  </w:style>
  <w:style w:type="paragraph" w:customStyle="1" w:styleId="116">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7">
    <w:name w:val="项目编号2"/>
    <w:basedOn w:val="118"/>
    <w:autoRedefine/>
    <w:qFormat/>
    <w:uiPriority w:val="0"/>
    <w:pPr>
      <w:numPr>
        <w:numId w:val="3"/>
      </w:numPr>
    </w:pPr>
  </w:style>
  <w:style w:type="paragraph" w:customStyle="1" w:styleId="118">
    <w:name w:val="项目编号1"/>
    <w:basedOn w:val="1"/>
    <w:autoRedefine/>
    <w:qFormat/>
    <w:uiPriority w:val="0"/>
    <w:pPr>
      <w:numPr>
        <w:ilvl w:val="0"/>
        <w:numId w:val="4"/>
      </w:numPr>
      <w:spacing w:before="100" w:beforeAutospacing="1" w:after="100" w:afterAutospacing="1" w:line="360" w:lineRule="auto"/>
    </w:pPr>
    <w:rPr>
      <w:sz w:val="24"/>
    </w:rPr>
  </w:style>
  <w:style w:type="paragraph" w:customStyle="1" w:styleId="119">
    <w:name w:val="图中文字"/>
    <w:basedOn w:val="1"/>
    <w:autoRedefine/>
    <w:qFormat/>
    <w:uiPriority w:val="0"/>
    <w:pPr>
      <w:adjustRightInd w:val="0"/>
      <w:snapToGrid w:val="0"/>
      <w:spacing w:line="0" w:lineRule="atLeast"/>
      <w:jc w:val="center"/>
    </w:pPr>
    <w:rPr>
      <w:sz w:val="24"/>
      <w:szCs w:val="20"/>
    </w:rPr>
  </w:style>
  <w:style w:type="paragraph" w:customStyle="1" w:styleId="120">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2">
    <w:name w:val="Char2"/>
    <w:basedOn w:val="1"/>
    <w:autoRedefine/>
    <w:qFormat/>
    <w:uiPriority w:val="0"/>
    <w:rPr>
      <w:rFonts w:ascii="Tahoma" w:hAnsi="Tahoma"/>
      <w:sz w:val="24"/>
      <w:szCs w:val="20"/>
    </w:rPr>
  </w:style>
  <w:style w:type="paragraph" w:customStyle="1" w:styleId="123">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6">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8">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9">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0">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2">
    <w:name w:val="正文列项_数字"/>
    <w:basedOn w:val="1"/>
    <w:autoRedefine/>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4">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6">
    <w:name w:val="font8"/>
    <w:basedOn w:val="1"/>
    <w:autoRedefine/>
    <w:qFormat/>
    <w:uiPriority w:val="0"/>
    <w:pPr>
      <w:widowControl/>
      <w:spacing w:before="100" w:beforeAutospacing="1" w:after="100" w:afterAutospacing="1"/>
      <w:jc w:val="left"/>
    </w:pPr>
    <w:rPr>
      <w:kern w:val="0"/>
      <w:sz w:val="36"/>
      <w:szCs w:val="36"/>
    </w:rPr>
  </w:style>
  <w:style w:type="paragraph" w:customStyle="1" w:styleId="137">
    <w:name w:val="Char"/>
    <w:basedOn w:val="1"/>
    <w:autoRedefine/>
    <w:qFormat/>
    <w:uiPriority w:val="0"/>
    <w:pPr>
      <w:tabs>
        <w:tab w:val="left" w:pos="360"/>
      </w:tabs>
    </w:pPr>
    <w:rPr>
      <w:sz w:val="24"/>
    </w:rPr>
  </w:style>
  <w:style w:type="paragraph" w:customStyle="1" w:styleId="138">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9">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0">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1">
    <w:name w:val="Char Char1"/>
    <w:basedOn w:val="15"/>
    <w:autoRedefine/>
    <w:qFormat/>
    <w:uiPriority w:val="0"/>
    <w:rPr>
      <w:rFonts w:ascii="Tahoma" w:hAnsi="Tahoma"/>
      <w:sz w:val="24"/>
    </w:rPr>
  </w:style>
  <w:style w:type="paragraph" w:customStyle="1" w:styleId="14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4">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5">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6">
    <w:name w:val="Char1 Char Char Char1"/>
    <w:basedOn w:val="1"/>
    <w:autoRedefine/>
    <w:qFormat/>
    <w:uiPriority w:val="0"/>
    <w:rPr>
      <w:rFonts w:ascii="Tahoma" w:hAnsi="Tahoma" w:cs="仿宋_GB2312"/>
      <w:sz w:val="24"/>
      <w:szCs w:val="28"/>
    </w:rPr>
  </w:style>
  <w:style w:type="paragraph" w:customStyle="1" w:styleId="147">
    <w:name w:val="四级条标题"/>
    <w:basedOn w:val="148"/>
    <w:next w:val="1"/>
    <w:autoRedefine/>
    <w:qFormat/>
    <w:uiPriority w:val="0"/>
    <w:pPr>
      <w:numPr>
        <w:ilvl w:val="4"/>
      </w:numPr>
      <w:tabs>
        <w:tab w:val="left" w:pos="360"/>
        <w:tab w:val="left" w:pos="840"/>
      </w:tabs>
      <w:ind w:left="0" w:hanging="840"/>
      <w:outlineLvl w:val="4"/>
    </w:pPr>
  </w:style>
  <w:style w:type="paragraph" w:customStyle="1" w:styleId="148">
    <w:name w:val="三级条标题"/>
    <w:basedOn w:val="110"/>
    <w:next w:val="1"/>
    <w:autoRedefine/>
    <w:qFormat/>
    <w:uiPriority w:val="0"/>
    <w:pPr>
      <w:numPr>
        <w:ilvl w:val="3"/>
        <w:numId w:val="2"/>
      </w:numPr>
      <w:ind w:left="0" w:hanging="840"/>
      <w:outlineLvl w:val="3"/>
    </w:pPr>
  </w:style>
  <w:style w:type="paragraph" w:customStyle="1" w:styleId="149">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0">
    <w:name w:val="样式 标题 2 + 宋体 五号 行距: 单倍行距"/>
    <w:basedOn w:val="3"/>
    <w:autoRedefine/>
    <w:qFormat/>
    <w:uiPriority w:val="0"/>
    <w:pPr>
      <w:numPr>
        <w:numId w:val="5"/>
      </w:numPr>
      <w:tabs>
        <w:tab w:val="left" w:pos="1188"/>
        <w:tab w:val="clear" w:pos="0"/>
      </w:tabs>
      <w:autoSpaceDE/>
      <w:autoSpaceDN/>
      <w:spacing w:before="260" w:after="260" w:line="240" w:lineRule="auto"/>
      <w:textAlignment w:val="baseline"/>
    </w:pPr>
    <w:rPr>
      <w:sz w:val="21"/>
    </w:rPr>
  </w:style>
  <w:style w:type="paragraph" w:customStyle="1" w:styleId="151">
    <w:name w:val="List Paragraph1"/>
    <w:basedOn w:val="1"/>
    <w:autoRedefine/>
    <w:qFormat/>
    <w:uiPriority w:val="0"/>
    <w:pPr>
      <w:ind w:firstLine="420" w:firstLineChars="200"/>
    </w:pPr>
    <w:rPr>
      <w:rFonts w:ascii="Calibri" w:hAnsi="Calibri"/>
      <w:szCs w:val="22"/>
    </w:rPr>
  </w:style>
  <w:style w:type="paragraph" w:customStyle="1" w:styleId="152">
    <w:name w:val="项目符号1"/>
    <w:basedOn w:val="153"/>
    <w:autoRedefine/>
    <w:qFormat/>
    <w:uiPriority w:val="0"/>
    <w:pPr>
      <w:ind w:left="-25" w:firstLine="0"/>
    </w:pPr>
  </w:style>
  <w:style w:type="paragraph" w:customStyle="1" w:styleId="153">
    <w:name w:val="正文文本样式"/>
    <w:basedOn w:val="1"/>
    <w:autoRedefine/>
    <w:qFormat/>
    <w:uiPriority w:val="0"/>
    <w:pPr>
      <w:spacing w:line="360" w:lineRule="auto"/>
      <w:ind w:firstLine="482"/>
    </w:pPr>
    <w:rPr>
      <w:rFonts w:cs="宋体"/>
      <w:sz w:val="24"/>
      <w:szCs w:val="20"/>
    </w:rPr>
  </w:style>
  <w:style w:type="paragraph" w:customStyle="1" w:styleId="154">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6">
    <w:name w:val="五级条标题"/>
    <w:basedOn w:val="147"/>
    <w:next w:val="1"/>
    <w:autoRedefine/>
    <w:qFormat/>
    <w:uiPriority w:val="0"/>
    <w:pPr>
      <w:numPr>
        <w:ilvl w:val="5"/>
      </w:numPr>
      <w:ind w:left="0" w:hanging="840"/>
      <w:outlineLvl w:val="5"/>
    </w:pPr>
  </w:style>
  <w:style w:type="paragraph" w:customStyle="1" w:styleId="157">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8">
    <w:name w:val="文档正文"/>
    <w:basedOn w:val="1"/>
    <w:autoRedefine/>
    <w:qFormat/>
    <w:uiPriority w:val="0"/>
    <w:pPr>
      <w:snapToGrid w:val="0"/>
      <w:spacing w:before="120" w:after="120" w:line="180" w:lineRule="auto"/>
    </w:pPr>
    <w:rPr>
      <w:rFonts w:ascii="Arial" w:hAnsi="Arial"/>
      <w:szCs w:val="20"/>
    </w:rPr>
  </w:style>
  <w:style w:type="paragraph" w:customStyle="1" w:styleId="15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0">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1">
    <w:name w:val="Char Char Char1 Char"/>
    <w:basedOn w:val="1"/>
    <w:autoRedefine/>
    <w:qFormat/>
    <w:uiPriority w:val="0"/>
    <w:rPr>
      <w:rFonts w:ascii="Tahoma" w:hAnsi="Tahoma"/>
      <w:sz w:val="24"/>
      <w:szCs w:val="20"/>
    </w:rPr>
  </w:style>
  <w:style w:type="paragraph" w:customStyle="1" w:styleId="162">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3">
    <w:name w:val="1名"/>
    <w:basedOn w:val="1"/>
    <w:autoRedefine/>
    <w:qFormat/>
    <w:uiPriority w:val="0"/>
    <w:pPr>
      <w:numPr>
        <w:ilvl w:val="0"/>
        <w:numId w:val="6"/>
      </w:numPr>
      <w:spacing w:before="120"/>
    </w:pPr>
    <w:rPr>
      <w:rFonts w:ascii="宋体"/>
      <w:sz w:val="28"/>
      <w:szCs w:val="20"/>
    </w:rPr>
  </w:style>
  <w:style w:type="paragraph" w:customStyle="1" w:styleId="164">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5">
    <w:name w:val="Char Char Char1 Char1"/>
    <w:basedOn w:val="1"/>
    <w:autoRedefine/>
    <w:qFormat/>
    <w:uiPriority w:val="0"/>
    <w:rPr>
      <w:rFonts w:ascii="Tahoma" w:hAnsi="Tahoma"/>
      <w:sz w:val="24"/>
      <w:szCs w:val="20"/>
    </w:rPr>
  </w:style>
  <w:style w:type="paragraph" w:customStyle="1" w:styleId="166">
    <w:name w:val="Char Char Char Char Char Char Char Char Char Char"/>
    <w:basedOn w:val="1"/>
    <w:autoRedefine/>
    <w:qFormat/>
    <w:uiPriority w:val="0"/>
  </w:style>
  <w:style w:type="paragraph" w:customStyle="1" w:styleId="167">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8">
    <w:name w:val="Char1"/>
    <w:basedOn w:val="1"/>
    <w:autoRedefine/>
    <w:qFormat/>
    <w:uiPriority w:val="0"/>
    <w:pPr>
      <w:tabs>
        <w:tab w:val="left" w:pos="360"/>
      </w:tabs>
    </w:pPr>
    <w:rPr>
      <w:sz w:val="24"/>
    </w:rPr>
  </w:style>
  <w:style w:type="paragraph" w:customStyle="1" w:styleId="169">
    <w:name w:val="正文列项_字母"/>
    <w:basedOn w:val="1"/>
    <w:autoRedefine/>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1">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2">
    <w:name w:val="默认段落字体 Para Char Char Char Char"/>
    <w:basedOn w:val="1"/>
    <w:autoRedefine/>
    <w:qFormat/>
    <w:uiPriority w:val="0"/>
    <w:rPr>
      <w:rFonts w:ascii="Arial" w:hAnsi="Arial" w:cs="Arial"/>
      <w:szCs w:val="21"/>
    </w:rPr>
  </w:style>
  <w:style w:type="paragraph" w:customStyle="1" w:styleId="173">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5">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6">
    <w:name w:val="Char Char Char"/>
    <w:basedOn w:val="1"/>
    <w:autoRedefine/>
    <w:qFormat/>
    <w:uiPriority w:val="0"/>
    <w:rPr>
      <w:rFonts w:ascii="Tahoma" w:hAnsi="Tahoma"/>
      <w:sz w:val="24"/>
      <w:szCs w:val="20"/>
    </w:rPr>
  </w:style>
  <w:style w:type="paragraph" w:customStyle="1" w:styleId="177">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8">
    <w:name w:val="缺省文本"/>
    <w:basedOn w:val="1"/>
    <w:autoRedefine/>
    <w:qFormat/>
    <w:uiPriority w:val="0"/>
    <w:pPr>
      <w:autoSpaceDE w:val="0"/>
      <w:autoSpaceDN w:val="0"/>
      <w:adjustRightInd w:val="0"/>
      <w:jc w:val="left"/>
    </w:pPr>
    <w:rPr>
      <w:kern w:val="0"/>
      <w:sz w:val="24"/>
    </w:rPr>
  </w:style>
  <w:style w:type="paragraph" w:customStyle="1" w:styleId="179">
    <w:name w:val="Char Char Char1"/>
    <w:basedOn w:val="1"/>
    <w:autoRedefine/>
    <w:qFormat/>
    <w:uiPriority w:val="0"/>
    <w:rPr>
      <w:rFonts w:ascii="Tahoma" w:hAnsi="Tahoma"/>
      <w:sz w:val="24"/>
      <w:szCs w:val="20"/>
    </w:rPr>
  </w:style>
  <w:style w:type="paragraph" w:customStyle="1" w:styleId="180">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81">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2">
    <w:name w:val="样式2"/>
    <w:basedOn w:val="41"/>
    <w:autoRedefine/>
    <w:qFormat/>
    <w:uiPriority w:val="0"/>
    <w:pPr>
      <w:spacing w:line="360" w:lineRule="auto"/>
      <w:jc w:val="center"/>
    </w:pPr>
    <w:rPr>
      <w:sz w:val="24"/>
    </w:rPr>
  </w:style>
  <w:style w:type="paragraph" w:customStyle="1" w:styleId="18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4">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5">
    <w:name w:val="正文 + 楷体_GB2312"/>
    <w:basedOn w:val="1"/>
    <w:autoRedefine/>
    <w:qFormat/>
    <w:uiPriority w:val="0"/>
    <w:pPr>
      <w:widowControl/>
      <w:jc w:val="left"/>
    </w:pPr>
    <w:rPr>
      <w:rFonts w:ascii="楷体_GB2312" w:eastAsia="楷体_GB2312" w:cs="Arial"/>
      <w:kern w:val="0"/>
      <w:sz w:val="24"/>
    </w:rPr>
  </w:style>
  <w:style w:type="paragraph" w:customStyle="1" w:styleId="18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7">
    <w:name w:val="1 Char Char Char Char"/>
    <w:basedOn w:val="1"/>
    <w:autoRedefine/>
    <w:qFormat/>
    <w:uiPriority w:val="0"/>
    <w:rPr>
      <w:rFonts w:ascii="Tahoma" w:hAnsi="Tahoma"/>
      <w:sz w:val="24"/>
      <w:szCs w:val="20"/>
    </w:rPr>
  </w:style>
  <w:style w:type="paragraph" w:customStyle="1" w:styleId="188">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9">
    <w:name w:val="列出段落1"/>
    <w:basedOn w:val="1"/>
    <w:autoRedefine/>
    <w:qFormat/>
    <w:uiPriority w:val="0"/>
    <w:pPr>
      <w:ind w:firstLine="420" w:firstLineChars="200"/>
    </w:pPr>
    <w:rPr>
      <w:rFonts w:ascii="Calibri" w:hAnsi="Calibri"/>
      <w:szCs w:val="22"/>
    </w:rPr>
  </w:style>
  <w:style w:type="paragraph" w:customStyle="1" w:styleId="190">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1">
    <w:name w:val="字元 字元1"/>
    <w:basedOn w:val="1"/>
    <w:autoRedefine/>
    <w:qFormat/>
    <w:uiPriority w:val="0"/>
    <w:rPr>
      <w:rFonts w:ascii="Tahoma" w:hAnsi="Tahoma"/>
      <w:sz w:val="24"/>
      <w:szCs w:val="20"/>
    </w:rPr>
  </w:style>
  <w:style w:type="paragraph" w:customStyle="1" w:styleId="192">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3">
    <w:name w:val="项目编号3"/>
    <w:basedOn w:val="153"/>
    <w:autoRedefine/>
    <w:qFormat/>
    <w:uiPriority w:val="0"/>
    <w:pPr>
      <w:numPr>
        <w:ilvl w:val="0"/>
        <w:numId w:val="7"/>
      </w:numPr>
    </w:pPr>
  </w:style>
  <w:style w:type="paragraph" w:customStyle="1" w:styleId="194">
    <w:name w:val="Char21"/>
    <w:basedOn w:val="1"/>
    <w:autoRedefine/>
    <w:qFormat/>
    <w:uiPriority w:val="0"/>
    <w:rPr>
      <w:rFonts w:ascii="Tahoma" w:hAnsi="Tahoma"/>
      <w:sz w:val="24"/>
      <w:szCs w:val="20"/>
    </w:rPr>
  </w:style>
  <w:style w:type="paragraph" w:customStyle="1" w:styleId="195">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196">
    <w:name w:val="Char Char Char Char Char Char Char Char Char Char1"/>
    <w:basedOn w:val="1"/>
    <w:autoRedefine/>
    <w:qFormat/>
    <w:uiPriority w:val="0"/>
    <w:rPr>
      <w:rFonts w:ascii="宋体" w:hAnsi="宋体" w:cs="Courier New"/>
      <w:sz w:val="32"/>
      <w:szCs w:val="32"/>
    </w:rPr>
  </w:style>
  <w:style w:type="paragraph" w:customStyle="1" w:styleId="197">
    <w:name w:val="正文文本样式 加粗"/>
    <w:basedOn w:val="153"/>
    <w:autoRedefine/>
    <w:qFormat/>
    <w:uiPriority w:val="0"/>
    <w:rPr>
      <w:b/>
    </w:rPr>
  </w:style>
  <w:style w:type="paragraph" w:customStyle="1" w:styleId="198">
    <w:name w:val="Char2 Char Char Char Char Char Char"/>
    <w:basedOn w:val="1"/>
    <w:autoRedefine/>
    <w:qFormat/>
    <w:uiPriority w:val="0"/>
    <w:pPr>
      <w:widowControl/>
      <w:spacing w:line="400" w:lineRule="exact"/>
      <w:jc w:val="center"/>
    </w:pPr>
  </w:style>
  <w:style w:type="paragraph" w:customStyle="1" w:styleId="199">
    <w:name w:val="Char Char4"/>
    <w:basedOn w:val="1"/>
    <w:autoRedefine/>
    <w:qFormat/>
    <w:uiPriority w:val="0"/>
    <w:pPr>
      <w:widowControl/>
      <w:spacing w:line="400" w:lineRule="exact"/>
      <w:jc w:val="center"/>
    </w:pPr>
  </w:style>
  <w:style w:type="paragraph" w:customStyle="1" w:styleId="200">
    <w:name w:val="Char3 Char Char Char1"/>
    <w:basedOn w:val="1"/>
    <w:autoRedefine/>
    <w:qFormat/>
    <w:uiPriority w:val="0"/>
    <w:rPr>
      <w:rFonts w:ascii="Tahoma" w:hAnsi="Tahoma"/>
      <w:sz w:val="24"/>
      <w:szCs w:val="20"/>
    </w:rPr>
  </w:style>
  <w:style w:type="paragraph" w:styleId="20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3">
    <w:name w:val="中等深浅网格 1 - 强调文字颜色 2 Char"/>
    <w:link w:val="204"/>
    <w:autoRedefine/>
    <w:qFormat/>
    <w:uiPriority w:val="0"/>
    <w:rPr>
      <w:kern w:val="2"/>
      <w:sz w:val="21"/>
      <w:szCs w:val="24"/>
      <w:lang w:val="zh-CN" w:eastAsia="zh-CN"/>
    </w:rPr>
  </w:style>
  <w:style w:type="paragraph" w:customStyle="1" w:styleId="204">
    <w:name w:val="1"/>
    <w:link w:val="203"/>
    <w:autoRedefine/>
    <w:qFormat/>
    <w:uiPriority w:val="0"/>
    <w:rPr>
      <w:rFonts w:ascii="Times New Roman" w:hAnsi="Times New Roman" w:eastAsia="宋体" w:cs="Times New Roman"/>
      <w:kern w:val="2"/>
      <w:sz w:val="21"/>
      <w:szCs w:val="24"/>
      <w:lang w:val="zh-CN" w:eastAsia="zh-CN" w:bidi="ar-SA"/>
    </w:rPr>
  </w:style>
  <w:style w:type="paragraph" w:customStyle="1" w:styleId="205">
    <w:name w:val="图文"/>
    <w:basedOn w:val="1"/>
    <w:autoRedefine/>
    <w:qFormat/>
    <w:uiPriority w:val="0"/>
    <w:pPr>
      <w:adjustRightInd w:val="0"/>
      <w:snapToGrid w:val="0"/>
      <w:spacing w:after="50" w:line="360" w:lineRule="auto"/>
    </w:pPr>
    <w:rPr>
      <w:sz w:val="24"/>
    </w:rPr>
  </w:style>
  <w:style w:type="paragraph" w:customStyle="1" w:styleId="206">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7">
    <w:name w:val="正文表格"/>
    <w:basedOn w:val="1"/>
    <w:link w:val="208"/>
    <w:autoRedefine/>
    <w:qFormat/>
    <w:uiPriority w:val="0"/>
    <w:pPr>
      <w:adjustRightInd w:val="0"/>
      <w:snapToGrid w:val="0"/>
      <w:jc w:val="left"/>
    </w:pPr>
    <w:rPr>
      <w:rFonts w:ascii="宋体" w:hAnsi="宋体"/>
      <w:color w:val="000000"/>
      <w:szCs w:val="21"/>
    </w:rPr>
  </w:style>
  <w:style w:type="character" w:customStyle="1" w:styleId="208">
    <w:name w:val="正文表格 Char"/>
    <w:link w:val="207"/>
    <w:autoRedefine/>
    <w:qFormat/>
    <w:uiPriority w:val="0"/>
    <w:rPr>
      <w:rFonts w:ascii="宋体" w:hAnsi="宋体"/>
      <w:color w:val="000000"/>
      <w:kern w:val="2"/>
      <w:sz w:val="21"/>
      <w:szCs w:val="21"/>
    </w:rPr>
  </w:style>
  <w:style w:type="paragraph" w:customStyle="1" w:styleId="209">
    <w:name w:val="正文重点"/>
    <w:basedOn w:val="1"/>
    <w:link w:val="210"/>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10">
    <w:name w:val="正文重点 Char"/>
    <w:link w:val="209"/>
    <w:autoRedefine/>
    <w:qFormat/>
    <w:uiPriority w:val="0"/>
    <w:rPr>
      <w:b/>
      <w:sz w:val="24"/>
    </w:rPr>
  </w:style>
  <w:style w:type="paragraph" w:customStyle="1" w:styleId="211">
    <w:name w:val="标题1-附件"/>
    <w:basedOn w:val="2"/>
    <w:autoRedefine/>
    <w:qFormat/>
    <w:uiPriority w:val="0"/>
    <w:pPr>
      <w:jc w:val="left"/>
    </w:pPr>
    <w:rPr>
      <w:sz w:val="24"/>
      <w:szCs w:val="24"/>
    </w:rPr>
  </w:style>
  <w:style w:type="paragraph" w:customStyle="1" w:styleId="212">
    <w:name w:val="正文小标题"/>
    <w:basedOn w:val="1"/>
    <w:next w:val="13"/>
    <w:link w:val="213"/>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3">
    <w:name w:val="正文小标题 Char"/>
    <w:link w:val="212"/>
    <w:autoRedefine/>
    <w:qFormat/>
    <w:uiPriority w:val="0"/>
    <w:rPr>
      <w:rFonts w:ascii="宋体" w:hAnsi="宋体"/>
      <w:b/>
      <w:i/>
      <w:color w:val="FF0000"/>
      <w:kern w:val="2"/>
      <w:sz w:val="24"/>
    </w:rPr>
  </w:style>
  <w:style w:type="paragraph" w:customStyle="1" w:styleId="214">
    <w:name w:val="正文大标题"/>
    <w:basedOn w:val="212"/>
    <w:next w:val="13"/>
    <w:link w:val="215"/>
    <w:autoRedefine/>
    <w:qFormat/>
    <w:uiPriority w:val="0"/>
    <w:pPr>
      <w:jc w:val="center"/>
    </w:pPr>
    <w:rPr>
      <w:i w:val="0"/>
      <w:color w:val="000000"/>
      <w:sz w:val="28"/>
      <w:szCs w:val="21"/>
    </w:rPr>
  </w:style>
  <w:style w:type="character" w:customStyle="1" w:styleId="215">
    <w:name w:val="正文大标题 Char"/>
    <w:link w:val="214"/>
    <w:autoRedefine/>
    <w:qFormat/>
    <w:uiPriority w:val="0"/>
    <w:rPr>
      <w:rFonts w:ascii="宋体" w:hAnsi="宋体"/>
      <w:b/>
      <w:color w:val="000000"/>
      <w:kern w:val="2"/>
      <w:sz w:val="28"/>
      <w:szCs w:val="21"/>
    </w:rPr>
  </w:style>
  <w:style w:type="paragraph" w:customStyle="1" w:styleId="216">
    <w:name w:val="注释"/>
    <w:basedOn w:val="1"/>
    <w:link w:val="217"/>
    <w:autoRedefine/>
    <w:qFormat/>
    <w:uiPriority w:val="0"/>
    <w:pPr>
      <w:adjustRightInd w:val="0"/>
      <w:snapToGrid w:val="0"/>
      <w:ind w:left="420" w:hanging="420" w:hangingChars="200"/>
      <w:jc w:val="left"/>
    </w:pPr>
    <w:rPr>
      <w:rFonts w:ascii="宋体" w:hAnsi="宋体"/>
      <w:szCs w:val="21"/>
    </w:rPr>
  </w:style>
  <w:style w:type="character" w:customStyle="1" w:styleId="217">
    <w:name w:val="注释 Char"/>
    <w:link w:val="216"/>
    <w:autoRedefine/>
    <w:qFormat/>
    <w:uiPriority w:val="0"/>
    <w:rPr>
      <w:rFonts w:ascii="宋体" w:hAnsi="宋体"/>
      <w:kern w:val="2"/>
      <w:sz w:val="21"/>
      <w:szCs w:val="21"/>
    </w:rPr>
  </w:style>
  <w:style w:type="paragraph" w:customStyle="1" w:styleId="218">
    <w:name w:val="正文须知-1级"/>
    <w:basedOn w:val="1"/>
    <w:next w:val="1"/>
    <w:autoRedefine/>
    <w:qFormat/>
    <w:uiPriority w:val="0"/>
    <w:pPr>
      <w:numPr>
        <w:ilvl w:val="0"/>
        <w:numId w:val="8"/>
      </w:numPr>
      <w:adjustRightInd w:val="0"/>
      <w:snapToGrid w:val="0"/>
      <w:spacing w:line="300" w:lineRule="auto"/>
    </w:pPr>
    <w:rPr>
      <w:rFonts w:ascii="宋体" w:hAnsi="Calibri"/>
      <w:sz w:val="24"/>
      <w:szCs w:val="21"/>
    </w:rPr>
  </w:style>
  <w:style w:type="paragraph" w:customStyle="1" w:styleId="219">
    <w:name w:val="正文须知-2级"/>
    <w:basedOn w:val="1"/>
    <w:autoRedefine/>
    <w:qFormat/>
    <w:uiPriority w:val="0"/>
    <w:pPr>
      <w:numPr>
        <w:ilvl w:val="1"/>
        <w:numId w:val="8"/>
      </w:numPr>
      <w:adjustRightInd w:val="0"/>
      <w:snapToGrid w:val="0"/>
      <w:spacing w:line="300" w:lineRule="auto"/>
    </w:pPr>
    <w:rPr>
      <w:rFonts w:ascii="宋体" w:hAnsi="Calibri"/>
      <w:sz w:val="24"/>
      <w:szCs w:val="21"/>
    </w:rPr>
  </w:style>
  <w:style w:type="paragraph" w:customStyle="1" w:styleId="220">
    <w:name w:val="正文须知-3级"/>
    <w:basedOn w:val="1"/>
    <w:autoRedefine/>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221">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22">
    <w:name w:val="表格1"/>
    <w:basedOn w:val="1"/>
    <w:autoRedefine/>
    <w:qFormat/>
    <w:uiPriority w:val="0"/>
    <w:pPr>
      <w:ind w:firstLine="480" w:firstLineChars="200"/>
      <w:jc w:val="center"/>
    </w:pPr>
    <w:rPr>
      <w:sz w:val="24"/>
      <w:szCs w:val="20"/>
    </w:rPr>
  </w:style>
  <w:style w:type="character" w:customStyle="1" w:styleId="223">
    <w:name w:val="纯文本 字符1"/>
    <w:autoRedefine/>
    <w:qFormat/>
    <w:uiPriority w:val="0"/>
    <w:rPr>
      <w:rFonts w:ascii="宋体" w:hAnsi="Courier New"/>
    </w:rPr>
  </w:style>
  <w:style w:type="character" w:customStyle="1" w:styleId="224">
    <w:name w:val="bjh-p"/>
    <w:autoRedefine/>
    <w:qFormat/>
    <w:uiPriority w:val="0"/>
  </w:style>
  <w:style w:type="paragraph" w:customStyle="1" w:styleId="225">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6">
    <w:name w:val="正文格式 Char"/>
    <w:link w:val="227"/>
    <w:autoRedefine/>
    <w:qFormat/>
    <w:locked/>
    <w:uiPriority w:val="0"/>
    <w:rPr>
      <w:rFonts w:ascii="宋体" w:hAnsi="宋体"/>
      <w:sz w:val="24"/>
      <w:szCs w:val="24"/>
      <w:lang w:val="en-GB"/>
    </w:rPr>
  </w:style>
  <w:style w:type="paragraph" w:customStyle="1" w:styleId="227">
    <w:name w:val="正文格式"/>
    <w:basedOn w:val="1"/>
    <w:link w:val="226"/>
    <w:autoRedefine/>
    <w:qFormat/>
    <w:uiPriority w:val="0"/>
    <w:pPr>
      <w:spacing w:beforeLines="50" w:line="360" w:lineRule="auto"/>
      <w:ind w:firstLine="480" w:firstLineChars="200"/>
    </w:pPr>
    <w:rPr>
      <w:rFonts w:ascii="宋体" w:hAnsi="宋体"/>
      <w:kern w:val="0"/>
      <w:sz w:val="24"/>
      <w:lang w:val="en-GB"/>
    </w:rPr>
  </w:style>
  <w:style w:type="character" w:customStyle="1" w:styleId="228">
    <w:name w:val="标题 3 Char"/>
    <w:autoRedefine/>
    <w:qFormat/>
    <w:uiPriority w:val="0"/>
    <w:rPr>
      <w:rFonts w:ascii="宋体" w:eastAsia="宋体"/>
      <w:b/>
      <w:sz w:val="24"/>
      <w:u w:val="single"/>
      <w:lang w:val="en-US" w:eastAsia="zh-CN" w:bidi="ar-SA"/>
    </w:rPr>
  </w:style>
  <w:style w:type="character" w:customStyle="1" w:styleId="229">
    <w:name w:val="正文缩进 Char"/>
    <w:autoRedefine/>
    <w:qFormat/>
    <w:uiPriority w:val="0"/>
    <w:rPr>
      <w:rFonts w:ascii="宋体" w:eastAsia="宋体"/>
      <w:kern w:val="2"/>
      <w:sz w:val="24"/>
      <w:szCs w:val="24"/>
      <w:lang w:val="en-US" w:eastAsia="zh-CN" w:bidi="ar-SA"/>
    </w:rPr>
  </w:style>
  <w:style w:type="character" w:customStyle="1" w:styleId="230">
    <w:name w:val="Char Char111"/>
    <w:autoRedefine/>
    <w:qFormat/>
    <w:uiPriority w:val="0"/>
    <w:rPr>
      <w:rFonts w:ascii="宋体" w:eastAsia="宋体"/>
      <w:b/>
      <w:sz w:val="24"/>
      <w:u w:val="single"/>
      <w:lang w:val="en-US" w:eastAsia="zh-CN" w:bidi="ar-SA"/>
    </w:rPr>
  </w:style>
  <w:style w:type="character" w:customStyle="1" w:styleId="231">
    <w:name w:val="正文文本缩进 Char"/>
    <w:autoRedefine/>
    <w:qFormat/>
    <w:uiPriority w:val="0"/>
    <w:rPr>
      <w:rFonts w:eastAsia="宋体"/>
      <w:kern w:val="2"/>
      <w:sz w:val="24"/>
      <w:szCs w:val="24"/>
      <w:lang w:val="en-US" w:eastAsia="zh-CN" w:bidi="ar-SA"/>
    </w:rPr>
  </w:style>
  <w:style w:type="character" w:customStyle="1" w:styleId="232">
    <w:name w:val="列出段落 Char"/>
    <w:autoRedefine/>
    <w:qFormat/>
    <w:uiPriority w:val="0"/>
    <w:rPr>
      <w:rFonts w:ascii="Calibri" w:hAnsi="Calibri" w:eastAsia="宋体"/>
      <w:kern w:val="2"/>
      <w:sz w:val="21"/>
      <w:szCs w:val="22"/>
      <w:lang w:val="en-US" w:eastAsia="zh-CN" w:bidi="ar-SA"/>
    </w:rPr>
  </w:style>
  <w:style w:type="character" w:customStyle="1" w:styleId="233">
    <w:name w:val="页眉 Char"/>
    <w:autoRedefine/>
    <w:qFormat/>
    <w:uiPriority w:val="0"/>
    <w:rPr>
      <w:rFonts w:eastAsia="宋体"/>
      <w:kern w:val="2"/>
      <w:sz w:val="18"/>
      <w:szCs w:val="18"/>
      <w:lang w:val="en-US" w:eastAsia="zh-CN" w:bidi="ar-SA"/>
    </w:rPr>
  </w:style>
  <w:style w:type="character" w:customStyle="1" w:styleId="234">
    <w:name w:val="标题 2 Char"/>
    <w:autoRedefine/>
    <w:qFormat/>
    <w:uiPriority w:val="0"/>
    <w:rPr>
      <w:rFonts w:ascii="Arial" w:hAnsi="Arial" w:eastAsia="黑体"/>
      <w:b/>
      <w:sz w:val="30"/>
      <w:lang w:val="en-US" w:eastAsia="zh-CN" w:bidi="ar-SA"/>
    </w:rPr>
  </w:style>
  <w:style w:type="paragraph" w:customStyle="1" w:styleId="235">
    <w:name w:val="字元 字元2"/>
    <w:basedOn w:val="1"/>
    <w:autoRedefine/>
    <w:qFormat/>
    <w:uiPriority w:val="0"/>
    <w:rPr>
      <w:rFonts w:ascii="Tahoma" w:hAnsi="Tahoma"/>
      <w:sz w:val="24"/>
      <w:szCs w:val="20"/>
    </w:rPr>
  </w:style>
  <w:style w:type="paragraph" w:customStyle="1" w:styleId="236">
    <w:name w:val="Char3 Char Char Char2"/>
    <w:basedOn w:val="1"/>
    <w:autoRedefine/>
    <w:qFormat/>
    <w:uiPriority w:val="0"/>
    <w:rPr>
      <w:rFonts w:ascii="Tahoma" w:hAnsi="Tahoma"/>
      <w:sz w:val="24"/>
      <w:szCs w:val="20"/>
    </w:rPr>
  </w:style>
  <w:style w:type="paragraph" w:customStyle="1" w:styleId="237">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8">
    <w:name w:val="Char3"/>
    <w:basedOn w:val="1"/>
    <w:autoRedefine/>
    <w:qFormat/>
    <w:uiPriority w:val="0"/>
    <w:pPr>
      <w:tabs>
        <w:tab w:val="left" w:pos="360"/>
      </w:tabs>
    </w:pPr>
    <w:rPr>
      <w:sz w:val="24"/>
    </w:rPr>
  </w:style>
  <w:style w:type="paragraph" w:customStyle="1" w:styleId="239">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40">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1">
    <w:name w:val="列出段落2"/>
    <w:basedOn w:val="1"/>
    <w:autoRedefine/>
    <w:qFormat/>
    <w:uiPriority w:val="0"/>
    <w:pPr>
      <w:ind w:firstLine="420" w:firstLineChars="200"/>
    </w:pPr>
    <w:rPr>
      <w:rFonts w:ascii="Calibri" w:hAnsi="Calibri"/>
      <w:szCs w:val="22"/>
    </w:rPr>
  </w:style>
  <w:style w:type="paragraph" w:customStyle="1" w:styleId="242">
    <w:name w:val="Char Char Char1 Char2"/>
    <w:basedOn w:val="1"/>
    <w:autoRedefine/>
    <w:qFormat/>
    <w:uiPriority w:val="0"/>
    <w:rPr>
      <w:rFonts w:ascii="Tahoma" w:hAnsi="Tahoma"/>
      <w:sz w:val="24"/>
      <w:szCs w:val="20"/>
    </w:rPr>
  </w:style>
  <w:style w:type="paragraph" w:customStyle="1" w:styleId="243">
    <w:name w:val="Char Char Char2"/>
    <w:basedOn w:val="1"/>
    <w:autoRedefine/>
    <w:qFormat/>
    <w:uiPriority w:val="0"/>
    <w:rPr>
      <w:rFonts w:ascii="Tahoma" w:hAnsi="Tahoma"/>
      <w:sz w:val="24"/>
      <w:szCs w:val="20"/>
    </w:rPr>
  </w:style>
  <w:style w:type="paragraph" w:customStyle="1" w:styleId="244">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5">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6">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47">
    <w:name w:val="Char22"/>
    <w:basedOn w:val="1"/>
    <w:autoRedefine/>
    <w:qFormat/>
    <w:uiPriority w:val="0"/>
    <w:rPr>
      <w:rFonts w:ascii="Tahoma" w:hAnsi="Tahoma"/>
      <w:sz w:val="24"/>
      <w:szCs w:val="20"/>
    </w:rPr>
  </w:style>
  <w:style w:type="paragraph" w:customStyle="1" w:styleId="248">
    <w:name w:val="Char Char Char Char Char Char Char Char Char Char2"/>
    <w:basedOn w:val="1"/>
    <w:autoRedefine/>
    <w:qFormat/>
    <w:uiPriority w:val="0"/>
    <w:rPr>
      <w:rFonts w:ascii="宋体" w:hAnsi="宋体" w:cs="Courier New"/>
      <w:sz w:val="32"/>
      <w:szCs w:val="32"/>
    </w:rPr>
  </w:style>
  <w:style w:type="paragraph" w:customStyle="1" w:styleId="249">
    <w:name w:val="Char2 Char Char Char Char Char Char1"/>
    <w:basedOn w:val="1"/>
    <w:autoRedefine/>
    <w:qFormat/>
    <w:uiPriority w:val="0"/>
    <w:pPr>
      <w:widowControl/>
      <w:spacing w:line="400" w:lineRule="exact"/>
      <w:jc w:val="center"/>
    </w:pPr>
  </w:style>
  <w:style w:type="character" w:customStyle="1" w:styleId="250">
    <w:name w:val="页脚 Char"/>
    <w:autoRedefine/>
    <w:qFormat/>
    <w:uiPriority w:val="0"/>
    <w:rPr>
      <w:rFonts w:ascii="宋体" w:eastAsia="宋体"/>
      <w:sz w:val="18"/>
      <w:lang w:val="en-US" w:eastAsia="zh-CN" w:bidi="ar-SA"/>
    </w:rPr>
  </w:style>
  <w:style w:type="paragraph" w:customStyle="1" w:styleId="251">
    <w:name w:val="Char Char41"/>
    <w:basedOn w:val="1"/>
    <w:autoRedefine/>
    <w:qFormat/>
    <w:uiPriority w:val="0"/>
    <w:pPr>
      <w:widowControl/>
      <w:spacing w:line="400" w:lineRule="exact"/>
      <w:jc w:val="center"/>
    </w:pPr>
  </w:style>
  <w:style w:type="character" w:customStyle="1" w:styleId="252">
    <w:name w:val="批注文字 Char"/>
    <w:autoRedefine/>
    <w:qFormat/>
    <w:uiPriority w:val="99"/>
    <w:rPr>
      <w:kern w:val="2"/>
      <w:sz w:val="21"/>
      <w:szCs w:val="24"/>
    </w:rPr>
  </w:style>
  <w:style w:type="character" w:customStyle="1" w:styleId="253">
    <w:name w:val="标题 Char"/>
    <w:autoRedefine/>
    <w:qFormat/>
    <w:uiPriority w:val="0"/>
    <w:rPr>
      <w:b/>
      <w:kern w:val="2"/>
      <w:sz w:val="32"/>
    </w:rPr>
  </w:style>
  <w:style w:type="paragraph" w:customStyle="1" w:styleId="254">
    <w:name w:val="图例"/>
    <w:basedOn w:val="1"/>
    <w:autoRedefine/>
    <w:qFormat/>
    <w:uiPriority w:val="0"/>
    <w:pPr>
      <w:spacing w:before="120" w:after="120" w:line="360" w:lineRule="auto"/>
      <w:jc w:val="center"/>
    </w:pPr>
    <w:rPr>
      <w:rFonts w:eastAsia="仿宋_GB2312"/>
      <w:b/>
      <w:sz w:val="24"/>
      <w:szCs w:val="20"/>
    </w:rPr>
  </w:style>
  <w:style w:type="table" w:customStyle="1" w:styleId="255">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6">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7">
    <w:name w:val="_Style 250"/>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58">
    <w:name w:val="text-hover"/>
    <w:basedOn w:val="1"/>
    <w:autoRedefine/>
    <w:qFormat/>
    <w:uiPriority w:val="0"/>
    <w:pPr>
      <w:widowControl/>
      <w:spacing w:before="100" w:beforeAutospacing="1" w:after="100" w:afterAutospacing="1"/>
      <w:jc w:val="left"/>
    </w:pPr>
    <w:rPr>
      <w:kern w:val="0"/>
      <w:sz w:val="24"/>
    </w:rPr>
  </w:style>
  <w:style w:type="paragraph" w:customStyle="1" w:styleId="259">
    <w:name w:val="正文缩进2字符"/>
    <w:basedOn w:val="1"/>
    <w:autoRedefine/>
    <w:qFormat/>
    <w:uiPriority w:val="0"/>
    <w:pPr>
      <w:ind w:firstLine="480"/>
    </w:pPr>
    <w:rPr>
      <w:rFonts w:cs="宋体"/>
      <w:sz w:val="24"/>
      <w:szCs w:val="20"/>
    </w:rPr>
  </w:style>
  <w:style w:type="paragraph" w:customStyle="1" w:styleId="260">
    <w:name w:val="Revision"/>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61">
    <w:name w:val="font31"/>
    <w:basedOn w:val="49"/>
    <w:autoRedefine/>
    <w:qFormat/>
    <w:uiPriority w:val="0"/>
    <w:rPr>
      <w:rFonts w:hint="eastAsia" w:ascii="宋体" w:hAnsi="宋体" w:eastAsia="宋体" w:cs="宋体"/>
      <w:color w:val="000000"/>
      <w:sz w:val="20"/>
      <w:szCs w:val="20"/>
      <w:u w:val="none"/>
    </w:rPr>
  </w:style>
  <w:style w:type="character" w:customStyle="1" w:styleId="262">
    <w:name w:val="font21"/>
    <w:basedOn w:val="49"/>
    <w:autoRedefine/>
    <w:qFormat/>
    <w:uiPriority w:val="0"/>
    <w:rPr>
      <w:rFonts w:hint="default" w:ascii="Times New Roman" w:hAnsi="Times New Roman" w:cs="Times New Roman"/>
      <w:color w:val="000000"/>
      <w:sz w:val="20"/>
      <w:szCs w:val="20"/>
      <w:u w:val="none"/>
    </w:rPr>
  </w:style>
  <w:style w:type="paragraph" w:customStyle="1" w:styleId="263">
    <w:name w:val="WPSOffice手动目录 1"/>
    <w:autoRedefine/>
    <w:qFormat/>
    <w:uiPriority w:val="0"/>
    <w:pPr>
      <w:ind w:leftChars="0"/>
    </w:pPr>
    <w:rPr>
      <w:rFonts w:ascii="Times New Roman" w:hAnsi="Times New Roman" w:eastAsia="宋体" w:cs="Times New Roman"/>
      <w:sz w:val="20"/>
      <w:szCs w:val="20"/>
    </w:rPr>
  </w:style>
  <w:style w:type="character" w:customStyle="1" w:styleId="264">
    <w:name w:val="font61"/>
    <w:basedOn w:val="49"/>
    <w:autoRedefine/>
    <w:qFormat/>
    <w:uiPriority w:val="0"/>
    <w:rPr>
      <w:rFonts w:hint="eastAsia" w:ascii="宋体" w:hAnsi="宋体" w:eastAsia="宋体" w:cs="宋体"/>
      <w:b/>
      <w:bCs/>
      <w:color w:val="000000"/>
      <w:sz w:val="21"/>
      <w:szCs w:val="21"/>
      <w:u w:val="none"/>
    </w:rPr>
  </w:style>
  <w:style w:type="character" w:customStyle="1" w:styleId="265">
    <w:name w:val="font11"/>
    <w:basedOn w:val="49"/>
    <w:autoRedefine/>
    <w:qFormat/>
    <w:uiPriority w:val="0"/>
    <w:rPr>
      <w:rFonts w:hint="default" w:ascii="Times New Roman" w:hAnsi="Times New Roman" w:cs="Times New Roman"/>
      <w:b/>
      <w:bCs/>
      <w:color w:val="000000"/>
      <w:sz w:val="21"/>
      <w:szCs w:val="21"/>
      <w:u w:val="none"/>
    </w:rPr>
  </w:style>
  <w:style w:type="character" w:customStyle="1" w:styleId="266">
    <w:name w:val="font71"/>
    <w:basedOn w:val="49"/>
    <w:autoRedefine/>
    <w:qFormat/>
    <w:uiPriority w:val="0"/>
    <w:rPr>
      <w:rFonts w:hint="eastAsia" w:ascii="宋体" w:hAnsi="宋体" w:eastAsia="宋体" w:cs="宋体"/>
      <w:color w:val="000000"/>
      <w:sz w:val="21"/>
      <w:szCs w:val="21"/>
      <w:u w:val="none"/>
    </w:rPr>
  </w:style>
  <w:style w:type="character" w:customStyle="1" w:styleId="267">
    <w:name w:val="font01"/>
    <w:basedOn w:val="49"/>
    <w:autoRedefine/>
    <w:qFormat/>
    <w:uiPriority w:val="0"/>
    <w:rPr>
      <w:rFonts w:hint="eastAsia" w:ascii="宋体" w:hAnsi="宋体" w:eastAsia="宋体" w:cs="宋体"/>
      <w:color w:val="000000"/>
      <w:sz w:val="22"/>
      <w:szCs w:val="22"/>
      <w:u w:val="none"/>
    </w:rPr>
  </w:style>
  <w:style w:type="character" w:customStyle="1" w:styleId="268">
    <w:name w:val="font51"/>
    <w:basedOn w:val="49"/>
    <w:autoRedefine/>
    <w:qFormat/>
    <w:uiPriority w:val="0"/>
    <w:rPr>
      <w:rFonts w:hint="default" w:ascii="Times New Roman" w:hAnsi="Times New Roman" w:cs="Times New Roman"/>
      <w:color w:val="000000"/>
      <w:sz w:val="22"/>
      <w:szCs w:val="22"/>
      <w:u w:val="none"/>
    </w:rPr>
  </w:style>
  <w:style w:type="character" w:customStyle="1" w:styleId="269">
    <w:name w:val="font91"/>
    <w:basedOn w:val="49"/>
    <w:autoRedefine/>
    <w:qFormat/>
    <w:uiPriority w:val="0"/>
    <w:rPr>
      <w:rFonts w:hint="eastAsia" w:ascii="宋体" w:hAnsi="宋体" w:eastAsia="宋体" w:cs="宋体"/>
      <w:color w:val="000000"/>
      <w:sz w:val="22"/>
      <w:szCs w:val="22"/>
      <w:u w:val="none"/>
    </w:rPr>
  </w:style>
  <w:style w:type="character" w:customStyle="1" w:styleId="270">
    <w:name w:val="font41"/>
    <w:basedOn w:val="49"/>
    <w:autoRedefine/>
    <w:qFormat/>
    <w:uiPriority w:val="0"/>
    <w:rPr>
      <w:rFonts w:hint="eastAsia" w:ascii="宋体" w:hAnsi="宋体" w:eastAsia="宋体" w:cs="宋体"/>
      <w:color w:val="000000"/>
      <w:sz w:val="22"/>
      <w:szCs w:val="22"/>
      <w:u w:val="none"/>
    </w:rPr>
  </w:style>
  <w:style w:type="paragraph" w:customStyle="1" w:styleId="271">
    <w:name w:val="Table Text"/>
    <w:basedOn w:val="1"/>
    <w:autoRedefine/>
    <w:semiHidden/>
    <w:qFormat/>
    <w:uiPriority w:val="0"/>
    <w:rPr>
      <w:rFonts w:ascii="宋体" w:hAnsi="宋体" w:eastAsia="宋体" w:cs="宋体"/>
      <w:sz w:val="24"/>
      <w:szCs w:val="24"/>
      <w:lang w:val="en-US" w:eastAsia="en-US" w:bidi="ar-SA"/>
    </w:rPr>
  </w:style>
  <w:style w:type="character" w:customStyle="1" w:styleId="272">
    <w:name w:val="Superscript"/>
    <w:autoRedefine/>
    <w:qFormat/>
    <w:uiPriority w:val="99"/>
    <w:rPr>
      <w:b/>
      <w:bCs/>
      <w:vertAlign w:val="superscript"/>
    </w:rPr>
  </w:style>
  <w:style w:type="character" w:customStyle="1" w:styleId="273">
    <w:name w:val="font81"/>
    <w:basedOn w:val="49"/>
    <w:autoRedefine/>
    <w:qFormat/>
    <w:uiPriority w:val="0"/>
    <w:rPr>
      <w:rFonts w:hint="eastAsia" w:ascii="宋体" w:hAnsi="宋体" w:eastAsia="宋体" w:cs="宋体"/>
      <w:color w:val="000000"/>
      <w:sz w:val="18"/>
      <w:szCs w:val="18"/>
      <w:u w:val="none"/>
    </w:rPr>
  </w:style>
  <w:style w:type="paragraph" w:customStyle="1" w:styleId="274">
    <w:name w:val="null3"/>
    <w:autoRedefine/>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275">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76">
    <w:name w:val="页码1"/>
    <w:qFormat/>
    <w:uiPriority w:val="0"/>
  </w:style>
  <w:style w:type="paragraph" w:customStyle="1" w:styleId="277">
    <w:name w:val="Normal_0"/>
    <w:qFormat/>
    <w:uiPriority w:val="0"/>
    <w:rPr>
      <w:rFonts w:ascii="Times New Roman" w:hAnsi="Times New Roman" w:eastAsia="Times New Roman" w:cs="Times New Roman"/>
      <w:sz w:val="24"/>
      <w:szCs w:val="24"/>
      <w:lang w:val="en-US" w:eastAsia="zh-CN" w:bidi="ar-SA"/>
    </w:rPr>
  </w:style>
  <w:style w:type="paragraph" w:customStyle="1" w:styleId="278">
    <w:name w:val="强调标题"/>
    <w:next w:val="1"/>
    <w:qFormat/>
    <w:uiPriority w:val="0"/>
    <w:pPr>
      <w:spacing w:before="240" w:after="120" w:line="360" w:lineRule="auto"/>
      <w:ind w:firstLine="600" w:firstLineChars="200"/>
      <w:jc w:val="left"/>
      <w:outlineLvl w:val="0"/>
    </w:pPr>
    <w:rPr>
      <w:rFonts w:ascii="Times New Roman" w:hAnsi="Times New Roman" w:eastAsia="宋体" w:cs="Times New Roman"/>
      <w:b/>
      <w:sz w:val="24"/>
    </w:rPr>
  </w:style>
  <w:style w:type="paragraph" w:customStyle="1" w:styleId="279">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paragraph" w:customStyle="1" w:styleId="280">
    <w:name w:val="章前标题"/>
    <w:next w:val="1"/>
    <w:qFormat/>
    <w:uiPriority w:val="0"/>
    <w:pPr>
      <w:keepNext w:val="0"/>
      <w:keepLines w:val="0"/>
      <w:pageBreakBefore w:val="0"/>
      <w:widowControl w:val="0"/>
      <w:kinsoku/>
      <w:wordWrap/>
      <w:overflowPunct/>
      <w:topLinePunct w:val="0"/>
      <w:autoSpaceDE/>
      <w:autoSpaceDN/>
      <w:bidi w:val="0"/>
      <w:adjustRightInd/>
      <w:spacing w:before="240" w:after="240" w:line="360" w:lineRule="auto"/>
      <w:jc w:val="center"/>
      <w:textAlignment w:val="auto"/>
      <w:outlineLvl w:val="9"/>
    </w:pPr>
    <w:rPr>
      <w:rFonts w:ascii="黑体" w:hAnsi="黑体" w:eastAsia="黑体" w:cs="黑体"/>
      <w:kern w:val="44"/>
      <w:sz w:val="30"/>
      <w:szCs w:val="36"/>
    </w:rPr>
  </w:style>
  <w:style w:type="paragraph" w:customStyle="1" w:styleId="281">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2">
    <w:name w:val="_Style 13"/>
    <w:qFormat/>
    <w:uiPriority w:val="0"/>
    <w:pPr>
      <w:spacing w:before="120" w:after="120" w:line="288" w:lineRule="auto"/>
      <w:ind w:left="0"/>
      <w:jc w:val="left"/>
    </w:pPr>
    <w:rPr>
      <w:rFonts w:ascii="Arial" w:hAnsi="Arial" w:eastAsia="等线" w:cs="Arial"/>
      <w:sz w:val="22"/>
      <w:szCs w:val="22"/>
    </w:rPr>
  </w:style>
  <w:style w:type="character" w:customStyle="1" w:styleId="283">
    <w:name w:val="fontstyle01"/>
    <w:basedOn w:val="49"/>
    <w:qFormat/>
    <w:uiPriority w:val="0"/>
    <w:rPr>
      <w:rFonts w:hint="eastAsia" w:ascii="宋体" w:hAnsi="宋体" w:eastAsia="宋体"/>
      <w:color w:val="000000"/>
      <w:sz w:val="24"/>
      <w:szCs w:val="24"/>
    </w:rPr>
  </w:style>
  <w:style w:type="table" w:customStyle="1" w:styleId="284">
    <w:name w:val="Plain Table 5"/>
    <w:basedOn w:val="46"/>
    <w:qFormat/>
    <w:uiPriority w:val="45"/>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285">
    <w:name w:val="font131"/>
    <w:basedOn w:val="49"/>
    <w:qFormat/>
    <w:uiPriority w:val="0"/>
    <w:rPr>
      <w:rFonts w:hint="eastAsia" w:ascii="宋体" w:hAnsi="宋体" w:eastAsia="宋体" w:cs="宋体"/>
      <w:color w:val="000000"/>
      <w:sz w:val="22"/>
      <w:szCs w:val="22"/>
      <w:u w:val="none"/>
    </w:rPr>
  </w:style>
  <w:style w:type="character" w:customStyle="1" w:styleId="286">
    <w:name w:val="font112"/>
    <w:basedOn w:val="49"/>
    <w:qFormat/>
    <w:uiPriority w:val="0"/>
    <w:rPr>
      <w:rFonts w:hint="eastAsia" w:ascii="宋体" w:hAnsi="宋体" w:eastAsia="宋体" w:cs="宋体"/>
      <w:color w:val="000000"/>
      <w:sz w:val="22"/>
      <w:szCs w:val="22"/>
      <w:u w:val="none"/>
    </w:rPr>
  </w:style>
  <w:style w:type="character" w:customStyle="1" w:styleId="287">
    <w:name w:val="fontstyle21"/>
    <w:basedOn w:val="49"/>
    <w:qFormat/>
    <w:uiPriority w:val="0"/>
    <w:rPr>
      <w:rFonts w:hint="default" w:ascii="Arial-BoldMT" w:hAnsi="Arial-BoldMT"/>
      <w:b/>
      <w:bCs/>
      <w:color w:val="000000"/>
      <w:sz w:val="48"/>
      <w:szCs w:val="48"/>
    </w:rPr>
  </w:style>
  <w:style w:type="character" w:customStyle="1" w:styleId="288">
    <w:name w:val="fontstyle31"/>
    <w:basedOn w:val="49"/>
    <w:qFormat/>
    <w:uiPriority w:val="0"/>
    <w:rPr>
      <w:rFonts w:hint="default" w:ascii="TimesNewRomanPS-BoldMT" w:hAnsi="TimesNewRomanPS-BoldMT"/>
      <w:b/>
      <w:bCs/>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c6efe196-c634-45da-897a-499bc3b6fcd3</errorID>
      <errorWord>;</errorWord>
      <group>L1_Format</group>
      <groupName>格式问题</groupName>
      <ability>L2_HalfPunc</ability>
      <abilityName>全半角检查</abilityName>
      <candidateList>
        <item>；</item>
      </candidateList>
      <explain>文本全半角错误。</explain>
      <paraID>3359E13B</paraID>
      <start>53</start>
      <end>55</end>
      <status>modified</status>
      <modifiedWord>；</modifiedWord>
      <trackRevisions>true</trackRevisions>
    </reviewItem>
    <reviewItem>
      <errorID>77345e44-00b1-450f-804c-40ada22bd5e5</errorID>
      <errorWord>做</errorWord>
      <group>L1_Word</group>
      <groupName>字词问题</groupName>
      <ability>L2_Typo</ability>
      <abilityName>字词错误</abilityName>
      <candidateList>
        <item>作</item>
      </candidateList>
      <explain>存在发音相同字词的误用。</explain>
      <paraID>62553947</paraID>
      <start>53</start>
      <end>54</end>
      <status>unmodified</status>
      <modifiedWord/>
      <trackRevisions>false</trackRevisions>
    </reviewItem>
    <reviewItem>
      <errorID>6a2888c3-70db-4c85-9d26-4858e0f3147a</errorID>
      <errorWord>》中</errorWord>
      <group>L1_Word</group>
      <groupName>字词问题</groupName>
      <ability>L2_Typo</ability>
      <abilityName>字词错误</abilityName>
      <candidateList>
        <item>》</item>
      </candidateList>
      <explain/>
      <paraID> DAAE5C1</paraID>
      <start>26</start>
      <end>28</end>
      <status>unmodified</status>
      <modifiedWord/>
      <trackRevisions>false</trackRevisions>
    </reviewItem>
    <reviewItem>
      <errorID>bad558be-63a4-4e3c-880c-378b3c446685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24A8CFDE</paraID>
      <start>0</start>
      <end>2</end>
      <status>unmodified</status>
      <modifiedWord/>
      <trackRevisions>false</trackRevisions>
    </reviewItem>
    <reviewItem>
      <errorID>958862a4-887d-4058-8e60-647ba09a5b33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673694EE</paraID>
      <start>0</start>
      <end>2</end>
      <status>unmodified</status>
      <modifiedWord/>
      <trackRevisions>false</trackRevisions>
    </reviewItem>
    <reviewItem>
      <errorID>260b9543-7125-4906-b94d-c5f4c5d6a1c2</errorID>
      <errorWord>其它</errorWord>
      <group>L1_Word</group>
      <groupName>字词问题</groupName>
      <ability>L2_Alias</ability>
      <abilityName>也作/曾用词</abilityName>
      <candidateList>
        <item>其他</item>
      </candidateList>
      <explain>词汇[其它]为不规范表述或旧称，其规范书面表述为[其他]。</explain>
      <paraID>4164ED71</paraID>
      <start>0</start>
      <end>2</end>
      <status>unmodified</status>
      <modifiedWord/>
      <trackRevisions>false</trackRevisions>
    </reviewItem>
    <reviewItem>
      <errorID>4a04dad8-0290-4f7e-a544-060df6fbddfe</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55273FCC</paraID>
      <start>3</start>
      <end>5</end>
      <status>unmodified</status>
      <modifiedWord/>
      <trackRevisions>false</trackRevisions>
    </reviewItem>
    <reviewItem>
      <errorID>a97f3a77-36f2-40c1-9cbc-5d3a634ce0fd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78C5FB68</paraID>
      <start>0</start>
      <end>2</end>
      <status>unmodified</status>
      <modifiedWord/>
      <trackRevisions>false</trackRevisions>
    </reviewItem>
    <reviewItem>
      <errorID>f8252390-89c0-4ea4-8331-dd15c74fb254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55AEA45</paraID>
      <start>0</start>
      <end>2</end>
      <status>unmodified</status>
      <modifiedWord/>
      <trackRevisions>false</trackRevisions>
    </reviewItem>
    <reviewItem>
      <errorID>2bf2f834-f337-4797-bffc-4e106e0e8a8d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72D8B9C</paraID>
      <start>0</start>
      <end>2</end>
      <status>unmodified</status>
      <modifiedWord/>
      <trackRevisions>false</trackRevisions>
    </reviewItem>
    <reviewItem>
      <errorID>27687dae-eca7-49fe-9b7a-44c42f6a7837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42D0DF23</paraID>
      <start>0</start>
      <end>2</end>
      <status>unmodified</status>
      <modifiedWord/>
      <trackRevisions>false</trackRevisions>
    </reviewItem>
    <reviewItem>
      <errorID>0c2f6ebf-c84f-4943-870d-6aeb526bf95e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421A4C6D</paraID>
      <start>0</start>
      <end>2</end>
      <status>unmodified</status>
      <modifiedWord/>
      <trackRevisions>false</trackRevisions>
    </reviewItem>
    <reviewItem>
      <errorID>3839ec3a-6aba-411b-8046-694d5ce4401b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603E0136</paraID>
      <start>0</start>
      <end>2</end>
      <status>unmodified</status>
      <modifiedWord/>
      <trackRevisions>false</trackRevisions>
    </reviewItem>
    <reviewItem>
      <errorID>8d263e0a-6c16-448e-b459-d570beba1266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2C280A7A</paraID>
      <start>0</start>
      <end>2</end>
      <status>unmodified</status>
      <modifiedWord/>
      <trackRevisions>false</trackRevisions>
    </reviewItem>
    <reviewItem>
      <errorID>58e1ed96-688f-4065-ad01-31b80071c7c7</errorID>
      <errorWord>》</errorWord>
      <group>L1_Word</group>
      <groupName>字词问题</groupName>
      <ability>L2_Typo</ability>
      <abilityName>字词错误</abilityName>
      <candidateList>
        <item>》第</item>
      </candidateList>
      <explain/>
      <paraID>51942E9E</paraID>
      <start>27</start>
      <end>28</end>
      <status>unmodified</status>
      <modifiedWord/>
      <trackRevisions>false</trackRevisions>
    </reviewItem>
    <reviewItem>
      <errorID>54805b3e-c73f-4506-be4e-b1de47ae8df1</errorID>
      <errorWord>其它</errorWord>
      <group>L1_Word</group>
      <groupName>字词问题</groupName>
      <ability>L2_Alias</ability>
      <abilityName>也作/曾用词</abilityName>
      <candidateList>
        <item>其他</item>
      </candidateList>
      <explain>词汇[其它]为不规范表述或旧称，其规范书面表述为[其他]。</explain>
      <paraID> 46FFE69</paraID>
      <start>15</start>
      <end>17</end>
      <status>unmodified</status>
      <modifiedWord/>
      <trackRevisions>false</trackRevisions>
    </reviewItem>
    <reviewItem>
      <errorID>4e50869d-4164-4ed7-a2f6-13f3189055de</errorID>
      <errorWord>环卫工</errorWord>
      <group>L1_Word</group>
      <groupName>字词问题</groupName>
      <ability>L2_Typo</ability>
      <abilityName>字词错误</abilityName>
      <candidateList>
        <item>环卫</item>
      </candidateList>
      <explain/>
      <paraID>795EB59B</paraID>
      <start>49</start>
      <end>52</end>
      <status>unmodified</status>
      <modifiedWord/>
      <trackRevisions>false</trackRevisions>
    </reviewItem>
    <reviewItem>
      <errorID>d9c176b3-4091-4823-b555-7cbb97c162ae</errorID>
      <errorWord>门坎</errorWord>
      <group>L1_Word</group>
      <groupName>字词问题</groupName>
      <ability>L2_Variant</ability>
      <abilityName>异形词</abilityName>
      <candidateList>
        <item>门槛</item>
      </candidateList>
      <explain>词汇[门坎]的规范词形写作[门槛]。</explain>
      <paraID>  F6FEAB</paraID>
      <start>40</start>
      <end>42</end>
      <status>unmodified</status>
      <modifiedWord/>
      <trackRevisions>false</trackRevisions>
    </reviewItem>
    <reviewItem>
      <errorID>f3cda355-c6cb-4fe1-b40d-fb21132c165b</errorID>
      <errorWord>不</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  F6FEAB</paraID>
      <start>88</start>
      <end>89</end>
      <status>unmodified</status>
      <modifiedWord/>
      <trackRevisions>false</trackRevisions>
    </reviewItem>
    <reviewItem>
      <errorID>68aeefe2-2d85-40e3-8db7-9b26411cad92</errorID>
      <errorWord>,</errorWord>
      <group>L1_Format</group>
      <groupName>格式问题</groupName>
      <ability>L2_HalfPunc</ability>
      <abilityName>全半角检查</abilityName>
      <candidateList>
        <item>，</item>
      </candidateList>
      <explain>文本全半角错误。</explain>
      <paraID>7F4E14FE</paraID>
      <start>56</start>
      <end>58</end>
      <status>modified</status>
      <modifiedWord>，</modifiedWord>
      <trackRevisions>true</trackRevisions>
    </reviewItem>
    <reviewItem>
      <errorID>b494cca6-386c-4a16-9ae9-f94db3971a27</errorID>
      <errorWord>,</errorWord>
      <group>L1_Format</group>
      <groupName>格式问题</groupName>
      <ability>L2_HalfPunc</ability>
      <abilityName>全半角检查</abilityName>
      <candidateList>
        <item>，</item>
      </candidateList>
      <explain>文本全半角错误。</explain>
      <paraID>7A0A9A4E</paraID>
      <start>141</start>
      <end>143</end>
      <status>modified</status>
      <modifiedWord>，</modifiedWord>
      <trackRevisions>true</trackRevisions>
    </reviewItem>
    <reviewItem>
      <errorID>e70c6f34-6946-415a-a31f-3c9dd32b9589</errorID>
      <errorWord>哈罗</errorWord>
      <group>L1_Word</group>
      <groupName>字词问题</groupName>
      <ability>L2_Typo</ability>
      <abilityName>字词错误</abilityName>
      <candidateList>
        <item>哈啰</item>
      </candidateList>
      <explain/>
      <paraID>68A3E374</paraID>
      <start>5</start>
      <end>7</end>
      <status>unmodified</status>
      <modifiedWord/>
      <trackRevisions>false</trackRevisions>
    </reviewItem>
    <reviewItem>
      <errorID>4b896200-4a7c-4f45-9a45-9a54fa9ef1d5</errorID>
      <errorWord>晚上16:00</errorWord>
      <group>L1_Knowledge</group>
      <groupName>知识性问题</groupName>
      <ability>L2_Time</ability>
      <abilityName>日期时间</abilityName>
      <candidateList>
        <item>16:00</item>
      </candidateList>
      <explain>24小时制的时间，不需要强调“晚上”。</explain>
      <paraID>3204B3F5</paraID>
      <start>61</start>
      <end>68</end>
      <status>unmodified</status>
      <modifiedWord/>
      <trackRevisions>false</trackRevisions>
    </reviewItem>
    <reviewItem>
      <errorID>bf18176d-5d94-40dd-a106-eea1a3261834</errorID>
      <errorWord>,</errorWord>
      <group>L1_Format</group>
      <groupName>格式问题</groupName>
      <ability>L2_HalfPunc</ability>
      <abilityName>全半角检查</abilityName>
      <candidateList>
        <item>，</item>
      </candidateList>
      <explain>文本全半角错误。</explain>
      <paraID>3D59A407</paraID>
      <start>27</start>
      <end>29</end>
      <status>modified</status>
      <modifiedWord>，</modifiedWord>
      <trackRevisions>true</trackRevisions>
    </reviewItem>
    <reviewItem>
      <errorID>30949dd8-890d-47a8-b081-d3762f1995d7</errorID>
      <errorWord>附近等</errorWord>
      <group>L1_Word</group>
      <groupName>字词问题</groupName>
      <ability>L2_Typo</ability>
      <abilityName>字词错误</abilityName>
      <candidateList>
        <item>附近</item>
      </candidateList>
      <explain>❶〈形〉属性词。靠近某地的：～地区｜～居民。❷〈名〉附近的地方：他家就在～，几分钟就可以走到。</explain>
      <paraID>5034BBCF</paraID>
      <start>8</start>
      <end>11</end>
      <status>unmodified</status>
      <modifiedWord/>
      <trackRevisions>false</trackRevisions>
    </reviewItem>
    <reviewItem>
      <errorID>dbbc661c-f20c-44a5-bc61-d5aedcc93a36</errorID>
      <errorWord>提高</errorWord>
      <group>L1_Word</group>
      <groupName>字词问题</groupName>
      <ability>L2_Typo</ability>
      <abilityName>字词错误</abilityName>
      <candidateList>
        <item>增强</item>
      </candidateList>
      <explain>“提高～意识”搭配不当，建议修改为“增强～意识”。</explain>
      <paraID>5034BBCF</paraID>
      <start>43</start>
      <end>45</end>
      <status>unmodified</status>
      <modifiedWord/>
      <trackRevisions>false</trackRevisions>
    </reviewItem>
    <reviewItem>
      <errorID>1447940e-a409-4324-b7cf-25bafbb11457</errorID>
      <errorWord>,</errorWord>
      <group>L1_Format</group>
      <groupName>格式问题</groupName>
      <ability>L2_HalfPunc</ability>
      <abilityName>全半角检查</abilityName>
      <candidateList>
        <item>，</item>
      </candidateList>
      <explain>文本全半角错误。</explain>
      <paraID>137D4D33</paraID>
      <start>19</start>
      <end>21</end>
      <status>modified</status>
      <modifiedWord>，</modifiedWord>
      <trackRevisions>true</trackRevisions>
    </reviewItem>
    <reviewItem>
      <errorID>d8513a8e-5bea-4f18-991c-7aa26540d70e</errorID>
      <errorWord>顾</errorWord>
      <group>L1_Word</group>
      <groupName>字词问题</groupName>
      <ability>L2_Typo</ability>
      <abilityName>字词错误</abilityName>
      <candidateList>
        <item>顾会</item>
      </candidateList>
      <explain/>
      <paraID>588929BC</paraID>
      <start>59</start>
      <end>60</end>
      <status>unmodified</status>
      <modifiedWord/>
      <trackRevisions>false</trackRevisions>
    </reviewItem>
    <reviewItem>
      <errorID>dfabac90-ce16-4cfa-a452-bd85460f2f45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4AA2276</paraID>
      <start>8</start>
      <end>9</end>
      <status>unmodified</status>
      <modifiedWord/>
      <trackRevisions>false</trackRevisions>
    </reviewItem>
    <reviewItem>
      <errorID>a599257e-d1f3-448c-adb3-e9061f6bfe1f</errorID>
      <errorWord>,</errorWord>
      <group>L1_Format</group>
      <groupName>格式问题</groupName>
      <ability>L2_HalfPunc</ability>
      <abilityName>全半角检查</abilityName>
      <candidateList>
        <item>，</item>
      </candidateList>
      <explain>文本全半角错误。</explain>
      <paraID> CA2EB6F</paraID>
      <start>25</start>
      <end>27</end>
      <status>modified</status>
      <modifiedWord>，</modifiedWord>
      <trackRevisions>true</trackRevisions>
    </reviewItem>
    <reviewItem>
      <errorID>523eed6b-087e-4ef7-9205-70382cc0642a</errorID>
      <errorWord>好</errorWord>
      <group>L1_Word</group>
      <groupName>字词问题</groupName>
      <ability>L2_Typo</ability>
      <abilityName>字词错误</abilityName>
      <candidateList>
        <item>好地</item>
      </candidateList>
      <explain/>
      <paraID>3B8593B1</paraID>
      <start>2</start>
      <end>3</end>
      <status>unmodified</status>
      <modifiedWord/>
      <trackRevisions>false</trackRevisions>
    </reviewItem>
    <reviewItem>
      <errorID>9a463e8e-f486-45db-bda3-cf683cbd991e</errorID>
      <errorWord>气相部门</errorWord>
      <group>L1_Word</group>
      <groupName>字词问题</groupName>
      <ability>L2_Typo</ability>
      <abilityName>字词错误</abilityName>
      <candidateList>
        <item>气象部门</item>
      </candidateList>
      <explain/>
      <paraID>76CBEDA8</paraID>
      <start>2</start>
      <end>10</end>
      <status>modified</status>
      <modifiedWord>气象部门</modifiedWord>
      <trackRevisions>true</trackRevisions>
    </reviewItem>
    <reviewItem>
      <errorID>36d93cd3-6f5a-4818-a629-007543bf7406</errorID>
      <errorWord>限</errorWord>
      <group>L1_Word</group>
      <groupName>字词问题</groupName>
      <ability>L2_Typo</ability>
      <abilityName>字词错误</abilityName>
      <candidateList>
        <item>限于</item>
      </candidateList>
      <explain/>
      <paraID>25064D70</paraID>
      <start>50</start>
      <end>51</end>
      <status>unmodified</status>
      <modifiedWord/>
      <trackRevisions>false</trackRevisions>
    </reviewItem>
    <reviewItem>
      <errorID>dcd9694c-2d0f-48a0-990e-ba5ddf010647</errorID>
      <errorWord>(</errorWord>
      <group>L1_Format</group>
      <groupName>格式问题</groupName>
      <ability>L2_HalfPunc</ability>
      <abilityName>全半角检查</abilityName>
      <candidateList>
        <item>（</item>
      </candidateList>
      <explain>文本全半角错误。</explain>
      <paraID>3BF9FC11</paraID>
      <start>71</start>
      <end>73</end>
      <status>modified</status>
      <modifiedWord>（</modifiedWord>
      <trackRevisions>true</trackRevisions>
    </reviewItem>
    <reviewItem>
      <errorID>4d31c25c-c06b-4a44-8d1b-593413073caa</errorID>
      <errorWord>)</errorWord>
      <group>L1_Format</group>
      <groupName>格式问题</groupName>
      <ability>L2_HalfPunc</ability>
      <abilityName>全半角检查</abilityName>
      <candidateList>
        <item>）</item>
      </candidateList>
      <explain>文本全半角错误。</explain>
      <paraID>3BF9FC11</paraID>
      <start>90</start>
      <end>92</end>
      <status>modified</status>
      <modifiedWord>）</modifiedWord>
      <trackRevisions>true</trackRevisions>
    </reviewItem>
    <reviewItem>
      <errorID>18fd7981-adbb-4fa2-9ad3-9e93966d0bad</errorID>
      <errorWord>于于</errorWord>
      <group>L1_Word</group>
      <groupName>字词问题</groupName>
      <ability>L2_Typo</ability>
      <abilityName>字词错误</abilityName>
      <candidateList>
        <item>于</item>
      </candidateList>
      <explain>（於）yú❶〈介〉a）在：她生～1949年｜来信已～日前收到｜黄河发源～青海。b）向：问道～盲｜告慰～知己｜求救～人。c）给：嫁祸～人｜献身～科学事业。d）对；对于：忠～祖国｜有益～人民｜形势～我们有利。e）自；从：青出～蓝｜出～自愿。f）表示比较：大～｜少～｜高～｜低～。g）表示被动：见笑～大方之家。</explain>
      <paraID>394AECFC</paraID>
      <start>78</start>
      <end>80</end>
      <status>unmodified</status>
      <modifiedWord/>
      <trackRevisions>false</trackRevisions>
    </reviewItem>
    <reviewItem>
      <errorID>265f31d9-f987-4e64-944c-5c9526ad715f</errorID>
      <errorWord>其它</errorWord>
      <group>L1_Word</group>
      <groupName>字词问题</groupName>
      <ability>L2_Alias</ability>
      <abilityName>也作/曾用词</abilityName>
      <candidateList>
        <item>其他</item>
      </candidateList>
      <explain>词汇[其它]为不规范表述或旧称，其规范书面表述为[其他]。</explain>
      <paraID>25E9DDE2</paraID>
      <start>15</start>
      <end>17</end>
      <status>unmodified</status>
      <modifiedWord/>
      <trackRevisions>false</trackRevisions>
    </reviewItem>
    <reviewItem>
      <errorID>c7bc86ac-5db4-440c-af2f-28b2c02788dc</errorID>
      <errorWord>法人代表</errorWord>
      <group>L1_Word</group>
      <groupName>字词问题</groupName>
      <ability>L2_Typo</ability>
      <abilityName>字词错误</abilityName>
      <candidateList>
        <item>法定代表</item>
      </candidateList>
      <explain/>
      <paraID>174E4641</paraID>
      <start>0</start>
      <end>4</end>
      <status>unmodified</status>
      <modifiedWord/>
      <trackRevisions>false</trackRevisions>
    </reviewItem>
    <reviewItem>
      <errorID>e567e2f4-8ad2-4ab8-87cc-afb0922945ee</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3B8E08DA</paraID>
      <start>15</start>
      <end>20</end>
      <status>unmodified</status>
      <modifiedWord/>
      <trackRevisions>false</trackRevisions>
    </reviewItem>
    <reviewItem>
      <errorID>b21817e1-8fef-43ac-be64-60c62104617f</errorID>
      <errorWord>。。</errorWord>
      <group>L1_Punc</group>
      <groupName>标点问题</groupName>
      <ability>L2_Punc</ability>
      <abilityName>标点符号检查</abilityName>
      <candidateList>
        <item>。</item>
      </candidateList>
      <explain/>
      <paraID>389B83AC</paraID>
      <start>165</start>
      <end>167</end>
      <status>unmodified</status>
      <modifiedWord/>
      <trackRevisions>false</trackRevisions>
    </reviewItem>
    <reviewItem>
      <errorID>035b79db-e374-484e-9496-ddc662cbfe21</errorID>
      <errorWord>（…</errorWord>
      <group>L1_Punc</group>
      <groupName>标点问题</groupName>
      <ability>L2_Punc</ability>
      <abilityName>标点符号检查</abilityName>
      <candidateList>
        <item>（</item>
      </candidateList>
      <explain/>
      <paraID>7056DC16</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e49201-3f6d-43ca-8aa9-2686c3196f6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219</Pages>
  <Words>347</Words>
  <Characters>420</Characters>
  <Lines>304</Lines>
  <Paragraphs>85</Paragraphs>
  <TotalTime>171</TotalTime>
  <ScaleCrop>false</ScaleCrop>
  <LinksUpToDate>false</LinksUpToDate>
  <CharactersWithSpaces>464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2022-03-29T18:52:00Z</dcterms:created>
  <dc:creator>尹皓</dc:creator>
  <cp:lastModifiedBy>哇咔咔</cp:lastModifiedBy>
  <cp:lastPrinted>2020-04-03T11:13:00Z</cp:lastPrinted>
  <dcterms:modified xsi:type="dcterms:W3CDTF">2026-03-31T09:14:56Z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F8C3C10002914E2892FBD6F1DBDC1E0D_13</vt:lpwstr>
  </property>
  <property fmtid="{D5CDD505-2E9C-101B-9397-08002B2CF9AE}" pid="4" name="KSOTemplateDocerSaveRecord">
    <vt:lpwstr>eyJoZGlkIjoiZTFjNzczNzgxNTAzMWRiMmJiNjFiYWIzYzViOWQzNmUiLCJ1c2VySWQiOiIxMzgzMDYwMjY2In0=</vt:lpwstr>
  </property>
</Properties>
</file>